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6A119" w14:textId="152193CD" w:rsidR="00F93AB2" w:rsidRDefault="00F93AB2" w:rsidP="00F93AB2">
      <w:pPr>
        <w:jc w:val="both"/>
        <w:rPr>
          <w:noProof/>
        </w:rPr>
      </w:pPr>
      <w:r w:rsidRPr="001A344D">
        <w:rPr>
          <w:b/>
          <w:bCs/>
          <w:noProof/>
        </w:rPr>
        <w:drawing>
          <wp:inline distT="0" distB="0" distL="0" distR="0" wp14:anchorId="442FD3EC" wp14:editId="79E1E444">
            <wp:extent cx="5758180" cy="6412375"/>
            <wp:effectExtent l="0" t="0" r="0" b="7620"/>
            <wp:docPr id="360785287" name="Grafik 1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85287" name="Grafik 15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4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10F">
        <w:rPr>
          <w:rFonts w:ascii="Calibri" w:hAnsi="Calibri" w:cs="Calibri"/>
          <w:b/>
          <w:bCs/>
        </w:rPr>
        <w:t>Figure</w:t>
      </w:r>
      <w:r>
        <w:rPr>
          <w:rFonts w:ascii="Calibri" w:hAnsi="Calibri" w:cs="Calibri"/>
          <w:b/>
          <w:bCs/>
        </w:rPr>
        <w:t xml:space="preserve"> S</w:t>
      </w:r>
      <w:r w:rsidRPr="00FD610F">
        <w:rPr>
          <w:rFonts w:ascii="Calibri" w:hAnsi="Calibri" w:cs="Calibri"/>
          <w:b/>
          <w:bCs/>
        </w:rPr>
        <w:t xml:space="preserve">1. </w:t>
      </w:r>
      <w:proofErr w:type="gramStart"/>
      <w:r w:rsidRPr="00FD610F">
        <w:rPr>
          <w:rFonts w:ascii="Calibri" w:hAnsi="Calibri" w:cs="Calibri"/>
          <w:b/>
          <w:bCs/>
        </w:rPr>
        <w:t>A</w:t>
      </w:r>
      <w:proofErr w:type="gramEnd"/>
      <w:r>
        <w:rPr>
          <w:rFonts w:ascii="Calibri" w:hAnsi="Calibri" w:cs="Calibri"/>
          <w:b/>
          <w:bCs/>
        </w:rPr>
        <w:t xml:space="preserve"> </w:t>
      </w:r>
      <w:r w:rsidRPr="00FD610F">
        <w:rPr>
          <w:rFonts w:ascii="Calibri" w:hAnsi="Calibri" w:cs="Calibri"/>
        </w:rPr>
        <w:t xml:space="preserve">Isolation of ECs from the inner curve of the aortic arch (AA) or the thoracic aorta (TA) for bulk ATAC-Seq. </w:t>
      </w:r>
      <w:proofErr w:type="gramStart"/>
      <w:r w:rsidRPr="00FD610F">
        <w:rPr>
          <w:rFonts w:ascii="Calibri" w:hAnsi="Calibri" w:cs="Calibri"/>
          <w:b/>
          <w:bCs/>
        </w:rPr>
        <w:t>B</w:t>
      </w:r>
      <w:r w:rsidRPr="001A344D">
        <w:rPr>
          <w:rFonts w:ascii="Calibri" w:hAnsi="Calibri" w:cs="Calibri"/>
        </w:rPr>
        <w:t>,</w:t>
      </w:r>
      <w:r>
        <w:rPr>
          <w:rFonts w:ascii="Calibri" w:hAnsi="Calibri" w:cs="Calibri"/>
          <w:b/>
          <w:bCs/>
        </w:rPr>
        <w:t>H</w:t>
      </w:r>
      <w:proofErr w:type="gramEnd"/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Genome browser views of </w:t>
      </w:r>
      <w:r w:rsidRPr="00FD610F">
        <w:rPr>
          <w:rFonts w:ascii="Calibri" w:hAnsi="Calibri" w:cs="Calibri"/>
        </w:rPr>
        <w:t>ATAC-Seq tracks of ECs isolated either from the TA (blue) or AA (red).</w:t>
      </w:r>
      <w:r>
        <w:rPr>
          <w:rFonts w:ascii="Calibri" w:hAnsi="Calibri" w:cs="Calibri"/>
        </w:rPr>
        <w:t xml:space="preserve"> Regions highlighted in grey have been used for </w:t>
      </w:r>
      <w:proofErr w:type="gramStart"/>
      <w:r>
        <w:rPr>
          <w:rFonts w:ascii="Calibri" w:hAnsi="Calibri" w:cs="Calibri"/>
        </w:rPr>
        <w:t>testing of</w:t>
      </w:r>
      <w:proofErr w:type="gramEnd"/>
      <w:r>
        <w:rPr>
          <w:rFonts w:ascii="Calibri" w:hAnsi="Calibri" w:cs="Calibri"/>
        </w:rPr>
        <w:t xml:space="preserve"> differential accessibility in </w:t>
      </w:r>
      <w:r w:rsidRPr="001A344D"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b/>
          <w:bCs/>
        </w:rPr>
        <w:t xml:space="preserve"> C </w:t>
      </w:r>
      <w:r w:rsidRPr="001A344D">
        <w:rPr>
          <w:rFonts w:ascii="Calibri" w:hAnsi="Calibri" w:cs="Calibri"/>
        </w:rPr>
        <w:t xml:space="preserve">Bar plots depicting normalized counts in peak regions highlighted in </w:t>
      </w:r>
      <w:r w:rsidRPr="001A344D">
        <w:rPr>
          <w:rFonts w:ascii="Calibri" w:hAnsi="Calibri" w:cs="Calibri"/>
          <w:b/>
          <w:bCs/>
        </w:rPr>
        <w:t>B</w:t>
      </w:r>
      <w:r w:rsidRPr="001A344D">
        <w:rPr>
          <w:rFonts w:ascii="Calibri" w:hAnsi="Calibri" w:cs="Calibri"/>
        </w:rPr>
        <w:t>. Statistics have been calculated using</w:t>
      </w:r>
      <w:r>
        <w:rPr>
          <w:rFonts w:ascii="Calibri" w:hAnsi="Calibri" w:cs="Calibri"/>
        </w:rPr>
        <w:t xml:space="preserve"> </w:t>
      </w:r>
      <w:r w:rsidRPr="001A344D">
        <w:rPr>
          <w:rFonts w:ascii="Calibri" w:hAnsi="Calibri" w:cs="Calibri"/>
        </w:rPr>
        <w:t xml:space="preserve">a one-sided </w:t>
      </w:r>
      <w:proofErr w:type="gramStart"/>
      <w:r w:rsidRPr="001A344D">
        <w:rPr>
          <w:rFonts w:ascii="Calibri" w:hAnsi="Calibri" w:cs="Calibri"/>
        </w:rPr>
        <w:t>Student’s t</w:t>
      </w:r>
      <w:proofErr w:type="gramEnd"/>
      <w:r w:rsidRPr="001A344D">
        <w:rPr>
          <w:rFonts w:ascii="Calibri" w:hAnsi="Calibri" w:cs="Calibri"/>
        </w:rPr>
        <w:t xml:space="preserve">-test. </w:t>
      </w:r>
      <w:proofErr w:type="gramStart"/>
      <w:r w:rsidRPr="001A344D">
        <w:rPr>
          <w:rFonts w:ascii="Calibri" w:hAnsi="Calibri" w:cs="Calibri"/>
          <w:b/>
          <w:bCs/>
        </w:rPr>
        <w:t>D</w:t>
      </w:r>
      <w:r w:rsidRPr="001A344D">
        <w:rPr>
          <w:rFonts w:ascii="Calibri" w:hAnsi="Calibri" w:cs="Calibri"/>
        </w:rPr>
        <w:t>,</w:t>
      </w:r>
      <w:r>
        <w:rPr>
          <w:rFonts w:ascii="Calibri" w:hAnsi="Calibri" w:cs="Calibri"/>
          <w:b/>
          <w:bCs/>
        </w:rPr>
        <w:t>E</w:t>
      </w:r>
      <w:proofErr w:type="gramEnd"/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Genome browser views of </w:t>
      </w:r>
      <w:r w:rsidRPr="00FD610F">
        <w:rPr>
          <w:rFonts w:ascii="Calibri" w:hAnsi="Calibri" w:cs="Calibri"/>
        </w:rPr>
        <w:t xml:space="preserve">ATAC-Seq tracks </w:t>
      </w:r>
      <w:r>
        <w:rPr>
          <w:rFonts w:ascii="Calibri" w:hAnsi="Calibri" w:cs="Calibri"/>
        </w:rPr>
        <w:t>from</w:t>
      </w:r>
      <w:r w:rsidRPr="00FD610F">
        <w:rPr>
          <w:rFonts w:ascii="Calibri" w:hAnsi="Calibri" w:cs="Calibri"/>
        </w:rPr>
        <w:t xml:space="preserve"> ECs isolated from </w:t>
      </w:r>
      <w:r>
        <w:rPr>
          <w:rFonts w:ascii="Calibri" w:hAnsi="Calibri" w:cs="Calibri"/>
        </w:rPr>
        <w:t>SMAD1/5 knock-out (purple) versus control (red) mice</w:t>
      </w:r>
      <w:r w:rsidRPr="00FD610F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Regions highlighted in grey have been used for </w:t>
      </w:r>
      <w:proofErr w:type="gramStart"/>
      <w:r>
        <w:rPr>
          <w:rFonts w:ascii="Calibri" w:hAnsi="Calibri" w:cs="Calibri"/>
        </w:rPr>
        <w:t>testing of</w:t>
      </w:r>
      <w:proofErr w:type="gramEnd"/>
      <w:r>
        <w:rPr>
          <w:rFonts w:ascii="Calibri" w:hAnsi="Calibri" w:cs="Calibri"/>
        </w:rPr>
        <w:t xml:space="preserve"> differential accessibility in Figure 1.</w:t>
      </w:r>
      <w:r w:rsidRPr="00FD610F"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  <w:b/>
          <w:bCs/>
        </w:rPr>
        <w:t>F</w:t>
      </w:r>
      <w:r w:rsidRPr="001A344D">
        <w:rPr>
          <w:rFonts w:ascii="Calibri" w:hAnsi="Calibri" w:cs="Calibri"/>
        </w:rPr>
        <w:t>,</w:t>
      </w:r>
      <w:r>
        <w:rPr>
          <w:rFonts w:ascii="Calibri" w:hAnsi="Calibri" w:cs="Calibri"/>
          <w:b/>
          <w:bCs/>
        </w:rPr>
        <w:t>G</w:t>
      </w:r>
      <w:proofErr w:type="gramEnd"/>
      <w:r w:rsidRPr="00FD610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Genome browser views of </w:t>
      </w:r>
      <w:r w:rsidRPr="00FD610F">
        <w:rPr>
          <w:rFonts w:ascii="Calibri" w:hAnsi="Calibri" w:cs="Calibri"/>
        </w:rPr>
        <w:t xml:space="preserve">ATAC-Seq tracks </w:t>
      </w:r>
      <w:r>
        <w:rPr>
          <w:rFonts w:ascii="Calibri" w:hAnsi="Calibri" w:cs="Calibri"/>
        </w:rPr>
        <w:t>from</w:t>
      </w:r>
      <w:r w:rsidRPr="00FD610F">
        <w:rPr>
          <w:rFonts w:ascii="Calibri" w:hAnsi="Calibri" w:cs="Calibri"/>
        </w:rPr>
        <w:t xml:space="preserve"> ECs isolated from </w:t>
      </w:r>
      <w:r>
        <w:rPr>
          <w:rFonts w:ascii="Calibri" w:hAnsi="Calibri" w:cs="Calibri"/>
        </w:rPr>
        <w:t>SMAD2/3 knock-out (green) versus control (red) mice</w:t>
      </w:r>
      <w:r w:rsidRPr="00FD610F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Regions highlighted in grey have been used for </w:t>
      </w:r>
      <w:proofErr w:type="gramStart"/>
      <w:r>
        <w:rPr>
          <w:rFonts w:ascii="Calibri" w:hAnsi="Calibri" w:cs="Calibri"/>
        </w:rPr>
        <w:t>testing of</w:t>
      </w:r>
      <w:proofErr w:type="gramEnd"/>
      <w:r>
        <w:rPr>
          <w:rFonts w:ascii="Calibri" w:hAnsi="Calibri" w:cs="Calibri"/>
        </w:rPr>
        <w:t xml:space="preserve"> differential accessibility in Figure 1. </w:t>
      </w:r>
      <w:proofErr w:type="gramStart"/>
      <w:r w:rsidRPr="001A344D">
        <w:rPr>
          <w:rFonts w:ascii="Calibri" w:hAnsi="Calibri" w:cs="Calibri"/>
          <w:b/>
          <w:bCs/>
        </w:rPr>
        <w:t>I</w:t>
      </w:r>
      <w:r>
        <w:rPr>
          <w:rFonts w:ascii="Calibri" w:hAnsi="Calibri" w:cs="Calibri"/>
        </w:rPr>
        <w:t xml:space="preserve"> </w:t>
      </w:r>
      <w:r w:rsidRPr="001A344D">
        <w:rPr>
          <w:rFonts w:ascii="Calibri" w:hAnsi="Calibri" w:cs="Calibri"/>
        </w:rPr>
        <w:t>Bar</w:t>
      </w:r>
      <w:proofErr w:type="gramEnd"/>
      <w:r w:rsidRPr="001A344D">
        <w:rPr>
          <w:rFonts w:ascii="Calibri" w:hAnsi="Calibri" w:cs="Calibri"/>
        </w:rPr>
        <w:t xml:space="preserve"> plots depicting normalized counts in peak regions highlighted in </w:t>
      </w:r>
      <w:r>
        <w:rPr>
          <w:rFonts w:ascii="Calibri" w:hAnsi="Calibri" w:cs="Calibri"/>
          <w:b/>
          <w:bCs/>
        </w:rPr>
        <w:t>H</w:t>
      </w:r>
      <w:r w:rsidRPr="001A344D">
        <w:rPr>
          <w:rFonts w:ascii="Calibri" w:hAnsi="Calibri" w:cs="Calibri"/>
        </w:rPr>
        <w:t>. Statistics have been calculated using</w:t>
      </w:r>
      <w:r>
        <w:rPr>
          <w:rFonts w:ascii="Calibri" w:hAnsi="Calibri" w:cs="Calibri"/>
        </w:rPr>
        <w:t xml:space="preserve"> </w:t>
      </w:r>
      <w:r w:rsidRPr="001A344D">
        <w:rPr>
          <w:rFonts w:ascii="Calibri" w:hAnsi="Calibri" w:cs="Calibri"/>
        </w:rPr>
        <w:t xml:space="preserve">a one-sided </w:t>
      </w:r>
      <w:proofErr w:type="gramStart"/>
      <w:r w:rsidRPr="001A344D">
        <w:rPr>
          <w:rFonts w:ascii="Calibri" w:hAnsi="Calibri" w:cs="Calibri"/>
        </w:rPr>
        <w:t>Student’s t</w:t>
      </w:r>
      <w:proofErr w:type="gramEnd"/>
      <w:r w:rsidRPr="001A344D">
        <w:rPr>
          <w:rFonts w:ascii="Calibri" w:hAnsi="Calibri" w:cs="Calibri"/>
        </w:rPr>
        <w:t>-test.</w:t>
      </w:r>
    </w:p>
    <w:p w14:paraId="0D7F19F8" w14:textId="194A7EC3" w:rsidR="00F93AB2" w:rsidRDefault="00F93AB2" w:rsidP="00F93AB2">
      <w:pPr>
        <w:jc w:val="both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59EDB59C" wp14:editId="0F5D1969">
            <wp:extent cx="5758180" cy="6742253"/>
            <wp:effectExtent l="0" t="0" r="0" b="1905"/>
            <wp:docPr id="20732777" name="Grafik 16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777" name="Grafik 16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7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10F">
        <w:rPr>
          <w:rFonts w:ascii="Calibri" w:hAnsi="Calibri" w:cs="Calibri"/>
          <w:b/>
          <w:bCs/>
        </w:rPr>
        <w:t>Figure S</w:t>
      </w:r>
      <w:r>
        <w:rPr>
          <w:rFonts w:ascii="Calibri" w:hAnsi="Calibri" w:cs="Calibri"/>
          <w:b/>
          <w:bCs/>
        </w:rPr>
        <w:t>2</w:t>
      </w:r>
      <w:r w:rsidRPr="00FD610F">
        <w:rPr>
          <w:rFonts w:ascii="Calibri" w:hAnsi="Calibri" w:cs="Calibri"/>
          <w:b/>
          <w:bCs/>
        </w:rPr>
        <w:t>. A</w:t>
      </w:r>
      <w:r w:rsidRPr="00FD610F">
        <w:rPr>
          <w:rFonts w:ascii="Calibri" w:hAnsi="Calibri" w:cs="Calibri"/>
        </w:rPr>
        <w:t xml:space="preserve"> Monocyte adhesion assay using THP-1 cells labeled in green on </w:t>
      </w:r>
      <w:r>
        <w:rPr>
          <w:rFonts w:ascii="Calibri" w:hAnsi="Calibri" w:cs="Calibri"/>
        </w:rPr>
        <w:t>human aortic endothelial cell (</w:t>
      </w:r>
      <w:proofErr w:type="spellStart"/>
      <w:r w:rsidRPr="00FD610F">
        <w:rPr>
          <w:rFonts w:ascii="Calibri" w:hAnsi="Calibri" w:cs="Calibri"/>
        </w:rPr>
        <w:t>H</w:t>
      </w:r>
      <w:r>
        <w:rPr>
          <w:rFonts w:ascii="Calibri" w:hAnsi="Calibri" w:cs="Calibri"/>
        </w:rPr>
        <w:t>A</w:t>
      </w:r>
      <w:r w:rsidRPr="00FD610F">
        <w:rPr>
          <w:rFonts w:ascii="Calibri" w:hAnsi="Calibri" w:cs="Calibri"/>
        </w:rPr>
        <w:t>oEC</w:t>
      </w:r>
      <w:proofErr w:type="spellEnd"/>
      <w:r>
        <w:rPr>
          <w:rFonts w:ascii="Calibri" w:hAnsi="Calibri" w:cs="Calibri"/>
        </w:rPr>
        <w:t>)</w:t>
      </w:r>
      <w:r w:rsidRPr="00FD610F">
        <w:rPr>
          <w:rFonts w:ascii="Calibri" w:hAnsi="Calibri" w:cs="Calibri"/>
        </w:rPr>
        <w:t xml:space="preserve"> monolayers exposed to </w:t>
      </w:r>
      <w:r>
        <w:rPr>
          <w:rFonts w:ascii="Calibri" w:hAnsi="Calibri" w:cs="Calibri"/>
        </w:rPr>
        <w:t>oscillatory (</w:t>
      </w:r>
      <w:r w:rsidRPr="00FD610F">
        <w:rPr>
          <w:rFonts w:ascii="Calibri" w:hAnsi="Calibri" w:cs="Calibri"/>
        </w:rPr>
        <w:t>OS</w:t>
      </w:r>
      <w:r>
        <w:rPr>
          <w:rFonts w:ascii="Calibri" w:hAnsi="Calibri" w:cs="Calibri"/>
        </w:rPr>
        <w:t>)</w:t>
      </w:r>
      <w:r w:rsidRPr="00FD610F">
        <w:rPr>
          <w:rFonts w:ascii="Calibri" w:hAnsi="Calibri" w:cs="Calibri"/>
        </w:rPr>
        <w:t xml:space="preserve"> or </w:t>
      </w:r>
      <w:r>
        <w:rPr>
          <w:rFonts w:ascii="Calibri" w:hAnsi="Calibri" w:cs="Calibri"/>
        </w:rPr>
        <w:t>pulsatile (</w:t>
      </w:r>
      <w:r w:rsidRPr="00FD610F">
        <w:rPr>
          <w:rFonts w:ascii="Calibri" w:hAnsi="Calibri" w:cs="Calibri"/>
        </w:rPr>
        <w:t>PS</w:t>
      </w:r>
      <w:r>
        <w:rPr>
          <w:rFonts w:ascii="Calibri" w:hAnsi="Calibri" w:cs="Calibri"/>
        </w:rPr>
        <w:t>) flow (n=3)</w:t>
      </w:r>
      <w:r w:rsidRPr="00FD610F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Scale bar is 100 µm.</w:t>
      </w:r>
      <w:r w:rsidRPr="00FD610F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B</w:t>
      </w:r>
      <w:r w:rsidRPr="00FD610F">
        <w:rPr>
          <w:rFonts w:ascii="Calibri" w:hAnsi="Calibri" w:cs="Calibri"/>
        </w:rPr>
        <w:t xml:space="preserve"> Quantification of adhered monocytes from </w:t>
      </w:r>
      <w:r>
        <w:rPr>
          <w:rFonts w:ascii="Calibri" w:hAnsi="Calibri" w:cs="Calibri"/>
          <w:b/>
          <w:bCs/>
        </w:rPr>
        <w:t>A</w:t>
      </w:r>
      <w:r w:rsidRPr="00FD610F">
        <w:rPr>
          <w:rFonts w:ascii="Calibri" w:hAnsi="Calibri" w:cs="Calibri"/>
        </w:rPr>
        <w:t>. Quantification from 10 images of 3 biological donors. Statistics were calculated using a two-tailed Student’s t-test.</w:t>
      </w:r>
      <w:r>
        <w:rPr>
          <w:rFonts w:ascii="Calibri" w:hAnsi="Calibri" w:cs="Calibri"/>
        </w:rPr>
        <w:t xml:space="preserve"> </w:t>
      </w:r>
      <w:r w:rsidRPr="001A344D"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Volcanoplot</w:t>
      </w:r>
      <w:proofErr w:type="spellEnd"/>
      <w:r>
        <w:rPr>
          <w:rFonts w:ascii="Calibri" w:hAnsi="Calibri" w:cs="Calibri"/>
        </w:rPr>
        <w:t xml:space="preserve"> of RNA-Seq data re-analyzed from </w:t>
      </w:r>
      <w:r w:rsidRPr="001A344D">
        <w:rPr>
          <w:rFonts w:ascii="Calibri" w:hAnsi="Calibri" w:cs="Calibri"/>
        </w:rPr>
        <w:t>GSE103672</w:t>
      </w:r>
      <w:r>
        <w:rPr>
          <w:rFonts w:ascii="Calibri" w:hAnsi="Calibri" w:cs="Calibri"/>
        </w:rPr>
        <w:t xml:space="preserve"> displaying differentially regulated genes (FDR &lt; 0.05) of HUVECs exposed to OS or PS for 24 hrs. </w:t>
      </w:r>
      <w:r w:rsidRPr="001A344D">
        <w:rPr>
          <w:rFonts w:ascii="Calibri" w:hAnsi="Calibri" w:cs="Calibri"/>
          <w:b/>
          <w:bCs/>
        </w:rPr>
        <w:t>D</w:t>
      </w:r>
      <w:r>
        <w:rPr>
          <w:rFonts w:ascii="Calibri" w:hAnsi="Calibri" w:cs="Calibri"/>
        </w:rPr>
        <w:t xml:space="preserve"> Line plots showing expression of </w:t>
      </w:r>
      <w:proofErr w:type="spellStart"/>
      <w:r>
        <w:rPr>
          <w:rFonts w:ascii="Calibri" w:hAnsi="Calibri" w:cs="Calibri"/>
        </w:rPr>
        <w:t>EndMT</w:t>
      </w:r>
      <w:proofErr w:type="spellEnd"/>
      <w:r>
        <w:rPr>
          <w:rFonts w:ascii="Calibri" w:hAnsi="Calibri" w:cs="Calibri"/>
        </w:rPr>
        <w:t xml:space="preserve"> genes as normalized counts (log2(CPM)) from RNA-Seq data detailed in </w:t>
      </w:r>
      <w:r w:rsidRPr="001A344D"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</w:rPr>
        <w:t xml:space="preserve"> </w:t>
      </w:r>
      <w:proofErr w:type="spellStart"/>
      <w:r w:rsidRPr="00FD610F">
        <w:rPr>
          <w:rFonts w:ascii="Calibri" w:hAnsi="Calibri" w:cs="Calibri"/>
        </w:rPr>
        <w:t>Footprinting</w:t>
      </w:r>
      <w:proofErr w:type="spellEnd"/>
      <w:r w:rsidRPr="00FD610F">
        <w:rPr>
          <w:rFonts w:ascii="Calibri" w:hAnsi="Calibri" w:cs="Calibri"/>
        </w:rPr>
        <w:t xml:space="preserve"> analysis using </w:t>
      </w:r>
      <w:r>
        <w:rPr>
          <w:rFonts w:ascii="Calibri" w:hAnsi="Calibri" w:cs="Calibri"/>
        </w:rPr>
        <w:t>differentially accessible regions (D</w:t>
      </w:r>
      <w:r w:rsidRPr="00FD610F">
        <w:rPr>
          <w:rFonts w:ascii="Calibri" w:hAnsi="Calibri" w:cs="Calibri"/>
        </w:rPr>
        <w:t>ARs</w:t>
      </w:r>
      <w:r>
        <w:rPr>
          <w:rFonts w:ascii="Calibri" w:hAnsi="Calibri" w:cs="Calibri"/>
        </w:rPr>
        <w:t>; adjusted p value &lt; 0.05)</w:t>
      </w:r>
      <w:r w:rsidRPr="00FD610F">
        <w:rPr>
          <w:rFonts w:ascii="Calibri" w:hAnsi="Calibri" w:cs="Calibri"/>
        </w:rPr>
        <w:t xml:space="preserve"> from ATAC-Seq data. Transcription factors in color have -log10(p-value) above the 95% quantile and/or differential binding scores smaller/larger than the 5% and 95% quantiles (top 5% in each direction). Motifs for SMAD or FOX TF members are highlighted.</w:t>
      </w:r>
      <w:r>
        <w:rPr>
          <w:rFonts w:ascii="Calibri" w:hAnsi="Calibri" w:cs="Calibri"/>
        </w:rPr>
        <w:t xml:space="preserve"> </w:t>
      </w:r>
      <w:r w:rsidRPr="001A344D">
        <w:rPr>
          <w:rFonts w:ascii="Calibri" w:hAnsi="Calibri" w:cs="Calibri"/>
          <w:b/>
          <w:bCs/>
        </w:rPr>
        <w:t>F</w:t>
      </w:r>
      <w:r>
        <w:rPr>
          <w:rFonts w:ascii="Calibri" w:hAnsi="Calibri" w:cs="Calibri"/>
        </w:rPr>
        <w:t xml:space="preserve"> Quantitative PCR results of </w:t>
      </w:r>
      <w:proofErr w:type="spellStart"/>
      <w:r>
        <w:rPr>
          <w:rFonts w:ascii="Calibri" w:hAnsi="Calibri" w:cs="Calibri"/>
        </w:rPr>
        <w:t>HAoECs</w:t>
      </w:r>
      <w:proofErr w:type="spellEnd"/>
      <w:r>
        <w:rPr>
          <w:rFonts w:ascii="Calibri" w:hAnsi="Calibri" w:cs="Calibri"/>
        </w:rPr>
        <w:t xml:space="preserve"> exposed to OS after siRNA-mediated knock-down of FOXO1 (light grey, left) or FOXM1 (dark </w:t>
      </w:r>
      <w:r>
        <w:rPr>
          <w:rFonts w:ascii="Calibri" w:hAnsi="Calibri" w:cs="Calibri"/>
        </w:rPr>
        <w:lastRenderedPageBreak/>
        <w:t>grey, right) compared to a scrambled control (red). (n=3)</w:t>
      </w:r>
      <w:r w:rsidRPr="00FD610F">
        <w:rPr>
          <w:rFonts w:ascii="Calibri" w:hAnsi="Calibri" w:cs="Calibri"/>
        </w:rPr>
        <w:t>. Values are depicted as mean normalized expression +/- standard error of means.</w:t>
      </w:r>
      <w:r>
        <w:rPr>
          <w:rFonts w:ascii="Calibri" w:hAnsi="Calibri" w:cs="Calibri"/>
        </w:rPr>
        <w:t xml:space="preserve"> </w:t>
      </w:r>
      <w:r w:rsidRPr="00FD610F">
        <w:rPr>
          <w:rFonts w:ascii="Calibri" w:hAnsi="Calibri" w:cs="Calibri"/>
        </w:rPr>
        <w:t xml:space="preserve">Statistics were calculated as </w:t>
      </w:r>
      <w:r>
        <w:rPr>
          <w:rFonts w:ascii="Calibri" w:hAnsi="Calibri" w:cs="Calibri"/>
        </w:rPr>
        <w:t xml:space="preserve">a two-tailed </w:t>
      </w:r>
      <w:proofErr w:type="gramStart"/>
      <w:r>
        <w:rPr>
          <w:rFonts w:ascii="Calibri" w:hAnsi="Calibri" w:cs="Calibri"/>
        </w:rPr>
        <w:t>Student’s t</w:t>
      </w:r>
      <w:proofErr w:type="gramEnd"/>
      <w:r>
        <w:rPr>
          <w:rFonts w:ascii="Calibri" w:hAnsi="Calibri" w:cs="Calibri"/>
        </w:rPr>
        <w:t xml:space="preserve">-test. </w:t>
      </w:r>
      <w:r w:rsidRPr="001A344D">
        <w:rPr>
          <w:rFonts w:ascii="Calibri" w:hAnsi="Calibri" w:cs="Calibri"/>
          <w:b/>
          <w:bCs/>
        </w:rPr>
        <w:t>G</w:t>
      </w:r>
      <w:r>
        <w:rPr>
          <w:rFonts w:ascii="Calibri" w:hAnsi="Calibri" w:cs="Calibri"/>
        </w:rPr>
        <w:t xml:space="preserve"> </w:t>
      </w:r>
      <w:r w:rsidRPr="00FD610F">
        <w:rPr>
          <w:rFonts w:ascii="Calibri" w:hAnsi="Calibri" w:cs="Calibri"/>
        </w:rPr>
        <w:t>Gene ontology enrichment analysis</w:t>
      </w:r>
      <w:r>
        <w:rPr>
          <w:rFonts w:ascii="Calibri" w:hAnsi="Calibri" w:cs="Calibri"/>
        </w:rPr>
        <w:t xml:space="preserve"> (KEGG pathways)</w:t>
      </w:r>
      <w:r w:rsidRPr="00FD610F">
        <w:rPr>
          <w:rFonts w:ascii="Calibri" w:hAnsi="Calibri" w:cs="Calibri"/>
        </w:rPr>
        <w:t xml:space="preserve"> of genes </w:t>
      </w:r>
      <w:r>
        <w:rPr>
          <w:rFonts w:ascii="Calibri" w:hAnsi="Calibri" w:cs="Calibri"/>
        </w:rPr>
        <w:t>downregulated</w:t>
      </w:r>
      <w:r w:rsidRPr="00FD610F">
        <w:rPr>
          <w:rFonts w:ascii="Calibri" w:hAnsi="Calibri" w:cs="Calibri"/>
        </w:rPr>
        <w:t xml:space="preserve"> by OS</w:t>
      </w:r>
      <w:r>
        <w:rPr>
          <w:rFonts w:ascii="Calibri" w:hAnsi="Calibri" w:cs="Calibri"/>
        </w:rPr>
        <w:t xml:space="preserve"> compared to PS as assessed by RNA-Seq in </w:t>
      </w:r>
      <w:proofErr w:type="spellStart"/>
      <w:r>
        <w:rPr>
          <w:rFonts w:ascii="Calibri" w:hAnsi="Calibri" w:cs="Calibri"/>
        </w:rPr>
        <w:t>HAoECs</w:t>
      </w:r>
      <w:proofErr w:type="spellEnd"/>
      <w:r w:rsidRPr="00FD610F">
        <w:rPr>
          <w:rFonts w:ascii="Calibri" w:hAnsi="Calibri" w:cs="Calibri"/>
        </w:rPr>
        <w:t>.</w:t>
      </w:r>
    </w:p>
    <w:p w14:paraId="6014096C" w14:textId="09DE7E0F" w:rsidR="00F93AB2" w:rsidRDefault="00F93AB2" w:rsidP="00F93AB2">
      <w:pPr>
        <w:jc w:val="both"/>
      </w:pPr>
      <w:r>
        <w:rPr>
          <w:noProof/>
        </w:rPr>
        <w:drawing>
          <wp:inline distT="0" distB="0" distL="0" distR="0" wp14:anchorId="3796B9AD" wp14:editId="2C5DEC7A">
            <wp:extent cx="5758662" cy="1684116"/>
            <wp:effectExtent l="0" t="0" r="0" b="0"/>
            <wp:docPr id="1885482246" name="Grafik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82246" name="Grafik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10F">
        <w:rPr>
          <w:rFonts w:ascii="Calibri" w:hAnsi="Calibri" w:cs="Calibri"/>
          <w:b/>
          <w:bCs/>
        </w:rPr>
        <w:t xml:space="preserve">Figure </w:t>
      </w:r>
      <w:r>
        <w:rPr>
          <w:rFonts w:ascii="Calibri" w:hAnsi="Calibri" w:cs="Calibri"/>
          <w:b/>
          <w:bCs/>
        </w:rPr>
        <w:t>S3</w:t>
      </w:r>
      <w:r w:rsidRPr="00FD610F">
        <w:rPr>
          <w:rFonts w:ascii="Calibri" w:hAnsi="Calibri" w:cs="Calibri"/>
          <w:b/>
          <w:bCs/>
        </w:rPr>
        <w:t>.</w:t>
      </w:r>
      <w:r w:rsidRPr="00FD610F">
        <w:rPr>
          <w:rFonts w:ascii="Calibri" w:hAnsi="Calibri" w:cs="Calibri"/>
        </w:rPr>
        <w:t xml:space="preserve"> </w:t>
      </w:r>
      <w:r w:rsidRPr="00FD610F">
        <w:rPr>
          <w:rFonts w:ascii="Calibri" w:hAnsi="Calibri" w:cs="Calibri"/>
          <w:b/>
          <w:bCs/>
        </w:rPr>
        <w:t>A</w:t>
      </w:r>
      <w:r w:rsidRPr="00FD610F">
        <w:rPr>
          <w:rFonts w:ascii="Calibri" w:hAnsi="Calibri" w:cs="Calibri"/>
        </w:rPr>
        <w:t xml:space="preserve"> </w:t>
      </w:r>
      <w:proofErr w:type="gramStart"/>
      <w:r w:rsidRPr="00FD610F">
        <w:rPr>
          <w:rFonts w:ascii="Calibri" w:hAnsi="Calibri" w:cs="Calibri"/>
        </w:rPr>
        <w:t xml:space="preserve">Confocal images of </w:t>
      </w:r>
      <w:r>
        <w:rPr>
          <w:rFonts w:ascii="Calibri" w:hAnsi="Calibri" w:cs="Calibri"/>
        </w:rPr>
        <w:t>PLA c</w:t>
      </w:r>
      <w:r w:rsidRPr="00FD610F">
        <w:rPr>
          <w:rFonts w:ascii="Calibri" w:hAnsi="Calibri" w:cs="Calibri"/>
        </w:rPr>
        <w:t>ontrol samples</w:t>
      </w:r>
      <w:proofErr w:type="gramEnd"/>
      <w:r>
        <w:rPr>
          <w:rFonts w:ascii="Calibri" w:hAnsi="Calibri" w:cs="Calibri"/>
        </w:rPr>
        <w:t xml:space="preserve"> of human aortic endothelial cells (</w:t>
      </w:r>
      <w:proofErr w:type="spellStart"/>
      <w:r>
        <w:rPr>
          <w:rFonts w:ascii="Calibri" w:hAnsi="Calibri" w:cs="Calibri"/>
        </w:rPr>
        <w:t>HAoECs</w:t>
      </w:r>
      <w:proofErr w:type="spellEnd"/>
      <w:r>
        <w:rPr>
          <w:rFonts w:ascii="Calibri" w:hAnsi="Calibri" w:cs="Calibri"/>
        </w:rPr>
        <w:t xml:space="preserve">) exposed to oscillatory (OS) or pulsatile (PS) flow. PLA control slides </w:t>
      </w:r>
      <w:r w:rsidRPr="00FD610F">
        <w:rPr>
          <w:rFonts w:ascii="Calibri" w:hAnsi="Calibri" w:cs="Calibri"/>
        </w:rPr>
        <w:t xml:space="preserve">were incubated with the </w:t>
      </w:r>
      <w:r>
        <w:rPr>
          <w:rFonts w:ascii="Calibri" w:hAnsi="Calibri" w:cs="Calibri"/>
        </w:rPr>
        <w:t>secondary PLA probes only. Scale bars are 40 µm.</w:t>
      </w:r>
      <w:r w:rsidRPr="00FD610F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B</w:t>
      </w:r>
      <w:r w:rsidRPr="00FD610F">
        <w:rPr>
          <w:rFonts w:ascii="Calibri" w:hAnsi="Calibri" w:cs="Calibri"/>
        </w:rPr>
        <w:t xml:space="preserve"> Epifluorescence microscopy images of FOXO1 immunostainings (red) in </w:t>
      </w:r>
      <w:proofErr w:type="spellStart"/>
      <w:r w:rsidRPr="00FD610F">
        <w:rPr>
          <w:rFonts w:ascii="Calibri" w:hAnsi="Calibri" w:cs="Calibri"/>
        </w:rPr>
        <w:t>HAoECs</w:t>
      </w:r>
      <w:proofErr w:type="spellEnd"/>
      <w:r w:rsidRPr="00FD610F">
        <w:rPr>
          <w:rFonts w:ascii="Calibri" w:hAnsi="Calibri" w:cs="Calibri"/>
        </w:rPr>
        <w:t xml:space="preserve"> exposed to OS or PS. Nuclei are counterstained with DAPI (blue). Representative images of 3 biological replicates with 4 images each</w:t>
      </w:r>
      <w:r w:rsidRPr="006547E3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Scale bars are 20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µm. </w:t>
      </w:r>
      <w:r>
        <w:rPr>
          <w:rFonts w:ascii="Calibri" w:hAnsi="Calibri" w:cs="Calibri"/>
          <w:b/>
          <w:bCs/>
        </w:rPr>
        <w:t>C</w:t>
      </w:r>
      <w:r w:rsidRPr="00FD610F">
        <w:rPr>
          <w:rFonts w:ascii="Calibri" w:hAnsi="Calibri" w:cs="Calibri"/>
        </w:rPr>
        <w:t xml:space="preserve"> Reporter gene assay in HEK293T cells using a genomic region of the </w:t>
      </w:r>
      <w:r w:rsidRPr="006547E3">
        <w:rPr>
          <w:rFonts w:ascii="Calibri" w:hAnsi="Calibri" w:cs="Calibri"/>
          <w:i/>
          <w:iCs/>
        </w:rPr>
        <w:t>EDN1</w:t>
      </w:r>
      <w:r w:rsidRPr="00FD610F">
        <w:rPr>
          <w:rFonts w:ascii="Calibri" w:hAnsi="Calibri" w:cs="Calibri"/>
        </w:rPr>
        <w:t xml:space="preserve"> promoter region </w:t>
      </w:r>
      <w:r>
        <w:rPr>
          <w:rFonts w:ascii="Calibri" w:hAnsi="Calibri" w:cs="Calibri"/>
        </w:rPr>
        <w:t>positive for SMAD and FOXO motifs</w:t>
      </w:r>
      <w:r w:rsidRPr="00FD610F">
        <w:rPr>
          <w:rFonts w:ascii="Calibri" w:hAnsi="Calibri" w:cs="Calibri"/>
        </w:rPr>
        <w:t xml:space="preserve">. Values are fold inductions of </w:t>
      </w:r>
      <w:r>
        <w:rPr>
          <w:rFonts w:ascii="Calibri" w:hAnsi="Calibri" w:cs="Calibri"/>
        </w:rPr>
        <w:t>BMP6 stimulation</w:t>
      </w:r>
      <w:r w:rsidRPr="00FD610F">
        <w:rPr>
          <w:rFonts w:ascii="Calibri" w:hAnsi="Calibri" w:cs="Calibri"/>
        </w:rPr>
        <w:t xml:space="preserve"> compared to </w:t>
      </w:r>
      <w:r>
        <w:rPr>
          <w:rFonts w:ascii="Calibri" w:hAnsi="Calibri" w:cs="Calibri"/>
        </w:rPr>
        <w:t>solvent</w:t>
      </w:r>
      <w:r w:rsidRPr="00FD610F">
        <w:rPr>
          <w:rFonts w:ascii="Calibri" w:hAnsi="Calibri" w:cs="Calibri"/>
        </w:rPr>
        <w:t xml:space="preserve"> control</w:t>
      </w:r>
      <w:r>
        <w:rPr>
          <w:rFonts w:ascii="Calibri" w:hAnsi="Calibri" w:cs="Calibri"/>
        </w:rPr>
        <w:t xml:space="preserve"> (n=4)</w:t>
      </w:r>
      <w:r w:rsidRPr="00FD610F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Statistics were calculated using a one </w:t>
      </w:r>
      <w:proofErr w:type="gramStart"/>
      <w:r>
        <w:rPr>
          <w:rFonts w:ascii="Calibri" w:hAnsi="Calibri" w:cs="Calibri"/>
        </w:rPr>
        <w:t>sample t</w:t>
      </w:r>
      <w:proofErr w:type="gramEnd"/>
      <w:r>
        <w:rPr>
          <w:rFonts w:ascii="Calibri" w:hAnsi="Calibri" w:cs="Calibri"/>
        </w:rPr>
        <w:t xml:space="preserve"> test with the theoretical </w:t>
      </w:r>
      <w:proofErr w:type="gramStart"/>
      <w:r>
        <w:rPr>
          <w:rFonts w:ascii="Calibri" w:hAnsi="Calibri" w:cs="Calibri"/>
        </w:rPr>
        <w:t>mean</w:t>
      </w:r>
      <w:proofErr w:type="gramEnd"/>
      <w:r>
        <w:rPr>
          <w:rFonts w:ascii="Calibri" w:hAnsi="Calibri" w:cs="Calibri"/>
        </w:rPr>
        <w:t xml:space="preserve"> set to 1.</w:t>
      </w:r>
    </w:p>
    <w:p w14:paraId="7BBA5543" w14:textId="20085528" w:rsidR="00F93AB2" w:rsidRPr="00FD610F" w:rsidRDefault="00F93AB2" w:rsidP="00F93AB2">
      <w:pPr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AB7951A" wp14:editId="6FE00D47">
            <wp:extent cx="5758735" cy="1336431"/>
            <wp:effectExtent l="0" t="0" r="0" b="0"/>
            <wp:docPr id="520790833" name="Grafik 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90833" name="Grafik 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10F">
        <w:rPr>
          <w:rFonts w:ascii="Calibri" w:hAnsi="Calibri" w:cs="Calibri"/>
          <w:b/>
          <w:bCs/>
        </w:rPr>
        <w:t>Figure S</w:t>
      </w:r>
      <w:r>
        <w:rPr>
          <w:rFonts w:ascii="Calibri" w:hAnsi="Calibri" w:cs="Calibri"/>
          <w:b/>
          <w:bCs/>
        </w:rPr>
        <w:t>4</w:t>
      </w:r>
      <w:r w:rsidRPr="00FD610F">
        <w:rPr>
          <w:rFonts w:ascii="Calibri" w:hAnsi="Calibri" w:cs="Calibri"/>
          <w:b/>
          <w:bCs/>
        </w:rPr>
        <w:t>. A</w:t>
      </w:r>
      <w:r w:rsidRPr="00FD610F">
        <w:rPr>
          <w:rFonts w:ascii="Calibri" w:hAnsi="Calibri" w:cs="Calibri"/>
        </w:rPr>
        <w:t xml:space="preserve"> </w:t>
      </w:r>
      <w:proofErr w:type="gramStart"/>
      <w:r w:rsidRPr="00FD610F">
        <w:rPr>
          <w:rFonts w:ascii="Calibri" w:hAnsi="Calibri" w:cs="Calibri"/>
        </w:rPr>
        <w:t>Confocal images of immunostainings</w:t>
      </w:r>
      <w:proofErr w:type="gramEnd"/>
      <w:r w:rsidRPr="00FD610F">
        <w:rPr>
          <w:rFonts w:ascii="Calibri" w:hAnsi="Calibri" w:cs="Calibri"/>
        </w:rPr>
        <w:t xml:space="preserve"> in the aortic arch or thoracic aorta of wild-type C57BL/6 mice using secondary antibody only (n=3 mice).</w:t>
      </w:r>
      <w:r>
        <w:rPr>
          <w:rFonts w:ascii="Calibri" w:hAnsi="Calibri" w:cs="Calibri"/>
        </w:rPr>
        <w:t xml:space="preserve"> White arrows indicate EC nuclei. Lumen is indicated by a white L. Scale bars are 20 </w:t>
      </w:r>
      <w:r w:rsidRPr="004610C8">
        <w:rPr>
          <w:rFonts w:ascii="Calibri" w:hAnsi="Calibri" w:cs="Calibri"/>
        </w:rPr>
        <w:t>µm</w:t>
      </w:r>
      <w:r>
        <w:rPr>
          <w:rFonts w:ascii="Calibri" w:hAnsi="Calibri" w:cs="Calibri"/>
        </w:rPr>
        <w:t>.</w:t>
      </w:r>
    </w:p>
    <w:p w14:paraId="3665F429" w14:textId="7C1BC213" w:rsidR="00F93AB2" w:rsidRDefault="00F93AB2" w:rsidP="00F93AB2">
      <w:pPr>
        <w:jc w:val="both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4FF1502F" wp14:editId="779DE985">
            <wp:extent cx="5758180" cy="4925028"/>
            <wp:effectExtent l="0" t="0" r="0" b="9525"/>
            <wp:docPr id="236713928" name="Grafik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13928" name="Grafik 1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9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6CCD">
        <w:rPr>
          <w:rFonts w:ascii="Calibri" w:hAnsi="Calibri" w:cs="Calibri"/>
          <w:b/>
          <w:bCs/>
        </w:rPr>
        <w:t>Figure S5.</w:t>
      </w:r>
      <w:r>
        <w:rPr>
          <w:rFonts w:ascii="Calibri" w:hAnsi="Calibri" w:cs="Calibri"/>
        </w:rPr>
        <w:t xml:space="preserve"> </w:t>
      </w:r>
      <w:proofErr w:type="gramStart"/>
      <w:r w:rsidRPr="001A6CCD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</w:rPr>
        <w:t>,</w:t>
      </w:r>
      <w:r w:rsidRPr="001A6CCD">
        <w:rPr>
          <w:rFonts w:ascii="Calibri" w:hAnsi="Calibri" w:cs="Calibri"/>
          <w:b/>
          <w:bCs/>
        </w:rPr>
        <w:t>B</w:t>
      </w:r>
      <w:proofErr w:type="gramEnd"/>
      <w:r>
        <w:rPr>
          <w:rFonts w:ascii="Calibri" w:hAnsi="Calibri" w:cs="Calibri"/>
        </w:rPr>
        <w:t xml:space="preserve"> Pie chart of annotations for called ATAC-Seq peaks from human aortic endothelial cells (</w:t>
      </w:r>
      <w:proofErr w:type="spellStart"/>
      <w:r>
        <w:rPr>
          <w:rFonts w:ascii="Calibri" w:hAnsi="Calibri" w:cs="Calibri"/>
        </w:rPr>
        <w:t>HAoECs</w:t>
      </w:r>
      <w:proofErr w:type="spellEnd"/>
      <w:r>
        <w:rPr>
          <w:rFonts w:ascii="Calibri" w:hAnsi="Calibri" w:cs="Calibri"/>
        </w:rPr>
        <w:t>) exposed to oscillatory flow (OS) in the presence of DMSO (</w:t>
      </w:r>
      <w:r w:rsidRPr="001A6CCD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>) or a FOXO1 inhibitor (</w:t>
      </w:r>
      <w:r w:rsidRPr="00FD610F">
        <w:rPr>
          <w:rFonts w:ascii="Calibri" w:hAnsi="Calibri" w:cs="Calibri"/>
        </w:rPr>
        <w:t>AS1842856</w:t>
      </w:r>
      <w:r>
        <w:rPr>
          <w:rFonts w:ascii="Calibri" w:hAnsi="Calibri" w:cs="Calibri"/>
        </w:rPr>
        <w:t xml:space="preserve">; </w:t>
      </w:r>
      <w:r w:rsidRPr="00FD610F">
        <w:rPr>
          <w:rFonts w:ascii="Calibri" w:hAnsi="Calibri" w:cs="Calibri"/>
        </w:rPr>
        <w:t>0.5 µM)</w:t>
      </w:r>
      <w:r>
        <w:rPr>
          <w:rFonts w:ascii="Calibri" w:hAnsi="Calibri" w:cs="Calibri"/>
        </w:rPr>
        <w:t xml:space="preserve"> (</w:t>
      </w:r>
      <w:r w:rsidRPr="001A6CCD">
        <w:rPr>
          <w:rFonts w:ascii="Calibri" w:hAnsi="Calibri" w:cs="Calibri"/>
          <w:b/>
          <w:bCs/>
        </w:rPr>
        <w:t>B</w:t>
      </w:r>
      <w:r>
        <w:rPr>
          <w:rFonts w:ascii="Calibri" w:hAnsi="Calibri" w:cs="Calibri"/>
        </w:rPr>
        <w:t xml:space="preserve">). </w:t>
      </w:r>
      <w:r w:rsidRPr="001A6CCD"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</w:rPr>
        <w:t xml:space="preserve"> </w:t>
      </w:r>
      <w:r w:rsidRPr="00FD610F">
        <w:rPr>
          <w:rFonts w:ascii="Calibri" w:hAnsi="Calibri" w:cs="Calibri"/>
        </w:rPr>
        <w:t xml:space="preserve">Genome browser view of ATAC-Seq data from </w:t>
      </w:r>
      <w:proofErr w:type="spellStart"/>
      <w:r w:rsidRPr="00FD610F">
        <w:rPr>
          <w:rFonts w:ascii="Calibri" w:hAnsi="Calibri" w:cs="Calibri"/>
        </w:rPr>
        <w:t>HAoECs</w:t>
      </w:r>
      <w:proofErr w:type="spellEnd"/>
      <w:r w:rsidRPr="00FD610F">
        <w:rPr>
          <w:rFonts w:ascii="Calibri" w:hAnsi="Calibri" w:cs="Calibri"/>
        </w:rPr>
        <w:t xml:space="preserve"> exposed to OS </w:t>
      </w:r>
      <w:r>
        <w:rPr>
          <w:rFonts w:ascii="Calibri" w:hAnsi="Calibri" w:cs="Calibri"/>
        </w:rPr>
        <w:t xml:space="preserve">in the presence of </w:t>
      </w:r>
      <w:r w:rsidRPr="00FD610F">
        <w:rPr>
          <w:rFonts w:ascii="Calibri" w:hAnsi="Calibri" w:cs="Calibri"/>
        </w:rPr>
        <w:t>AS1842856</w:t>
      </w:r>
      <w:r>
        <w:rPr>
          <w:rFonts w:ascii="Calibri" w:hAnsi="Calibri" w:cs="Calibri"/>
        </w:rPr>
        <w:t xml:space="preserve"> or DMSO as a control. Regions highlighted in grey have been used for </w:t>
      </w:r>
      <w:proofErr w:type="gramStart"/>
      <w:r>
        <w:rPr>
          <w:rFonts w:ascii="Calibri" w:hAnsi="Calibri" w:cs="Calibri"/>
        </w:rPr>
        <w:t>testing of</w:t>
      </w:r>
      <w:proofErr w:type="gramEnd"/>
      <w:r>
        <w:rPr>
          <w:rFonts w:ascii="Calibri" w:hAnsi="Calibri" w:cs="Calibri"/>
        </w:rPr>
        <w:t xml:space="preserve"> differential accessibility in figure 5. </w:t>
      </w:r>
      <w:r>
        <w:rPr>
          <w:rFonts w:ascii="Calibri" w:hAnsi="Calibri" w:cs="Calibri"/>
          <w:b/>
          <w:bCs/>
        </w:rPr>
        <w:t>D</w:t>
      </w:r>
      <w:r>
        <w:rPr>
          <w:rFonts w:ascii="Calibri" w:hAnsi="Calibri" w:cs="Calibri"/>
        </w:rPr>
        <w:t xml:space="preserve"> </w:t>
      </w:r>
      <w:r w:rsidRPr="00FD610F">
        <w:rPr>
          <w:rFonts w:ascii="Calibri" w:hAnsi="Calibri" w:cs="Calibri"/>
        </w:rPr>
        <w:t xml:space="preserve">Genome browser view of SMAD1; SMAD2/3 CUT&amp;RUN of BMP9 stimulated </w:t>
      </w:r>
      <w:proofErr w:type="spellStart"/>
      <w:r w:rsidRPr="00FD610F">
        <w:rPr>
          <w:rFonts w:ascii="Calibri" w:hAnsi="Calibri" w:cs="Calibri"/>
        </w:rPr>
        <w:t>HAoECs</w:t>
      </w:r>
      <w:proofErr w:type="spellEnd"/>
      <w:r w:rsidRPr="00FD610F">
        <w:rPr>
          <w:rFonts w:ascii="Calibri" w:hAnsi="Calibri" w:cs="Calibri"/>
        </w:rPr>
        <w:t xml:space="preserve">, and </w:t>
      </w:r>
      <w:proofErr w:type="spellStart"/>
      <w:r w:rsidRPr="00FD610F">
        <w:rPr>
          <w:rFonts w:ascii="Calibri" w:hAnsi="Calibri" w:cs="Calibri"/>
        </w:rPr>
        <w:t>ChIP</w:t>
      </w:r>
      <w:proofErr w:type="spellEnd"/>
      <w:r w:rsidRPr="00FD610F">
        <w:rPr>
          <w:rFonts w:ascii="Calibri" w:hAnsi="Calibri" w:cs="Calibri"/>
        </w:rPr>
        <w:t xml:space="preserve">-Seq of FOXO1 and histone 3 lysine 27 acetylation (H3K27Ac) in human umbilical vein ECs (HUVECs) upon overexpression of constitutively active FOXO1 (FOXO1, H3K27Ac) or an empty control vector (H3K27Ac) (GSE128635). </w:t>
      </w:r>
    </w:p>
    <w:p w14:paraId="47C4AE35" w14:textId="77777777" w:rsidR="008E5D1E" w:rsidRDefault="008E5D1E"/>
    <w:sectPr w:rsidR="008E5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AB2"/>
    <w:rsid w:val="007053A1"/>
    <w:rsid w:val="008E5D1E"/>
    <w:rsid w:val="00B96B9C"/>
    <w:rsid w:val="00F93AB2"/>
    <w:rsid w:val="00FB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293AB"/>
  <w15:chartTrackingRefBased/>
  <w15:docId w15:val="{FF239727-3786-4B86-945C-9C46E36C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AB2"/>
    <w:pPr>
      <w:spacing w:after="160"/>
    </w:pPr>
    <w:rPr>
      <w:rFonts w:asciiTheme="minorHAnsi" w:eastAsiaTheme="minorEastAsia" w:hAnsiTheme="minorHAnsi"/>
      <w:kern w:val="2"/>
      <w:sz w:val="2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val="nl-NL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val="nl-NL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AB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kern w:val="0"/>
      <w:sz w:val="28"/>
      <w:szCs w:val="28"/>
      <w:lang w:val="nl-NL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  <w:kern w:val="0"/>
      <w:sz w:val="20"/>
      <w:lang w:val="nl-NL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AB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  <w:kern w:val="0"/>
      <w:sz w:val="20"/>
      <w:lang w:val="nl-NL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sz w:val="20"/>
      <w:lang w:val="nl-NL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sz w:val="20"/>
      <w:lang w:val="nl-NL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sz w:val="20"/>
      <w:lang w:val="nl-NL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sz w:val="20"/>
      <w:lang w:val="nl-N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AB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A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AB2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AB2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AB2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AB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AB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AB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AB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93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nl-NL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F93AB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AB2"/>
    <w:pPr>
      <w:spacing w:before="160"/>
      <w:jc w:val="center"/>
    </w:pPr>
    <w:rPr>
      <w:rFonts w:ascii="Verdana" w:eastAsiaTheme="minorHAnsi" w:hAnsi="Verdana"/>
      <w:i/>
      <w:iCs/>
      <w:color w:val="404040" w:themeColor="text1" w:themeTint="BF"/>
      <w:kern w:val="0"/>
      <w:sz w:val="20"/>
      <w:lang w:val="nl-NL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F93A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AB2"/>
    <w:pPr>
      <w:spacing w:after="0"/>
      <w:ind w:left="720"/>
      <w:contextualSpacing/>
    </w:pPr>
    <w:rPr>
      <w:rFonts w:ascii="Verdana" w:eastAsiaTheme="minorHAnsi" w:hAnsi="Verdana"/>
      <w:kern w:val="0"/>
      <w:sz w:val="20"/>
      <w:lang w:val="nl-NL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F93AB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AB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ascii="Verdana" w:eastAsiaTheme="minorHAnsi" w:hAnsi="Verdana"/>
      <w:i/>
      <w:iCs/>
      <w:color w:val="2E74B5" w:themeColor="accent1" w:themeShade="BF"/>
      <w:kern w:val="0"/>
      <w:sz w:val="20"/>
      <w:lang w:val="nl-NL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AB2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AB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648</Words>
  <Characters>3569</Characters>
  <Application>Microsoft Office Word</Application>
  <DocSecurity>0</DocSecurity>
  <Lines>29</Lines>
  <Paragraphs>8</Paragraphs>
  <ScaleCrop>false</ScaleCrop>
  <Company>Maastricht University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Mendez, Paul (CARIM)</dc:creator>
  <cp:keywords/>
  <dc:description/>
  <cp:lastModifiedBy>Mendez, Paul (CARIM)</cp:lastModifiedBy>
  <cp:revision>1</cp:revision>
  <dcterms:created xsi:type="dcterms:W3CDTF">2025-12-06T09:18:00Z</dcterms:created>
  <dcterms:modified xsi:type="dcterms:W3CDTF">2025-12-06T09:21:00Z</dcterms:modified>
</cp:coreProperties>
</file>