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1F2D8A" w14:textId="77777777" w:rsidR="00B25B89" w:rsidRDefault="004907A0">
      <w:pPr>
        <w:rPr>
          <w:b/>
          <w:bCs/>
          <w:lang w:val="en-US"/>
        </w:rPr>
      </w:pPr>
      <w:r w:rsidRPr="00BD19EE">
        <w:rPr>
          <w:b/>
          <w:bCs/>
          <w:lang w:val="en-US"/>
        </w:rPr>
        <w:t>Supplementary I</w:t>
      </w:r>
      <w:bookmarkStart w:id="0" w:name="_GoBack"/>
      <w:bookmarkEnd w:id="0"/>
      <w:r w:rsidRPr="00BD19EE">
        <w:rPr>
          <w:b/>
          <w:bCs/>
          <w:lang w:val="en-US"/>
        </w:rPr>
        <w:t>nformation</w:t>
      </w:r>
    </w:p>
    <w:p w14:paraId="01226879" w14:textId="77777777" w:rsidR="00B25B89" w:rsidRDefault="00B25B89">
      <w:pPr>
        <w:rPr>
          <w:b/>
          <w:bCs/>
          <w:lang w:val="en-US"/>
        </w:rPr>
      </w:pPr>
    </w:p>
    <w:p w14:paraId="7F0E4060" w14:textId="7C608DAA" w:rsidR="00E54919" w:rsidRPr="00E54919" w:rsidRDefault="00E54919" w:rsidP="00E54919">
      <w:pPr>
        <w:suppressLineNumbers/>
        <w:spacing w:after="0" w:line="360" w:lineRule="auto"/>
        <w:rPr>
          <w:rFonts w:ascii="Times New Roman" w:eastAsia="游明朝" w:hAnsi="Times New Roman" w:cs="Times New Roman"/>
          <w:b/>
          <w:bCs/>
          <w:kern w:val="2"/>
          <w:sz w:val="21"/>
          <w:szCs w:val="21"/>
          <w:lang w:val="en-US" w:eastAsia="ja-JP"/>
        </w:rPr>
      </w:pPr>
      <w:r w:rsidRPr="00E54919">
        <w:rPr>
          <w:rFonts w:ascii="Times New Roman" w:eastAsia="游明朝" w:hAnsi="Times New Roman" w:cs="Times New Roman"/>
          <w:b/>
          <w:bCs/>
          <w:kern w:val="2"/>
          <w:sz w:val="21"/>
          <w:szCs w:val="21"/>
          <w:lang w:val="en-US" w:eastAsia="ja-JP"/>
        </w:rPr>
        <w:t xml:space="preserve">Intravenous immunoglobulin suppresses </w:t>
      </w:r>
      <w:r w:rsidRPr="00E54919">
        <w:rPr>
          <w:rFonts w:ascii="Times New Roman" w:eastAsia="游明朝" w:hAnsi="Times New Roman" w:cs="Times New Roman"/>
          <w:b/>
          <w:sz w:val="21"/>
          <w:szCs w:val="21"/>
          <w:lang w:val="en-US" w:eastAsia="ja-JP"/>
        </w:rPr>
        <w:t>chemotherapy-induced peripheral neurotoxicity via macrophage modulation in rats and mice</w:t>
      </w:r>
    </w:p>
    <w:p w14:paraId="6DA606E1" w14:textId="77777777" w:rsidR="00B25B89" w:rsidRPr="00B25B89" w:rsidRDefault="00B25B89" w:rsidP="00B25B89">
      <w:pPr>
        <w:suppressLineNumbers/>
        <w:spacing w:after="0" w:line="360" w:lineRule="auto"/>
        <w:rPr>
          <w:rFonts w:ascii="Times New Roman" w:eastAsia="游明朝" w:hAnsi="Times New Roman" w:cs="Times New Roman"/>
          <w:b/>
          <w:kern w:val="2"/>
          <w:sz w:val="21"/>
          <w:szCs w:val="21"/>
          <w:lang w:val="en-US" w:eastAsia="ja-JP"/>
        </w:rPr>
      </w:pPr>
    </w:p>
    <w:p w14:paraId="07A44993" w14:textId="2EBE29CF" w:rsidR="00B25B89" w:rsidRPr="00B25B89" w:rsidRDefault="00B25B89" w:rsidP="00B25B89">
      <w:pPr>
        <w:widowControl w:val="0"/>
        <w:suppressLineNumbers/>
        <w:spacing w:after="0" w:line="360" w:lineRule="auto"/>
        <w:jc w:val="both"/>
        <w:rPr>
          <w:rFonts w:ascii="Times New Roman" w:eastAsia="游明朝" w:hAnsi="Times New Roman" w:cs="Times New Roman"/>
          <w:kern w:val="2"/>
          <w:sz w:val="21"/>
          <w:szCs w:val="21"/>
          <w:lang w:val="en-US" w:eastAsia="ja-JP"/>
        </w:rPr>
      </w:pPr>
      <w:r w:rsidRPr="00B25B89">
        <w:rPr>
          <w:rFonts w:ascii="Times New Roman" w:eastAsia="游明朝" w:hAnsi="Times New Roman" w:cs="Times New Roman"/>
          <w:kern w:val="2"/>
          <w:sz w:val="21"/>
          <w:szCs w:val="21"/>
          <w:lang w:val="en-US" w:eastAsia="ja-JP"/>
        </w:rPr>
        <w:t>Jun Tanaka</w:t>
      </w:r>
      <w:r w:rsidRPr="00B25B89">
        <w:rPr>
          <w:rFonts w:ascii="Times New Roman" w:eastAsia="游明朝" w:hAnsi="Times New Roman" w:cs="Times New Roman"/>
          <w:kern w:val="2"/>
          <w:sz w:val="21"/>
          <w:szCs w:val="21"/>
          <w:vertAlign w:val="superscript"/>
          <w:lang w:val="en-US" w:eastAsia="ja-JP"/>
        </w:rPr>
        <w:t>1*</w:t>
      </w:r>
      <w:r w:rsidRPr="00B25B89">
        <w:rPr>
          <w:rFonts w:ascii="Times New Roman" w:eastAsia="游明朝" w:hAnsi="Times New Roman" w:cs="Times New Roman"/>
          <w:kern w:val="2"/>
          <w:sz w:val="21"/>
          <w:szCs w:val="21"/>
          <w:lang w:val="en-US" w:eastAsia="ja-JP"/>
        </w:rPr>
        <w:t>, Masahiko Kajii</w:t>
      </w:r>
      <w:r w:rsidRPr="00B25B89">
        <w:rPr>
          <w:rFonts w:ascii="Times New Roman" w:eastAsia="游明朝" w:hAnsi="Times New Roman" w:cs="Times New Roman"/>
          <w:kern w:val="2"/>
          <w:sz w:val="21"/>
          <w:szCs w:val="21"/>
          <w:vertAlign w:val="superscript"/>
          <w:lang w:val="en-US" w:eastAsia="ja-JP"/>
        </w:rPr>
        <w:t>2</w:t>
      </w:r>
    </w:p>
    <w:p w14:paraId="44A735D6" w14:textId="5056C96F" w:rsidR="00B25B89" w:rsidRPr="00B25B89" w:rsidRDefault="00B25B89" w:rsidP="00B25B89">
      <w:pPr>
        <w:suppressLineNumbers/>
        <w:spacing w:after="0" w:line="360" w:lineRule="auto"/>
        <w:rPr>
          <w:rFonts w:ascii="Times New Roman" w:eastAsia="游明朝" w:hAnsi="Times New Roman" w:cs="Times New Roman"/>
          <w:kern w:val="2"/>
          <w:sz w:val="21"/>
          <w:szCs w:val="21"/>
          <w:lang w:val="en-US" w:eastAsia="ja-JP"/>
        </w:rPr>
      </w:pPr>
      <w:r w:rsidRPr="00DC19DB">
        <w:rPr>
          <w:rFonts w:ascii="Times New Roman" w:eastAsia="游明朝" w:hAnsi="Times New Roman" w:cs="Times New Roman"/>
          <w:kern w:val="2"/>
          <w:sz w:val="21"/>
          <w:szCs w:val="21"/>
          <w:vertAlign w:val="superscript"/>
          <w:lang w:val="en-US" w:eastAsia="ja-JP"/>
        </w:rPr>
        <w:t>1</w:t>
      </w:r>
      <w:r w:rsidRPr="00B25B89">
        <w:rPr>
          <w:rFonts w:ascii="Times New Roman" w:eastAsia="游明朝" w:hAnsi="Times New Roman" w:cs="Times New Roman"/>
          <w:kern w:val="2"/>
          <w:sz w:val="21"/>
          <w:szCs w:val="21"/>
          <w:lang w:val="en-US" w:eastAsia="ja-JP"/>
        </w:rPr>
        <w:t xml:space="preserve"> Research and Development Promotion section, Japan Blood Products Organization, Tokyo, Japan</w:t>
      </w:r>
    </w:p>
    <w:p w14:paraId="5DC93DBD" w14:textId="2C7A7BFF" w:rsidR="00B25B89" w:rsidRPr="00B25B89" w:rsidRDefault="00B25B89" w:rsidP="00B25B89">
      <w:pPr>
        <w:suppressLineNumbers/>
        <w:spacing w:after="0" w:line="360" w:lineRule="auto"/>
        <w:rPr>
          <w:rFonts w:ascii="Times New Roman" w:eastAsia="游明朝" w:hAnsi="Times New Roman" w:cs="Times New Roman"/>
          <w:b/>
          <w:kern w:val="2"/>
          <w:sz w:val="21"/>
          <w:szCs w:val="21"/>
          <w:lang w:val="en-US" w:eastAsia="ja-JP"/>
        </w:rPr>
      </w:pPr>
      <w:r w:rsidRPr="00DC19DB">
        <w:rPr>
          <w:rFonts w:ascii="Times New Roman" w:eastAsia="游明朝" w:hAnsi="Times New Roman" w:cs="Times New Roman"/>
          <w:kern w:val="2"/>
          <w:sz w:val="21"/>
          <w:szCs w:val="21"/>
          <w:vertAlign w:val="superscript"/>
          <w:lang w:val="en-US" w:eastAsia="ja-JP"/>
        </w:rPr>
        <w:t>2</w:t>
      </w:r>
      <w:r w:rsidRPr="00B25B89">
        <w:rPr>
          <w:rFonts w:ascii="Times New Roman" w:eastAsia="游明朝" w:hAnsi="Times New Roman" w:cs="Times New Roman"/>
          <w:kern w:val="2"/>
          <w:sz w:val="21"/>
          <w:szCs w:val="21"/>
          <w:lang w:val="en-US" w:eastAsia="ja-JP"/>
        </w:rPr>
        <w:t xml:space="preserve"> Central Research Laboratory, Japan Blood Products Organization, Hyogo, Japan</w:t>
      </w:r>
    </w:p>
    <w:p w14:paraId="7B55904F" w14:textId="06967A4D" w:rsidR="004907A0" w:rsidRPr="00BD19EE" w:rsidRDefault="004907A0">
      <w:pPr>
        <w:rPr>
          <w:b/>
          <w:bCs/>
          <w:lang w:val="en-US"/>
        </w:rPr>
      </w:pPr>
    </w:p>
    <w:p w14:paraId="312BEF87" w14:textId="632C1E80" w:rsidR="004907A0" w:rsidRPr="00BD19EE" w:rsidRDefault="004907A0" w:rsidP="004907A0">
      <w:pPr>
        <w:spacing w:line="360" w:lineRule="auto"/>
        <w:rPr>
          <w:rFonts w:ascii="Times New Roman" w:hAnsi="Times New Roman" w:cs="Times New Roman"/>
          <w:i/>
          <w:szCs w:val="21"/>
          <w:lang w:val="en-US"/>
        </w:rPr>
      </w:pPr>
      <w:r w:rsidRPr="00BD19EE">
        <w:rPr>
          <w:rFonts w:ascii="Times New Roman" w:hAnsi="Times New Roman" w:cs="Times New Roman"/>
          <w:i/>
          <w:szCs w:val="21"/>
          <w:lang w:val="en-US"/>
        </w:rPr>
        <w:t>Mice and Mating</w:t>
      </w:r>
    </w:p>
    <w:p w14:paraId="7D90D406" w14:textId="71F3A2DA" w:rsidR="004907A0" w:rsidRPr="00BD19EE" w:rsidRDefault="004907A0" w:rsidP="004907A0">
      <w:pPr>
        <w:pStyle w:val="Default"/>
        <w:spacing w:line="360" w:lineRule="auto"/>
        <w:ind w:firstLine="567"/>
        <w:jc w:val="both"/>
        <w:rPr>
          <w:color w:val="auto"/>
          <w:sz w:val="21"/>
          <w:szCs w:val="21"/>
        </w:rPr>
      </w:pPr>
      <w:r w:rsidRPr="00BD19EE">
        <w:rPr>
          <w:color w:val="auto"/>
          <w:sz w:val="21"/>
          <w:szCs w:val="21"/>
        </w:rPr>
        <w:t xml:space="preserve">CBA/J female and DBA/2N male mice were purchased from </w:t>
      </w:r>
      <w:r w:rsidRPr="00BD19EE">
        <w:rPr>
          <w:bCs/>
          <w:color w:val="auto"/>
          <w:sz w:val="21"/>
          <w:szCs w:val="21"/>
        </w:rPr>
        <w:t>Charles</w:t>
      </w:r>
      <w:r w:rsidRPr="00BD19EE">
        <w:rPr>
          <w:color w:val="auto"/>
          <w:sz w:val="21"/>
          <w:szCs w:val="21"/>
        </w:rPr>
        <w:t xml:space="preserve"> </w:t>
      </w:r>
      <w:r w:rsidRPr="00BD19EE">
        <w:rPr>
          <w:bCs/>
          <w:color w:val="auto"/>
          <w:sz w:val="21"/>
          <w:szCs w:val="21"/>
        </w:rPr>
        <w:t>River</w:t>
      </w:r>
      <w:r w:rsidRPr="00BD19EE">
        <w:rPr>
          <w:color w:val="auto"/>
          <w:sz w:val="21"/>
          <w:szCs w:val="21"/>
        </w:rPr>
        <w:t xml:space="preserve"> Japan, Inc. (Kanagawa, Japan). The mice were maintained under specific pathogen-free conditions and a 12</w:t>
      </w:r>
      <w:r w:rsidR="00F23D60" w:rsidRPr="00BD19EE">
        <w:rPr>
          <w:color w:val="auto"/>
          <w:sz w:val="21"/>
          <w:szCs w:val="21"/>
        </w:rPr>
        <w:t xml:space="preserve"> </w:t>
      </w:r>
      <w:r w:rsidRPr="00BD19EE">
        <w:rPr>
          <w:color w:val="auto"/>
          <w:sz w:val="21"/>
          <w:szCs w:val="21"/>
        </w:rPr>
        <w:t xml:space="preserve">h light/dark </w:t>
      </w:r>
      <w:r w:rsidR="00BD19EE" w:rsidRPr="00BD19EE">
        <w:rPr>
          <w:color w:val="auto"/>
          <w:sz w:val="21"/>
          <w:szCs w:val="21"/>
        </w:rPr>
        <w:t>cycle and</w:t>
      </w:r>
      <w:r w:rsidRPr="00BD19EE">
        <w:rPr>
          <w:color w:val="auto"/>
          <w:sz w:val="21"/>
          <w:szCs w:val="21"/>
        </w:rPr>
        <w:t xml:space="preserve"> were used at the age of 7 weeks or older. Female CBA/J mice were mated with male DBA/2N mice (two females were housed with a single male from evening to the next morning), and the presence/absence of a vaginal plug was checked every morning. The day of plug detection was defined as gestational day (gd) 0.5. </w:t>
      </w:r>
    </w:p>
    <w:p w14:paraId="3822DD0C" w14:textId="06CF085E" w:rsidR="004907A0" w:rsidRPr="00BD19EE" w:rsidRDefault="004907A0" w:rsidP="004907A0">
      <w:pPr>
        <w:pStyle w:val="Default"/>
        <w:spacing w:line="360" w:lineRule="auto"/>
        <w:jc w:val="both"/>
        <w:rPr>
          <w:color w:val="auto"/>
          <w:sz w:val="21"/>
          <w:szCs w:val="21"/>
        </w:rPr>
      </w:pPr>
    </w:p>
    <w:p w14:paraId="2C86DA5F" w14:textId="34CB1579" w:rsidR="004907A0" w:rsidRPr="00BD19EE" w:rsidRDefault="000D4432" w:rsidP="004907A0">
      <w:pPr>
        <w:pStyle w:val="Default"/>
        <w:spacing w:line="360" w:lineRule="auto"/>
        <w:jc w:val="both"/>
        <w:rPr>
          <w:i/>
          <w:color w:val="auto"/>
          <w:sz w:val="21"/>
          <w:szCs w:val="21"/>
        </w:rPr>
      </w:pPr>
      <w:r>
        <w:rPr>
          <w:i/>
          <w:color w:val="auto"/>
          <w:sz w:val="21"/>
          <w:szCs w:val="21"/>
        </w:rPr>
        <w:t>Lipopolysaccharide (</w:t>
      </w:r>
      <w:r w:rsidR="004907A0" w:rsidRPr="00BD19EE">
        <w:rPr>
          <w:i/>
          <w:color w:val="auto"/>
          <w:sz w:val="21"/>
          <w:szCs w:val="21"/>
        </w:rPr>
        <w:t>LPS</w:t>
      </w:r>
      <w:r>
        <w:rPr>
          <w:i/>
          <w:color w:val="auto"/>
          <w:sz w:val="21"/>
          <w:szCs w:val="21"/>
        </w:rPr>
        <w:t>)</w:t>
      </w:r>
      <w:r w:rsidR="004907A0" w:rsidRPr="00BD19EE">
        <w:rPr>
          <w:i/>
          <w:color w:val="auto"/>
          <w:sz w:val="21"/>
          <w:szCs w:val="21"/>
        </w:rPr>
        <w:t xml:space="preserve"> Injection and Evaluation of Abortion</w:t>
      </w:r>
    </w:p>
    <w:p w14:paraId="4C742D27" w14:textId="77777777" w:rsidR="004907A0" w:rsidRPr="00BD19EE" w:rsidRDefault="004907A0" w:rsidP="004907A0">
      <w:pPr>
        <w:spacing w:line="360" w:lineRule="auto"/>
        <w:ind w:firstLine="567"/>
        <w:rPr>
          <w:rFonts w:ascii="Times New Roman" w:hAnsi="Times New Roman" w:cs="Times New Roman"/>
          <w:szCs w:val="21"/>
          <w:lang w:val="en-US"/>
        </w:rPr>
      </w:pPr>
      <w:r w:rsidRPr="00BD19EE">
        <w:rPr>
          <w:rFonts w:ascii="Times New Roman" w:hAnsi="Times New Roman" w:cs="Times New Roman"/>
          <w:szCs w:val="21"/>
          <w:lang w:val="en-US"/>
        </w:rPr>
        <w:t xml:space="preserve">LPS from </w:t>
      </w:r>
      <w:r w:rsidRPr="00BD19EE">
        <w:rPr>
          <w:rFonts w:ascii="Times New Roman" w:hAnsi="Times New Roman" w:cs="Times New Roman"/>
          <w:i/>
          <w:szCs w:val="21"/>
          <w:lang w:val="en-US"/>
        </w:rPr>
        <w:t>Salmonella typhimurium</w:t>
      </w:r>
      <w:r w:rsidRPr="00BD19EE">
        <w:rPr>
          <w:rFonts w:ascii="Times New Roman" w:hAnsi="Times New Roman" w:cs="Times New Roman"/>
          <w:szCs w:val="21"/>
          <w:lang w:val="en-US"/>
        </w:rPr>
        <w:t xml:space="preserve"> (Sigma-Aldrich, St. Louis, MO, USA), with an abortifacient effect, was administered to pregnant mice via a single intraperitoneal injection of 0.8 μg/mouse on gd 7.5. The mice that received the same amount of saline served as controls. Abortion was evaluated on gd 13.5 by macroscopic examination. Abortion rate was calculated as follows: abortion rate (%) = (number of resorbed fetuses / [number of resorbed fetuses + viable fetuses]) × 100.</w:t>
      </w:r>
    </w:p>
    <w:p w14:paraId="1FF50551" w14:textId="77777777" w:rsidR="004907A0" w:rsidRPr="00BD19EE" w:rsidRDefault="004907A0" w:rsidP="004907A0">
      <w:pPr>
        <w:spacing w:line="360" w:lineRule="auto"/>
        <w:rPr>
          <w:rFonts w:ascii="Times New Roman" w:hAnsi="Times New Roman" w:cs="Times New Roman"/>
          <w:szCs w:val="21"/>
          <w:lang w:val="en-US"/>
        </w:rPr>
      </w:pPr>
    </w:p>
    <w:p w14:paraId="15D9A73B" w14:textId="77777777" w:rsidR="004907A0" w:rsidRPr="00BD19EE" w:rsidRDefault="004907A0" w:rsidP="004907A0">
      <w:pPr>
        <w:spacing w:line="360" w:lineRule="auto"/>
        <w:rPr>
          <w:rFonts w:ascii="Times New Roman" w:hAnsi="Times New Roman" w:cs="Times New Roman"/>
          <w:i/>
          <w:szCs w:val="21"/>
          <w:lang w:val="en-US"/>
        </w:rPr>
      </w:pPr>
      <w:r w:rsidRPr="00BD19EE">
        <w:rPr>
          <w:rFonts w:ascii="Times New Roman" w:hAnsi="Times New Roman" w:cs="Times New Roman"/>
          <w:i/>
          <w:szCs w:val="21"/>
          <w:lang w:val="en-US"/>
        </w:rPr>
        <w:t>Administration of IVIg and IgG Fragments</w:t>
      </w:r>
    </w:p>
    <w:p w14:paraId="59F13BC1" w14:textId="77777777" w:rsidR="004907A0" w:rsidRPr="00BD19EE" w:rsidRDefault="004907A0" w:rsidP="004907A0">
      <w:pPr>
        <w:spacing w:line="360" w:lineRule="auto"/>
        <w:ind w:firstLine="840"/>
        <w:rPr>
          <w:rFonts w:ascii="Times New Roman" w:hAnsi="Times New Roman" w:cs="Times New Roman"/>
          <w:szCs w:val="21"/>
          <w:lang w:val="en-US"/>
        </w:rPr>
      </w:pPr>
      <w:r w:rsidRPr="00BD19EE">
        <w:rPr>
          <w:rFonts w:ascii="Times New Roman" w:hAnsi="Times New Roman" w:cs="Times New Roman"/>
          <w:szCs w:val="21"/>
          <w:lang w:val="en-US"/>
        </w:rPr>
        <w:t>IVIg was administered on gd 7.5 at 1000 mg/kg (20 mL/kg) via a single intravenous injection to pregnant CBA/J mice that had received LPS. Pregnant mice that received the same amount of saline (20 mL/kg), instead of IVIg, served as controls.</w:t>
      </w:r>
    </w:p>
    <w:p w14:paraId="168E333B" w14:textId="77777777" w:rsidR="004907A0" w:rsidRPr="00BD19EE" w:rsidRDefault="004907A0" w:rsidP="004907A0">
      <w:pPr>
        <w:spacing w:line="360" w:lineRule="auto"/>
        <w:ind w:firstLine="840"/>
        <w:rPr>
          <w:rFonts w:ascii="Times New Roman" w:hAnsi="Times New Roman" w:cs="Times New Roman"/>
          <w:szCs w:val="21"/>
          <w:lang w:val="en-US"/>
        </w:rPr>
      </w:pPr>
    </w:p>
    <w:p w14:paraId="68502949" w14:textId="77777777" w:rsidR="004907A0" w:rsidRPr="00BD19EE" w:rsidRDefault="004907A0" w:rsidP="004907A0">
      <w:pPr>
        <w:autoSpaceDE w:val="0"/>
        <w:autoSpaceDN w:val="0"/>
        <w:adjustRightInd w:val="0"/>
        <w:spacing w:line="360" w:lineRule="auto"/>
        <w:rPr>
          <w:rFonts w:ascii="Times New Roman" w:hAnsi="Times New Roman" w:cs="Times New Roman"/>
          <w:i/>
          <w:szCs w:val="21"/>
          <w:lang w:val="en-US"/>
        </w:rPr>
      </w:pPr>
      <w:r w:rsidRPr="00BD19EE">
        <w:rPr>
          <w:rFonts w:ascii="Times New Roman" w:hAnsi="Times New Roman" w:cs="Times New Roman"/>
          <w:i/>
          <w:szCs w:val="21"/>
          <w:lang w:val="en-US"/>
        </w:rPr>
        <w:t>Depletion of macrophage</w:t>
      </w:r>
    </w:p>
    <w:p w14:paraId="664CC0F7" w14:textId="77777777" w:rsidR="004907A0" w:rsidRPr="00BD19EE" w:rsidRDefault="004907A0" w:rsidP="004907A0">
      <w:pPr>
        <w:spacing w:line="360" w:lineRule="auto"/>
        <w:rPr>
          <w:rFonts w:ascii="Times New Roman" w:hAnsi="Times New Roman" w:cs="Times New Roman"/>
          <w:szCs w:val="21"/>
          <w:lang w:val="en-US"/>
        </w:rPr>
      </w:pPr>
      <w:r w:rsidRPr="00BD19EE">
        <w:rPr>
          <w:rFonts w:ascii="Times New Roman" w:hAnsi="Times New Roman" w:cs="Times New Roman"/>
          <w:szCs w:val="21"/>
          <w:lang w:val="en-US"/>
        </w:rPr>
        <w:tab/>
        <w:t>To deplete macrophage, clodronate liposome (Hygieia Bioscience, Osaka, Japan) was administered on gd 5.5 at 5.6 mg/mouse via intravenous injection.</w:t>
      </w:r>
    </w:p>
    <w:p w14:paraId="2993AFB4" w14:textId="77777777" w:rsidR="004907A0" w:rsidRPr="00BD19EE" w:rsidRDefault="004907A0" w:rsidP="004907A0">
      <w:pPr>
        <w:spacing w:line="360" w:lineRule="auto"/>
        <w:rPr>
          <w:rFonts w:ascii="Times New Roman" w:hAnsi="Times New Roman" w:cs="Times New Roman"/>
          <w:szCs w:val="21"/>
          <w:lang w:val="en-US"/>
        </w:rPr>
      </w:pPr>
    </w:p>
    <w:p w14:paraId="21C85C6B" w14:textId="77777777" w:rsidR="004907A0" w:rsidRPr="00BD19EE" w:rsidRDefault="004907A0" w:rsidP="004907A0">
      <w:pPr>
        <w:autoSpaceDE w:val="0"/>
        <w:autoSpaceDN w:val="0"/>
        <w:adjustRightInd w:val="0"/>
        <w:spacing w:line="360" w:lineRule="auto"/>
        <w:rPr>
          <w:rFonts w:ascii="Times New Roman" w:hAnsi="Times New Roman" w:cs="Times New Roman"/>
          <w:b/>
          <w:szCs w:val="21"/>
          <w:lang w:val="en-US"/>
        </w:rPr>
      </w:pPr>
      <w:r w:rsidRPr="00BD19EE">
        <w:rPr>
          <w:rFonts w:ascii="Times New Roman" w:hAnsi="Times New Roman" w:cs="Times New Roman"/>
          <w:b/>
          <w:szCs w:val="21"/>
          <w:lang w:val="en-US"/>
        </w:rPr>
        <w:t>Supplementary Figure Legends</w:t>
      </w:r>
    </w:p>
    <w:p w14:paraId="1E8E280D" w14:textId="7386F36D" w:rsidR="004907A0" w:rsidRPr="00BD19EE" w:rsidRDefault="004907A0" w:rsidP="004907A0">
      <w:pPr>
        <w:autoSpaceDE w:val="0"/>
        <w:autoSpaceDN w:val="0"/>
        <w:adjustRightInd w:val="0"/>
        <w:spacing w:line="360" w:lineRule="auto"/>
        <w:rPr>
          <w:rFonts w:ascii="Times New Roman" w:hAnsi="Times New Roman" w:cs="Times New Roman"/>
          <w:szCs w:val="21"/>
          <w:lang w:val="en-US"/>
        </w:rPr>
      </w:pPr>
      <w:r w:rsidRPr="00BD19EE">
        <w:rPr>
          <w:rFonts w:ascii="Times New Roman" w:hAnsi="Times New Roman" w:cs="Times New Roman"/>
          <w:b/>
          <w:szCs w:val="21"/>
          <w:lang w:val="en-US"/>
        </w:rPr>
        <w:t>Supplementary Figure 1.</w:t>
      </w:r>
      <w:r w:rsidRPr="00BD19EE">
        <w:rPr>
          <w:rFonts w:ascii="Times New Roman" w:hAnsi="Times New Roman" w:cs="Times New Roman"/>
          <w:szCs w:val="21"/>
          <w:lang w:val="en-US"/>
        </w:rPr>
        <w:t xml:space="preserve"> Effect of macrophage depletion on IVIg-mediated suppression of recurrent abortion in pregnan</w:t>
      </w:r>
      <w:r w:rsidR="00715137" w:rsidRPr="00BD19EE">
        <w:rPr>
          <w:rFonts w:ascii="Times New Roman" w:hAnsi="Times New Roman" w:cs="Times New Roman"/>
          <w:szCs w:val="21"/>
          <w:lang w:val="en-US"/>
        </w:rPr>
        <w:t>t</w:t>
      </w:r>
      <w:r w:rsidRPr="00BD19EE">
        <w:rPr>
          <w:rFonts w:ascii="Times New Roman" w:hAnsi="Times New Roman" w:cs="Times New Roman"/>
          <w:szCs w:val="21"/>
          <w:lang w:val="en-US"/>
        </w:rPr>
        <w:t xml:space="preserve"> mice</w:t>
      </w:r>
    </w:p>
    <w:p w14:paraId="4EA33085" w14:textId="72FBBA6E" w:rsidR="004907A0" w:rsidRPr="00BD19EE" w:rsidRDefault="004907A0" w:rsidP="004907A0">
      <w:pPr>
        <w:autoSpaceDE w:val="0"/>
        <w:autoSpaceDN w:val="0"/>
        <w:adjustRightInd w:val="0"/>
        <w:spacing w:line="360" w:lineRule="auto"/>
        <w:rPr>
          <w:rFonts w:ascii="Times New Roman" w:hAnsi="Times New Roman" w:cs="Times New Roman"/>
          <w:szCs w:val="21"/>
          <w:lang w:val="en-US"/>
        </w:rPr>
      </w:pPr>
      <w:r w:rsidRPr="00BD19EE">
        <w:rPr>
          <w:rFonts w:ascii="Times New Roman" w:hAnsi="Times New Roman" w:cs="Times New Roman"/>
          <w:szCs w:val="21"/>
          <w:lang w:val="en-US"/>
        </w:rPr>
        <w:t xml:space="preserve">Pregnant CBA/J mice of each group were injected with LPS (0.8 μg/mouse) </w:t>
      </w:r>
      <w:r w:rsidR="00715137" w:rsidRPr="00BD19EE">
        <w:rPr>
          <w:rFonts w:ascii="Times New Roman" w:hAnsi="Times New Roman" w:cs="Times New Roman"/>
          <w:szCs w:val="21"/>
          <w:lang w:val="en-US"/>
        </w:rPr>
        <w:t xml:space="preserve">and </w:t>
      </w:r>
      <w:r w:rsidRPr="00BD19EE">
        <w:rPr>
          <w:rFonts w:ascii="Times New Roman" w:hAnsi="Times New Roman" w:cs="Times New Roman"/>
          <w:szCs w:val="21"/>
          <w:lang w:val="en-US"/>
        </w:rPr>
        <w:t xml:space="preserve">IVIg (1000 mg/kg) on </w:t>
      </w:r>
      <w:r w:rsidR="00F23D60" w:rsidRPr="00BD19EE">
        <w:rPr>
          <w:rFonts w:ascii="Times New Roman" w:hAnsi="Times New Roman" w:cs="Times New Roman"/>
          <w:szCs w:val="21"/>
          <w:lang w:val="en-US"/>
        </w:rPr>
        <w:t>g</w:t>
      </w:r>
      <w:r w:rsidRPr="00BD19EE">
        <w:rPr>
          <w:rFonts w:ascii="Times New Roman" w:hAnsi="Times New Roman" w:cs="Times New Roman"/>
          <w:szCs w:val="21"/>
          <w:lang w:val="en-US"/>
        </w:rPr>
        <w:t xml:space="preserve">estational </w:t>
      </w:r>
      <w:r w:rsidR="00F23D60" w:rsidRPr="00BD19EE">
        <w:rPr>
          <w:rFonts w:ascii="Times New Roman" w:hAnsi="Times New Roman" w:cs="Times New Roman"/>
          <w:szCs w:val="21"/>
          <w:lang w:val="en-US"/>
        </w:rPr>
        <w:t>d</w:t>
      </w:r>
      <w:r w:rsidRPr="00BD19EE">
        <w:rPr>
          <w:rFonts w:ascii="Times New Roman" w:hAnsi="Times New Roman" w:cs="Times New Roman"/>
          <w:szCs w:val="21"/>
          <w:lang w:val="en-US"/>
        </w:rPr>
        <w:t>ay (gd) 7.5. Evaluation of abortion was performed on gd 13.5 by macroscopic examination. Clodronate was injected on gd 5.5 at 5.6 mg/body via intravenous injection [data are</w:t>
      </w:r>
      <w:r w:rsidR="00F23D60" w:rsidRPr="00BD19EE">
        <w:rPr>
          <w:rFonts w:ascii="Times New Roman" w:hAnsi="Times New Roman" w:cs="Times New Roman"/>
          <w:szCs w:val="21"/>
          <w:lang w:val="en-US"/>
        </w:rPr>
        <w:t xml:space="preserve"> given as</w:t>
      </w:r>
      <w:r w:rsidRPr="00BD19EE">
        <w:rPr>
          <w:rFonts w:ascii="Times New Roman" w:hAnsi="Times New Roman" w:cs="Times New Roman"/>
          <w:szCs w:val="21"/>
          <w:lang w:val="en-US"/>
        </w:rPr>
        <w:t xml:space="preserve"> mean ± SEM (n = 4-5). </w:t>
      </w:r>
      <w:r w:rsidRPr="00BD19EE">
        <w:rPr>
          <w:rFonts w:ascii="Times New Roman" w:eastAsia="ＭＳ ゴシック" w:hAnsi="Times New Roman" w:cs="Times New Roman"/>
          <w:szCs w:val="21"/>
          <w:lang w:val="en-US"/>
        </w:rPr>
        <w:t xml:space="preserve">Results are representative of two or more independent experiments. </w:t>
      </w:r>
      <w:r w:rsidRPr="00BD19EE">
        <w:rPr>
          <w:rFonts w:ascii="Times New Roman" w:hAnsi="Times New Roman" w:cs="Times New Roman"/>
          <w:szCs w:val="21"/>
          <w:lang w:val="en-US"/>
        </w:rPr>
        <w:t>*</w:t>
      </w:r>
      <w:r w:rsidRPr="00BD19EE">
        <w:rPr>
          <w:rFonts w:ascii="Times New Roman" w:hAnsi="Times New Roman" w:cs="Times New Roman"/>
          <w:i/>
          <w:szCs w:val="21"/>
          <w:lang w:val="en-US"/>
        </w:rPr>
        <w:t>P</w:t>
      </w:r>
      <w:r w:rsidRPr="00BD19EE">
        <w:rPr>
          <w:rFonts w:ascii="Times New Roman" w:hAnsi="Times New Roman" w:cs="Times New Roman"/>
          <w:szCs w:val="21"/>
          <w:lang w:val="en-US"/>
        </w:rPr>
        <w:t xml:space="preserve"> &lt; 0.05, n.s. &gt; 0.05</w:t>
      </w:r>
      <w:r w:rsidR="00DC19DB">
        <w:rPr>
          <w:rFonts w:ascii="Times New Roman" w:hAnsi="Times New Roman" w:cs="Times New Roman"/>
          <w:szCs w:val="21"/>
          <w:lang w:val="en-US"/>
        </w:rPr>
        <w:t xml:space="preserve"> </w:t>
      </w:r>
      <w:r w:rsidR="00DC19DB" w:rsidRPr="00FB4DAC">
        <w:rPr>
          <w:rFonts w:ascii="Times New Roman" w:hAnsi="Times New Roman" w:cs="Times New Roman"/>
          <w:szCs w:val="21"/>
        </w:rPr>
        <w:t>(</w:t>
      </w:r>
      <w:r w:rsidR="00DC19DB" w:rsidRPr="00FB4DAC">
        <w:rPr>
          <w:rFonts w:ascii="Times New Roman" w:hAnsi="Times New Roman" w:cs="Times New Roman"/>
          <w:bCs/>
          <w:color w:val="000000"/>
          <w:szCs w:val="21"/>
          <w:shd w:val="clear" w:color="auto" w:fill="FFFFFF"/>
        </w:rPr>
        <w:t>two-tailed</w:t>
      </w:r>
      <w:r w:rsidR="00DC19DB" w:rsidRPr="00FB4DAC">
        <w:rPr>
          <w:rFonts w:ascii="Times New Roman" w:hAnsi="Times New Roman" w:cs="Times New Roman"/>
          <w:szCs w:val="21"/>
        </w:rPr>
        <w:t>)</w:t>
      </w:r>
      <w:r w:rsidRPr="00BD19EE">
        <w:rPr>
          <w:rFonts w:ascii="Times New Roman" w:hAnsi="Times New Roman" w:cs="Times New Roman"/>
          <w:szCs w:val="21"/>
          <w:lang w:val="en-US"/>
        </w:rPr>
        <w:t xml:space="preserve"> vs. same time in the control group (</w:t>
      </w:r>
      <w:r w:rsidRPr="00BD19EE">
        <w:rPr>
          <w:rFonts w:ascii="Times New Roman" w:hAnsi="Times New Roman" w:cs="Times New Roman"/>
          <w:szCs w:val="21"/>
          <w:lang w:val="en-US" w:bidi="en-US"/>
        </w:rPr>
        <w:t>Student’s</w:t>
      </w:r>
      <w:r w:rsidRPr="00BD19EE">
        <w:rPr>
          <w:rFonts w:ascii="Times New Roman" w:hAnsi="Times New Roman" w:cs="Times New Roman"/>
          <w:szCs w:val="21"/>
          <w:lang w:val="en-US"/>
        </w:rPr>
        <w:t xml:space="preserve"> </w:t>
      </w:r>
      <w:r w:rsidRPr="00BD19EE">
        <w:rPr>
          <w:rFonts w:ascii="Times New Roman" w:hAnsi="Times New Roman" w:cs="Times New Roman"/>
          <w:bCs/>
          <w:i/>
          <w:szCs w:val="21"/>
          <w:lang w:val="en-US"/>
        </w:rPr>
        <w:t>t</w:t>
      </w:r>
      <w:r w:rsidRPr="00BD19EE">
        <w:rPr>
          <w:rFonts w:ascii="Times New Roman" w:hAnsi="Times New Roman" w:cs="Times New Roman"/>
          <w:szCs w:val="21"/>
          <w:lang w:val="en-US"/>
        </w:rPr>
        <w:t>-</w:t>
      </w:r>
      <w:r w:rsidRPr="00BD19EE">
        <w:rPr>
          <w:rFonts w:ascii="Times New Roman" w:hAnsi="Times New Roman" w:cs="Times New Roman"/>
          <w:bCs/>
          <w:szCs w:val="21"/>
          <w:lang w:val="en-US"/>
        </w:rPr>
        <w:t>test)</w:t>
      </w:r>
      <w:r w:rsidRPr="00BD19EE">
        <w:rPr>
          <w:rFonts w:ascii="Times New Roman" w:hAnsi="Times New Roman" w:cs="Times New Roman"/>
          <w:szCs w:val="21"/>
          <w:lang w:val="en-US"/>
        </w:rPr>
        <w:t>]</w:t>
      </w:r>
    </w:p>
    <w:p w14:paraId="65894830" w14:textId="77777777" w:rsidR="004907A0" w:rsidRPr="00BD19EE" w:rsidRDefault="004907A0" w:rsidP="004907A0">
      <w:pPr>
        <w:autoSpaceDE w:val="0"/>
        <w:autoSpaceDN w:val="0"/>
        <w:adjustRightInd w:val="0"/>
        <w:spacing w:line="360" w:lineRule="auto"/>
        <w:rPr>
          <w:rFonts w:ascii="Times New Roman" w:hAnsi="Times New Roman" w:cs="Times New Roman"/>
          <w:szCs w:val="21"/>
          <w:lang w:val="en-US"/>
        </w:rPr>
      </w:pPr>
    </w:p>
    <w:p w14:paraId="5EA34C87" w14:textId="77777777" w:rsidR="004907A0" w:rsidRPr="00BD19EE" w:rsidRDefault="004907A0" w:rsidP="004907A0">
      <w:pPr>
        <w:autoSpaceDE w:val="0"/>
        <w:autoSpaceDN w:val="0"/>
        <w:adjustRightInd w:val="0"/>
        <w:spacing w:line="360" w:lineRule="auto"/>
        <w:rPr>
          <w:rFonts w:ascii="Times New Roman" w:hAnsi="Times New Roman" w:cs="Times New Roman"/>
          <w:szCs w:val="21"/>
          <w:lang w:val="en-US"/>
        </w:rPr>
      </w:pPr>
      <w:r w:rsidRPr="00BD19EE">
        <w:rPr>
          <w:rFonts w:ascii="Times New Roman" w:hAnsi="Times New Roman" w:cs="Times New Roman"/>
          <w:noProof/>
          <w:szCs w:val="21"/>
          <w:lang w:val="en-US" w:eastAsia="ja-JP"/>
        </w:rPr>
        <w:drawing>
          <wp:inline distT="0" distB="0" distL="0" distR="0" wp14:anchorId="707D9FC5" wp14:editId="1E674852">
            <wp:extent cx="3470760" cy="2852420"/>
            <wp:effectExtent l="0" t="0" r="0" b="0"/>
            <wp:docPr id="37" name="図 37"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図 37" descr="Shap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7387" cy="2898958"/>
                    </a:xfrm>
                    <a:prstGeom prst="rect">
                      <a:avLst/>
                    </a:prstGeom>
                    <a:noFill/>
                    <a:ln>
                      <a:noFill/>
                    </a:ln>
                  </pic:spPr>
                </pic:pic>
              </a:graphicData>
            </a:graphic>
          </wp:inline>
        </w:drawing>
      </w:r>
    </w:p>
    <w:p w14:paraId="39BBB0E2" w14:textId="77777777" w:rsidR="004907A0" w:rsidRPr="00BD19EE" w:rsidRDefault="004907A0" w:rsidP="004907A0">
      <w:pPr>
        <w:spacing w:line="360" w:lineRule="auto"/>
        <w:rPr>
          <w:rFonts w:ascii="Times New Roman" w:hAnsi="Times New Roman" w:cs="Times New Roman"/>
          <w:szCs w:val="21"/>
          <w:lang w:val="en-US"/>
        </w:rPr>
      </w:pPr>
    </w:p>
    <w:p w14:paraId="2EF8B61A" w14:textId="77777777" w:rsidR="004907A0" w:rsidRPr="00BD19EE" w:rsidRDefault="004907A0">
      <w:pPr>
        <w:rPr>
          <w:lang w:val="en-US"/>
        </w:rPr>
      </w:pPr>
    </w:p>
    <w:sectPr w:rsidR="004907A0" w:rsidRPr="00BD19E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942EF2A" w16cid:durableId="24A6CD98"/>
  <w16cid:commentId w16cid:paraId="059AA76E" w16cid:durableId="24A6CCE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25C666" w14:textId="77777777" w:rsidR="00E52CB5" w:rsidRDefault="00E52CB5" w:rsidP="00BD19EE">
      <w:pPr>
        <w:spacing w:after="0" w:line="240" w:lineRule="auto"/>
      </w:pPr>
      <w:r>
        <w:separator/>
      </w:r>
    </w:p>
  </w:endnote>
  <w:endnote w:type="continuationSeparator" w:id="0">
    <w:p w14:paraId="4F5A841F" w14:textId="77777777" w:rsidR="00E52CB5" w:rsidRDefault="00E52CB5" w:rsidP="00BD1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DB7263" w14:textId="77777777" w:rsidR="00BD19EE" w:rsidRDefault="00BD19EE">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58226" w14:textId="77777777" w:rsidR="00BD19EE" w:rsidRPr="00BD19EE" w:rsidRDefault="00BD19EE">
    <w:pPr>
      <w:pStyle w:val="ac"/>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8DEC49" w14:textId="77777777" w:rsidR="00BD19EE" w:rsidRPr="00BD19EE" w:rsidRDefault="00BD19EE">
    <w:pPr>
      <w:pStyle w:val="ac"/>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A59780" w14:textId="77777777" w:rsidR="00E52CB5" w:rsidRDefault="00E52CB5" w:rsidP="00BD19EE">
      <w:pPr>
        <w:spacing w:after="0" w:line="240" w:lineRule="auto"/>
      </w:pPr>
      <w:r>
        <w:separator/>
      </w:r>
    </w:p>
  </w:footnote>
  <w:footnote w:type="continuationSeparator" w:id="0">
    <w:p w14:paraId="6314681E" w14:textId="77777777" w:rsidR="00E52CB5" w:rsidRDefault="00E52CB5" w:rsidP="00BD19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362A5" w14:textId="77777777" w:rsidR="00BD19EE" w:rsidRDefault="00BD19EE">
    <w:pPr>
      <w:pStyle w:val="a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884384" w14:textId="77777777" w:rsidR="00BD19EE" w:rsidRPr="00BD19EE" w:rsidRDefault="00BD19EE">
    <w:pPr>
      <w:pStyle w:val="aa"/>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A0D1E5" w14:textId="77777777" w:rsidR="00BD19EE" w:rsidRPr="00BD19EE" w:rsidRDefault="00BD19EE">
    <w:pPr>
      <w:pStyle w:val="aa"/>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IN" w:vendorID="64" w:dllVersion="0" w:nlCheck="1" w:checkStyle="0"/>
  <w:activeWritingStyle w:appName="MSWord" w:lang="en-US" w:vendorID="64" w:dllVersion="131078" w:nlCheck="1" w:checkStyle="1"/>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7A0"/>
    <w:rsid w:val="000D4432"/>
    <w:rsid w:val="00367F2B"/>
    <w:rsid w:val="0041646A"/>
    <w:rsid w:val="00435947"/>
    <w:rsid w:val="004907A0"/>
    <w:rsid w:val="00715137"/>
    <w:rsid w:val="008061B8"/>
    <w:rsid w:val="00B25B89"/>
    <w:rsid w:val="00B86AB1"/>
    <w:rsid w:val="00BD19EE"/>
    <w:rsid w:val="00DC19DB"/>
    <w:rsid w:val="00E52CB5"/>
    <w:rsid w:val="00E54919"/>
    <w:rsid w:val="00F23D60"/>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16C40A4"/>
  <w15:chartTrackingRefBased/>
  <w15:docId w15:val="{A4B817B3-4FD7-4B7B-A140-12718063F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907A0"/>
    <w:pPr>
      <w:widowControl w:val="0"/>
      <w:autoSpaceDE w:val="0"/>
      <w:autoSpaceDN w:val="0"/>
      <w:adjustRightInd w:val="0"/>
      <w:spacing w:after="0" w:line="240" w:lineRule="auto"/>
    </w:pPr>
    <w:rPr>
      <w:rFonts w:ascii="Times New Roman" w:eastAsia="ＭＳ 明朝" w:hAnsi="Times New Roman" w:cs="Times New Roman"/>
      <w:color w:val="000000"/>
      <w:sz w:val="24"/>
      <w:szCs w:val="24"/>
      <w:lang w:val="en-US" w:eastAsia="ja-JP"/>
    </w:rPr>
  </w:style>
  <w:style w:type="character" w:styleId="a3">
    <w:name w:val="annotation reference"/>
    <w:basedOn w:val="a0"/>
    <w:uiPriority w:val="99"/>
    <w:semiHidden/>
    <w:unhideWhenUsed/>
    <w:rsid w:val="00F23D60"/>
    <w:rPr>
      <w:sz w:val="16"/>
      <w:szCs w:val="16"/>
    </w:rPr>
  </w:style>
  <w:style w:type="paragraph" w:styleId="a4">
    <w:name w:val="annotation text"/>
    <w:basedOn w:val="a"/>
    <w:link w:val="a5"/>
    <w:uiPriority w:val="99"/>
    <w:unhideWhenUsed/>
    <w:rsid w:val="00F23D60"/>
    <w:pPr>
      <w:spacing w:line="240" w:lineRule="auto"/>
    </w:pPr>
    <w:rPr>
      <w:sz w:val="20"/>
      <w:szCs w:val="20"/>
    </w:rPr>
  </w:style>
  <w:style w:type="character" w:customStyle="1" w:styleId="a5">
    <w:name w:val="コメント文字列 (文字)"/>
    <w:basedOn w:val="a0"/>
    <w:link w:val="a4"/>
    <w:uiPriority w:val="99"/>
    <w:rsid w:val="00F23D60"/>
    <w:rPr>
      <w:sz w:val="20"/>
      <w:szCs w:val="20"/>
    </w:rPr>
  </w:style>
  <w:style w:type="paragraph" w:styleId="a6">
    <w:name w:val="annotation subject"/>
    <w:basedOn w:val="a4"/>
    <w:next w:val="a4"/>
    <w:link w:val="a7"/>
    <w:uiPriority w:val="99"/>
    <w:semiHidden/>
    <w:unhideWhenUsed/>
    <w:rsid w:val="00F23D60"/>
    <w:rPr>
      <w:b/>
      <w:bCs/>
    </w:rPr>
  </w:style>
  <w:style w:type="character" w:customStyle="1" w:styleId="a7">
    <w:name w:val="コメント内容 (文字)"/>
    <w:basedOn w:val="a5"/>
    <w:link w:val="a6"/>
    <w:uiPriority w:val="99"/>
    <w:semiHidden/>
    <w:rsid w:val="00F23D60"/>
    <w:rPr>
      <w:b/>
      <w:bCs/>
      <w:sz w:val="20"/>
      <w:szCs w:val="20"/>
    </w:rPr>
  </w:style>
  <w:style w:type="paragraph" w:styleId="a8">
    <w:name w:val="Balloon Text"/>
    <w:basedOn w:val="a"/>
    <w:link w:val="a9"/>
    <w:uiPriority w:val="99"/>
    <w:semiHidden/>
    <w:unhideWhenUsed/>
    <w:rsid w:val="00715137"/>
    <w:pPr>
      <w:spacing w:after="0" w:line="240" w:lineRule="auto"/>
    </w:pPr>
    <w:rPr>
      <w:rFonts w:ascii="Segoe UI" w:hAnsi="Segoe UI" w:cs="Segoe UI"/>
      <w:sz w:val="18"/>
      <w:szCs w:val="18"/>
    </w:rPr>
  </w:style>
  <w:style w:type="character" w:customStyle="1" w:styleId="a9">
    <w:name w:val="吹き出し (文字)"/>
    <w:basedOn w:val="a0"/>
    <w:link w:val="a8"/>
    <w:uiPriority w:val="99"/>
    <w:semiHidden/>
    <w:rsid w:val="00715137"/>
    <w:rPr>
      <w:rFonts w:ascii="Segoe UI" w:hAnsi="Segoe UI" w:cs="Segoe UI"/>
      <w:sz w:val="18"/>
      <w:szCs w:val="18"/>
    </w:rPr>
  </w:style>
  <w:style w:type="paragraph" w:styleId="aa">
    <w:name w:val="header"/>
    <w:basedOn w:val="a"/>
    <w:link w:val="ab"/>
    <w:uiPriority w:val="99"/>
    <w:unhideWhenUsed/>
    <w:rsid w:val="00BD19EE"/>
    <w:pPr>
      <w:tabs>
        <w:tab w:val="center" w:pos="4680"/>
        <w:tab w:val="right" w:pos="9360"/>
      </w:tabs>
      <w:spacing w:after="0" w:line="240" w:lineRule="auto"/>
    </w:pPr>
  </w:style>
  <w:style w:type="character" w:customStyle="1" w:styleId="ab">
    <w:name w:val="ヘッダー (文字)"/>
    <w:basedOn w:val="a0"/>
    <w:link w:val="aa"/>
    <w:uiPriority w:val="99"/>
    <w:rsid w:val="00BD19EE"/>
  </w:style>
  <w:style w:type="paragraph" w:styleId="ac">
    <w:name w:val="footer"/>
    <w:basedOn w:val="a"/>
    <w:link w:val="ad"/>
    <w:uiPriority w:val="99"/>
    <w:unhideWhenUsed/>
    <w:rsid w:val="00BD19EE"/>
    <w:pPr>
      <w:tabs>
        <w:tab w:val="center" w:pos="4680"/>
        <w:tab w:val="right" w:pos="9360"/>
      </w:tabs>
      <w:spacing w:after="0" w:line="240" w:lineRule="auto"/>
    </w:pPr>
  </w:style>
  <w:style w:type="character" w:customStyle="1" w:styleId="ad">
    <w:name w:val="フッター (文字)"/>
    <w:basedOn w:val="a0"/>
    <w:link w:val="ac"/>
    <w:uiPriority w:val="99"/>
    <w:rsid w:val="00BD1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86D101E62CD144A7D0F048001BE219" ma:contentTypeVersion="12" ma:contentTypeDescription="Create a new document." ma:contentTypeScope="" ma:versionID="3fa4afdba2cafdcbf5e79ac643d41dfa">
  <xsd:schema xmlns:xsd="http://www.w3.org/2001/XMLSchema" xmlns:xs="http://www.w3.org/2001/XMLSchema" xmlns:p="http://schemas.microsoft.com/office/2006/metadata/properties" xmlns:ns3="2dd8b185-b33e-405b-9de9-efaf2b0fedad" xmlns:ns4="50c73e66-e3b6-4cdd-9475-707051dc9166" targetNamespace="http://schemas.microsoft.com/office/2006/metadata/properties" ma:root="true" ma:fieldsID="13aac42cf4ac8578a81d7037b9f0da65" ns3:_="" ns4:_="">
    <xsd:import namespace="2dd8b185-b33e-405b-9de9-efaf2b0fedad"/>
    <xsd:import namespace="50c73e66-e3b6-4cdd-9475-707051dc916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d8b185-b33e-405b-9de9-efaf2b0fed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c73e66-e3b6-4cdd-9475-707051dc916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4ED6FB-B54A-4E16-8FA7-144A3656951D}">
  <ds:schemaRefs>
    <ds:schemaRef ds:uri="http://schemas.microsoft.com/sharepoint/v3/contenttype/forms"/>
  </ds:schemaRefs>
</ds:datastoreItem>
</file>

<file path=customXml/itemProps2.xml><?xml version="1.0" encoding="utf-8"?>
<ds:datastoreItem xmlns:ds="http://schemas.openxmlformats.org/officeDocument/2006/customXml" ds:itemID="{63945F21-2A76-4C05-9BE8-8735CF58DA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d8b185-b33e-405b-9de9-efaf2b0fedad"/>
    <ds:schemaRef ds:uri="50c73e66-e3b6-4cdd-9475-707051dc91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C17A9A-FA39-40EE-A7DD-A5D251E685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374</Words>
  <Characters>2133</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田中　純</cp:lastModifiedBy>
  <cp:revision>2</cp:revision>
  <dcterms:created xsi:type="dcterms:W3CDTF">2021-08-22T01:27:00Z</dcterms:created>
  <dcterms:modified xsi:type="dcterms:W3CDTF">2021-08-22T01:27:00Z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0x0101008E86D101E62CD144A7D0F048001BE219</vt:lpwstr>
  </property>
</Properties>
</file>