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4D139B" w14:textId="77777777" w:rsidR="00B522D5" w:rsidRPr="00E514BF" w:rsidRDefault="00B522D5" w:rsidP="00B522D5">
      <w:pPr>
        <w:spacing w:before="240" w:after="240" w:line="480" w:lineRule="auto"/>
        <w:jc w:val="both"/>
        <w:rPr>
          <w:rFonts w:eastAsia="Times New Roman" w:cstheme="minorHAnsi"/>
          <w:b/>
          <w:sz w:val="32"/>
          <w:szCs w:val="32"/>
          <w:lang w:val="en-US"/>
        </w:rPr>
      </w:pPr>
      <w:r w:rsidRPr="00E514BF">
        <w:rPr>
          <w:rFonts w:eastAsia="Times New Roman" w:cstheme="minorHAnsi"/>
          <w:b/>
          <w:sz w:val="32"/>
          <w:szCs w:val="32"/>
          <w:lang w:val="en-US"/>
        </w:rPr>
        <w:t>The role of ADAMTS2 in schizophrenia: Validation in a novel transgenic mouse model</w:t>
      </w:r>
    </w:p>
    <w:p w14:paraId="51F5E6D7" w14:textId="77777777" w:rsidR="00B522D5" w:rsidRPr="00E55217" w:rsidRDefault="00B522D5" w:rsidP="00B522D5">
      <w:pPr>
        <w:spacing w:before="240" w:after="240" w:line="240" w:lineRule="auto"/>
        <w:jc w:val="both"/>
        <w:rPr>
          <w:rFonts w:eastAsia="Times New Roman" w:cstheme="minorHAnsi"/>
          <w:b/>
          <w:sz w:val="24"/>
          <w:szCs w:val="24"/>
          <w:vertAlign w:val="superscript"/>
        </w:rPr>
      </w:pPr>
      <w:r w:rsidRPr="00E55217">
        <w:rPr>
          <w:rFonts w:eastAsia="Times New Roman" w:cstheme="minorHAnsi"/>
          <w:b/>
          <w:sz w:val="24"/>
          <w:szCs w:val="24"/>
        </w:rPr>
        <w:t xml:space="preserve">Celia Martín-Cuevas </w:t>
      </w:r>
      <w:r w:rsidRPr="00E55217">
        <w:rPr>
          <w:rFonts w:eastAsia="Times New Roman" w:cstheme="minorHAnsi"/>
          <w:b/>
          <w:sz w:val="24"/>
          <w:szCs w:val="24"/>
          <w:vertAlign w:val="superscript"/>
        </w:rPr>
        <w:t xml:space="preserve">a,b </w:t>
      </w:r>
      <w:r w:rsidRPr="00E55217">
        <w:rPr>
          <w:rFonts w:eastAsia="Times New Roman" w:cstheme="minorHAnsi"/>
          <w:b/>
          <w:sz w:val="24"/>
          <w:szCs w:val="24"/>
        </w:rPr>
        <w:t>, Álvaro Flores-Martínez</w:t>
      </w:r>
      <w:r w:rsidRPr="00E55217">
        <w:rPr>
          <w:rFonts w:eastAsia="Times New Roman" w:cstheme="minorHAnsi"/>
          <w:b/>
          <w:sz w:val="24"/>
          <w:szCs w:val="24"/>
          <w:vertAlign w:val="superscript"/>
        </w:rPr>
        <w:t xml:space="preserve"> a </w:t>
      </w:r>
      <w:r w:rsidRPr="00E55217">
        <w:rPr>
          <w:rFonts w:eastAsia="Times New Roman" w:cstheme="minorHAnsi"/>
          <w:b/>
          <w:sz w:val="24"/>
          <w:szCs w:val="24"/>
        </w:rPr>
        <w:t>, Víctor Darío Ramos-Herrero</w:t>
      </w:r>
      <w:r w:rsidRPr="00E55217">
        <w:rPr>
          <w:rFonts w:eastAsia="Times New Roman" w:cstheme="minorHAnsi"/>
          <w:b/>
          <w:sz w:val="24"/>
          <w:szCs w:val="24"/>
          <w:vertAlign w:val="superscript"/>
        </w:rPr>
        <w:t xml:space="preserve"> a </w:t>
      </w:r>
      <w:r w:rsidRPr="00E55217">
        <w:rPr>
          <w:rFonts w:eastAsia="Times New Roman" w:cstheme="minorHAnsi"/>
          <w:b/>
          <w:sz w:val="24"/>
          <w:szCs w:val="24"/>
        </w:rPr>
        <w:t>, Amanda Moreno-Mellado</w:t>
      </w:r>
      <w:r w:rsidRPr="00E55217">
        <w:rPr>
          <w:rFonts w:eastAsia="Times New Roman" w:cstheme="minorHAnsi"/>
          <w:b/>
          <w:sz w:val="24"/>
          <w:szCs w:val="24"/>
          <w:vertAlign w:val="superscript"/>
        </w:rPr>
        <w:t xml:space="preserve"> a</w:t>
      </w:r>
      <w:r w:rsidRPr="00E55217">
        <w:rPr>
          <w:rFonts w:eastAsia="Times New Roman" w:cstheme="minorHAnsi"/>
          <w:b/>
          <w:sz w:val="24"/>
          <w:szCs w:val="24"/>
        </w:rPr>
        <w:t xml:space="preserve"> , Benedicto Crespo-Facorro </w:t>
      </w:r>
      <w:r w:rsidRPr="00E55217">
        <w:rPr>
          <w:rFonts w:eastAsia="Times New Roman" w:cstheme="minorHAnsi"/>
          <w:b/>
          <w:sz w:val="24"/>
          <w:szCs w:val="24"/>
          <w:vertAlign w:val="superscript"/>
        </w:rPr>
        <w:t>a,b,c 2 *</w:t>
      </w:r>
      <w:r w:rsidRPr="00E55217">
        <w:rPr>
          <w:rFonts w:eastAsia="Times New Roman" w:cstheme="minorHAnsi"/>
          <w:b/>
          <w:sz w:val="24"/>
          <w:szCs w:val="24"/>
        </w:rPr>
        <w:t xml:space="preserve">, Ana C. Sánchez-Hidalgo </w:t>
      </w:r>
      <w:r w:rsidRPr="00E55217">
        <w:rPr>
          <w:rFonts w:eastAsia="Times New Roman" w:cstheme="minorHAnsi"/>
          <w:b/>
          <w:sz w:val="24"/>
          <w:szCs w:val="24"/>
          <w:vertAlign w:val="superscript"/>
        </w:rPr>
        <w:t>a,b 2</w:t>
      </w:r>
    </w:p>
    <w:p w14:paraId="041142B5" w14:textId="3B05E2D9" w:rsidR="003A50B2" w:rsidRPr="00E55217" w:rsidRDefault="003A50B2" w:rsidP="00FC0FA0">
      <w:pPr>
        <w:spacing w:line="480" w:lineRule="auto"/>
        <w:rPr>
          <w:rFonts w:cstheme="minorHAnsi"/>
          <w:b/>
          <w:sz w:val="24"/>
          <w:szCs w:val="24"/>
          <w:lang w:val="en-US"/>
        </w:rPr>
      </w:pPr>
      <w:r w:rsidRPr="00E55217">
        <w:rPr>
          <w:rFonts w:cstheme="minorHAnsi"/>
          <w:b/>
          <w:sz w:val="24"/>
          <w:szCs w:val="24"/>
          <w:lang w:val="en-US"/>
        </w:rPr>
        <w:t>Supplementary material</w:t>
      </w:r>
    </w:p>
    <w:p w14:paraId="7AD95E46" w14:textId="2926869C" w:rsidR="00B8488F" w:rsidRPr="00B8488F" w:rsidRDefault="00B8488F" w:rsidP="00B8488F">
      <w:pPr>
        <w:spacing w:before="240" w:after="240" w:line="480" w:lineRule="auto"/>
        <w:jc w:val="both"/>
        <w:rPr>
          <w:rFonts w:eastAsia="Times New Roman" w:cstheme="minorHAnsi"/>
          <w:b/>
          <w:sz w:val="24"/>
          <w:szCs w:val="24"/>
          <w:lang w:val="en-US"/>
        </w:rPr>
      </w:pPr>
      <w:r w:rsidRPr="00461DED">
        <w:rPr>
          <w:rFonts w:eastAsia="Times New Roman" w:cstheme="minorHAnsi"/>
          <w:b/>
          <w:sz w:val="24"/>
          <w:szCs w:val="24"/>
          <w:lang w:val="en-US"/>
        </w:rPr>
        <w:t xml:space="preserve">Table S1. </w:t>
      </w:r>
      <w:r w:rsidRPr="00B8488F">
        <w:rPr>
          <w:rFonts w:eastAsia="Times New Roman" w:cstheme="minorHAnsi"/>
          <w:b/>
          <w:sz w:val="24"/>
          <w:szCs w:val="24"/>
          <w:lang w:val="en-US"/>
        </w:rPr>
        <w:t>Oligonucleotide Sequences Used for Transgenic</w:t>
      </w:r>
      <w:r w:rsidR="00E578FB">
        <w:rPr>
          <w:rFonts w:eastAsia="Times New Roman" w:cstheme="minorHAnsi"/>
          <w:b/>
          <w:sz w:val="24"/>
          <w:szCs w:val="24"/>
          <w:lang w:val="en-US"/>
        </w:rPr>
        <w:t xml:space="preserve"> </w:t>
      </w:r>
      <w:r w:rsidRPr="00B8488F">
        <w:rPr>
          <w:rFonts w:eastAsia="Times New Roman" w:cstheme="minorHAnsi"/>
          <w:b/>
          <w:sz w:val="24"/>
          <w:szCs w:val="24"/>
          <w:lang w:val="en-US"/>
        </w:rPr>
        <w:t>Mouse Line Genotyping</w:t>
      </w:r>
    </w:p>
    <w:tbl>
      <w:tblPr>
        <w:tblStyle w:val="Tablaconcuadrcula"/>
        <w:tblW w:w="8225" w:type="dxa"/>
        <w:tblLook w:val="04A0" w:firstRow="1" w:lastRow="0" w:firstColumn="1" w:lastColumn="0" w:noHBand="0" w:noVBand="1"/>
      </w:tblPr>
      <w:tblGrid>
        <w:gridCol w:w="2164"/>
        <w:gridCol w:w="1655"/>
        <w:gridCol w:w="4406"/>
      </w:tblGrid>
      <w:tr w:rsidR="00B8488F" w:rsidRPr="004B7BF6" w14:paraId="34920C59" w14:textId="77777777" w:rsidTr="00B8488F">
        <w:tc>
          <w:tcPr>
            <w:tcW w:w="2164" w:type="dxa"/>
          </w:tcPr>
          <w:p w14:paraId="0A6C80DB" w14:textId="476FD86C" w:rsidR="00B8488F" w:rsidRPr="004B7BF6" w:rsidRDefault="00B8488F" w:rsidP="006147BB">
            <w:pPr>
              <w:spacing w:line="276" w:lineRule="auto"/>
              <w:jc w:val="center"/>
              <w:rPr>
                <w:rFonts w:cstheme="minorHAnsi"/>
                <w:b/>
                <w:sz w:val="24"/>
                <w:szCs w:val="24"/>
              </w:rPr>
            </w:pPr>
            <w:r>
              <w:rPr>
                <w:rFonts w:cstheme="minorHAnsi"/>
                <w:b/>
                <w:sz w:val="24"/>
                <w:szCs w:val="24"/>
              </w:rPr>
              <w:t>Primer</w:t>
            </w:r>
          </w:p>
        </w:tc>
        <w:tc>
          <w:tcPr>
            <w:tcW w:w="1655" w:type="dxa"/>
          </w:tcPr>
          <w:p w14:paraId="7F980362" w14:textId="1F0DD1AE" w:rsidR="00B8488F" w:rsidRPr="004B7BF6" w:rsidRDefault="00B8488F" w:rsidP="006147BB">
            <w:pPr>
              <w:spacing w:line="276" w:lineRule="auto"/>
              <w:jc w:val="center"/>
              <w:rPr>
                <w:rFonts w:cstheme="minorHAnsi"/>
                <w:b/>
                <w:sz w:val="24"/>
                <w:szCs w:val="24"/>
              </w:rPr>
            </w:pPr>
            <w:r>
              <w:rPr>
                <w:rFonts w:cstheme="minorHAnsi"/>
                <w:b/>
                <w:sz w:val="24"/>
                <w:szCs w:val="24"/>
              </w:rPr>
              <w:t>Hibridation temperature</w:t>
            </w:r>
          </w:p>
        </w:tc>
        <w:tc>
          <w:tcPr>
            <w:tcW w:w="4406" w:type="dxa"/>
          </w:tcPr>
          <w:p w14:paraId="05C6BECA" w14:textId="584FD97D" w:rsidR="00B8488F" w:rsidRPr="004B7BF6" w:rsidRDefault="00B8488F" w:rsidP="006147BB">
            <w:pPr>
              <w:spacing w:line="276" w:lineRule="auto"/>
              <w:jc w:val="center"/>
              <w:rPr>
                <w:rFonts w:cstheme="minorHAnsi"/>
                <w:b/>
                <w:sz w:val="24"/>
                <w:szCs w:val="24"/>
              </w:rPr>
            </w:pPr>
            <w:r>
              <w:rPr>
                <w:rFonts w:cstheme="minorHAnsi"/>
                <w:b/>
                <w:sz w:val="24"/>
                <w:szCs w:val="24"/>
              </w:rPr>
              <w:t>Sequence</w:t>
            </w:r>
          </w:p>
        </w:tc>
      </w:tr>
      <w:tr w:rsidR="00B8488F" w:rsidRPr="004B7BF6" w14:paraId="5BA752BA" w14:textId="77777777" w:rsidTr="00B8488F">
        <w:tc>
          <w:tcPr>
            <w:tcW w:w="2164" w:type="dxa"/>
          </w:tcPr>
          <w:p w14:paraId="61F07850" w14:textId="77777777" w:rsidR="00B8488F" w:rsidRPr="004B7BF6" w:rsidRDefault="00B8488F" w:rsidP="006147BB">
            <w:pPr>
              <w:spacing w:line="276" w:lineRule="auto"/>
              <w:ind w:left="284"/>
              <w:jc w:val="center"/>
              <w:rPr>
                <w:rFonts w:cstheme="minorHAnsi"/>
                <w:b/>
                <w:sz w:val="24"/>
                <w:szCs w:val="24"/>
              </w:rPr>
            </w:pPr>
            <w:r w:rsidRPr="004B7BF6">
              <w:rPr>
                <w:rFonts w:cstheme="minorHAnsi"/>
                <w:b/>
                <w:sz w:val="24"/>
                <w:szCs w:val="24"/>
              </w:rPr>
              <w:t>Rosa26 Fw</w:t>
            </w:r>
          </w:p>
        </w:tc>
        <w:tc>
          <w:tcPr>
            <w:tcW w:w="1655" w:type="dxa"/>
          </w:tcPr>
          <w:p w14:paraId="614487ED" w14:textId="77777777" w:rsidR="00B8488F" w:rsidRPr="004B7BF6" w:rsidRDefault="00B8488F" w:rsidP="006147BB">
            <w:pPr>
              <w:spacing w:line="276" w:lineRule="auto"/>
              <w:ind w:left="284"/>
              <w:jc w:val="center"/>
              <w:rPr>
                <w:rFonts w:cstheme="minorHAnsi"/>
                <w:sz w:val="24"/>
                <w:szCs w:val="24"/>
              </w:rPr>
            </w:pPr>
            <w:r>
              <w:rPr>
                <w:rFonts w:cstheme="minorHAnsi"/>
                <w:sz w:val="24"/>
                <w:szCs w:val="24"/>
              </w:rPr>
              <w:t xml:space="preserve">60 </w:t>
            </w:r>
            <w:r w:rsidRPr="00C11760">
              <w:rPr>
                <w:rFonts w:cstheme="minorHAnsi"/>
                <w:sz w:val="24"/>
                <w:szCs w:val="24"/>
              </w:rPr>
              <w:t>°C</w:t>
            </w:r>
          </w:p>
        </w:tc>
        <w:tc>
          <w:tcPr>
            <w:tcW w:w="4406" w:type="dxa"/>
          </w:tcPr>
          <w:p w14:paraId="1D1F7A66" w14:textId="77777777" w:rsidR="00B8488F" w:rsidRPr="004B7BF6" w:rsidRDefault="00B8488F" w:rsidP="006147BB">
            <w:pPr>
              <w:spacing w:line="276" w:lineRule="auto"/>
              <w:ind w:left="284"/>
              <w:jc w:val="center"/>
              <w:rPr>
                <w:rFonts w:cstheme="minorHAnsi"/>
                <w:sz w:val="24"/>
                <w:szCs w:val="24"/>
              </w:rPr>
            </w:pPr>
            <w:r w:rsidRPr="004B7BF6">
              <w:rPr>
                <w:rFonts w:cstheme="minorHAnsi"/>
                <w:sz w:val="24"/>
                <w:szCs w:val="24"/>
              </w:rPr>
              <w:t>5’-AAAGTCGCTCTGAGTTGTTAT-3’</w:t>
            </w:r>
          </w:p>
        </w:tc>
      </w:tr>
      <w:tr w:rsidR="00B8488F" w:rsidRPr="004B7BF6" w14:paraId="0CB34065" w14:textId="77777777" w:rsidTr="00B8488F">
        <w:tc>
          <w:tcPr>
            <w:tcW w:w="2164" w:type="dxa"/>
          </w:tcPr>
          <w:p w14:paraId="3D1D81D6" w14:textId="77777777" w:rsidR="00B8488F" w:rsidRPr="004B7BF6" w:rsidRDefault="00B8488F" w:rsidP="006147BB">
            <w:pPr>
              <w:spacing w:line="276" w:lineRule="auto"/>
              <w:ind w:left="284" w:right="34"/>
              <w:jc w:val="center"/>
              <w:rPr>
                <w:rFonts w:cstheme="minorHAnsi"/>
                <w:b/>
                <w:sz w:val="24"/>
                <w:szCs w:val="24"/>
              </w:rPr>
            </w:pPr>
            <w:r w:rsidRPr="004B7BF6">
              <w:rPr>
                <w:rFonts w:cstheme="minorHAnsi"/>
                <w:b/>
                <w:sz w:val="24"/>
                <w:szCs w:val="24"/>
              </w:rPr>
              <w:t>Rosa26 Rv 1</w:t>
            </w:r>
          </w:p>
        </w:tc>
        <w:tc>
          <w:tcPr>
            <w:tcW w:w="1655" w:type="dxa"/>
          </w:tcPr>
          <w:p w14:paraId="300AC789" w14:textId="77777777" w:rsidR="00B8488F" w:rsidRPr="004B7BF6" w:rsidRDefault="00B8488F" w:rsidP="006147BB">
            <w:pPr>
              <w:spacing w:line="276" w:lineRule="auto"/>
              <w:ind w:left="284"/>
              <w:jc w:val="center"/>
              <w:rPr>
                <w:rFonts w:cstheme="minorHAnsi"/>
                <w:sz w:val="24"/>
                <w:szCs w:val="24"/>
              </w:rPr>
            </w:pPr>
            <w:r>
              <w:rPr>
                <w:rFonts w:cstheme="minorHAnsi"/>
                <w:sz w:val="24"/>
                <w:szCs w:val="24"/>
              </w:rPr>
              <w:t xml:space="preserve">60 </w:t>
            </w:r>
            <w:r w:rsidRPr="00C11760">
              <w:rPr>
                <w:rFonts w:cstheme="minorHAnsi"/>
                <w:sz w:val="24"/>
                <w:szCs w:val="24"/>
              </w:rPr>
              <w:t>°C</w:t>
            </w:r>
          </w:p>
        </w:tc>
        <w:tc>
          <w:tcPr>
            <w:tcW w:w="4406" w:type="dxa"/>
          </w:tcPr>
          <w:p w14:paraId="28958F9D" w14:textId="77777777" w:rsidR="00B8488F" w:rsidRPr="004B7BF6" w:rsidRDefault="00B8488F" w:rsidP="006147BB">
            <w:pPr>
              <w:spacing w:line="276" w:lineRule="auto"/>
              <w:ind w:left="284"/>
              <w:jc w:val="center"/>
              <w:rPr>
                <w:rFonts w:cstheme="minorHAnsi"/>
                <w:sz w:val="24"/>
                <w:szCs w:val="24"/>
              </w:rPr>
            </w:pPr>
            <w:r w:rsidRPr="004B7BF6">
              <w:rPr>
                <w:rFonts w:cstheme="minorHAnsi"/>
                <w:sz w:val="24"/>
                <w:szCs w:val="24"/>
              </w:rPr>
              <w:t>5’-GGAGCGGGAGAAATGGATATG-3’</w:t>
            </w:r>
          </w:p>
        </w:tc>
      </w:tr>
      <w:tr w:rsidR="00B8488F" w:rsidRPr="004B7BF6" w14:paraId="56202CA2" w14:textId="77777777" w:rsidTr="00B8488F">
        <w:tc>
          <w:tcPr>
            <w:tcW w:w="2164" w:type="dxa"/>
          </w:tcPr>
          <w:p w14:paraId="53BA2BAC" w14:textId="77777777" w:rsidR="00B8488F" w:rsidRPr="004B7BF6" w:rsidRDefault="00B8488F" w:rsidP="006147BB">
            <w:pPr>
              <w:spacing w:line="276" w:lineRule="auto"/>
              <w:ind w:left="284"/>
              <w:jc w:val="center"/>
              <w:rPr>
                <w:rFonts w:cstheme="minorHAnsi"/>
                <w:b/>
                <w:sz w:val="24"/>
                <w:szCs w:val="24"/>
              </w:rPr>
            </w:pPr>
            <w:r w:rsidRPr="004B7BF6">
              <w:rPr>
                <w:rFonts w:cstheme="minorHAnsi"/>
                <w:b/>
                <w:sz w:val="24"/>
                <w:szCs w:val="24"/>
              </w:rPr>
              <w:t>Rosa26 R</w:t>
            </w:r>
            <w:r>
              <w:rPr>
                <w:rFonts w:cstheme="minorHAnsi"/>
                <w:b/>
                <w:sz w:val="24"/>
                <w:szCs w:val="24"/>
              </w:rPr>
              <w:t>v</w:t>
            </w:r>
            <w:r w:rsidRPr="004B7BF6">
              <w:rPr>
                <w:rFonts w:cstheme="minorHAnsi"/>
                <w:b/>
                <w:sz w:val="24"/>
                <w:szCs w:val="24"/>
              </w:rPr>
              <w:t xml:space="preserve"> 2</w:t>
            </w:r>
          </w:p>
        </w:tc>
        <w:tc>
          <w:tcPr>
            <w:tcW w:w="1655" w:type="dxa"/>
          </w:tcPr>
          <w:p w14:paraId="282A3C2E" w14:textId="77777777" w:rsidR="00B8488F" w:rsidRPr="004B7BF6" w:rsidRDefault="00B8488F" w:rsidP="006147BB">
            <w:pPr>
              <w:spacing w:line="276" w:lineRule="auto"/>
              <w:ind w:left="284"/>
              <w:jc w:val="center"/>
              <w:rPr>
                <w:rFonts w:cstheme="minorHAnsi"/>
                <w:sz w:val="24"/>
                <w:szCs w:val="24"/>
              </w:rPr>
            </w:pPr>
            <w:r>
              <w:rPr>
                <w:rFonts w:cstheme="minorHAnsi"/>
                <w:sz w:val="24"/>
                <w:szCs w:val="24"/>
              </w:rPr>
              <w:t xml:space="preserve">60 </w:t>
            </w:r>
            <w:r w:rsidRPr="00C11760">
              <w:rPr>
                <w:rFonts w:cstheme="minorHAnsi"/>
                <w:sz w:val="24"/>
                <w:szCs w:val="24"/>
              </w:rPr>
              <w:t>°C</w:t>
            </w:r>
          </w:p>
        </w:tc>
        <w:tc>
          <w:tcPr>
            <w:tcW w:w="4406" w:type="dxa"/>
          </w:tcPr>
          <w:p w14:paraId="77536A41" w14:textId="77777777" w:rsidR="00B8488F" w:rsidRPr="004B7BF6" w:rsidRDefault="00B8488F" w:rsidP="006147BB">
            <w:pPr>
              <w:spacing w:line="276" w:lineRule="auto"/>
              <w:ind w:left="284"/>
              <w:jc w:val="center"/>
              <w:rPr>
                <w:rFonts w:cstheme="minorHAnsi"/>
                <w:sz w:val="24"/>
                <w:szCs w:val="24"/>
              </w:rPr>
            </w:pPr>
            <w:r w:rsidRPr="004B7BF6">
              <w:rPr>
                <w:rFonts w:cstheme="minorHAnsi"/>
                <w:sz w:val="24"/>
                <w:szCs w:val="24"/>
              </w:rPr>
              <w:t>5’-GCGAAGAGTTGGTCCTCAACC-3’</w:t>
            </w:r>
          </w:p>
        </w:tc>
      </w:tr>
    </w:tbl>
    <w:p w14:paraId="05425F4C" w14:textId="77777777" w:rsidR="00E578FB" w:rsidRDefault="00E578FB" w:rsidP="00461DED">
      <w:pPr>
        <w:spacing w:before="240" w:after="240" w:line="480" w:lineRule="auto"/>
        <w:jc w:val="both"/>
        <w:rPr>
          <w:rFonts w:eastAsia="Times New Roman" w:cstheme="minorHAnsi"/>
          <w:b/>
          <w:sz w:val="24"/>
          <w:szCs w:val="24"/>
          <w:lang w:val="en-US"/>
        </w:rPr>
      </w:pPr>
    </w:p>
    <w:p w14:paraId="704D8BC8" w14:textId="64FE279B" w:rsidR="00F24F1C" w:rsidRPr="00461DED" w:rsidRDefault="00F24F1C" w:rsidP="00461DED">
      <w:pPr>
        <w:spacing w:before="240" w:after="240" w:line="480" w:lineRule="auto"/>
        <w:jc w:val="both"/>
        <w:rPr>
          <w:rFonts w:eastAsia="Times New Roman" w:cstheme="minorHAnsi"/>
          <w:b/>
          <w:sz w:val="24"/>
          <w:szCs w:val="24"/>
          <w:lang w:val="en-US"/>
        </w:rPr>
      </w:pPr>
      <w:r w:rsidRPr="00461DED">
        <w:rPr>
          <w:rFonts w:eastAsia="Times New Roman" w:cstheme="minorHAnsi"/>
          <w:b/>
          <w:sz w:val="24"/>
          <w:szCs w:val="24"/>
          <w:lang w:val="en-US"/>
        </w:rPr>
        <w:t>Behavioral Assays</w:t>
      </w:r>
    </w:p>
    <w:p w14:paraId="681E5D14" w14:textId="1760D686" w:rsidR="00BB1EDE" w:rsidRPr="00461DED" w:rsidRDefault="00BB1EDE" w:rsidP="00461DED">
      <w:pPr>
        <w:spacing w:before="240" w:after="240" w:line="480" w:lineRule="auto"/>
        <w:ind w:firstLine="284"/>
        <w:jc w:val="both"/>
        <w:rPr>
          <w:rFonts w:eastAsia="Times New Roman" w:cstheme="minorHAnsi"/>
          <w:b/>
          <w:sz w:val="24"/>
          <w:szCs w:val="24"/>
          <w:lang w:val="en-US"/>
        </w:rPr>
      </w:pPr>
      <w:r w:rsidRPr="00461DED">
        <w:rPr>
          <w:rFonts w:eastAsia="Times New Roman" w:cstheme="minorHAnsi"/>
          <w:b/>
          <w:sz w:val="24"/>
          <w:szCs w:val="24"/>
          <w:lang w:val="en-US"/>
        </w:rPr>
        <w:t>Execution order of behavioral tests</w:t>
      </w:r>
    </w:p>
    <w:p w14:paraId="29AEE828" w14:textId="6DEABCDC" w:rsidR="00BB1EDE" w:rsidRPr="00E55217" w:rsidRDefault="00552941" w:rsidP="00BB1EDE">
      <w:pPr>
        <w:spacing w:before="240" w:after="240" w:line="480" w:lineRule="auto"/>
        <w:ind w:left="284"/>
        <w:jc w:val="both"/>
        <w:rPr>
          <w:rFonts w:eastAsia="Times New Roman" w:cstheme="minorHAnsi"/>
          <w:sz w:val="24"/>
          <w:szCs w:val="24"/>
          <w:lang w:val="en-US"/>
        </w:rPr>
      </w:pPr>
      <w:r w:rsidRPr="00E55217">
        <w:rPr>
          <w:rFonts w:eastAsia="Times New Roman" w:cstheme="minorHAnsi"/>
          <w:b/>
          <w:noProof/>
          <w:color w:val="FF0000"/>
          <w:sz w:val="24"/>
          <w:szCs w:val="24"/>
          <w:lang w:eastAsia="es-ES"/>
        </w:rPr>
        <w:drawing>
          <wp:inline distT="0" distB="0" distL="0" distR="0" wp14:anchorId="3281D4F8" wp14:editId="2390BBDC">
            <wp:extent cx="5565913" cy="1764784"/>
            <wp:effectExtent l="0" t="0" r="0" b="6985"/>
            <wp:docPr id="1" name="Imagen 1" descr="D:\Documentos\Publicaciones\2025 Generación ADAMTS2\Figuras\Excecution order behavioral tes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os\Publicaciones\2025 Generación ADAMTS2\Figuras\Excecution order behavioral tests.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68392" cy="1765570"/>
                    </a:xfrm>
                    <a:prstGeom prst="rect">
                      <a:avLst/>
                    </a:prstGeom>
                    <a:noFill/>
                    <a:ln>
                      <a:noFill/>
                    </a:ln>
                  </pic:spPr>
                </pic:pic>
              </a:graphicData>
            </a:graphic>
          </wp:inline>
        </w:drawing>
      </w:r>
      <w:r w:rsidR="00BB1EDE" w:rsidRPr="00E55217">
        <w:rPr>
          <w:rFonts w:eastAsia="Times New Roman" w:cstheme="minorHAnsi"/>
          <w:b/>
          <w:sz w:val="24"/>
          <w:szCs w:val="24"/>
          <w:lang w:val="en-US"/>
        </w:rPr>
        <w:t>Figure S</w:t>
      </w:r>
      <w:r w:rsidR="00850C10" w:rsidRPr="00E55217">
        <w:rPr>
          <w:rFonts w:eastAsia="Times New Roman" w:cstheme="minorHAnsi"/>
          <w:b/>
          <w:sz w:val="24"/>
          <w:szCs w:val="24"/>
          <w:lang w:val="en-US"/>
        </w:rPr>
        <w:t>1</w:t>
      </w:r>
      <w:r w:rsidR="00BB1EDE" w:rsidRPr="00E55217">
        <w:rPr>
          <w:rFonts w:eastAsia="Times New Roman" w:cstheme="minorHAnsi"/>
          <w:b/>
          <w:sz w:val="24"/>
          <w:szCs w:val="24"/>
          <w:lang w:val="en-US"/>
        </w:rPr>
        <w:t>.</w:t>
      </w:r>
      <w:r w:rsidR="00BB1EDE" w:rsidRPr="00E55217">
        <w:rPr>
          <w:rFonts w:eastAsia="Times New Roman" w:cstheme="minorHAnsi"/>
          <w:sz w:val="24"/>
          <w:szCs w:val="24"/>
          <w:lang w:val="en-US"/>
        </w:rPr>
        <w:t xml:space="preserve"> Execution order of behavioral tests from the least to most stressful: </w:t>
      </w:r>
      <w:r w:rsidR="00850C10" w:rsidRPr="00E55217">
        <w:rPr>
          <w:rFonts w:eastAsia="Times New Roman" w:cstheme="minorHAnsi"/>
          <w:sz w:val="24"/>
          <w:szCs w:val="24"/>
          <w:lang w:val="en-US"/>
        </w:rPr>
        <w:t xml:space="preserve">open field, novel object recognition, Y-maze, self-grooming, tube test, three-chamber, marble </w:t>
      </w:r>
      <w:r w:rsidR="00850C10" w:rsidRPr="00E55217">
        <w:rPr>
          <w:rFonts w:eastAsia="Times New Roman" w:cstheme="minorHAnsi"/>
          <w:sz w:val="24"/>
          <w:szCs w:val="24"/>
          <w:lang w:val="en-US"/>
        </w:rPr>
        <w:lastRenderedPageBreak/>
        <w:t>burying, startle reflex and prepulse inhibition, tail suspension and hotplate</w:t>
      </w:r>
      <w:r w:rsidR="00BB1EDE" w:rsidRPr="00E55217">
        <w:rPr>
          <w:rFonts w:eastAsia="Times New Roman" w:cstheme="minorHAnsi"/>
          <w:sz w:val="24"/>
          <w:szCs w:val="24"/>
          <w:lang w:val="en-US"/>
        </w:rPr>
        <w:t>. Created with Biorender.com.</w:t>
      </w:r>
    </w:p>
    <w:p w14:paraId="69F867AC" w14:textId="339AEEF0" w:rsidR="00F24F1C" w:rsidRPr="00E55217" w:rsidRDefault="00F24F1C" w:rsidP="00F24F1C">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t>Open field test</w:t>
      </w:r>
    </w:p>
    <w:p w14:paraId="3377AB6D" w14:textId="77777777" w:rsidR="0096781B" w:rsidRPr="00E55217" w:rsidRDefault="0096781B" w:rsidP="00F24F1C">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The open field test was conducted to evaluate locomotor activity and anxiety-like behavior. Mice were individually placed in a 45 × 45 cm arena for 15 minutes, and their movements were recorded and analyzed using Viewer software (Biobserve). The arena was divided into two distinct areas: a central zone (25 × 25 cm) and a peripheral zone. Parameters measured included total distance traveled and mean velocity, providing insights into general locomotion and anxiety-related behavior.</w:t>
      </w:r>
    </w:p>
    <w:p w14:paraId="28259C19" w14:textId="7075AE1B" w:rsidR="00F24F1C" w:rsidRPr="00E55217" w:rsidRDefault="00F24F1C" w:rsidP="00F24F1C">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t>Self-grooming test</w:t>
      </w:r>
    </w:p>
    <w:p w14:paraId="3286DB2B" w14:textId="77777777" w:rsidR="0096781B" w:rsidRPr="00E55217" w:rsidRDefault="0096781B" w:rsidP="00F24F1C">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The self-grooming test was conducted to evaluate stereotyped behavior. Mice were placed in a clean, bedding-free home cage for a 10-minute habituation period, followed by a 10-minute recording session. During this period, both the total duration of grooming and the number of grooming episodes were quantified, providing measures of repetitive behavior.</w:t>
      </w:r>
    </w:p>
    <w:p w14:paraId="2DA19763" w14:textId="1F9C44A1" w:rsidR="002A2462" w:rsidRPr="00E55217" w:rsidRDefault="002A2462" w:rsidP="00F24F1C">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t>Startle reflex and prepulse inhibition</w:t>
      </w:r>
      <w:r w:rsidR="006C2785">
        <w:rPr>
          <w:rFonts w:eastAsia="Times New Roman" w:cstheme="minorHAnsi"/>
          <w:b/>
          <w:sz w:val="24"/>
          <w:szCs w:val="24"/>
          <w:lang w:val="en-US"/>
        </w:rPr>
        <w:t xml:space="preserve"> (PPI)</w:t>
      </w:r>
    </w:p>
    <w:p w14:paraId="69F9E105" w14:textId="61A1D028" w:rsidR="00B04B99" w:rsidRPr="00E55217" w:rsidRDefault="00B04B99" w:rsidP="00175935">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 xml:space="preserve">The StartFear Combined system (LE0823G, Panlab Harvard Apparatus) was used to assess the startle response and prepulse inhibition (PPI), following a previously described protocol with minor modifications </w:t>
      </w:r>
      <w:r w:rsidR="00622416">
        <w:rPr>
          <w:rFonts w:eastAsia="Times New Roman" w:cstheme="minorHAnsi"/>
          <w:sz w:val="24"/>
          <w:szCs w:val="24"/>
          <w:lang w:val="en-US"/>
        </w:rPr>
        <w:fldChar w:fldCharType="begin"/>
      </w:r>
      <w:r w:rsidR="00622416">
        <w:rPr>
          <w:rFonts w:eastAsia="Times New Roman" w:cstheme="minorHAnsi"/>
          <w:sz w:val="24"/>
          <w:szCs w:val="24"/>
          <w:lang w:val="en-US"/>
        </w:rPr>
        <w:instrText xml:space="preserve"> ADDIN ZOTERO_ITEM CSL_CITATION {"citationID":"qqH49H4W","properties":{"formattedCitation":"(1)","plainCitation":"(1)","noteIndex":0},"citationItems":[{"id":797,"uris":["http://zotero.org/users/13055273/items/V2GS344M"],"itemData":{"id":797,"type":"article-journal","abstract":"There is evidence that in schizophrenia, imbalances in inflammatory and oxidative processes occur during pregnancy and in the early postnatal period, generating interest in the potential therapeutic efficacy of anti-inflammatory and antioxidant compounds. Mangiferin is a polyphenolic compound abundant in the leaves of\n              Mangifera indica L.\n              that has robust antioxidant and anti-inflammatory properties, making it a potential candidate for preventive or co-adjuvant therapy in schizophrenia. Hence, this study set-out to evaluate the effect of mango leaf extract (MLE) in a model of schizophrenia based on maternal immune activation, in which Poly I:C (4 mg/kg) is administered intravenously to pregnant rats. Young adult (postnatal day 60–70) or adolescent (postnatal day 35–49) male offspring received MLE (50 mg/kg of mangiferin) daily, and the effects of MLE in adolescence were compared to those of risperidone, assessing behavior, brain magnetic resonance imaging (MRI), and oxidative/inflammatory and antioxidant mediators in the adult offspring. MLE treatment in adulthood reversed the deficit in prepulse inhibition (PPI) but it failed to attenuate the sensitivity to amphetamine and the deficit in novel object recognition (NOR) induced. By contrast, adolescent MLE treatment prevented the sensorimotor gating deficit in the PPI test, producing an effect similar to that of risperidone. This MLE treatment also produced a reduction in grooming behavior, but it had no effect on anxiety or novel object recognition memory. MRI studies revealed that adolescent MLE administration partially counteracted the cortical shrinkage, and cerebellum and ventricle enlargement. In addition, MLE administration in adolescence reduced iNOS mediated inflammatory activation and it promoted the expression of biomarkers of compensatory antioxidant activity in the prefrontal cortex and hippocampus, as witnessed through the reduction of Keap1 and the accumulation of NRF2 and HO1. Together, these findings suggest that MLE might be an alternative therapeutic or preventive add-on strategy to improve the clinical expression of schizophrenia in adulthood, while also modifying the time course of this disease at earlier stages in populations at high-risk.","container-title":"Frontiers in Pharmacology","DOI":"10.3389/fphar.2022.886514","ISSN":"1663-9812","journalAbbreviation":"Front. Pharmacol.","language":"en","page":"886514","source":"DOI.org (Crossref)","title":"The effects of mango leaf extract during adolescence and adulthood in a rat model of schizophrenia","volume":"13","author":[{"family":"Garcia-Partida","given":"Jose Antonio"},{"family":"Torres-Sanchez","given":"Sonia"},{"family":"MacDowell","given":"Karina"},{"family":"Fernández-Ponce","given":"Maria Teresa"},{"family":"Casas","given":"Lourdes"},{"family":"Mantell","given":"Casimiro"},{"family":"Soto-Montenegro","given":"María Luisa"},{"family":"Romero-Miguel","given":"Diego"},{"family":"Lamanna-Rama","given":"Nicolás"},{"family":"Leza","given":"Juan Carlos"},{"family":"Desco","given":"Manuel"},{"family":"Berrocoso","given":"Esther"}],"issued":{"date-parts":[["2022",7,26]]}}}],"schema":"https://github.com/citation-style-language/schema/raw/master/csl-citation.json"} </w:instrText>
      </w:r>
      <w:r w:rsidR="00622416">
        <w:rPr>
          <w:rFonts w:eastAsia="Times New Roman" w:cstheme="minorHAnsi"/>
          <w:sz w:val="24"/>
          <w:szCs w:val="24"/>
          <w:lang w:val="en-US"/>
        </w:rPr>
        <w:fldChar w:fldCharType="separate"/>
      </w:r>
      <w:r w:rsidR="00622416" w:rsidRPr="00622416">
        <w:rPr>
          <w:rFonts w:ascii="Calibri" w:hAnsi="Calibri" w:cs="Calibri"/>
          <w:sz w:val="24"/>
        </w:rPr>
        <w:t>(1)</w:t>
      </w:r>
      <w:r w:rsidR="00622416">
        <w:rPr>
          <w:rFonts w:eastAsia="Times New Roman" w:cstheme="minorHAnsi"/>
          <w:sz w:val="24"/>
          <w:szCs w:val="24"/>
          <w:lang w:val="en-US"/>
        </w:rPr>
        <w:fldChar w:fldCharType="end"/>
      </w:r>
      <w:r w:rsidRPr="00E55217">
        <w:rPr>
          <w:rFonts w:eastAsia="Times New Roman" w:cstheme="minorHAnsi"/>
          <w:sz w:val="24"/>
          <w:szCs w:val="24"/>
          <w:lang w:val="en-US"/>
        </w:rPr>
        <w:t xml:space="preserve">. Data acquisition and analysis were performed using Packwin software (Panlab Harvard Apparatus). Mice were placed in a restraint device and exposed to a constant background white noise of 70 dB. The session began with a 10-minute acclimatization period, followed by five pulse-alone trials (120 dB) to establish a </w:t>
      </w:r>
      <w:r w:rsidRPr="00E55217">
        <w:rPr>
          <w:rFonts w:eastAsia="Times New Roman" w:cstheme="minorHAnsi"/>
          <w:sz w:val="24"/>
          <w:szCs w:val="24"/>
          <w:lang w:val="en-US"/>
        </w:rPr>
        <w:lastRenderedPageBreak/>
        <w:t>baseline startle response. Subsequently, mice underwent a pseudorandomized block of 50 trials, consisting of no-stimulus trials, pulse-alone trials (120 dB), and three prepulse-pulse combinations (74, 80, or 86 dB prepulse followed by a 120 dB pulse), with inter-trial intervals of 10, 15, or 20 seconds. In the final phase, animals were exposed to 25 pulses of varying intensities (0, 90, 100, 110, and 120 dB). Pulse stimuli had a duration of 40 ms, while prepulses lasted 20 ms. The percentage of PPI (%PPI) for each prepulse-pulse condition was calculated using the formula: [(mean SR to pulse-alone - mean SR to prepulse-pulse combination) / mean SR to pulse-alone] × 100.</w:t>
      </w:r>
    </w:p>
    <w:p w14:paraId="33CF2A59" w14:textId="67C3F897" w:rsidR="00B41DD9" w:rsidRPr="00E55217" w:rsidRDefault="00B41DD9" w:rsidP="00175935">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t>Marble burying test</w:t>
      </w:r>
    </w:p>
    <w:p w14:paraId="5AD2A5A9" w14:textId="08887584" w:rsidR="00BC4010" w:rsidRPr="00E55217" w:rsidRDefault="00BC4010" w:rsidP="00F24F1C">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 xml:space="preserve">The marble burying test was conducted to assess repetitive behavior and anxiety. The mouse was placed in a cage with 4 cm of bedding and 20 marbles arranged in 5 rows of 4 marbles each. The mouse's behavior was recorded from a top-down perspective, and the experimenter quantified the time spent digging over a 30-minute period. At the end of the test, the number of marbles buried was recorded. A marble was considered buried if two-thirds of its surface was covered by bedding </w:t>
      </w:r>
      <w:r w:rsidR="00622416">
        <w:rPr>
          <w:rFonts w:eastAsia="Times New Roman" w:cstheme="minorHAnsi"/>
          <w:sz w:val="24"/>
          <w:szCs w:val="24"/>
          <w:lang w:val="en-US"/>
        </w:rPr>
        <w:fldChar w:fldCharType="begin"/>
      </w:r>
      <w:r w:rsidR="00622416">
        <w:rPr>
          <w:rFonts w:eastAsia="Times New Roman" w:cstheme="minorHAnsi"/>
          <w:sz w:val="24"/>
          <w:szCs w:val="24"/>
          <w:lang w:val="en-US"/>
        </w:rPr>
        <w:instrText xml:space="preserve"> ADDIN ZOTERO_ITEM CSL_CITATION {"citationID":"IBdh60FK","properties":{"formattedCitation":"(2)","plainCitation":"(2)","noteIndex":0},"citationItems":[{"id":354,"uris":["http://zotero.org/users/13055273/items/EW5IIBDY"],"itemData":{"id":354,"type":"article-journal","abstract":"Mouse models of Autism Spectrum Disorder (ASD) have been interrogated using a variety of behavioral tests in order to understand the symptoms of ASD. However, the hallmark behaviors that are classically affected in ASD – deficits in social interaction and communication as well as the occurrence of repetitive behaviors – do not have direct murine equivalents. Thus, it is critical to identify the caveats that come with modeling a human disorder in mice. The most commonly used behavioral tests represent complex cognitive processes based on largely unknown brain circuitry. Motor impairments provide an alternative, scientifically rigorous approach to understanding ASD symptoms. Difficulties with motor coordination and learning – seen in both patients and mice – point to an involvement of the cerebellum in ASD pathology. This brain area supports types of motor learning that are conserved throughout vertebrate evolution, allowing for direct comparisons of functional abnormalities between humans with autism and ASD mouse models. Studying simple motor behaviors provides researchers with clearly interpretable results. We describe and evaluate methods used on mouse behavioral assays designed to test for social, communicative, perseverative, anxious, nociceptive, and motor learning abnormalities. We comment on the effectiveness and validity of each test based on how much information its results give, as well as its relevance to ASD, and will argue for an inclusion of cerebellum-supported motor behaviors in the phenotypic description of ASD mouse models.","container-title":"Neuroscience","DOI":"10.1016/j.neuroscience.2020.05.010","ISSN":"03064522","journalAbbreviation":"Neuroscience","language":"en","license":"https://www.elsevier.com/tdm/userlicense/1.0/","page":"303-319","source":"DOI.org (Crossref)","title":"Behavioral Tests for Mouse Models of Autism: An Argument for the Inclusion of Cerebellum-Controlled Motor Behaviors","title-short":"Behavioral Tests for Mouse Models of Autism","volume":"462","author":[{"family":"Simmons","given":"Dana H."},{"family":"Titley","given":"Heather K."},{"family":"Hansel","given":"Christian"},{"family":"Mason","given":"Peggy"}],"issued":{"date-parts":[["2021",5]]}}}],"schema":"https://github.com/citation-style-language/schema/raw/master/csl-citation.json"} </w:instrText>
      </w:r>
      <w:r w:rsidR="00622416">
        <w:rPr>
          <w:rFonts w:eastAsia="Times New Roman" w:cstheme="minorHAnsi"/>
          <w:sz w:val="24"/>
          <w:szCs w:val="24"/>
          <w:lang w:val="en-US"/>
        </w:rPr>
        <w:fldChar w:fldCharType="separate"/>
      </w:r>
      <w:r w:rsidR="00622416" w:rsidRPr="00622416">
        <w:rPr>
          <w:rFonts w:ascii="Calibri" w:hAnsi="Calibri" w:cs="Calibri"/>
          <w:sz w:val="24"/>
        </w:rPr>
        <w:t>(2)</w:t>
      </w:r>
      <w:r w:rsidR="00622416">
        <w:rPr>
          <w:rFonts w:eastAsia="Times New Roman" w:cstheme="minorHAnsi"/>
          <w:sz w:val="24"/>
          <w:szCs w:val="24"/>
          <w:lang w:val="en-US"/>
        </w:rPr>
        <w:fldChar w:fldCharType="end"/>
      </w:r>
      <w:r w:rsidRPr="00E55217">
        <w:rPr>
          <w:rFonts w:eastAsia="Times New Roman" w:cstheme="minorHAnsi"/>
          <w:sz w:val="24"/>
          <w:szCs w:val="24"/>
          <w:lang w:val="en-US"/>
        </w:rPr>
        <w:t>.</w:t>
      </w:r>
    </w:p>
    <w:p w14:paraId="71423EAD" w14:textId="1FFCF63F" w:rsidR="00F24F1C" w:rsidRPr="00E55217" w:rsidRDefault="00F24F1C" w:rsidP="00F24F1C">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t>Hotplate</w:t>
      </w:r>
      <w:r w:rsidR="006C2785">
        <w:rPr>
          <w:rFonts w:eastAsia="Times New Roman" w:cstheme="minorHAnsi"/>
          <w:b/>
          <w:sz w:val="24"/>
          <w:szCs w:val="24"/>
          <w:lang w:val="en-US"/>
        </w:rPr>
        <w:t xml:space="preserve"> test</w:t>
      </w:r>
    </w:p>
    <w:p w14:paraId="156B6DF5" w14:textId="5E4E8EFF" w:rsidR="00F24F1C" w:rsidRDefault="00B04B99" w:rsidP="00F24F1C">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The hotplate test (LE7406, Panlab Harvard Apparatus) was performed to evaluate heat sensitivity. Mice were placed on a heated surface maintained at 55 ºC, and the latency to exhibit a nocifensive response, such as jumping or paw licking, was recorded and analyzed.</w:t>
      </w:r>
    </w:p>
    <w:p w14:paraId="06D0A2CF" w14:textId="0D028E55" w:rsidR="00E578FB" w:rsidRDefault="00E578FB" w:rsidP="00F24F1C">
      <w:pPr>
        <w:spacing w:before="240" w:after="240" w:line="480" w:lineRule="auto"/>
        <w:ind w:left="284"/>
        <w:jc w:val="both"/>
        <w:rPr>
          <w:rFonts w:eastAsia="Times New Roman" w:cstheme="minorHAnsi"/>
          <w:sz w:val="24"/>
          <w:szCs w:val="24"/>
          <w:lang w:val="en-US"/>
        </w:rPr>
      </w:pPr>
    </w:p>
    <w:p w14:paraId="361B1005" w14:textId="77777777" w:rsidR="00E578FB" w:rsidRPr="00E55217" w:rsidRDefault="00E578FB" w:rsidP="00F24F1C">
      <w:pPr>
        <w:spacing w:before="240" w:after="240" w:line="480" w:lineRule="auto"/>
        <w:ind w:left="284"/>
        <w:jc w:val="both"/>
        <w:rPr>
          <w:rFonts w:eastAsia="Times New Roman" w:cstheme="minorHAnsi"/>
          <w:sz w:val="24"/>
          <w:szCs w:val="24"/>
          <w:lang w:val="en-US"/>
        </w:rPr>
      </w:pPr>
    </w:p>
    <w:p w14:paraId="55661443" w14:textId="51D6E2AD" w:rsidR="00F24F1C" w:rsidRPr="00E55217" w:rsidRDefault="00F24F1C" w:rsidP="00F24F1C">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lastRenderedPageBreak/>
        <w:t>Three-chamber test</w:t>
      </w:r>
    </w:p>
    <w:p w14:paraId="48243A63" w14:textId="60DE3576" w:rsidR="00F24F1C" w:rsidRPr="00E55217" w:rsidRDefault="009F041B" w:rsidP="00F24F1C">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The three-chamber test was conducted to assess social preference and social novelty, following previously established protocols with minor modifications (Silverman et al., 2010). The testing apparatus (LE894T, Panlab Harvard Apparatus) consisted of three interconnected compartments, each measuring 42 × 20 cm, with a total chamber size of 42 × 60 cm. The test comprised three consecutive 10-minute phases. During the initial exploration phase, mice were allowed to freely explore the arena. In the social preference phase, an unfamiliar mouse and a novel object were placed in separate cages within the side compartments. In the social novelty phase, the previously encountered familiar mouse remained in its cage, while a new, unfamiliar mouse was introduced in the opposite compartment. Interaction time with the object, the familiar mouse, and the novel mouse was quantified. The social and memory indices were calculated as follows: [(interaction time with the mouse or novel mouse - interaction time with the object or familiar mouse) / (interaction time with the mouse or novel mouse + interaction time with the object or familiar mouse)].</w:t>
      </w:r>
    </w:p>
    <w:p w14:paraId="30E0BEF5" w14:textId="73675DAF" w:rsidR="00F24F1C" w:rsidRPr="00E55217" w:rsidRDefault="00F24F1C" w:rsidP="00F24F1C">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t>Tube test</w:t>
      </w:r>
    </w:p>
    <w:p w14:paraId="390A926C" w14:textId="4742720C" w:rsidR="00F24F1C" w:rsidRDefault="009F041B" w:rsidP="00F24F1C">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The tube test was performed to assess dominance behavior. Pairs of same-sex mice from different genotypes were placed at opposite ends of a Plexiglas tube (2.6 cm in diameter) and allowed to interact for up to 2 minutes. The trial concluded when one of the mice retreated from the tube, with the remaining animal designated as the dominant individual. Each mouse underwent two trials against different opponents of the opposite genotype.</w:t>
      </w:r>
      <w:r w:rsidR="00F24F1C" w:rsidRPr="00E55217">
        <w:rPr>
          <w:rFonts w:eastAsia="Times New Roman" w:cstheme="minorHAnsi"/>
          <w:sz w:val="24"/>
          <w:szCs w:val="24"/>
          <w:lang w:val="en-US"/>
        </w:rPr>
        <w:t xml:space="preserve"> </w:t>
      </w:r>
    </w:p>
    <w:p w14:paraId="5B1E1538" w14:textId="77777777" w:rsidR="00E578FB" w:rsidRPr="00E55217" w:rsidRDefault="00E578FB" w:rsidP="00F24F1C">
      <w:pPr>
        <w:spacing w:before="240" w:after="240" w:line="480" w:lineRule="auto"/>
        <w:ind w:left="284"/>
        <w:jc w:val="both"/>
        <w:rPr>
          <w:rFonts w:eastAsia="Times New Roman" w:cstheme="minorHAnsi"/>
          <w:sz w:val="24"/>
          <w:szCs w:val="24"/>
          <w:lang w:val="en-US"/>
        </w:rPr>
      </w:pPr>
    </w:p>
    <w:p w14:paraId="67640F84" w14:textId="5CB9225D" w:rsidR="00B41DD9" w:rsidRPr="00E55217" w:rsidRDefault="00B41DD9" w:rsidP="00F24F1C">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lastRenderedPageBreak/>
        <w:t>Tail suspension test</w:t>
      </w:r>
    </w:p>
    <w:p w14:paraId="39022D5A" w14:textId="5C03CC77" w:rsidR="009F041B" w:rsidRPr="00E55217" w:rsidRDefault="002B7F78" w:rsidP="00F24F1C">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 xml:space="preserve">The tail suspension test was used to assess apathy and depressive behavior </w:t>
      </w:r>
      <w:r w:rsidR="00622416">
        <w:rPr>
          <w:rFonts w:eastAsia="Times New Roman" w:cstheme="minorHAnsi"/>
          <w:sz w:val="24"/>
          <w:szCs w:val="24"/>
          <w:lang w:val="en-US"/>
        </w:rPr>
        <w:fldChar w:fldCharType="begin"/>
      </w:r>
      <w:r w:rsidR="00622416">
        <w:rPr>
          <w:rFonts w:eastAsia="Times New Roman" w:cstheme="minorHAnsi"/>
          <w:sz w:val="24"/>
          <w:szCs w:val="24"/>
          <w:lang w:val="en-US"/>
        </w:rPr>
        <w:instrText xml:space="preserve"> ADDIN ZOTERO_ITEM CSL_CITATION {"citationID":"P5pp2tnS","properties":{"formattedCitation":"(3)","plainCitation":"(3)","noteIndex":0},"citationItems":[{"id":15,"uris":["http://zotero.org/users/13055273/items/A38VK5GN"],"itemData":{"id":15,"type":"article-journal","abstract":"The tail-suspension test is a mouse behavioral test useful in the screening of potential antidepressant drugs, and assessing of other manipulations that are expected to affect depression related behaviors. Mice are suspended by their tails with tape, in such a position that it cannot escape or hold on to nearby surfaces. During this test, typically six minutes in duration, the resulting escape oriented behaviors are quantified. The tail-suspension test is a valuable tool in drug discovery for high-throughput screening of prospective antidepressant compounds. Here, we describe the details required for implementation of this test with additional emphasis on potential problems that may occur and how to avoid them. We also offer a solution to the tail climbing behavior, a common problem that renders this test useless in some mouse strains, such as the widely used C57BL/6. Specifically, we prevent tail climbing behaviors by passing mouse tails through a small plastic cylinder prior to suspension. Finally, we detail how to manually score the behaviors that are manifested in this test.","container-title":"Journal of Visualized Experiments","DOI":"10.3791/3769","ISSN":"1940-087X","issue":"58","journalAbbreviation":"JoVE","language":"en","page":"3769","source":"DOI.org (Crossref)","title":"The Tail Suspension Test","author":[{"family":"Can","given":"Adem"},{"family":"Dao","given":"David T."},{"family":"Terrillion","given":"Chantelle E."},{"family":"Piantadosi","given":"Sean C."},{"family":"Bhat","given":"Shambhu"},{"family":"Gould","given":"Todd D."}],"issued":{"date-parts":[["2011",12,13]]}}}],"schema":"https://github.com/citation-style-language/schema/raw/master/csl-citation.json"} </w:instrText>
      </w:r>
      <w:r w:rsidR="00622416">
        <w:rPr>
          <w:rFonts w:eastAsia="Times New Roman" w:cstheme="minorHAnsi"/>
          <w:sz w:val="24"/>
          <w:szCs w:val="24"/>
          <w:lang w:val="en-US"/>
        </w:rPr>
        <w:fldChar w:fldCharType="separate"/>
      </w:r>
      <w:r w:rsidR="00622416" w:rsidRPr="00622416">
        <w:rPr>
          <w:rFonts w:ascii="Calibri" w:hAnsi="Calibri" w:cs="Calibri"/>
          <w:sz w:val="24"/>
          <w:lang w:val="en-US"/>
        </w:rPr>
        <w:t>(3)</w:t>
      </w:r>
      <w:r w:rsidR="00622416">
        <w:rPr>
          <w:rFonts w:eastAsia="Times New Roman" w:cstheme="minorHAnsi"/>
          <w:sz w:val="24"/>
          <w:szCs w:val="24"/>
          <w:lang w:val="en-US"/>
        </w:rPr>
        <w:fldChar w:fldCharType="end"/>
      </w:r>
      <w:r w:rsidRPr="00E55217">
        <w:rPr>
          <w:rFonts w:eastAsia="Times New Roman" w:cstheme="minorHAnsi"/>
          <w:sz w:val="24"/>
          <w:szCs w:val="24"/>
          <w:lang w:val="en-US"/>
        </w:rPr>
        <w:t>. The mouse was suspended by the tail for a duration of 6 minutes, and the time spent actively moving was manually quantified. Any voluntary movement of the mouse was considered as activity.</w:t>
      </w:r>
    </w:p>
    <w:p w14:paraId="65A015C5" w14:textId="314C4233" w:rsidR="00F24F1C" w:rsidRPr="00E55217" w:rsidRDefault="00F24F1C" w:rsidP="00F24F1C">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t>Novel object recognition test</w:t>
      </w:r>
    </w:p>
    <w:p w14:paraId="49700CEB" w14:textId="3DD6D960" w:rsidR="00F24F1C" w:rsidRPr="00E55217" w:rsidRDefault="009F041B" w:rsidP="00F24F1C">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Mice were introduced into an open field arena containing two identical objects and allowed to explore for 10 minutes. Following a 3-hour retention interval, one of the objects was substituted with a novel object, and mice were given an additional 10 minutes to explore. The time spent interacting with both the familiar and novel objects was recorded. The memory index was computed using the formula: [(interaction time with novel object - interaction time with familiar object) / (interaction time with novel object + interaction time with familiar object)].</w:t>
      </w:r>
    </w:p>
    <w:p w14:paraId="6AAC71DA" w14:textId="459B0FAF" w:rsidR="00F24F1C" w:rsidRPr="00E55217" w:rsidRDefault="00F24F1C" w:rsidP="00F24F1C">
      <w:pPr>
        <w:spacing w:before="240" w:after="240" w:line="480" w:lineRule="auto"/>
        <w:ind w:left="284"/>
        <w:jc w:val="both"/>
        <w:rPr>
          <w:rFonts w:eastAsia="Times New Roman" w:cstheme="minorHAnsi"/>
          <w:b/>
          <w:sz w:val="24"/>
          <w:szCs w:val="24"/>
          <w:lang w:val="en-US"/>
        </w:rPr>
      </w:pPr>
      <w:r w:rsidRPr="00E55217">
        <w:rPr>
          <w:rFonts w:eastAsia="Times New Roman" w:cstheme="minorHAnsi"/>
          <w:b/>
          <w:sz w:val="24"/>
          <w:szCs w:val="24"/>
          <w:lang w:val="en-US"/>
        </w:rPr>
        <w:t>Y-maze test</w:t>
      </w:r>
    </w:p>
    <w:p w14:paraId="7498BA45" w14:textId="467C4762" w:rsidR="00F24F1C" w:rsidRPr="00E55217" w:rsidRDefault="009F041B" w:rsidP="00F24F1C">
      <w:pPr>
        <w:spacing w:before="240" w:after="240" w:line="480" w:lineRule="auto"/>
        <w:ind w:left="284"/>
        <w:jc w:val="both"/>
        <w:rPr>
          <w:rFonts w:eastAsia="Times New Roman" w:cstheme="minorHAnsi"/>
          <w:sz w:val="24"/>
          <w:szCs w:val="24"/>
          <w:lang w:val="en-US"/>
        </w:rPr>
      </w:pPr>
      <w:r w:rsidRPr="00E55217">
        <w:rPr>
          <w:rFonts w:eastAsia="Times New Roman" w:cstheme="minorHAnsi"/>
          <w:sz w:val="24"/>
          <w:szCs w:val="24"/>
          <w:lang w:val="en-US"/>
        </w:rPr>
        <w:t>Mice were permitted to explore a Y-maze, with each arm measuring 6 x 30 cm, for a duration of 5 minutes while their movements were recorded. Spontaneous alternation behavior was subsequently analyzed using SMART software (Panlab Harvard Apparatus).</w:t>
      </w:r>
      <w:r w:rsidR="00F24F1C" w:rsidRPr="00E55217">
        <w:rPr>
          <w:rFonts w:eastAsia="Times New Roman" w:cstheme="minorHAnsi"/>
          <w:sz w:val="24"/>
          <w:szCs w:val="24"/>
          <w:lang w:val="en-US"/>
        </w:rPr>
        <w:t xml:space="preserve"> </w:t>
      </w:r>
    </w:p>
    <w:p w14:paraId="26606BBC" w14:textId="3D3AE62A" w:rsidR="008D6BBC" w:rsidRDefault="008D6BBC" w:rsidP="008D6BBC">
      <w:pPr>
        <w:pStyle w:val="Prrafodelista"/>
        <w:spacing w:before="240" w:after="240" w:line="480" w:lineRule="auto"/>
        <w:ind w:left="284"/>
        <w:jc w:val="both"/>
        <w:rPr>
          <w:rFonts w:eastAsia="Times New Roman" w:cstheme="minorHAnsi"/>
          <w:b/>
          <w:sz w:val="24"/>
          <w:szCs w:val="24"/>
          <w:lang w:val="en-US"/>
        </w:rPr>
      </w:pPr>
    </w:p>
    <w:p w14:paraId="179CAA7C" w14:textId="704506A0" w:rsidR="00CC51AF" w:rsidRDefault="00CC51AF" w:rsidP="008D6BBC">
      <w:pPr>
        <w:pStyle w:val="Prrafodelista"/>
        <w:spacing w:before="240" w:after="240" w:line="480" w:lineRule="auto"/>
        <w:ind w:left="284"/>
        <w:jc w:val="both"/>
        <w:rPr>
          <w:rFonts w:eastAsia="Times New Roman" w:cstheme="minorHAnsi"/>
          <w:b/>
          <w:sz w:val="24"/>
          <w:szCs w:val="24"/>
          <w:lang w:val="en-US"/>
        </w:rPr>
      </w:pPr>
    </w:p>
    <w:p w14:paraId="231C0F14" w14:textId="067B3BED" w:rsidR="00CC51AF" w:rsidRDefault="00CC51AF" w:rsidP="008D6BBC">
      <w:pPr>
        <w:pStyle w:val="Prrafodelista"/>
        <w:spacing w:before="240" w:after="240" w:line="480" w:lineRule="auto"/>
        <w:ind w:left="284"/>
        <w:jc w:val="both"/>
        <w:rPr>
          <w:rFonts w:eastAsia="Times New Roman" w:cstheme="minorHAnsi"/>
          <w:b/>
          <w:sz w:val="24"/>
          <w:szCs w:val="24"/>
          <w:lang w:val="en-US"/>
        </w:rPr>
      </w:pPr>
    </w:p>
    <w:p w14:paraId="40B6956A" w14:textId="378EE4B1" w:rsidR="00CC51AF" w:rsidRDefault="00CC51AF" w:rsidP="008D6BBC">
      <w:pPr>
        <w:pStyle w:val="Prrafodelista"/>
        <w:spacing w:before="240" w:after="240" w:line="480" w:lineRule="auto"/>
        <w:ind w:left="284"/>
        <w:jc w:val="both"/>
        <w:rPr>
          <w:rFonts w:eastAsia="Times New Roman" w:cstheme="minorHAnsi"/>
          <w:b/>
          <w:sz w:val="24"/>
          <w:szCs w:val="24"/>
          <w:lang w:val="en-US"/>
        </w:rPr>
      </w:pPr>
    </w:p>
    <w:p w14:paraId="132E6B37" w14:textId="3EB96BE3" w:rsidR="004C5A55" w:rsidRPr="00461DED" w:rsidRDefault="004C5A55" w:rsidP="00461DED">
      <w:pPr>
        <w:spacing w:before="240" w:after="240" w:line="480" w:lineRule="auto"/>
        <w:jc w:val="both"/>
        <w:rPr>
          <w:rFonts w:eastAsia="Times New Roman" w:cstheme="minorHAnsi"/>
          <w:b/>
          <w:sz w:val="24"/>
          <w:szCs w:val="24"/>
          <w:lang w:val="en-US"/>
        </w:rPr>
      </w:pPr>
      <w:r w:rsidRPr="00461DED">
        <w:rPr>
          <w:rFonts w:eastAsia="Times New Roman" w:cstheme="minorHAnsi"/>
          <w:b/>
          <w:sz w:val="24"/>
          <w:szCs w:val="24"/>
          <w:lang w:val="en-US"/>
        </w:rPr>
        <w:lastRenderedPageBreak/>
        <w:t>Table S</w:t>
      </w:r>
      <w:r w:rsidR="00B8488F">
        <w:rPr>
          <w:rFonts w:eastAsia="Times New Roman" w:cstheme="minorHAnsi"/>
          <w:b/>
          <w:sz w:val="24"/>
          <w:szCs w:val="24"/>
          <w:lang w:val="en-US"/>
        </w:rPr>
        <w:t>2</w:t>
      </w:r>
      <w:r w:rsidRPr="00461DED">
        <w:rPr>
          <w:rFonts w:eastAsia="Times New Roman" w:cstheme="minorHAnsi"/>
          <w:b/>
          <w:sz w:val="24"/>
          <w:szCs w:val="24"/>
          <w:lang w:val="en-US"/>
        </w:rPr>
        <w:t>. List of antibodies used in Western blot</w:t>
      </w:r>
      <w:r w:rsidR="00B03DDE" w:rsidRPr="00461DED">
        <w:rPr>
          <w:rFonts w:eastAsia="Times New Roman" w:cstheme="minorHAnsi"/>
          <w:b/>
          <w:sz w:val="24"/>
          <w:szCs w:val="24"/>
          <w:lang w:val="en-US"/>
        </w:rPr>
        <w:t xml:space="preserve"> and immunofluorescence</w:t>
      </w:r>
      <w:r w:rsidRPr="00461DED">
        <w:rPr>
          <w:rFonts w:eastAsia="Times New Roman" w:cstheme="minorHAnsi"/>
          <w:b/>
          <w:sz w:val="24"/>
          <w:szCs w:val="24"/>
          <w:lang w:val="en-US"/>
        </w:rPr>
        <w:t xml:space="preserve"> experiments</w:t>
      </w:r>
    </w:p>
    <w:tbl>
      <w:tblPr>
        <w:tblW w:w="9067"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14"/>
        <w:gridCol w:w="1380"/>
        <w:gridCol w:w="1070"/>
        <w:gridCol w:w="1609"/>
        <w:gridCol w:w="1894"/>
      </w:tblGrid>
      <w:tr w:rsidR="00CC51AF" w:rsidRPr="004C5A55" w14:paraId="17A199DD" w14:textId="77777777" w:rsidTr="00CC51AF">
        <w:trPr>
          <w:tblHeader/>
          <w:tblCellSpacing w:w="15" w:type="dxa"/>
        </w:trPr>
        <w:tc>
          <w:tcPr>
            <w:tcW w:w="3069" w:type="dxa"/>
            <w:vAlign w:val="center"/>
            <w:hideMark/>
          </w:tcPr>
          <w:p w14:paraId="55DEF66B" w14:textId="77777777" w:rsidR="004C5A55" w:rsidRPr="004C5A55" w:rsidRDefault="004C5A55" w:rsidP="004C5A55">
            <w:pPr>
              <w:spacing w:after="0" w:line="240" w:lineRule="auto"/>
              <w:jc w:val="center"/>
              <w:rPr>
                <w:rFonts w:eastAsia="Times New Roman" w:cstheme="minorHAnsi"/>
                <w:b/>
                <w:bCs/>
                <w:sz w:val="24"/>
                <w:szCs w:val="24"/>
                <w:lang w:eastAsia="es-ES"/>
              </w:rPr>
            </w:pPr>
            <w:r w:rsidRPr="004C5A55">
              <w:rPr>
                <w:rFonts w:eastAsia="Times New Roman" w:cstheme="minorHAnsi"/>
                <w:b/>
                <w:bCs/>
                <w:sz w:val="24"/>
                <w:szCs w:val="24"/>
                <w:lang w:eastAsia="es-ES"/>
              </w:rPr>
              <w:t>Target protein</w:t>
            </w:r>
          </w:p>
        </w:tc>
        <w:tc>
          <w:tcPr>
            <w:tcW w:w="1350" w:type="dxa"/>
            <w:vAlign w:val="center"/>
            <w:hideMark/>
          </w:tcPr>
          <w:p w14:paraId="65A03984" w14:textId="77777777" w:rsidR="004C5A55" w:rsidRPr="004C5A55" w:rsidRDefault="004C5A55" w:rsidP="004C5A55">
            <w:pPr>
              <w:spacing w:after="0" w:line="240" w:lineRule="auto"/>
              <w:jc w:val="center"/>
              <w:rPr>
                <w:rFonts w:eastAsia="Times New Roman" w:cstheme="minorHAnsi"/>
                <w:b/>
                <w:bCs/>
                <w:sz w:val="24"/>
                <w:szCs w:val="24"/>
                <w:lang w:eastAsia="es-ES"/>
              </w:rPr>
            </w:pPr>
            <w:r w:rsidRPr="004C5A55">
              <w:rPr>
                <w:rFonts w:eastAsia="Times New Roman" w:cstheme="minorHAnsi"/>
                <w:b/>
                <w:bCs/>
                <w:sz w:val="24"/>
                <w:szCs w:val="24"/>
                <w:lang w:eastAsia="es-ES"/>
              </w:rPr>
              <w:t>Host species</w:t>
            </w:r>
          </w:p>
        </w:tc>
        <w:tc>
          <w:tcPr>
            <w:tcW w:w="1040" w:type="dxa"/>
            <w:vAlign w:val="center"/>
            <w:hideMark/>
          </w:tcPr>
          <w:p w14:paraId="4ECB6434" w14:textId="77777777" w:rsidR="004C5A55" w:rsidRPr="004C5A55" w:rsidRDefault="004C5A55" w:rsidP="004C5A55">
            <w:pPr>
              <w:spacing w:after="0" w:line="240" w:lineRule="auto"/>
              <w:jc w:val="center"/>
              <w:rPr>
                <w:rFonts w:eastAsia="Times New Roman" w:cstheme="minorHAnsi"/>
                <w:b/>
                <w:bCs/>
                <w:sz w:val="24"/>
                <w:szCs w:val="24"/>
                <w:lang w:eastAsia="es-ES"/>
              </w:rPr>
            </w:pPr>
            <w:r w:rsidRPr="004C5A55">
              <w:rPr>
                <w:rFonts w:eastAsia="Times New Roman" w:cstheme="minorHAnsi"/>
                <w:b/>
                <w:bCs/>
                <w:sz w:val="24"/>
                <w:szCs w:val="24"/>
                <w:lang w:eastAsia="es-ES"/>
              </w:rPr>
              <w:t>Dilution</w:t>
            </w:r>
          </w:p>
        </w:tc>
        <w:tc>
          <w:tcPr>
            <w:tcW w:w="1579" w:type="dxa"/>
            <w:vAlign w:val="center"/>
            <w:hideMark/>
          </w:tcPr>
          <w:p w14:paraId="6BD00444" w14:textId="77777777" w:rsidR="004C5A55" w:rsidRPr="004C5A55" w:rsidRDefault="004C5A55" w:rsidP="004C5A55">
            <w:pPr>
              <w:spacing w:after="0" w:line="240" w:lineRule="auto"/>
              <w:jc w:val="center"/>
              <w:rPr>
                <w:rFonts w:eastAsia="Times New Roman" w:cstheme="minorHAnsi"/>
                <w:b/>
                <w:bCs/>
                <w:sz w:val="24"/>
                <w:szCs w:val="24"/>
                <w:lang w:eastAsia="es-ES"/>
              </w:rPr>
            </w:pPr>
            <w:r w:rsidRPr="004C5A55">
              <w:rPr>
                <w:rFonts w:eastAsia="Times New Roman" w:cstheme="minorHAnsi"/>
                <w:b/>
                <w:bCs/>
                <w:sz w:val="24"/>
                <w:szCs w:val="24"/>
                <w:lang w:eastAsia="es-ES"/>
              </w:rPr>
              <w:t>Product code</w:t>
            </w:r>
          </w:p>
        </w:tc>
        <w:tc>
          <w:tcPr>
            <w:tcW w:w="1849" w:type="dxa"/>
            <w:vAlign w:val="center"/>
            <w:hideMark/>
          </w:tcPr>
          <w:p w14:paraId="26409BB1" w14:textId="77777777" w:rsidR="004C5A55" w:rsidRPr="004C5A55" w:rsidRDefault="004C5A55" w:rsidP="004C5A55">
            <w:pPr>
              <w:spacing w:after="0" w:line="240" w:lineRule="auto"/>
              <w:jc w:val="center"/>
              <w:rPr>
                <w:rFonts w:eastAsia="Times New Roman" w:cstheme="minorHAnsi"/>
                <w:b/>
                <w:bCs/>
                <w:sz w:val="24"/>
                <w:szCs w:val="24"/>
                <w:lang w:eastAsia="es-ES"/>
              </w:rPr>
            </w:pPr>
            <w:r w:rsidRPr="004C5A55">
              <w:rPr>
                <w:rFonts w:eastAsia="Times New Roman" w:cstheme="minorHAnsi"/>
                <w:b/>
                <w:bCs/>
                <w:sz w:val="24"/>
                <w:szCs w:val="24"/>
                <w:lang w:eastAsia="es-ES"/>
              </w:rPr>
              <w:t>Manufacturer</w:t>
            </w:r>
          </w:p>
        </w:tc>
      </w:tr>
      <w:tr w:rsidR="00E578FB" w:rsidRPr="00E578FB" w14:paraId="7B9C16D6" w14:textId="77777777" w:rsidTr="00CC51AF">
        <w:trPr>
          <w:tblCellSpacing w:w="15" w:type="dxa"/>
        </w:trPr>
        <w:tc>
          <w:tcPr>
            <w:tcW w:w="3069" w:type="dxa"/>
            <w:vAlign w:val="center"/>
            <w:hideMark/>
          </w:tcPr>
          <w:p w14:paraId="2D986E7B" w14:textId="1779E19C" w:rsidR="004C5A55" w:rsidRPr="00E578FB" w:rsidRDefault="004C5A55" w:rsidP="004C5A55">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ADAMTS2</w:t>
            </w:r>
            <w:r w:rsidR="00B03DDE" w:rsidRPr="00E578FB">
              <w:rPr>
                <w:rFonts w:eastAsia="Times New Roman" w:cstheme="minorHAnsi"/>
                <w:sz w:val="24"/>
                <w:szCs w:val="24"/>
                <w:lang w:eastAsia="es-ES"/>
              </w:rPr>
              <w:t xml:space="preserve"> (WB)</w:t>
            </w:r>
          </w:p>
        </w:tc>
        <w:tc>
          <w:tcPr>
            <w:tcW w:w="1350" w:type="dxa"/>
            <w:vAlign w:val="center"/>
            <w:hideMark/>
          </w:tcPr>
          <w:p w14:paraId="4BD32B31" w14:textId="77777777" w:rsidR="004C5A55" w:rsidRPr="00E578FB" w:rsidRDefault="004C5A55" w:rsidP="004C5A55">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Rabbit</w:t>
            </w:r>
          </w:p>
        </w:tc>
        <w:tc>
          <w:tcPr>
            <w:tcW w:w="1040" w:type="dxa"/>
            <w:vAlign w:val="center"/>
            <w:hideMark/>
          </w:tcPr>
          <w:p w14:paraId="7F2CCDB7" w14:textId="77777777" w:rsidR="004C5A55" w:rsidRPr="00E578FB" w:rsidRDefault="004C5A55" w:rsidP="004C5A55">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1:1000</w:t>
            </w:r>
          </w:p>
        </w:tc>
        <w:tc>
          <w:tcPr>
            <w:tcW w:w="1579" w:type="dxa"/>
            <w:vAlign w:val="center"/>
            <w:hideMark/>
          </w:tcPr>
          <w:p w14:paraId="74DCDA4A" w14:textId="77777777" w:rsidR="004C5A55" w:rsidRPr="00E578FB" w:rsidRDefault="004C5A55" w:rsidP="004C5A55">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PA5-78728</w:t>
            </w:r>
          </w:p>
        </w:tc>
        <w:tc>
          <w:tcPr>
            <w:tcW w:w="1849" w:type="dxa"/>
            <w:vAlign w:val="center"/>
            <w:hideMark/>
          </w:tcPr>
          <w:p w14:paraId="57AF4FFA" w14:textId="77777777" w:rsidR="004C5A55" w:rsidRPr="00E578FB" w:rsidRDefault="004C5A55" w:rsidP="004C5A55">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Invitrogen</w:t>
            </w:r>
          </w:p>
        </w:tc>
      </w:tr>
      <w:tr w:rsidR="00E578FB" w:rsidRPr="00E578FB" w14:paraId="3E4F82BE" w14:textId="77777777" w:rsidTr="00CC51AF">
        <w:trPr>
          <w:tblCellSpacing w:w="15" w:type="dxa"/>
        </w:trPr>
        <w:tc>
          <w:tcPr>
            <w:tcW w:w="3069" w:type="dxa"/>
            <w:vAlign w:val="center"/>
          </w:tcPr>
          <w:p w14:paraId="6E7CAB88" w14:textId="622C9AA3"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ADAMTS2 (IF)</w:t>
            </w:r>
          </w:p>
        </w:tc>
        <w:tc>
          <w:tcPr>
            <w:tcW w:w="1350" w:type="dxa"/>
            <w:vAlign w:val="center"/>
          </w:tcPr>
          <w:p w14:paraId="3FCD7EA9" w14:textId="1C046ED3"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Rabbit</w:t>
            </w:r>
          </w:p>
        </w:tc>
        <w:tc>
          <w:tcPr>
            <w:tcW w:w="1040" w:type="dxa"/>
            <w:vAlign w:val="center"/>
          </w:tcPr>
          <w:p w14:paraId="4980F5C8" w14:textId="383E84CF"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1:100</w:t>
            </w:r>
          </w:p>
        </w:tc>
        <w:tc>
          <w:tcPr>
            <w:tcW w:w="1579" w:type="dxa"/>
            <w:vAlign w:val="center"/>
          </w:tcPr>
          <w:p w14:paraId="7361D212" w14:textId="3E571185"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PA5-78728</w:t>
            </w:r>
          </w:p>
        </w:tc>
        <w:tc>
          <w:tcPr>
            <w:tcW w:w="1849" w:type="dxa"/>
            <w:vAlign w:val="center"/>
          </w:tcPr>
          <w:p w14:paraId="0AC4E345" w14:textId="3A2C3AB5"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Invitrogen</w:t>
            </w:r>
          </w:p>
        </w:tc>
      </w:tr>
      <w:tr w:rsidR="00E578FB" w:rsidRPr="00E578FB" w14:paraId="35D78A08" w14:textId="77777777" w:rsidTr="00CC51AF">
        <w:trPr>
          <w:tblCellSpacing w:w="15" w:type="dxa"/>
        </w:trPr>
        <w:tc>
          <w:tcPr>
            <w:tcW w:w="3069" w:type="dxa"/>
            <w:vAlign w:val="center"/>
            <w:hideMark/>
          </w:tcPr>
          <w:p w14:paraId="2E251AF6" w14:textId="04F3B9CF"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GFP (WB)</w:t>
            </w:r>
          </w:p>
        </w:tc>
        <w:tc>
          <w:tcPr>
            <w:tcW w:w="1350" w:type="dxa"/>
            <w:vAlign w:val="center"/>
            <w:hideMark/>
          </w:tcPr>
          <w:p w14:paraId="608815B9" w14:textId="77777777"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Mouse</w:t>
            </w:r>
          </w:p>
        </w:tc>
        <w:tc>
          <w:tcPr>
            <w:tcW w:w="1040" w:type="dxa"/>
            <w:vAlign w:val="center"/>
            <w:hideMark/>
          </w:tcPr>
          <w:p w14:paraId="5FB6498D" w14:textId="77777777"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1:500</w:t>
            </w:r>
          </w:p>
        </w:tc>
        <w:tc>
          <w:tcPr>
            <w:tcW w:w="1579" w:type="dxa"/>
            <w:vAlign w:val="center"/>
            <w:hideMark/>
          </w:tcPr>
          <w:p w14:paraId="6F307CEA" w14:textId="77777777"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11814460001</w:t>
            </w:r>
          </w:p>
        </w:tc>
        <w:tc>
          <w:tcPr>
            <w:tcW w:w="1849" w:type="dxa"/>
            <w:vAlign w:val="center"/>
            <w:hideMark/>
          </w:tcPr>
          <w:p w14:paraId="3234FCEB" w14:textId="77777777" w:rsidR="00CC51AF" w:rsidRPr="00E578FB" w:rsidRDefault="00CC51AF" w:rsidP="00CC51AF">
            <w:pPr>
              <w:spacing w:after="0" w:line="240" w:lineRule="auto"/>
              <w:rPr>
                <w:rFonts w:eastAsia="Times New Roman" w:cstheme="minorHAnsi"/>
                <w:sz w:val="24"/>
                <w:szCs w:val="24"/>
                <w:lang w:eastAsia="es-ES"/>
              </w:rPr>
            </w:pPr>
            <w:r w:rsidRPr="00E578FB">
              <w:rPr>
                <w:rFonts w:eastAsia="Times New Roman" w:cstheme="minorHAnsi"/>
                <w:sz w:val="24"/>
                <w:szCs w:val="24"/>
                <w:lang w:eastAsia="es-ES"/>
              </w:rPr>
              <w:t>Roche</w:t>
            </w:r>
          </w:p>
        </w:tc>
      </w:tr>
      <w:tr w:rsidR="00CC51AF" w:rsidRPr="004C5A55" w14:paraId="565AA4AF" w14:textId="77777777" w:rsidTr="00CC51AF">
        <w:trPr>
          <w:tblCellSpacing w:w="15" w:type="dxa"/>
        </w:trPr>
        <w:tc>
          <w:tcPr>
            <w:tcW w:w="3069" w:type="dxa"/>
            <w:vAlign w:val="center"/>
          </w:tcPr>
          <w:p w14:paraId="0A27EF49" w14:textId="0B6823AE"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GFP (IF)</w:t>
            </w:r>
          </w:p>
        </w:tc>
        <w:tc>
          <w:tcPr>
            <w:tcW w:w="1350" w:type="dxa"/>
            <w:vAlign w:val="center"/>
          </w:tcPr>
          <w:p w14:paraId="39137FB0" w14:textId="0688351B"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Chicken</w:t>
            </w:r>
          </w:p>
        </w:tc>
        <w:tc>
          <w:tcPr>
            <w:tcW w:w="1040" w:type="dxa"/>
            <w:vAlign w:val="center"/>
          </w:tcPr>
          <w:p w14:paraId="3C16574F" w14:textId="3DF5F5C2"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1:250</w:t>
            </w:r>
          </w:p>
        </w:tc>
        <w:tc>
          <w:tcPr>
            <w:tcW w:w="1579" w:type="dxa"/>
            <w:vAlign w:val="center"/>
          </w:tcPr>
          <w:p w14:paraId="40203968" w14:textId="1BCBB65B" w:rsidR="00CC51AF" w:rsidRPr="004C5A55" w:rsidRDefault="00CC51AF" w:rsidP="00CC51AF">
            <w:pPr>
              <w:spacing w:after="0" w:line="240" w:lineRule="auto"/>
              <w:rPr>
                <w:rFonts w:eastAsia="Times New Roman" w:cstheme="minorHAnsi"/>
                <w:sz w:val="24"/>
                <w:szCs w:val="24"/>
                <w:lang w:eastAsia="es-ES"/>
              </w:rPr>
            </w:pPr>
            <w:r w:rsidRPr="00CC51AF">
              <w:rPr>
                <w:rFonts w:eastAsia="Times New Roman" w:cstheme="minorHAnsi"/>
                <w:sz w:val="24"/>
                <w:szCs w:val="24"/>
                <w:lang w:eastAsia="es-ES"/>
              </w:rPr>
              <w:t>A10262</w:t>
            </w:r>
          </w:p>
        </w:tc>
        <w:tc>
          <w:tcPr>
            <w:tcW w:w="1849" w:type="dxa"/>
            <w:vAlign w:val="center"/>
          </w:tcPr>
          <w:p w14:paraId="2F471E1A" w14:textId="58D0E712"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Invitrogen</w:t>
            </w:r>
          </w:p>
        </w:tc>
      </w:tr>
      <w:tr w:rsidR="00CC51AF" w:rsidRPr="004C5A55" w14:paraId="3DEB1AFA" w14:textId="77777777" w:rsidTr="00CC51AF">
        <w:trPr>
          <w:tblCellSpacing w:w="15" w:type="dxa"/>
        </w:trPr>
        <w:tc>
          <w:tcPr>
            <w:tcW w:w="3069" w:type="dxa"/>
            <w:vAlign w:val="center"/>
            <w:hideMark/>
          </w:tcPr>
          <w:p w14:paraId="28D71366" w14:textId="473DDB04"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Reelin</w:t>
            </w:r>
            <w:r>
              <w:rPr>
                <w:rFonts w:eastAsia="Times New Roman" w:cstheme="minorHAnsi"/>
                <w:sz w:val="24"/>
                <w:szCs w:val="24"/>
                <w:lang w:eastAsia="es-ES"/>
              </w:rPr>
              <w:t xml:space="preserve"> (WB)</w:t>
            </w:r>
          </w:p>
        </w:tc>
        <w:tc>
          <w:tcPr>
            <w:tcW w:w="1350" w:type="dxa"/>
            <w:vAlign w:val="center"/>
            <w:hideMark/>
          </w:tcPr>
          <w:p w14:paraId="5E0FF643"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Mouse</w:t>
            </w:r>
          </w:p>
        </w:tc>
        <w:tc>
          <w:tcPr>
            <w:tcW w:w="1040" w:type="dxa"/>
            <w:vAlign w:val="center"/>
            <w:hideMark/>
          </w:tcPr>
          <w:p w14:paraId="256749C0"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1:1000</w:t>
            </w:r>
          </w:p>
        </w:tc>
        <w:tc>
          <w:tcPr>
            <w:tcW w:w="1579" w:type="dxa"/>
            <w:vAlign w:val="center"/>
            <w:hideMark/>
          </w:tcPr>
          <w:p w14:paraId="06850353"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MAB5364</w:t>
            </w:r>
          </w:p>
        </w:tc>
        <w:tc>
          <w:tcPr>
            <w:tcW w:w="1849" w:type="dxa"/>
            <w:vAlign w:val="center"/>
            <w:hideMark/>
          </w:tcPr>
          <w:p w14:paraId="37DD3FF3"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Sigma-Aldrich</w:t>
            </w:r>
          </w:p>
        </w:tc>
      </w:tr>
      <w:tr w:rsidR="00CC51AF" w:rsidRPr="004C5A55" w14:paraId="362224A9" w14:textId="77777777" w:rsidTr="00CC51AF">
        <w:trPr>
          <w:tblCellSpacing w:w="15" w:type="dxa"/>
        </w:trPr>
        <w:tc>
          <w:tcPr>
            <w:tcW w:w="3069" w:type="dxa"/>
            <w:vAlign w:val="center"/>
          </w:tcPr>
          <w:p w14:paraId="32BB52BE" w14:textId="61C51F35"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Reelin (IF)</w:t>
            </w:r>
          </w:p>
        </w:tc>
        <w:tc>
          <w:tcPr>
            <w:tcW w:w="1350" w:type="dxa"/>
            <w:vAlign w:val="center"/>
          </w:tcPr>
          <w:p w14:paraId="57622421" w14:textId="34D5F187"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Mouse</w:t>
            </w:r>
          </w:p>
        </w:tc>
        <w:tc>
          <w:tcPr>
            <w:tcW w:w="1040" w:type="dxa"/>
            <w:vAlign w:val="center"/>
          </w:tcPr>
          <w:p w14:paraId="6B10EF69" w14:textId="5B4CF38D"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1:500</w:t>
            </w:r>
          </w:p>
        </w:tc>
        <w:tc>
          <w:tcPr>
            <w:tcW w:w="1579" w:type="dxa"/>
            <w:vAlign w:val="center"/>
          </w:tcPr>
          <w:p w14:paraId="03BD7ECB" w14:textId="338C4E10"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MAB5364</w:t>
            </w:r>
          </w:p>
        </w:tc>
        <w:tc>
          <w:tcPr>
            <w:tcW w:w="1849" w:type="dxa"/>
            <w:vAlign w:val="center"/>
          </w:tcPr>
          <w:p w14:paraId="17B5D7BD" w14:textId="0A6E9811"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Sigma-Aldrich</w:t>
            </w:r>
          </w:p>
        </w:tc>
      </w:tr>
      <w:tr w:rsidR="00CC51AF" w:rsidRPr="004C5A55" w14:paraId="2252F15C" w14:textId="77777777" w:rsidTr="00CC51AF">
        <w:trPr>
          <w:tblCellSpacing w:w="15" w:type="dxa"/>
        </w:trPr>
        <w:tc>
          <w:tcPr>
            <w:tcW w:w="3069" w:type="dxa"/>
            <w:vAlign w:val="center"/>
            <w:hideMark/>
          </w:tcPr>
          <w:p w14:paraId="7F76D084" w14:textId="27FE1E90"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Dab1</w:t>
            </w:r>
          </w:p>
        </w:tc>
        <w:tc>
          <w:tcPr>
            <w:tcW w:w="1350" w:type="dxa"/>
            <w:vAlign w:val="center"/>
            <w:hideMark/>
          </w:tcPr>
          <w:p w14:paraId="0C2A6725"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Rabbit</w:t>
            </w:r>
          </w:p>
        </w:tc>
        <w:tc>
          <w:tcPr>
            <w:tcW w:w="1040" w:type="dxa"/>
            <w:vAlign w:val="center"/>
            <w:hideMark/>
          </w:tcPr>
          <w:p w14:paraId="51C3AE69"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1:500</w:t>
            </w:r>
          </w:p>
        </w:tc>
        <w:tc>
          <w:tcPr>
            <w:tcW w:w="1579" w:type="dxa"/>
            <w:vAlign w:val="center"/>
            <w:hideMark/>
          </w:tcPr>
          <w:p w14:paraId="5B06E648"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#3328</w:t>
            </w:r>
          </w:p>
        </w:tc>
        <w:tc>
          <w:tcPr>
            <w:tcW w:w="1849" w:type="dxa"/>
            <w:vAlign w:val="center"/>
            <w:hideMark/>
          </w:tcPr>
          <w:p w14:paraId="32BD46D4"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Cell Signaling</w:t>
            </w:r>
          </w:p>
        </w:tc>
      </w:tr>
      <w:tr w:rsidR="00CC51AF" w:rsidRPr="004C5A55" w14:paraId="3F68C0F2" w14:textId="77777777" w:rsidTr="00CC51AF">
        <w:trPr>
          <w:tblCellSpacing w:w="15" w:type="dxa"/>
        </w:trPr>
        <w:tc>
          <w:tcPr>
            <w:tcW w:w="3069" w:type="dxa"/>
            <w:vAlign w:val="center"/>
            <w:hideMark/>
          </w:tcPr>
          <w:p w14:paraId="63020EB1"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PSD95</w:t>
            </w:r>
          </w:p>
        </w:tc>
        <w:tc>
          <w:tcPr>
            <w:tcW w:w="1350" w:type="dxa"/>
            <w:vAlign w:val="center"/>
            <w:hideMark/>
          </w:tcPr>
          <w:p w14:paraId="60FA85F3"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Mouse</w:t>
            </w:r>
          </w:p>
        </w:tc>
        <w:tc>
          <w:tcPr>
            <w:tcW w:w="1040" w:type="dxa"/>
            <w:vAlign w:val="center"/>
            <w:hideMark/>
          </w:tcPr>
          <w:p w14:paraId="05F19977"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1:1000</w:t>
            </w:r>
          </w:p>
        </w:tc>
        <w:tc>
          <w:tcPr>
            <w:tcW w:w="1579" w:type="dxa"/>
            <w:vAlign w:val="center"/>
            <w:hideMark/>
          </w:tcPr>
          <w:p w14:paraId="20992A12" w14:textId="03DD1E60" w:rsidR="00CC51AF" w:rsidRPr="004C5A55" w:rsidRDefault="00E47103" w:rsidP="00CC51AF">
            <w:pPr>
              <w:spacing w:after="0" w:line="240" w:lineRule="auto"/>
              <w:rPr>
                <w:rFonts w:eastAsia="Times New Roman" w:cstheme="minorHAnsi"/>
                <w:sz w:val="24"/>
                <w:szCs w:val="24"/>
                <w:lang w:eastAsia="es-ES"/>
              </w:rPr>
            </w:pPr>
            <w:r w:rsidRPr="00E47103">
              <w:rPr>
                <w:rFonts w:eastAsia="Times New Roman" w:cstheme="minorHAnsi"/>
                <w:sz w:val="24"/>
                <w:szCs w:val="24"/>
                <w:lang w:eastAsia="es-ES"/>
              </w:rPr>
              <w:t>MA1-046</w:t>
            </w:r>
          </w:p>
        </w:tc>
        <w:tc>
          <w:tcPr>
            <w:tcW w:w="1849" w:type="dxa"/>
            <w:vAlign w:val="center"/>
            <w:hideMark/>
          </w:tcPr>
          <w:p w14:paraId="2EEFC517"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Thermo Fisher Scientific</w:t>
            </w:r>
          </w:p>
        </w:tc>
      </w:tr>
      <w:tr w:rsidR="00CC51AF" w:rsidRPr="004C5A55" w14:paraId="123447E7" w14:textId="77777777" w:rsidTr="00CC51AF">
        <w:trPr>
          <w:tblCellSpacing w:w="15" w:type="dxa"/>
        </w:trPr>
        <w:tc>
          <w:tcPr>
            <w:tcW w:w="3069" w:type="dxa"/>
            <w:vAlign w:val="center"/>
            <w:hideMark/>
          </w:tcPr>
          <w:p w14:paraId="30BEE998"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β-Actin</w:t>
            </w:r>
          </w:p>
        </w:tc>
        <w:tc>
          <w:tcPr>
            <w:tcW w:w="1350" w:type="dxa"/>
            <w:vAlign w:val="center"/>
            <w:hideMark/>
          </w:tcPr>
          <w:p w14:paraId="2714325A"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Mouse</w:t>
            </w:r>
          </w:p>
        </w:tc>
        <w:tc>
          <w:tcPr>
            <w:tcW w:w="1040" w:type="dxa"/>
            <w:vAlign w:val="center"/>
            <w:hideMark/>
          </w:tcPr>
          <w:p w14:paraId="4CDC8122"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1:1000</w:t>
            </w:r>
          </w:p>
        </w:tc>
        <w:tc>
          <w:tcPr>
            <w:tcW w:w="1579" w:type="dxa"/>
            <w:vAlign w:val="center"/>
            <w:hideMark/>
          </w:tcPr>
          <w:p w14:paraId="4252D868"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A5316</w:t>
            </w:r>
          </w:p>
        </w:tc>
        <w:tc>
          <w:tcPr>
            <w:tcW w:w="1849" w:type="dxa"/>
            <w:vAlign w:val="center"/>
            <w:hideMark/>
          </w:tcPr>
          <w:p w14:paraId="7F44EC90"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Sigma-Aldrich</w:t>
            </w:r>
          </w:p>
        </w:tc>
      </w:tr>
      <w:tr w:rsidR="00CC51AF" w:rsidRPr="004C5A55" w14:paraId="353473C8" w14:textId="77777777" w:rsidTr="00CC51AF">
        <w:trPr>
          <w:tblCellSpacing w:w="15" w:type="dxa"/>
        </w:trPr>
        <w:tc>
          <w:tcPr>
            <w:tcW w:w="3069" w:type="dxa"/>
            <w:vAlign w:val="center"/>
            <w:hideMark/>
          </w:tcPr>
          <w:p w14:paraId="7AB7187F"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Secondary anti-mouse HRP</w:t>
            </w:r>
          </w:p>
        </w:tc>
        <w:tc>
          <w:tcPr>
            <w:tcW w:w="1350" w:type="dxa"/>
            <w:vAlign w:val="center"/>
            <w:hideMark/>
          </w:tcPr>
          <w:p w14:paraId="5D33A716"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Goat</w:t>
            </w:r>
          </w:p>
        </w:tc>
        <w:tc>
          <w:tcPr>
            <w:tcW w:w="1040" w:type="dxa"/>
            <w:vAlign w:val="center"/>
            <w:hideMark/>
          </w:tcPr>
          <w:p w14:paraId="219DE703"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1:5000</w:t>
            </w:r>
          </w:p>
        </w:tc>
        <w:tc>
          <w:tcPr>
            <w:tcW w:w="1579" w:type="dxa"/>
            <w:vAlign w:val="center"/>
            <w:hideMark/>
          </w:tcPr>
          <w:p w14:paraId="41B426C5"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NA931</w:t>
            </w:r>
          </w:p>
        </w:tc>
        <w:tc>
          <w:tcPr>
            <w:tcW w:w="1849" w:type="dxa"/>
            <w:vAlign w:val="center"/>
            <w:hideMark/>
          </w:tcPr>
          <w:p w14:paraId="374034C0"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Amersham</w:t>
            </w:r>
          </w:p>
        </w:tc>
      </w:tr>
      <w:tr w:rsidR="00CC51AF" w:rsidRPr="004C5A55" w14:paraId="48373167" w14:textId="77777777" w:rsidTr="00CC51AF">
        <w:trPr>
          <w:tblCellSpacing w:w="15" w:type="dxa"/>
        </w:trPr>
        <w:tc>
          <w:tcPr>
            <w:tcW w:w="3069" w:type="dxa"/>
            <w:vAlign w:val="center"/>
            <w:hideMark/>
          </w:tcPr>
          <w:p w14:paraId="384A84D1"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Secondary anti-rabbit HRP</w:t>
            </w:r>
          </w:p>
        </w:tc>
        <w:tc>
          <w:tcPr>
            <w:tcW w:w="1350" w:type="dxa"/>
            <w:vAlign w:val="center"/>
            <w:hideMark/>
          </w:tcPr>
          <w:p w14:paraId="1DD61281"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Donkey</w:t>
            </w:r>
          </w:p>
        </w:tc>
        <w:tc>
          <w:tcPr>
            <w:tcW w:w="1040" w:type="dxa"/>
            <w:vAlign w:val="center"/>
            <w:hideMark/>
          </w:tcPr>
          <w:p w14:paraId="3890AAC4"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1:5000</w:t>
            </w:r>
          </w:p>
        </w:tc>
        <w:tc>
          <w:tcPr>
            <w:tcW w:w="1579" w:type="dxa"/>
            <w:vAlign w:val="center"/>
            <w:hideMark/>
          </w:tcPr>
          <w:p w14:paraId="20F3FB1F"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NA934</w:t>
            </w:r>
          </w:p>
        </w:tc>
        <w:tc>
          <w:tcPr>
            <w:tcW w:w="1849" w:type="dxa"/>
            <w:vAlign w:val="center"/>
            <w:hideMark/>
          </w:tcPr>
          <w:p w14:paraId="4AF5868A" w14:textId="77777777"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Amersham</w:t>
            </w:r>
          </w:p>
        </w:tc>
      </w:tr>
      <w:tr w:rsidR="00CC51AF" w:rsidRPr="004C5A55" w14:paraId="57495194" w14:textId="77777777" w:rsidTr="00CC51AF">
        <w:trPr>
          <w:tblCellSpacing w:w="15" w:type="dxa"/>
        </w:trPr>
        <w:tc>
          <w:tcPr>
            <w:tcW w:w="3069" w:type="dxa"/>
            <w:vAlign w:val="center"/>
          </w:tcPr>
          <w:p w14:paraId="24A11E02" w14:textId="5BD60005"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Secondary anti-mouse 647 (IF</w:t>
            </w:r>
            <w:r w:rsidRPr="00CC51AF">
              <w:rPr>
                <w:rFonts w:eastAsia="Times New Roman" w:cstheme="minorHAnsi"/>
                <w:sz w:val="24"/>
                <w:szCs w:val="24"/>
                <w:lang w:eastAsia="es-ES"/>
              </w:rPr>
              <w:t>)</w:t>
            </w:r>
          </w:p>
        </w:tc>
        <w:tc>
          <w:tcPr>
            <w:tcW w:w="1350" w:type="dxa"/>
            <w:vAlign w:val="center"/>
          </w:tcPr>
          <w:p w14:paraId="5408FB42" w14:textId="6A7A0923"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Goat</w:t>
            </w:r>
          </w:p>
        </w:tc>
        <w:tc>
          <w:tcPr>
            <w:tcW w:w="1040" w:type="dxa"/>
            <w:vAlign w:val="center"/>
          </w:tcPr>
          <w:p w14:paraId="779BE638" w14:textId="09F63D72"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1:800</w:t>
            </w:r>
          </w:p>
        </w:tc>
        <w:tc>
          <w:tcPr>
            <w:tcW w:w="1579" w:type="dxa"/>
            <w:vAlign w:val="center"/>
          </w:tcPr>
          <w:p w14:paraId="32DBEAFB" w14:textId="0C6BEE8D" w:rsidR="00CC51AF" w:rsidRPr="004C5A55" w:rsidRDefault="00CC51AF" w:rsidP="00CC51AF">
            <w:pPr>
              <w:spacing w:after="0" w:line="240" w:lineRule="auto"/>
              <w:rPr>
                <w:rFonts w:eastAsia="Times New Roman" w:cstheme="minorHAnsi"/>
                <w:sz w:val="24"/>
                <w:szCs w:val="24"/>
                <w:lang w:eastAsia="es-ES"/>
              </w:rPr>
            </w:pPr>
            <w:r w:rsidRPr="00CC51AF">
              <w:rPr>
                <w:rFonts w:eastAsia="Times New Roman" w:cstheme="minorHAnsi"/>
                <w:sz w:val="24"/>
                <w:szCs w:val="24"/>
                <w:lang w:eastAsia="es-ES"/>
              </w:rPr>
              <w:t>A32728</w:t>
            </w:r>
          </w:p>
        </w:tc>
        <w:tc>
          <w:tcPr>
            <w:tcW w:w="1849" w:type="dxa"/>
            <w:vAlign w:val="center"/>
          </w:tcPr>
          <w:p w14:paraId="39D263BE" w14:textId="0E9DB920" w:rsidR="00CC51AF" w:rsidRPr="004C5A55" w:rsidRDefault="00CC51AF" w:rsidP="00CC51AF">
            <w:pPr>
              <w:spacing w:after="0" w:line="240" w:lineRule="auto"/>
              <w:rPr>
                <w:rFonts w:eastAsia="Times New Roman" w:cstheme="minorHAnsi"/>
                <w:sz w:val="24"/>
                <w:szCs w:val="24"/>
                <w:lang w:eastAsia="es-ES"/>
              </w:rPr>
            </w:pPr>
            <w:r w:rsidRPr="00CC51AF">
              <w:rPr>
                <w:rFonts w:eastAsia="Times New Roman" w:cstheme="minorHAnsi"/>
                <w:sz w:val="24"/>
                <w:szCs w:val="24"/>
                <w:lang w:eastAsia="es-ES"/>
              </w:rPr>
              <w:t>Invitrogen</w:t>
            </w:r>
          </w:p>
        </w:tc>
      </w:tr>
      <w:tr w:rsidR="00CC51AF" w:rsidRPr="004C5A55" w14:paraId="61ACCCD5" w14:textId="77777777" w:rsidTr="00CC51AF">
        <w:trPr>
          <w:tblCellSpacing w:w="15" w:type="dxa"/>
        </w:trPr>
        <w:tc>
          <w:tcPr>
            <w:tcW w:w="3069" w:type="dxa"/>
            <w:vAlign w:val="center"/>
          </w:tcPr>
          <w:p w14:paraId="6F56D0C2" w14:textId="56DC93E8" w:rsidR="00CC51AF" w:rsidRPr="004C5A55" w:rsidRDefault="00CC51AF" w:rsidP="00CC51AF">
            <w:pPr>
              <w:spacing w:after="0" w:line="240" w:lineRule="auto"/>
              <w:rPr>
                <w:rFonts w:eastAsia="Times New Roman" w:cstheme="minorHAnsi"/>
                <w:sz w:val="24"/>
                <w:szCs w:val="24"/>
                <w:lang w:eastAsia="es-ES"/>
              </w:rPr>
            </w:pPr>
            <w:r w:rsidRPr="00CC51AF">
              <w:rPr>
                <w:rFonts w:eastAsia="Times New Roman" w:cstheme="minorHAnsi"/>
                <w:sz w:val="24"/>
                <w:szCs w:val="24"/>
                <w:lang w:eastAsia="es-ES"/>
              </w:rPr>
              <w:t>Secondary anti-chicken 488</w:t>
            </w:r>
            <w:r>
              <w:rPr>
                <w:rFonts w:eastAsia="Times New Roman" w:cstheme="minorHAnsi"/>
                <w:sz w:val="24"/>
                <w:szCs w:val="24"/>
                <w:lang w:eastAsia="es-ES"/>
              </w:rPr>
              <w:t xml:space="preserve"> (IF)</w:t>
            </w:r>
          </w:p>
        </w:tc>
        <w:tc>
          <w:tcPr>
            <w:tcW w:w="1350" w:type="dxa"/>
            <w:vAlign w:val="center"/>
          </w:tcPr>
          <w:p w14:paraId="70939437" w14:textId="3F8EE991"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Goat</w:t>
            </w:r>
          </w:p>
        </w:tc>
        <w:tc>
          <w:tcPr>
            <w:tcW w:w="1040" w:type="dxa"/>
            <w:vAlign w:val="center"/>
          </w:tcPr>
          <w:p w14:paraId="68A9F7FE" w14:textId="5B1FD906"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1:800</w:t>
            </w:r>
          </w:p>
        </w:tc>
        <w:tc>
          <w:tcPr>
            <w:tcW w:w="1579" w:type="dxa"/>
            <w:vAlign w:val="center"/>
          </w:tcPr>
          <w:p w14:paraId="5B9BA868" w14:textId="58911770" w:rsidR="00CC51AF" w:rsidRPr="004C5A55" w:rsidRDefault="00CC51AF" w:rsidP="00CC51AF">
            <w:pPr>
              <w:spacing w:after="0" w:line="240" w:lineRule="auto"/>
              <w:rPr>
                <w:rFonts w:eastAsia="Times New Roman" w:cstheme="minorHAnsi"/>
                <w:sz w:val="24"/>
                <w:szCs w:val="24"/>
                <w:lang w:eastAsia="es-ES"/>
              </w:rPr>
            </w:pPr>
            <w:r w:rsidRPr="00CC51AF">
              <w:rPr>
                <w:rFonts w:eastAsia="Times New Roman" w:cstheme="minorHAnsi"/>
                <w:sz w:val="24"/>
                <w:szCs w:val="24"/>
                <w:lang w:eastAsia="es-ES"/>
              </w:rPr>
              <w:t>A-11039</w:t>
            </w:r>
          </w:p>
        </w:tc>
        <w:tc>
          <w:tcPr>
            <w:tcW w:w="1849" w:type="dxa"/>
            <w:vAlign w:val="center"/>
          </w:tcPr>
          <w:p w14:paraId="7D989583" w14:textId="484F95BD" w:rsidR="00CC51AF" w:rsidRPr="004C5A55" w:rsidRDefault="00CC51AF" w:rsidP="00CC51AF">
            <w:pPr>
              <w:spacing w:after="0" w:line="240" w:lineRule="auto"/>
              <w:rPr>
                <w:rFonts w:eastAsia="Times New Roman" w:cstheme="minorHAnsi"/>
                <w:sz w:val="24"/>
                <w:szCs w:val="24"/>
                <w:lang w:eastAsia="es-ES"/>
              </w:rPr>
            </w:pPr>
            <w:r w:rsidRPr="004C5A55">
              <w:rPr>
                <w:rFonts w:eastAsia="Times New Roman" w:cstheme="minorHAnsi"/>
                <w:sz w:val="24"/>
                <w:szCs w:val="24"/>
                <w:lang w:eastAsia="es-ES"/>
              </w:rPr>
              <w:t>Thermo Fisher Scientific</w:t>
            </w:r>
          </w:p>
        </w:tc>
      </w:tr>
      <w:tr w:rsidR="00CC51AF" w:rsidRPr="004C5A55" w14:paraId="0EC6A966" w14:textId="77777777" w:rsidTr="00CC51AF">
        <w:trPr>
          <w:tblCellSpacing w:w="15" w:type="dxa"/>
        </w:trPr>
        <w:tc>
          <w:tcPr>
            <w:tcW w:w="3069" w:type="dxa"/>
            <w:vAlign w:val="center"/>
          </w:tcPr>
          <w:p w14:paraId="3F291ED0" w14:textId="4F870D66" w:rsidR="00CC51AF" w:rsidRPr="004C5A55" w:rsidRDefault="00CC51AF" w:rsidP="00CC51AF">
            <w:pPr>
              <w:spacing w:after="0" w:line="240" w:lineRule="auto"/>
              <w:rPr>
                <w:rFonts w:eastAsia="Times New Roman" w:cstheme="minorHAnsi"/>
                <w:sz w:val="24"/>
                <w:szCs w:val="24"/>
                <w:lang w:eastAsia="es-ES"/>
              </w:rPr>
            </w:pPr>
            <w:r w:rsidRPr="00CC51AF">
              <w:rPr>
                <w:rFonts w:eastAsia="Times New Roman" w:cstheme="minorHAnsi"/>
                <w:sz w:val="24"/>
                <w:szCs w:val="24"/>
                <w:lang w:eastAsia="es-ES"/>
              </w:rPr>
              <w:t>Secondary anti-rabbit 594</w:t>
            </w:r>
            <w:r>
              <w:rPr>
                <w:rFonts w:eastAsia="Times New Roman" w:cstheme="minorHAnsi"/>
                <w:sz w:val="24"/>
                <w:szCs w:val="24"/>
                <w:lang w:eastAsia="es-ES"/>
              </w:rPr>
              <w:t xml:space="preserve"> (IF)</w:t>
            </w:r>
          </w:p>
        </w:tc>
        <w:tc>
          <w:tcPr>
            <w:tcW w:w="1350" w:type="dxa"/>
            <w:vAlign w:val="center"/>
          </w:tcPr>
          <w:p w14:paraId="278FE290" w14:textId="62256766"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Donkey</w:t>
            </w:r>
          </w:p>
        </w:tc>
        <w:tc>
          <w:tcPr>
            <w:tcW w:w="1040" w:type="dxa"/>
            <w:vAlign w:val="center"/>
          </w:tcPr>
          <w:p w14:paraId="55F36F59" w14:textId="6CEEFCF0" w:rsidR="00CC51AF" w:rsidRPr="004C5A55" w:rsidRDefault="00CC51AF" w:rsidP="00CC51AF">
            <w:pPr>
              <w:spacing w:after="0" w:line="240" w:lineRule="auto"/>
              <w:rPr>
                <w:rFonts w:eastAsia="Times New Roman" w:cstheme="minorHAnsi"/>
                <w:sz w:val="24"/>
                <w:szCs w:val="24"/>
                <w:lang w:eastAsia="es-ES"/>
              </w:rPr>
            </w:pPr>
            <w:r>
              <w:rPr>
                <w:rFonts w:eastAsia="Times New Roman" w:cstheme="minorHAnsi"/>
                <w:sz w:val="24"/>
                <w:szCs w:val="24"/>
                <w:lang w:eastAsia="es-ES"/>
              </w:rPr>
              <w:t>1:500</w:t>
            </w:r>
          </w:p>
        </w:tc>
        <w:tc>
          <w:tcPr>
            <w:tcW w:w="1579" w:type="dxa"/>
            <w:vAlign w:val="center"/>
          </w:tcPr>
          <w:p w14:paraId="77039CA5" w14:textId="56B11136" w:rsidR="00CC51AF" w:rsidRPr="004C5A55" w:rsidRDefault="00CC51AF" w:rsidP="00CC51AF">
            <w:pPr>
              <w:spacing w:after="0" w:line="240" w:lineRule="auto"/>
              <w:rPr>
                <w:rFonts w:eastAsia="Times New Roman" w:cstheme="minorHAnsi"/>
                <w:sz w:val="24"/>
                <w:szCs w:val="24"/>
                <w:lang w:eastAsia="es-ES"/>
              </w:rPr>
            </w:pPr>
            <w:r w:rsidRPr="00CC51AF">
              <w:rPr>
                <w:rFonts w:eastAsia="Times New Roman" w:cstheme="minorHAnsi"/>
                <w:sz w:val="24"/>
                <w:szCs w:val="24"/>
                <w:lang w:eastAsia="es-ES"/>
              </w:rPr>
              <w:t>A-21207</w:t>
            </w:r>
          </w:p>
        </w:tc>
        <w:tc>
          <w:tcPr>
            <w:tcW w:w="1849" w:type="dxa"/>
            <w:vAlign w:val="center"/>
          </w:tcPr>
          <w:p w14:paraId="609D54AF" w14:textId="780EC10B" w:rsidR="00CC51AF" w:rsidRPr="004C5A55" w:rsidRDefault="00CC51AF" w:rsidP="00CC51AF">
            <w:pPr>
              <w:spacing w:after="0" w:line="240" w:lineRule="auto"/>
              <w:rPr>
                <w:rFonts w:eastAsia="Times New Roman" w:cstheme="minorHAnsi"/>
                <w:sz w:val="24"/>
                <w:szCs w:val="24"/>
                <w:lang w:eastAsia="es-ES"/>
              </w:rPr>
            </w:pPr>
            <w:r w:rsidRPr="00CC51AF">
              <w:rPr>
                <w:rFonts w:eastAsia="Times New Roman" w:cstheme="minorHAnsi"/>
                <w:sz w:val="24"/>
                <w:szCs w:val="24"/>
                <w:lang w:eastAsia="es-ES"/>
              </w:rPr>
              <w:t>Life Technologies</w:t>
            </w:r>
          </w:p>
        </w:tc>
      </w:tr>
    </w:tbl>
    <w:p w14:paraId="6CFC26F1" w14:textId="77777777" w:rsidR="004C5A55" w:rsidRDefault="004C5A55" w:rsidP="004C5A55">
      <w:pPr>
        <w:pStyle w:val="Prrafodelista"/>
        <w:spacing w:before="240" w:after="240" w:line="480" w:lineRule="auto"/>
        <w:ind w:left="142"/>
        <w:jc w:val="both"/>
        <w:rPr>
          <w:rFonts w:eastAsia="Times New Roman" w:cstheme="minorHAnsi"/>
          <w:b/>
          <w:sz w:val="24"/>
          <w:szCs w:val="24"/>
          <w:lang w:val="en-US"/>
        </w:rPr>
      </w:pPr>
    </w:p>
    <w:p w14:paraId="56B315D2" w14:textId="06BCC717" w:rsidR="00ED27ED" w:rsidRPr="00461DED" w:rsidRDefault="00ED27ED" w:rsidP="00461DED">
      <w:pPr>
        <w:spacing w:before="240" w:after="240" w:line="480" w:lineRule="auto"/>
        <w:jc w:val="both"/>
        <w:rPr>
          <w:rFonts w:eastAsia="Times New Roman" w:cstheme="minorHAnsi"/>
          <w:b/>
          <w:sz w:val="24"/>
          <w:szCs w:val="24"/>
          <w:lang w:val="en-US"/>
        </w:rPr>
      </w:pPr>
      <w:r w:rsidRPr="00461DED">
        <w:rPr>
          <w:rFonts w:eastAsia="Times New Roman" w:cstheme="minorHAnsi"/>
          <w:b/>
          <w:sz w:val="24"/>
          <w:szCs w:val="24"/>
          <w:lang w:val="en-US"/>
        </w:rPr>
        <w:t>Body weight is not altered in ADAMTS2-Cre mice compared to controls</w:t>
      </w:r>
    </w:p>
    <w:p w14:paraId="029F28B9" w14:textId="2514D16A" w:rsidR="00ED27ED" w:rsidRPr="00E55217" w:rsidRDefault="00ED27ED" w:rsidP="00ED27ED">
      <w:pPr>
        <w:pStyle w:val="Prrafodelista"/>
        <w:spacing w:before="240" w:after="240" w:line="480" w:lineRule="auto"/>
        <w:ind w:left="284"/>
        <w:jc w:val="both"/>
        <w:rPr>
          <w:rFonts w:eastAsia="Times New Roman" w:cstheme="minorHAnsi"/>
          <w:b/>
          <w:sz w:val="24"/>
          <w:szCs w:val="24"/>
          <w:lang w:val="en-US"/>
        </w:rPr>
      </w:pPr>
      <w:r w:rsidRPr="00E55217">
        <w:rPr>
          <w:rFonts w:eastAsia="Times New Roman" w:cstheme="minorHAnsi"/>
          <w:b/>
          <w:noProof/>
          <w:sz w:val="24"/>
          <w:szCs w:val="24"/>
          <w:lang w:eastAsia="es-ES"/>
        </w:rPr>
        <w:drawing>
          <wp:inline distT="0" distB="0" distL="0" distR="0" wp14:anchorId="681FAA72" wp14:editId="03E82B23">
            <wp:extent cx="5074920" cy="1859280"/>
            <wp:effectExtent l="0" t="0" r="0" b="7620"/>
            <wp:docPr id="2" name="Imagen 2" descr="F:\Celia Martín Cuevas\Publicaciones\2025 Generación ADAMTS2\Figuras\Weight curve supp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elia Martín Cuevas\Publicaciones\2025 Generación ADAMTS2\Figuras\Weight curve suppl.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74920" cy="1859280"/>
                    </a:xfrm>
                    <a:prstGeom prst="rect">
                      <a:avLst/>
                    </a:prstGeom>
                    <a:noFill/>
                    <a:ln>
                      <a:noFill/>
                    </a:ln>
                  </pic:spPr>
                </pic:pic>
              </a:graphicData>
            </a:graphic>
          </wp:inline>
        </w:drawing>
      </w:r>
    </w:p>
    <w:p w14:paraId="7A2E04F3" w14:textId="2C20DD89" w:rsidR="00ED27ED" w:rsidRDefault="00E55217" w:rsidP="00ED27ED">
      <w:pPr>
        <w:spacing w:before="240" w:after="240" w:line="480" w:lineRule="auto"/>
        <w:jc w:val="both"/>
        <w:rPr>
          <w:rFonts w:eastAsia="Times New Roman" w:cstheme="minorHAnsi"/>
          <w:sz w:val="24"/>
          <w:szCs w:val="24"/>
          <w:lang w:val="en-US"/>
        </w:rPr>
      </w:pPr>
      <w:r w:rsidRPr="00E55217">
        <w:rPr>
          <w:rFonts w:eastAsia="Times New Roman" w:cstheme="minorHAnsi"/>
          <w:b/>
          <w:sz w:val="24"/>
          <w:szCs w:val="24"/>
          <w:lang w:val="en-US"/>
        </w:rPr>
        <w:t>Figure S2</w:t>
      </w:r>
      <w:r w:rsidR="00ED27ED" w:rsidRPr="00E55217">
        <w:rPr>
          <w:rFonts w:eastAsia="Times New Roman" w:cstheme="minorHAnsi"/>
          <w:b/>
          <w:sz w:val="24"/>
          <w:szCs w:val="24"/>
          <w:lang w:val="en-US"/>
        </w:rPr>
        <w:t>.</w:t>
      </w:r>
      <w:r w:rsidR="00ED27ED" w:rsidRPr="00E55217">
        <w:rPr>
          <w:rFonts w:eastAsia="Times New Roman" w:cstheme="minorHAnsi"/>
          <w:sz w:val="24"/>
          <w:szCs w:val="24"/>
          <w:lang w:val="en-US"/>
        </w:rPr>
        <w:t xml:space="preserve"> Body weight is not altered in ADAMTS2-Cre mice (n =</w:t>
      </w:r>
      <w:r w:rsidR="00581693" w:rsidRPr="00E55217">
        <w:rPr>
          <w:rFonts w:eastAsia="Times New Roman" w:cstheme="minorHAnsi"/>
          <w:sz w:val="24"/>
          <w:szCs w:val="24"/>
          <w:lang w:val="en-US"/>
        </w:rPr>
        <w:t xml:space="preserve"> 26-36</w:t>
      </w:r>
      <w:r w:rsidR="00AD292F" w:rsidRPr="00E55217">
        <w:rPr>
          <w:rFonts w:eastAsia="Times New Roman" w:cstheme="minorHAnsi"/>
          <w:sz w:val="24"/>
          <w:szCs w:val="24"/>
          <w:lang w:val="en-US"/>
        </w:rPr>
        <w:t xml:space="preserve"> per genotype and sex)</w:t>
      </w:r>
      <w:r w:rsidR="00ED27ED" w:rsidRPr="00E55217">
        <w:rPr>
          <w:rFonts w:eastAsia="Times New Roman" w:cstheme="minorHAnsi"/>
          <w:sz w:val="24"/>
          <w:szCs w:val="24"/>
          <w:lang w:val="en-US"/>
        </w:rPr>
        <w:t xml:space="preserve">. </w:t>
      </w:r>
    </w:p>
    <w:p w14:paraId="03DFA298" w14:textId="77777777" w:rsidR="00E578FB" w:rsidRPr="00E55217" w:rsidRDefault="00E578FB" w:rsidP="00ED27ED">
      <w:pPr>
        <w:spacing w:before="240" w:after="240" w:line="480" w:lineRule="auto"/>
        <w:jc w:val="both"/>
        <w:rPr>
          <w:rFonts w:eastAsia="Times New Roman" w:cstheme="minorHAnsi"/>
          <w:sz w:val="24"/>
          <w:szCs w:val="24"/>
          <w:lang w:val="en-US"/>
        </w:rPr>
      </w:pPr>
    </w:p>
    <w:p w14:paraId="2AB28BD4" w14:textId="4770ABC8" w:rsidR="00ED27ED" w:rsidRPr="00461DED" w:rsidRDefault="00075D0F" w:rsidP="00461DED">
      <w:pPr>
        <w:spacing w:before="240" w:after="240" w:line="480" w:lineRule="auto"/>
        <w:jc w:val="both"/>
        <w:rPr>
          <w:rFonts w:eastAsia="Times New Roman" w:cstheme="minorHAnsi"/>
          <w:b/>
          <w:sz w:val="24"/>
          <w:szCs w:val="24"/>
          <w:lang w:val="en-US"/>
        </w:rPr>
      </w:pPr>
      <w:r w:rsidRPr="00461DED">
        <w:rPr>
          <w:rFonts w:eastAsia="Times New Roman" w:cstheme="minorHAnsi"/>
          <w:b/>
          <w:sz w:val="24"/>
          <w:szCs w:val="24"/>
          <w:lang w:val="en-US"/>
        </w:rPr>
        <w:lastRenderedPageBreak/>
        <w:t>Total distance traveled in the open field test</w:t>
      </w:r>
    </w:p>
    <w:p w14:paraId="7011E315" w14:textId="014A7444" w:rsidR="00075D0F" w:rsidRPr="00E55217" w:rsidRDefault="00075D0F" w:rsidP="00ED27ED">
      <w:pPr>
        <w:pStyle w:val="Prrafodelista"/>
        <w:spacing w:before="240" w:after="240" w:line="480" w:lineRule="auto"/>
        <w:ind w:left="284"/>
        <w:jc w:val="both"/>
        <w:rPr>
          <w:rFonts w:eastAsia="Times New Roman" w:cstheme="minorHAnsi"/>
          <w:b/>
          <w:sz w:val="24"/>
          <w:szCs w:val="24"/>
          <w:lang w:val="en-US"/>
        </w:rPr>
      </w:pPr>
      <w:r w:rsidRPr="00E55217">
        <w:rPr>
          <w:rFonts w:eastAsia="Times New Roman" w:cstheme="minorHAnsi"/>
          <w:b/>
          <w:noProof/>
          <w:sz w:val="24"/>
          <w:szCs w:val="24"/>
          <w:lang w:eastAsia="es-ES"/>
        </w:rPr>
        <w:drawing>
          <wp:inline distT="0" distB="0" distL="0" distR="0" wp14:anchorId="4934CAE0" wp14:editId="6C63D5B2">
            <wp:extent cx="2750820" cy="2057400"/>
            <wp:effectExtent l="0" t="0" r="0" b="0"/>
            <wp:docPr id="3" name="Imagen 3" descr="F:\Celia Martín Cuevas\Publicaciones\2025 Generación ADAMTS2\Figuras\Open field supp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elia Martín Cuevas\Publicaciones\2025 Generación ADAMTS2\Figuras\Open field suppl.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50820" cy="2057400"/>
                    </a:xfrm>
                    <a:prstGeom prst="rect">
                      <a:avLst/>
                    </a:prstGeom>
                    <a:noFill/>
                    <a:ln>
                      <a:noFill/>
                    </a:ln>
                  </pic:spPr>
                </pic:pic>
              </a:graphicData>
            </a:graphic>
          </wp:inline>
        </w:drawing>
      </w:r>
    </w:p>
    <w:p w14:paraId="3DF92F4E" w14:textId="2FFD2290" w:rsidR="00075D0F" w:rsidRPr="00E55217" w:rsidRDefault="00E55217" w:rsidP="00075D0F">
      <w:pPr>
        <w:spacing w:before="240" w:after="240" w:line="480" w:lineRule="auto"/>
        <w:jc w:val="both"/>
        <w:rPr>
          <w:rFonts w:eastAsia="Times New Roman" w:cstheme="minorHAnsi"/>
          <w:sz w:val="24"/>
          <w:szCs w:val="24"/>
          <w:lang w:val="en-US"/>
        </w:rPr>
      </w:pPr>
      <w:r>
        <w:rPr>
          <w:rFonts w:eastAsia="Times New Roman" w:cstheme="minorHAnsi"/>
          <w:b/>
          <w:sz w:val="24"/>
          <w:szCs w:val="24"/>
          <w:lang w:val="en-US"/>
        </w:rPr>
        <w:t>Figure S3</w:t>
      </w:r>
      <w:r w:rsidR="00075D0F" w:rsidRPr="00E55217">
        <w:rPr>
          <w:rFonts w:eastAsia="Times New Roman" w:cstheme="minorHAnsi"/>
          <w:b/>
          <w:sz w:val="24"/>
          <w:szCs w:val="24"/>
          <w:lang w:val="en-US"/>
        </w:rPr>
        <w:t>.</w:t>
      </w:r>
      <w:r w:rsidR="00075D0F" w:rsidRPr="00E55217">
        <w:rPr>
          <w:rFonts w:eastAsia="Times New Roman" w:cstheme="minorHAnsi"/>
          <w:sz w:val="24"/>
          <w:szCs w:val="24"/>
          <w:lang w:val="en-US"/>
        </w:rPr>
        <w:t xml:space="preserve"> Total distance traveled is not altered in ADAMTS2-Cre mice in the open field test (n = 12-16 per g</w:t>
      </w:r>
      <w:r w:rsidR="00AD292F" w:rsidRPr="00E55217">
        <w:rPr>
          <w:rFonts w:eastAsia="Times New Roman" w:cstheme="minorHAnsi"/>
          <w:sz w:val="24"/>
          <w:szCs w:val="24"/>
          <w:lang w:val="en-US"/>
        </w:rPr>
        <w:t>enotype and sex)</w:t>
      </w:r>
      <w:r w:rsidR="00075D0F" w:rsidRPr="00E55217">
        <w:rPr>
          <w:rFonts w:eastAsia="Times New Roman" w:cstheme="minorHAnsi"/>
          <w:sz w:val="24"/>
          <w:szCs w:val="24"/>
          <w:lang w:val="en-US"/>
        </w:rPr>
        <w:t xml:space="preserve">. </w:t>
      </w:r>
    </w:p>
    <w:p w14:paraId="59400A26" w14:textId="08D247B9" w:rsidR="009E0EB3" w:rsidRPr="00E55217" w:rsidRDefault="009E0EB3" w:rsidP="00ED27ED">
      <w:pPr>
        <w:pStyle w:val="Prrafodelista"/>
        <w:spacing w:before="240" w:after="240" w:line="480" w:lineRule="auto"/>
        <w:ind w:left="284"/>
        <w:jc w:val="both"/>
        <w:rPr>
          <w:rFonts w:eastAsia="Times New Roman" w:cstheme="minorHAnsi"/>
          <w:b/>
          <w:sz w:val="24"/>
          <w:szCs w:val="24"/>
          <w:lang w:val="en-US"/>
        </w:rPr>
      </w:pPr>
    </w:p>
    <w:p w14:paraId="022BD8E2" w14:textId="1F856927" w:rsidR="009E0EB3" w:rsidRPr="00461DED" w:rsidRDefault="009E0EB3" w:rsidP="00461DED">
      <w:pPr>
        <w:spacing w:before="240" w:after="240" w:line="480" w:lineRule="auto"/>
        <w:jc w:val="both"/>
        <w:rPr>
          <w:rFonts w:eastAsia="Times New Roman" w:cstheme="minorHAnsi"/>
          <w:b/>
          <w:sz w:val="24"/>
          <w:szCs w:val="24"/>
          <w:lang w:val="en-US"/>
        </w:rPr>
      </w:pPr>
      <w:r w:rsidRPr="00461DED">
        <w:rPr>
          <w:rFonts w:eastAsia="Times New Roman" w:cstheme="minorHAnsi"/>
          <w:b/>
          <w:sz w:val="24"/>
          <w:szCs w:val="24"/>
          <w:lang w:val="en-US"/>
        </w:rPr>
        <w:t>Percentage of alternations in the Y-maze test</w:t>
      </w:r>
    </w:p>
    <w:p w14:paraId="0616379D" w14:textId="47583526" w:rsidR="009E0EB3" w:rsidRPr="00E55217" w:rsidRDefault="009E0EB3" w:rsidP="00ED27ED">
      <w:pPr>
        <w:pStyle w:val="Prrafodelista"/>
        <w:spacing w:before="240" w:after="240" w:line="480" w:lineRule="auto"/>
        <w:ind w:left="284"/>
        <w:jc w:val="both"/>
        <w:rPr>
          <w:rFonts w:eastAsia="Times New Roman" w:cstheme="minorHAnsi"/>
          <w:b/>
          <w:sz w:val="24"/>
          <w:szCs w:val="24"/>
          <w:lang w:val="en-US"/>
        </w:rPr>
      </w:pPr>
      <w:r w:rsidRPr="00E55217">
        <w:rPr>
          <w:rFonts w:eastAsia="Times New Roman" w:cstheme="minorHAnsi"/>
          <w:b/>
          <w:noProof/>
          <w:sz w:val="24"/>
          <w:szCs w:val="24"/>
          <w:lang w:eastAsia="es-ES"/>
        </w:rPr>
        <w:drawing>
          <wp:inline distT="0" distB="0" distL="0" distR="0" wp14:anchorId="660DB9D0" wp14:editId="75798BAF">
            <wp:extent cx="2987040" cy="2164080"/>
            <wp:effectExtent l="0" t="0" r="3810" b="7620"/>
            <wp:docPr id="6" name="Imagen 6" descr="F:\Celia Martín Cuevas\Publicaciones\2025 Generación ADAMTS2\Figuras\Cognitive symptoms supp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elia Martín Cuevas\Publicaciones\2025 Generación ADAMTS2\Figuras\Cognitive symptoms suppl.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7040" cy="2164080"/>
                    </a:xfrm>
                    <a:prstGeom prst="rect">
                      <a:avLst/>
                    </a:prstGeom>
                    <a:noFill/>
                    <a:ln>
                      <a:noFill/>
                    </a:ln>
                  </pic:spPr>
                </pic:pic>
              </a:graphicData>
            </a:graphic>
          </wp:inline>
        </w:drawing>
      </w:r>
    </w:p>
    <w:p w14:paraId="1DFBBDF6" w14:textId="4B64F77F" w:rsidR="009E0EB3" w:rsidRPr="00E55217" w:rsidRDefault="00E55217" w:rsidP="00150E4E">
      <w:pPr>
        <w:pStyle w:val="Prrafodelista"/>
        <w:spacing w:before="240" w:after="240" w:line="480" w:lineRule="auto"/>
        <w:ind w:left="0"/>
        <w:jc w:val="both"/>
        <w:rPr>
          <w:rFonts w:eastAsia="Times New Roman" w:cstheme="minorHAnsi"/>
          <w:sz w:val="24"/>
          <w:szCs w:val="24"/>
          <w:lang w:val="en-US"/>
        </w:rPr>
      </w:pPr>
      <w:r>
        <w:rPr>
          <w:rFonts w:eastAsia="Times New Roman" w:cstheme="minorHAnsi"/>
          <w:b/>
          <w:sz w:val="24"/>
          <w:szCs w:val="24"/>
          <w:lang w:val="en-US"/>
        </w:rPr>
        <w:t>Figure S4</w:t>
      </w:r>
      <w:r w:rsidR="009E0EB3" w:rsidRPr="00E55217">
        <w:rPr>
          <w:rFonts w:eastAsia="Times New Roman" w:cstheme="minorHAnsi"/>
          <w:b/>
          <w:sz w:val="24"/>
          <w:szCs w:val="24"/>
          <w:lang w:val="en-US"/>
        </w:rPr>
        <w:t>.</w:t>
      </w:r>
      <w:r w:rsidR="009E0EB3" w:rsidRPr="00E55217">
        <w:rPr>
          <w:rFonts w:eastAsia="Times New Roman" w:cstheme="minorHAnsi"/>
          <w:sz w:val="24"/>
          <w:szCs w:val="24"/>
          <w:lang w:val="en-US"/>
        </w:rPr>
        <w:t xml:space="preserve"> Percentage of alternations is not altered in ADAMTS2-Cre mice in the Y-maze test (n = 12-16 per genotype and sex).</w:t>
      </w:r>
    </w:p>
    <w:p w14:paraId="31024B81" w14:textId="356D622F" w:rsidR="00150E4E" w:rsidRDefault="00150E4E" w:rsidP="00150E4E">
      <w:pPr>
        <w:pStyle w:val="Prrafodelista"/>
        <w:spacing w:before="240" w:after="240" w:line="480" w:lineRule="auto"/>
        <w:ind w:left="0"/>
        <w:jc w:val="both"/>
        <w:rPr>
          <w:rFonts w:eastAsia="Times New Roman" w:cstheme="minorHAnsi"/>
          <w:b/>
          <w:sz w:val="24"/>
          <w:szCs w:val="24"/>
          <w:lang w:val="en-US"/>
        </w:rPr>
      </w:pPr>
    </w:p>
    <w:p w14:paraId="405C6B0F" w14:textId="77777777" w:rsidR="00E578FB" w:rsidRDefault="00E578FB" w:rsidP="00150E4E">
      <w:pPr>
        <w:pStyle w:val="Prrafodelista"/>
        <w:spacing w:before="240" w:after="240" w:line="480" w:lineRule="auto"/>
        <w:ind w:left="0"/>
        <w:jc w:val="both"/>
        <w:rPr>
          <w:rFonts w:eastAsia="Times New Roman" w:cstheme="minorHAnsi"/>
          <w:b/>
          <w:sz w:val="24"/>
          <w:szCs w:val="24"/>
          <w:lang w:val="en-US"/>
        </w:rPr>
      </w:pPr>
      <w:bookmarkStart w:id="0" w:name="_GoBack"/>
      <w:bookmarkEnd w:id="0"/>
    </w:p>
    <w:p w14:paraId="5E59F963" w14:textId="589F5EBF" w:rsidR="00150E4E" w:rsidRPr="00461DED" w:rsidRDefault="00150E4E" w:rsidP="00461DED">
      <w:pPr>
        <w:spacing w:before="240" w:after="240" w:line="480" w:lineRule="auto"/>
        <w:jc w:val="both"/>
        <w:rPr>
          <w:rFonts w:eastAsia="Times New Roman" w:cstheme="minorHAnsi"/>
          <w:b/>
          <w:sz w:val="24"/>
          <w:szCs w:val="24"/>
          <w:lang w:val="en-US"/>
        </w:rPr>
      </w:pPr>
      <w:r w:rsidRPr="00461DED">
        <w:rPr>
          <w:rFonts w:eastAsia="Times New Roman" w:cstheme="minorHAnsi"/>
          <w:b/>
          <w:sz w:val="24"/>
          <w:szCs w:val="24"/>
          <w:lang w:val="en-US"/>
        </w:rPr>
        <w:lastRenderedPageBreak/>
        <w:t>Reelin-positive cell density in ADAMTS2-Cre mice</w:t>
      </w:r>
    </w:p>
    <w:p w14:paraId="1996AB09" w14:textId="1BC89919" w:rsidR="00075D0F" w:rsidRPr="00E55217" w:rsidRDefault="00B7151E" w:rsidP="00B7151E">
      <w:pPr>
        <w:pStyle w:val="Prrafodelista"/>
        <w:spacing w:before="240" w:after="240" w:line="480" w:lineRule="auto"/>
        <w:ind w:left="0"/>
        <w:jc w:val="both"/>
        <w:rPr>
          <w:rFonts w:eastAsia="Times New Roman" w:cstheme="minorHAnsi"/>
          <w:b/>
          <w:sz w:val="24"/>
          <w:szCs w:val="24"/>
          <w:lang w:val="en-US"/>
        </w:rPr>
      </w:pPr>
      <w:r w:rsidRPr="00B7151E">
        <w:rPr>
          <w:rFonts w:eastAsia="Times New Roman" w:cstheme="minorHAnsi"/>
          <w:b/>
          <w:noProof/>
          <w:sz w:val="24"/>
          <w:szCs w:val="24"/>
          <w:lang w:eastAsia="es-ES"/>
        </w:rPr>
        <w:drawing>
          <wp:inline distT="0" distB="0" distL="0" distR="0" wp14:anchorId="4DE3E9D1" wp14:editId="74747EFE">
            <wp:extent cx="5731510" cy="4844387"/>
            <wp:effectExtent l="0" t="0" r="2540" b="0"/>
            <wp:docPr id="8" name="Imagen 8" descr="D:\Documentos\Publicaciones\2026 The role of ADAMTS2 in SCZ\Figuras\IF Reelin supp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os\Publicaciones\2026 The role of ADAMTS2 in SCZ\Figuras\IF Reelin suppl.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844387"/>
                    </a:xfrm>
                    <a:prstGeom prst="rect">
                      <a:avLst/>
                    </a:prstGeom>
                    <a:noFill/>
                    <a:ln>
                      <a:noFill/>
                    </a:ln>
                  </pic:spPr>
                </pic:pic>
              </a:graphicData>
            </a:graphic>
          </wp:inline>
        </w:drawing>
      </w:r>
    </w:p>
    <w:p w14:paraId="7A544B3C" w14:textId="1664D5DB" w:rsidR="00150E4E" w:rsidRPr="00E55217" w:rsidRDefault="00150E4E" w:rsidP="00150E4E">
      <w:pPr>
        <w:spacing w:before="240" w:after="240" w:line="480" w:lineRule="auto"/>
        <w:jc w:val="both"/>
        <w:rPr>
          <w:rFonts w:eastAsia="Times New Roman" w:cstheme="minorHAnsi"/>
          <w:sz w:val="24"/>
          <w:szCs w:val="24"/>
          <w:lang w:val="en-US"/>
        </w:rPr>
      </w:pPr>
      <w:r w:rsidRPr="00E55217">
        <w:rPr>
          <w:rFonts w:eastAsia="Times New Roman" w:cstheme="minorHAnsi"/>
          <w:b/>
          <w:sz w:val="24"/>
          <w:szCs w:val="24"/>
          <w:lang w:val="en-US"/>
        </w:rPr>
        <w:t xml:space="preserve">Figure </w:t>
      </w:r>
      <w:r w:rsidR="00E55217">
        <w:rPr>
          <w:rFonts w:eastAsia="Times New Roman" w:cstheme="minorHAnsi"/>
          <w:b/>
          <w:sz w:val="24"/>
          <w:szCs w:val="24"/>
          <w:lang w:val="en-US"/>
        </w:rPr>
        <w:t>S5</w:t>
      </w:r>
      <w:r w:rsidRPr="00E55217">
        <w:rPr>
          <w:rFonts w:eastAsia="Times New Roman" w:cstheme="minorHAnsi"/>
          <w:b/>
          <w:sz w:val="24"/>
          <w:szCs w:val="24"/>
          <w:lang w:val="en-US"/>
        </w:rPr>
        <w:t>.</w:t>
      </w:r>
      <w:r w:rsidRPr="00E55217">
        <w:rPr>
          <w:rFonts w:eastAsia="Times New Roman" w:cstheme="minorHAnsi"/>
          <w:sz w:val="24"/>
          <w:szCs w:val="24"/>
          <w:lang w:val="en-US"/>
        </w:rPr>
        <w:t xml:space="preserve"> </w:t>
      </w:r>
      <w:r w:rsidR="006C2785" w:rsidRPr="006C2785">
        <w:rPr>
          <w:rFonts w:eastAsia="Times New Roman" w:cstheme="minorHAnsi"/>
          <w:b/>
          <w:sz w:val="24"/>
          <w:szCs w:val="24"/>
          <w:lang w:val="en-US"/>
        </w:rPr>
        <w:t>Reelin-positive cell density is comparable between ADAMTS2-C</w:t>
      </w:r>
      <w:r w:rsidR="006C2785">
        <w:rPr>
          <w:rFonts w:eastAsia="Times New Roman" w:cstheme="minorHAnsi"/>
          <w:b/>
          <w:sz w:val="24"/>
          <w:szCs w:val="24"/>
          <w:lang w:val="en-US"/>
        </w:rPr>
        <w:t>re mice and control littermates</w:t>
      </w:r>
      <w:r w:rsidRPr="00E55217">
        <w:rPr>
          <w:rFonts w:eastAsia="Times New Roman" w:cstheme="minorHAnsi"/>
          <w:b/>
          <w:sz w:val="24"/>
          <w:szCs w:val="24"/>
          <w:lang w:val="en-US"/>
        </w:rPr>
        <w:t>. A,</w:t>
      </w:r>
      <w:r w:rsidRPr="00E55217">
        <w:rPr>
          <w:rFonts w:eastAsia="Times New Roman" w:cstheme="minorHAnsi"/>
          <w:sz w:val="24"/>
          <w:szCs w:val="24"/>
          <w:lang w:val="en-US"/>
        </w:rPr>
        <w:t xml:space="preserve"> </w:t>
      </w:r>
      <w:r w:rsidR="006C2785" w:rsidRPr="006C2785">
        <w:rPr>
          <w:rFonts w:eastAsia="Times New Roman" w:cstheme="minorHAnsi"/>
          <w:sz w:val="24"/>
          <w:szCs w:val="24"/>
          <w:lang w:val="en-US"/>
        </w:rPr>
        <w:t xml:space="preserve">Representative immunofluorescence </w:t>
      </w:r>
      <w:r w:rsidR="006C2785">
        <w:rPr>
          <w:rFonts w:eastAsia="Times New Roman" w:cstheme="minorHAnsi"/>
          <w:sz w:val="24"/>
          <w:szCs w:val="24"/>
          <w:lang w:val="en-US"/>
        </w:rPr>
        <w:t>images of the prefrontal cortex and quantification of Reelin-positive cell density</w:t>
      </w:r>
      <w:r w:rsidRPr="00E55217">
        <w:rPr>
          <w:rFonts w:eastAsia="Times New Roman" w:cstheme="minorHAnsi"/>
          <w:sz w:val="24"/>
          <w:szCs w:val="24"/>
          <w:lang w:val="en-US"/>
        </w:rPr>
        <w:t xml:space="preserve">. </w:t>
      </w:r>
      <w:r w:rsidRPr="00E55217">
        <w:rPr>
          <w:rFonts w:eastAsia="Times New Roman" w:cstheme="minorHAnsi"/>
          <w:b/>
          <w:sz w:val="24"/>
          <w:szCs w:val="24"/>
          <w:lang w:val="en-US"/>
        </w:rPr>
        <w:t>B</w:t>
      </w:r>
      <w:r w:rsidRPr="006C2785">
        <w:rPr>
          <w:rFonts w:eastAsia="Times New Roman" w:cstheme="minorHAnsi"/>
          <w:b/>
          <w:sz w:val="24"/>
          <w:szCs w:val="24"/>
          <w:lang w:val="en-US"/>
        </w:rPr>
        <w:t xml:space="preserve">, </w:t>
      </w:r>
      <w:r w:rsidR="006C2785" w:rsidRPr="006C2785">
        <w:rPr>
          <w:rFonts w:eastAsia="Times New Roman" w:cstheme="minorHAnsi"/>
          <w:sz w:val="24"/>
          <w:szCs w:val="24"/>
          <w:lang w:val="en-US"/>
        </w:rPr>
        <w:t>Representative images of the stratum</w:t>
      </w:r>
      <w:r w:rsidR="006C2785">
        <w:rPr>
          <w:rFonts w:eastAsia="Times New Roman" w:cstheme="minorHAnsi"/>
          <w:sz w:val="24"/>
          <w:szCs w:val="24"/>
          <w:lang w:val="en-US"/>
        </w:rPr>
        <w:t>,</w:t>
      </w:r>
      <w:r w:rsidR="006C2785" w:rsidRPr="006C2785">
        <w:rPr>
          <w:rFonts w:eastAsia="Times New Roman" w:cstheme="minorHAnsi"/>
          <w:sz w:val="24"/>
          <w:szCs w:val="24"/>
          <w:lang w:val="en-US"/>
        </w:rPr>
        <w:t xml:space="preserve"> oriens</w:t>
      </w:r>
      <w:r w:rsidR="001819B8">
        <w:rPr>
          <w:rFonts w:eastAsia="Times New Roman" w:cstheme="minorHAnsi"/>
          <w:sz w:val="24"/>
          <w:szCs w:val="24"/>
          <w:lang w:val="en-US"/>
        </w:rPr>
        <w:t xml:space="preserve"> (SO)</w:t>
      </w:r>
      <w:r w:rsidR="006C2785" w:rsidRPr="006C2785">
        <w:rPr>
          <w:rFonts w:eastAsia="Times New Roman" w:cstheme="minorHAnsi"/>
          <w:sz w:val="24"/>
          <w:szCs w:val="24"/>
          <w:lang w:val="en-US"/>
        </w:rPr>
        <w:t xml:space="preserve"> and hilus within the hippocampal formation</w:t>
      </w:r>
      <w:r w:rsidR="006C2785">
        <w:rPr>
          <w:rFonts w:eastAsia="Times New Roman" w:cstheme="minorHAnsi"/>
          <w:sz w:val="24"/>
          <w:szCs w:val="24"/>
          <w:lang w:val="en-US"/>
        </w:rPr>
        <w:t>, and quantification of Reelin-positive cell density</w:t>
      </w:r>
      <w:r w:rsidR="006C2785" w:rsidRPr="006C2785">
        <w:rPr>
          <w:rFonts w:eastAsia="Times New Roman" w:cstheme="minorHAnsi"/>
          <w:sz w:val="24"/>
          <w:szCs w:val="24"/>
          <w:lang w:val="en-US"/>
        </w:rPr>
        <w:t xml:space="preserve">. Quantification was performed across matched coronal sections (n = 6 mice per genotype). </w:t>
      </w:r>
      <w:r w:rsidRPr="006C2785">
        <w:rPr>
          <w:rFonts w:eastAsia="Times New Roman" w:cstheme="minorHAnsi"/>
          <w:sz w:val="24"/>
          <w:szCs w:val="24"/>
          <w:lang w:val="en-US"/>
        </w:rPr>
        <w:t>Scale</w:t>
      </w:r>
      <w:r w:rsidRPr="00E55217">
        <w:rPr>
          <w:rFonts w:eastAsia="Times New Roman" w:cstheme="minorHAnsi"/>
          <w:sz w:val="24"/>
          <w:szCs w:val="24"/>
          <w:lang w:val="en-US"/>
        </w:rPr>
        <w:t>: 250µm.</w:t>
      </w:r>
    </w:p>
    <w:p w14:paraId="6D1283B9" w14:textId="243EEE23" w:rsidR="00150E4E" w:rsidRPr="00E55217" w:rsidRDefault="00150E4E" w:rsidP="00ED27ED">
      <w:pPr>
        <w:pStyle w:val="Prrafodelista"/>
        <w:spacing w:before="240" w:after="240" w:line="480" w:lineRule="auto"/>
        <w:ind w:left="284"/>
        <w:jc w:val="both"/>
        <w:rPr>
          <w:rFonts w:eastAsia="Times New Roman" w:cstheme="minorHAnsi"/>
          <w:b/>
          <w:sz w:val="24"/>
          <w:szCs w:val="24"/>
          <w:lang w:val="en-US"/>
        </w:rPr>
      </w:pPr>
    </w:p>
    <w:p w14:paraId="1D4280C5" w14:textId="1B52C70E" w:rsidR="00150E4E" w:rsidRPr="00E55217" w:rsidRDefault="00150E4E" w:rsidP="00ED27ED">
      <w:pPr>
        <w:pStyle w:val="Prrafodelista"/>
        <w:spacing w:before="240" w:after="240" w:line="480" w:lineRule="auto"/>
        <w:ind w:left="284"/>
        <w:jc w:val="both"/>
        <w:rPr>
          <w:rFonts w:eastAsia="Times New Roman" w:cstheme="minorHAnsi"/>
          <w:b/>
          <w:sz w:val="24"/>
          <w:szCs w:val="24"/>
          <w:lang w:val="en-US"/>
        </w:rPr>
      </w:pPr>
    </w:p>
    <w:p w14:paraId="47FB254A" w14:textId="003E6691" w:rsidR="002D33E1" w:rsidRPr="00461DED" w:rsidRDefault="002D33E1" w:rsidP="00461DED">
      <w:pPr>
        <w:spacing w:before="240" w:after="240" w:line="480" w:lineRule="auto"/>
        <w:jc w:val="both"/>
        <w:rPr>
          <w:rFonts w:eastAsia="Times New Roman" w:cstheme="minorHAnsi"/>
          <w:b/>
          <w:sz w:val="24"/>
          <w:szCs w:val="24"/>
          <w:lang w:val="en-US"/>
        </w:rPr>
      </w:pPr>
      <w:r w:rsidRPr="00461DED">
        <w:rPr>
          <w:rFonts w:eastAsia="Times New Roman" w:cstheme="minorHAnsi"/>
          <w:b/>
          <w:sz w:val="24"/>
          <w:szCs w:val="24"/>
          <w:lang w:val="en-US"/>
        </w:rPr>
        <w:lastRenderedPageBreak/>
        <w:t>Total cortical thickness in ADAMTS2-Cre mice</w:t>
      </w:r>
    </w:p>
    <w:p w14:paraId="3AC970E9" w14:textId="5C10091F" w:rsidR="008A3FD3" w:rsidRPr="00E55217" w:rsidRDefault="003F2B68" w:rsidP="008A3FD3">
      <w:pPr>
        <w:spacing w:before="240" w:after="240" w:line="480" w:lineRule="auto"/>
        <w:jc w:val="both"/>
        <w:rPr>
          <w:rFonts w:eastAsia="Times New Roman" w:cstheme="minorHAnsi"/>
          <w:b/>
          <w:sz w:val="24"/>
          <w:szCs w:val="24"/>
          <w:lang w:val="en-US"/>
        </w:rPr>
      </w:pPr>
      <w:r w:rsidRPr="00E55217">
        <w:rPr>
          <w:rFonts w:eastAsia="Times New Roman" w:cstheme="minorHAnsi"/>
          <w:b/>
          <w:noProof/>
          <w:sz w:val="24"/>
          <w:szCs w:val="24"/>
          <w:lang w:eastAsia="es-ES"/>
        </w:rPr>
        <w:drawing>
          <wp:inline distT="0" distB="0" distL="0" distR="0" wp14:anchorId="1516591B" wp14:editId="44A72A56">
            <wp:extent cx="4781550" cy="3676650"/>
            <wp:effectExtent l="0" t="0" r="0" b="0"/>
            <wp:docPr id="4" name="Imagen 4" descr="D:\Documentos\Publicaciones\2025 Generación ADAMTS2\Figuras\Cortical thickness supp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os\Publicaciones\2025 Generación ADAMTS2\Figuras\Cortical thickness suppl.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81550" cy="3676650"/>
                    </a:xfrm>
                    <a:prstGeom prst="rect">
                      <a:avLst/>
                    </a:prstGeom>
                    <a:noFill/>
                    <a:ln>
                      <a:noFill/>
                    </a:ln>
                  </pic:spPr>
                </pic:pic>
              </a:graphicData>
            </a:graphic>
          </wp:inline>
        </w:drawing>
      </w:r>
    </w:p>
    <w:p w14:paraId="3DA05AB5" w14:textId="052031CF" w:rsidR="008A3FD3" w:rsidRPr="00E55217" w:rsidRDefault="00E55217" w:rsidP="008A3FD3">
      <w:pPr>
        <w:spacing w:before="240" w:after="240" w:line="480" w:lineRule="auto"/>
        <w:jc w:val="both"/>
        <w:rPr>
          <w:rFonts w:eastAsia="Times New Roman" w:cstheme="minorHAnsi"/>
          <w:sz w:val="24"/>
          <w:szCs w:val="24"/>
          <w:lang w:val="en-US"/>
        </w:rPr>
      </w:pPr>
      <w:r>
        <w:rPr>
          <w:rFonts w:eastAsia="Times New Roman" w:cstheme="minorHAnsi"/>
          <w:b/>
          <w:sz w:val="24"/>
          <w:szCs w:val="24"/>
          <w:lang w:val="en-US"/>
        </w:rPr>
        <w:t>Figure S6</w:t>
      </w:r>
      <w:r w:rsidR="008A3FD3" w:rsidRPr="00E55217">
        <w:rPr>
          <w:rFonts w:eastAsia="Times New Roman" w:cstheme="minorHAnsi"/>
          <w:b/>
          <w:sz w:val="24"/>
          <w:szCs w:val="24"/>
          <w:lang w:val="en-US"/>
        </w:rPr>
        <w:t>.</w:t>
      </w:r>
      <w:r w:rsidR="008A3FD3" w:rsidRPr="00E55217">
        <w:rPr>
          <w:rFonts w:eastAsia="Times New Roman" w:cstheme="minorHAnsi"/>
          <w:sz w:val="24"/>
          <w:szCs w:val="24"/>
          <w:lang w:val="en-US"/>
        </w:rPr>
        <w:t xml:space="preserve"> </w:t>
      </w:r>
      <w:r w:rsidR="00016343" w:rsidRPr="00016343">
        <w:rPr>
          <w:rFonts w:eastAsia="Times New Roman" w:cstheme="minorHAnsi"/>
          <w:sz w:val="24"/>
          <w:szCs w:val="24"/>
          <w:lang w:val="en-US"/>
        </w:rPr>
        <w:t>Total cortical thickness is preserved in ADAMTS2-Cre mice. Representative DAPI-stained coronal sections illustrating cortical layer organization were used for quantification. Measurements of total cortical thickness were performed on matched levels (n = 3 mice per genotype and sex). Scale bar: 250 µm.</w:t>
      </w:r>
    </w:p>
    <w:p w14:paraId="42435994" w14:textId="2CD0617A" w:rsidR="00150E4E" w:rsidRPr="00E55217" w:rsidRDefault="00150E4E" w:rsidP="008A3FD3">
      <w:pPr>
        <w:spacing w:before="240" w:after="240" w:line="480" w:lineRule="auto"/>
        <w:jc w:val="both"/>
        <w:rPr>
          <w:rFonts w:eastAsia="Times New Roman" w:cstheme="minorHAnsi"/>
          <w:sz w:val="24"/>
          <w:szCs w:val="24"/>
          <w:lang w:val="en-US"/>
        </w:rPr>
      </w:pPr>
    </w:p>
    <w:p w14:paraId="51384F93" w14:textId="78519477" w:rsidR="00150E4E" w:rsidRPr="00E55217" w:rsidRDefault="00150E4E" w:rsidP="008A3FD3">
      <w:pPr>
        <w:spacing w:before="240" w:after="240" w:line="480" w:lineRule="auto"/>
        <w:jc w:val="both"/>
        <w:rPr>
          <w:rFonts w:eastAsia="Times New Roman" w:cstheme="minorHAnsi"/>
          <w:sz w:val="24"/>
          <w:szCs w:val="24"/>
          <w:lang w:val="en-US"/>
        </w:rPr>
      </w:pPr>
    </w:p>
    <w:p w14:paraId="6CB97FCE" w14:textId="2368F54D" w:rsidR="00150E4E" w:rsidRPr="00E55217" w:rsidRDefault="00150E4E" w:rsidP="008A3FD3">
      <w:pPr>
        <w:spacing w:before="240" w:after="240" w:line="480" w:lineRule="auto"/>
        <w:jc w:val="both"/>
        <w:rPr>
          <w:rFonts w:eastAsia="Times New Roman" w:cstheme="minorHAnsi"/>
          <w:sz w:val="24"/>
          <w:szCs w:val="24"/>
          <w:lang w:val="en-US"/>
        </w:rPr>
      </w:pPr>
    </w:p>
    <w:p w14:paraId="0C97615E" w14:textId="267F172F" w:rsidR="00150E4E" w:rsidRPr="00E55217" w:rsidRDefault="00150E4E" w:rsidP="008A3FD3">
      <w:pPr>
        <w:spacing w:before="240" w:after="240" w:line="480" w:lineRule="auto"/>
        <w:jc w:val="both"/>
        <w:rPr>
          <w:rFonts w:eastAsia="Times New Roman" w:cstheme="minorHAnsi"/>
          <w:sz w:val="24"/>
          <w:szCs w:val="24"/>
          <w:lang w:val="en-US"/>
        </w:rPr>
      </w:pPr>
    </w:p>
    <w:p w14:paraId="74A93D37" w14:textId="1B9E4A57" w:rsidR="00150E4E" w:rsidRPr="00E55217" w:rsidRDefault="00150E4E" w:rsidP="008A3FD3">
      <w:pPr>
        <w:spacing w:before="240" w:after="240" w:line="480" w:lineRule="auto"/>
        <w:jc w:val="both"/>
        <w:rPr>
          <w:rFonts w:eastAsia="Times New Roman" w:cstheme="minorHAnsi"/>
          <w:sz w:val="24"/>
          <w:szCs w:val="24"/>
          <w:lang w:val="en-US"/>
        </w:rPr>
      </w:pPr>
    </w:p>
    <w:p w14:paraId="3955A0F2" w14:textId="61B1AA37" w:rsidR="002D33E1" w:rsidRPr="00461DED" w:rsidRDefault="002D33E1" w:rsidP="00461DED">
      <w:pPr>
        <w:spacing w:before="240" w:after="240" w:line="480" w:lineRule="auto"/>
        <w:jc w:val="both"/>
        <w:rPr>
          <w:rFonts w:eastAsia="Times New Roman" w:cstheme="minorHAnsi"/>
          <w:b/>
          <w:sz w:val="24"/>
          <w:szCs w:val="24"/>
          <w:lang w:val="en-US"/>
        </w:rPr>
      </w:pPr>
      <w:r w:rsidRPr="00461DED">
        <w:rPr>
          <w:rFonts w:eastAsia="Times New Roman" w:cstheme="minorHAnsi"/>
          <w:b/>
          <w:sz w:val="24"/>
          <w:szCs w:val="24"/>
          <w:lang w:val="en-US"/>
        </w:rPr>
        <w:lastRenderedPageBreak/>
        <w:t>Dendritic spine density in PFC and HP in ADAMTS2-Cre mice</w:t>
      </w:r>
    </w:p>
    <w:p w14:paraId="02CFE25B" w14:textId="6CB8E6B2" w:rsidR="008A3FD3" w:rsidRPr="00E55217" w:rsidRDefault="003F2B68" w:rsidP="008A3FD3">
      <w:pPr>
        <w:spacing w:before="240" w:after="240" w:line="480" w:lineRule="auto"/>
        <w:jc w:val="both"/>
        <w:rPr>
          <w:rFonts w:eastAsia="Times New Roman" w:cstheme="minorHAnsi"/>
          <w:b/>
          <w:sz w:val="24"/>
          <w:szCs w:val="24"/>
          <w:lang w:val="en-US"/>
        </w:rPr>
      </w:pPr>
      <w:r w:rsidRPr="00E55217">
        <w:rPr>
          <w:rFonts w:eastAsia="Times New Roman" w:cstheme="minorHAnsi"/>
          <w:b/>
          <w:noProof/>
          <w:sz w:val="24"/>
          <w:szCs w:val="24"/>
          <w:lang w:eastAsia="es-ES"/>
        </w:rPr>
        <w:drawing>
          <wp:inline distT="0" distB="0" distL="0" distR="0" wp14:anchorId="6091F6CC" wp14:editId="52B82B57">
            <wp:extent cx="5731510" cy="3894262"/>
            <wp:effectExtent l="0" t="0" r="2540" b="0"/>
            <wp:docPr id="5" name="Imagen 5" descr="D:\Documentos\Publicaciones\2025 Generación ADAMTS2\Figuras\Golgi supp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os\Publicaciones\2025 Generación ADAMTS2\Figuras\Golgi suppl.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894262"/>
                    </a:xfrm>
                    <a:prstGeom prst="rect">
                      <a:avLst/>
                    </a:prstGeom>
                    <a:noFill/>
                    <a:ln>
                      <a:noFill/>
                    </a:ln>
                  </pic:spPr>
                </pic:pic>
              </a:graphicData>
            </a:graphic>
          </wp:inline>
        </w:drawing>
      </w:r>
    </w:p>
    <w:p w14:paraId="36DF6997" w14:textId="7C61C88B" w:rsidR="008A3FD3" w:rsidRPr="00016343" w:rsidRDefault="00E55217" w:rsidP="008A3FD3">
      <w:pPr>
        <w:spacing w:before="240" w:after="240" w:line="480" w:lineRule="auto"/>
        <w:jc w:val="both"/>
        <w:rPr>
          <w:rFonts w:eastAsia="Times New Roman" w:cstheme="minorHAnsi"/>
          <w:sz w:val="24"/>
          <w:szCs w:val="24"/>
          <w:lang w:val="en-US"/>
        </w:rPr>
      </w:pPr>
      <w:r>
        <w:rPr>
          <w:rFonts w:eastAsia="Times New Roman" w:cstheme="minorHAnsi"/>
          <w:b/>
          <w:sz w:val="24"/>
          <w:szCs w:val="24"/>
          <w:lang w:val="en-US"/>
        </w:rPr>
        <w:t>Figure S7</w:t>
      </w:r>
      <w:r w:rsidR="008A3FD3" w:rsidRPr="00E55217">
        <w:rPr>
          <w:rFonts w:eastAsia="Times New Roman" w:cstheme="minorHAnsi"/>
          <w:b/>
          <w:sz w:val="24"/>
          <w:szCs w:val="24"/>
          <w:lang w:val="en-US"/>
        </w:rPr>
        <w:t>.</w:t>
      </w:r>
      <w:r w:rsidR="008A3FD3" w:rsidRPr="00E55217">
        <w:rPr>
          <w:rFonts w:eastAsia="Times New Roman" w:cstheme="minorHAnsi"/>
          <w:sz w:val="24"/>
          <w:szCs w:val="24"/>
          <w:lang w:val="en-US"/>
        </w:rPr>
        <w:t xml:space="preserve"> </w:t>
      </w:r>
      <w:r w:rsidR="00016343" w:rsidRPr="00016343">
        <w:rPr>
          <w:rFonts w:eastAsia="Times New Roman" w:cstheme="minorHAnsi"/>
          <w:sz w:val="24"/>
          <w:szCs w:val="24"/>
          <w:lang w:val="en-US"/>
        </w:rPr>
        <w:t>Dendritic spine density is preserved in ADAMTS2-Cre mice. (A) Representative Golgi–Cox–impregnated dendritic segments from CA1 pyramidal neurons in the hippocampus. (B) Representative dendritic segments from pyramidal neuron</w:t>
      </w:r>
      <w:r w:rsidR="00016343">
        <w:rPr>
          <w:rFonts w:eastAsia="Times New Roman" w:cstheme="minorHAnsi"/>
          <w:sz w:val="24"/>
          <w:szCs w:val="24"/>
          <w:lang w:val="en-US"/>
        </w:rPr>
        <w:t>s in the prefrontal cortex</w:t>
      </w:r>
      <w:r w:rsidR="00016343" w:rsidRPr="00016343">
        <w:rPr>
          <w:rFonts w:eastAsia="Times New Roman" w:cstheme="minorHAnsi"/>
          <w:sz w:val="24"/>
          <w:szCs w:val="24"/>
          <w:lang w:val="en-US"/>
        </w:rPr>
        <w:t xml:space="preserve">. Spine density was quantified along </w:t>
      </w:r>
      <w:r w:rsidR="00016343">
        <w:rPr>
          <w:rFonts w:eastAsia="Times New Roman" w:cstheme="minorHAnsi"/>
          <w:sz w:val="24"/>
          <w:szCs w:val="24"/>
          <w:lang w:val="en-US"/>
        </w:rPr>
        <w:t>secondary</w:t>
      </w:r>
      <w:r w:rsidR="00016343" w:rsidRPr="00016343">
        <w:rPr>
          <w:rFonts w:eastAsia="Times New Roman" w:cstheme="minorHAnsi"/>
          <w:sz w:val="24"/>
          <w:szCs w:val="24"/>
          <w:lang w:val="en-US"/>
        </w:rPr>
        <w:t xml:space="preserve"> dendritic branches from well-impregnated neurons at matched levels (n = 4–6 mice per genotype and sex). Scale bar: 10 µm.</w:t>
      </w:r>
    </w:p>
    <w:p w14:paraId="405ED936" w14:textId="4E576FF6" w:rsidR="008A3FD3" w:rsidRDefault="008A3FD3" w:rsidP="008A3FD3">
      <w:pPr>
        <w:spacing w:before="240" w:after="240" w:line="480" w:lineRule="auto"/>
        <w:jc w:val="both"/>
        <w:rPr>
          <w:rFonts w:eastAsia="Times New Roman" w:cstheme="minorHAnsi"/>
          <w:b/>
          <w:sz w:val="24"/>
          <w:szCs w:val="24"/>
          <w:lang w:val="en-US"/>
        </w:rPr>
      </w:pPr>
    </w:p>
    <w:p w14:paraId="0B6F06C3" w14:textId="3D632AE0" w:rsidR="00016343" w:rsidRDefault="00016343" w:rsidP="008A3FD3">
      <w:pPr>
        <w:spacing w:before="240" w:after="240" w:line="480" w:lineRule="auto"/>
        <w:jc w:val="both"/>
        <w:rPr>
          <w:rFonts w:eastAsia="Times New Roman" w:cstheme="minorHAnsi"/>
          <w:b/>
          <w:sz w:val="24"/>
          <w:szCs w:val="24"/>
          <w:lang w:val="en-US"/>
        </w:rPr>
      </w:pPr>
    </w:p>
    <w:p w14:paraId="2070AA85" w14:textId="77777777" w:rsidR="00016343" w:rsidRPr="00016343" w:rsidRDefault="00016343" w:rsidP="008A3FD3">
      <w:pPr>
        <w:spacing w:before="240" w:after="240" w:line="480" w:lineRule="auto"/>
        <w:jc w:val="both"/>
        <w:rPr>
          <w:rFonts w:eastAsia="Times New Roman" w:cstheme="minorHAnsi"/>
          <w:b/>
          <w:sz w:val="24"/>
          <w:szCs w:val="24"/>
          <w:lang w:val="en-US"/>
        </w:rPr>
      </w:pPr>
    </w:p>
    <w:p w14:paraId="016129BE" w14:textId="3F44A859" w:rsidR="0094572B" w:rsidRPr="00B7151E" w:rsidRDefault="0094572B" w:rsidP="00856679">
      <w:pPr>
        <w:spacing w:before="240" w:after="240" w:line="480" w:lineRule="auto"/>
        <w:jc w:val="both"/>
        <w:rPr>
          <w:rFonts w:eastAsia="Times New Roman" w:cstheme="minorHAnsi"/>
          <w:b/>
          <w:sz w:val="24"/>
          <w:szCs w:val="24"/>
          <w:lang w:val="en-US"/>
        </w:rPr>
      </w:pPr>
      <w:r w:rsidRPr="00B7151E">
        <w:rPr>
          <w:rFonts w:eastAsia="Times New Roman" w:cstheme="minorHAnsi"/>
          <w:b/>
          <w:sz w:val="24"/>
          <w:szCs w:val="24"/>
          <w:lang w:val="en-US"/>
        </w:rPr>
        <w:lastRenderedPageBreak/>
        <w:t>References</w:t>
      </w:r>
    </w:p>
    <w:p w14:paraId="584E263E" w14:textId="67F300A5" w:rsidR="00622416" w:rsidRPr="00622416" w:rsidRDefault="00622416" w:rsidP="00622416">
      <w:pPr>
        <w:pStyle w:val="Bibliografa"/>
        <w:rPr>
          <w:rFonts w:ascii="Calibri" w:hAnsi="Calibri" w:cs="Calibri"/>
          <w:sz w:val="18"/>
          <w:lang w:val="en-US"/>
        </w:rPr>
      </w:pPr>
      <w:r>
        <w:rPr>
          <w:rFonts w:eastAsia="Times New Roman" w:cstheme="minorHAnsi"/>
          <w:sz w:val="18"/>
          <w:lang w:val="en-US"/>
        </w:rPr>
        <w:fldChar w:fldCharType="begin"/>
      </w:r>
      <w:r w:rsidRPr="00B7151E">
        <w:rPr>
          <w:rFonts w:eastAsia="Times New Roman" w:cstheme="minorHAnsi"/>
          <w:sz w:val="18"/>
          <w:lang w:val="en-US"/>
        </w:rPr>
        <w:instrText xml:space="preserve"> ADDIN ZOTERO_BIBL {"uncited":[],"omitted":[],"custom":[]} CSL_BIBLIOGRAPHY </w:instrText>
      </w:r>
      <w:r>
        <w:rPr>
          <w:rFonts w:eastAsia="Times New Roman" w:cstheme="minorHAnsi"/>
          <w:sz w:val="18"/>
          <w:lang w:val="en-US"/>
        </w:rPr>
        <w:fldChar w:fldCharType="separate"/>
      </w:r>
      <w:r w:rsidRPr="00B7151E">
        <w:rPr>
          <w:rFonts w:ascii="Calibri" w:hAnsi="Calibri" w:cs="Calibri"/>
          <w:sz w:val="18"/>
          <w:lang w:val="en-US"/>
        </w:rPr>
        <w:t>1.</w:t>
      </w:r>
      <w:r w:rsidRPr="00B7151E">
        <w:rPr>
          <w:rFonts w:ascii="Calibri" w:hAnsi="Calibri" w:cs="Calibri"/>
          <w:sz w:val="18"/>
          <w:lang w:val="en-US"/>
        </w:rPr>
        <w:tab/>
        <w:t xml:space="preserve">García-Partida JA, Torres-Sanchez S, MacDowell K, Fernández-Ponce MT, Casas L, Mantell C, et al. </w:t>
      </w:r>
      <w:r w:rsidRPr="00622416">
        <w:rPr>
          <w:rFonts w:ascii="Calibri" w:hAnsi="Calibri" w:cs="Calibri"/>
          <w:sz w:val="18"/>
          <w:lang w:val="en-US"/>
        </w:rPr>
        <w:t xml:space="preserve">The effects of mango leaf extract during adolescence and adulthood in a rat model of schizophrenia. Front Pharmacol. 2022 Jul 26;13:886514. </w:t>
      </w:r>
    </w:p>
    <w:p w14:paraId="491DEAF2" w14:textId="77777777" w:rsidR="00622416" w:rsidRPr="00622416" w:rsidRDefault="00622416" w:rsidP="00622416">
      <w:pPr>
        <w:pStyle w:val="Bibliografa"/>
        <w:rPr>
          <w:rFonts w:ascii="Calibri" w:hAnsi="Calibri" w:cs="Calibri"/>
          <w:sz w:val="18"/>
          <w:lang w:val="en-US"/>
        </w:rPr>
      </w:pPr>
      <w:r w:rsidRPr="00622416">
        <w:rPr>
          <w:rFonts w:ascii="Calibri" w:hAnsi="Calibri" w:cs="Calibri"/>
          <w:sz w:val="18"/>
          <w:lang w:val="en-US"/>
        </w:rPr>
        <w:t>2.</w:t>
      </w:r>
      <w:r w:rsidRPr="00622416">
        <w:rPr>
          <w:rFonts w:ascii="Calibri" w:hAnsi="Calibri" w:cs="Calibri"/>
          <w:sz w:val="18"/>
          <w:lang w:val="en-US"/>
        </w:rPr>
        <w:tab/>
        <w:t xml:space="preserve">Simmons DH, Titley HK, Hansel C, Mason P. Behavioral Tests for Mouse Models of Autism: An Argument for the Inclusion of Cerebellum-Controlled Motor Behaviors. Neuroscience. 2021 May;462:303–19. </w:t>
      </w:r>
    </w:p>
    <w:p w14:paraId="1BCB1843" w14:textId="77777777" w:rsidR="00622416" w:rsidRPr="00622416" w:rsidRDefault="00622416" w:rsidP="00622416">
      <w:pPr>
        <w:pStyle w:val="Bibliografa"/>
        <w:rPr>
          <w:rFonts w:ascii="Calibri" w:hAnsi="Calibri" w:cs="Calibri"/>
          <w:sz w:val="18"/>
        </w:rPr>
      </w:pPr>
      <w:r w:rsidRPr="00622416">
        <w:rPr>
          <w:rFonts w:ascii="Calibri" w:hAnsi="Calibri" w:cs="Calibri"/>
          <w:sz w:val="18"/>
          <w:lang w:val="en-US"/>
        </w:rPr>
        <w:t>3.</w:t>
      </w:r>
      <w:r w:rsidRPr="00622416">
        <w:rPr>
          <w:rFonts w:ascii="Calibri" w:hAnsi="Calibri" w:cs="Calibri"/>
          <w:sz w:val="18"/>
          <w:lang w:val="en-US"/>
        </w:rPr>
        <w:tab/>
        <w:t xml:space="preserve">Can A, Dao DT, Terrillion CE, Piantadosi SC, Bhat S, Gould TD. </w:t>
      </w:r>
      <w:r w:rsidRPr="00622416">
        <w:rPr>
          <w:rFonts w:ascii="Calibri" w:hAnsi="Calibri" w:cs="Calibri"/>
          <w:sz w:val="18"/>
        </w:rPr>
        <w:t xml:space="preserve">The Tail Suspension Test. JoVE. 2011 Dec 13;(58):3769. </w:t>
      </w:r>
    </w:p>
    <w:p w14:paraId="1377F2A5" w14:textId="596E8DB7" w:rsidR="0094572B" w:rsidRPr="00E55217" w:rsidRDefault="00622416" w:rsidP="00523FB7">
      <w:pPr>
        <w:spacing w:before="240" w:after="240" w:line="240" w:lineRule="auto"/>
        <w:jc w:val="both"/>
        <w:rPr>
          <w:rFonts w:eastAsia="Times New Roman" w:cstheme="minorHAnsi"/>
          <w:sz w:val="18"/>
          <w:szCs w:val="24"/>
          <w:lang w:val="en-US"/>
        </w:rPr>
      </w:pPr>
      <w:r>
        <w:rPr>
          <w:rFonts w:eastAsia="Times New Roman" w:cstheme="minorHAnsi"/>
          <w:sz w:val="18"/>
          <w:szCs w:val="24"/>
          <w:lang w:val="en-US"/>
        </w:rPr>
        <w:fldChar w:fldCharType="end"/>
      </w:r>
    </w:p>
    <w:p w14:paraId="122DC813" w14:textId="77777777" w:rsidR="0094572B" w:rsidRPr="00E55217" w:rsidRDefault="0094572B" w:rsidP="00F25DD4">
      <w:pPr>
        <w:spacing w:before="240" w:after="240" w:line="240" w:lineRule="auto"/>
        <w:ind w:left="284"/>
        <w:jc w:val="both"/>
        <w:rPr>
          <w:rFonts w:cstheme="minorHAnsi"/>
          <w:lang w:val="en-US"/>
        </w:rPr>
      </w:pPr>
    </w:p>
    <w:sectPr w:rsidR="0094572B" w:rsidRPr="00E55217" w:rsidSect="00A941E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AE7C18" w14:textId="77777777" w:rsidR="00611B10" w:rsidRDefault="00611B10" w:rsidP="002D4000">
      <w:pPr>
        <w:spacing w:after="0" w:line="240" w:lineRule="auto"/>
      </w:pPr>
      <w:r>
        <w:separator/>
      </w:r>
    </w:p>
  </w:endnote>
  <w:endnote w:type="continuationSeparator" w:id="0">
    <w:p w14:paraId="1439929D" w14:textId="77777777" w:rsidR="00611B10" w:rsidRDefault="00611B10" w:rsidP="002D40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76CBFA" w14:textId="77777777" w:rsidR="00611B10" w:rsidRDefault="00611B10" w:rsidP="002D4000">
      <w:pPr>
        <w:spacing w:after="0" w:line="240" w:lineRule="auto"/>
      </w:pPr>
      <w:r>
        <w:separator/>
      </w:r>
    </w:p>
  </w:footnote>
  <w:footnote w:type="continuationSeparator" w:id="0">
    <w:p w14:paraId="25AA92F4" w14:textId="77777777" w:rsidR="00611B10" w:rsidRDefault="00611B10" w:rsidP="002D40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2E26B2F"/>
    <w:multiLevelType w:val="hybridMultilevel"/>
    <w:tmpl w:val="BB8EEFF4"/>
    <w:lvl w:ilvl="0" w:tplc="0DD4C986">
      <w:start w:val="1"/>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 w15:restartNumberingAfterBreak="0">
    <w:nsid w:val="336D1374"/>
    <w:multiLevelType w:val="hybridMultilevel"/>
    <w:tmpl w:val="4FF620CE"/>
    <w:lvl w:ilvl="0" w:tplc="FFA85B3A">
      <w:start w:val="4"/>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 w15:restartNumberingAfterBreak="0">
    <w:nsid w:val="6A162BA0"/>
    <w:multiLevelType w:val="multilevel"/>
    <w:tmpl w:val="F222B46E"/>
    <w:lvl w:ilvl="0">
      <w:start w:val="1"/>
      <w:numFmt w:val="decimal"/>
      <w:lvlText w:val="%1."/>
      <w:lvlJc w:val="left"/>
      <w:pPr>
        <w:ind w:left="644"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3823"/>
    <w:rsid w:val="000041B6"/>
    <w:rsid w:val="000127FA"/>
    <w:rsid w:val="00014E90"/>
    <w:rsid w:val="00015A97"/>
    <w:rsid w:val="00016343"/>
    <w:rsid w:val="000562C6"/>
    <w:rsid w:val="00056839"/>
    <w:rsid w:val="00064079"/>
    <w:rsid w:val="00075D0F"/>
    <w:rsid w:val="000954A4"/>
    <w:rsid w:val="00095664"/>
    <w:rsid w:val="000C48E8"/>
    <w:rsid w:val="000D19CC"/>
    <w:rsid w:val="001144E8"/>
    <w:rsid w:val="00150E4E"/>
    <w:rsid w:val="00175935"/>
    <w:rsid w:val="001819B8"/>
    <w:rsid w:val="001A1FF0"/>
    <w:rsid w:val="001A5E5B"/>
    <w:rsid w:val="00203841"/>
    <w:rsid w:val="002371FA"/>
    <w:rsid w:val="00267E67"/>
    <w:rsid w:val="00293236"/>
    <w:rsid w:val="002A2462"/>
    <w:rsid w:val="002B00E1"/>
    <w:rsid w:val="002B692E"/>
    <w:rsid w:val="002B7580"/>
    <w:rsid w:val="002B7F78"/>
    <w:rsid w:val="002D33E1"/>
    <w:rsid w:val="002D4000"/>
    <w:rsid w:val="002F4BB1"/>
    <w:rsid w:val="002F540E"/>
    <w:rsid w:val="002F60BA"/>
    <w:rsid w:val="003064E5"/>
    <w:rsid w:val="003728DF"/>
    <w:rsid w:val="00383EBA"/>
    <w:rsid w:val="00397C60"/>
    <w:rsid w:val="003A50B2"/>
    <w:rsid w:val="003D4ADD"/>
    <w:rsid w:val="003E0771"/>
    <w:rsid w:val="003E4E32"/>
    <w:rsid w:val="003F2B68"/>
    <w:rsid w:val="00403724"/>
    <w:rsid w:val="004329CA"/>
    <w:rsid w:val="00451CB3"/>
    <w:rsid w:val="00461DED"/>
    <w:rsid w:val="00483823"/>
    <w:rsid w:val="004C169D"/>
    <w:rsid w:val="004C37FA"/>
    <w:rsid w:val="004C5A55"/>
    <w:rsid w:val="004D0A72"/>
    <w:rsid w:val="004E1D5A"/>
    <w:rsid w:val="004E2DE3"/>
    <w:rsid w:val="00523FB7"/>
    <w:rsid w:val="00526AB8"/>
    <w:rsid w:val="00543F82"/>
    <w:rsid w:val="00552941"/>
    <w:rsid w:val="00581693"/>
    <w:rsid w:val="00585614"/>
    <w:rsid w:val="00590EB7"/>
    <w:rsid w:val="005911EB"/>
    <w:rsid w:val="005C7D58"/>
    <w:rsid w:val="005E2A66"/>
    <w:rsid w:val="005F2D2E"/>
    <w:rsid w:val="00607A95"/>
    <w:rsid w:val="00611B10"/>
    <w:rsid w:val="0061576E"/>
    <w:rsid w:val="00620B6D"/>
    <w:rsid w:val="00622416"/>
    <w:rsid w:val="00637D2F"/>
    <w:rsid w:val="00654C13"/>
    <w:rsid w:val="006607CF"/>
    <w:rsid w:val="006C2785"/>
    <w:rsid w:val="006C3BA4"/>
    <w:rsid w:val="006C479E"/>
    <w:rsid w:val="006D18E7"/>
    <w:rsid w:val="006D3523"/>
    <w:rsid w:val="006D3F85"/>
    <w:rsid w:val="006D7794"/>
    <w:rsid w:val="006E39CE"/>
    <w:rsid w:val="006F3FC3"/>
    <w:rsid w:val="00735C2E"/>
    <w:rsid w:val="00744182"/>
    <w:rsid w:val="00764266"/>
    <w:rsid w:val="00766E35"/>
    <w:rsid w:val="00774215"/>
    <w:rsid w:val="007A4324"/>
    <w:rsid w:val="007F3DD1"/>
    <w:rsid w:val="008305F4"/>
    <w:rsid w:val="00834A84"/>
    <w:rsid w:val="00850C10"/>
    <w:rsid w:val="00856679"/>
    <w:rsid w:val="00877B15"/>
    <w:rsid w:val="008A3FD3"/>
    <w:rsid w:val="008D6BBC"/>
    <w:rsid w:val="008F69EC"/>
    <w:rsid w:val="00904B4A"/>
    <w:rsid w:val="0091222B"/>
    <w:rsid w:val="00944F88"/>
    <w:rsid w:val="0094572B"/>
    <w:rsid w:val="00962B41"/>
    <w:rsid w:val="0096781B"/>
    <w:rsid w:val="00967DC2"/>
    <w:rsid w:val="00973D97"/>
    <w:rsid w:val="009759EC"/>
    <w:rsid w:val="00992A20"/>
    <w:rsid w:val="009A4E5F"/>
    <w:rsid w:val="009B315D"/>
    <w:rsid w:val="009B5A87"/>
    <w:rsid w:val="009E0EB3"/>
    <w:rsid w:val="009E63DA"/>
    <w:rsid w:val="009F041B"/>
    <w:rsid w:val="00A2399F"/>
    <w:rsid w:val="00A27BAC"/>
    <w:rsid w:val="00A72F81"/>
    <w:rsid w:val="00A941E1"/>
    <w:rsid w:val="00AA4422"/>
    <w:rsid w:val="00AD292F"/>
    <w:rsid w:val="00B03DDE"/>
    <w:rsid w:val="00B043DA"/>
    <w:rsid w:val="00B04B99"/>
    <w:rsid w:val="00B15D2C"/>
    <w:rsid w:val="00B36FD0"/>
    <w:rsid w:val="00B41DD9"/>
    <w:rsid w:val="00B522D5"/>
    <w:rsid w:val="00B7151E"/>
    <w:rsid w:val="00B8488F"/>
    <w:rsid w:val="00B857A4"/>
    <w:rsid w:val="00BB1EDE"/>
    <w:rsid w:val="00BC4010"/>
    <w:rsid w:val="00BD33E2"/>
    <w:rsid w:val="00BE761A"/>
    <w:rsid w:val="00BF5BAA"/>
    <w:rsid w:val="00BF7CBD"/>
    <w:rsid w:val="00C07BD9"/>
    <w:rsid w:val="00C118A4"/>
    <w:rsid w:val="00C62DFE"/>
    <w:rsid w:val="00C755D4"/>
    <w:rsid w:val="00C76F03"/>
    <w:rsid w:val="00C823B3"/>
    <w:rsid w:val="00CC51AF"/>
    <w:rsid w:val="00CF0D7E"/>
    <w:rsid w:val="00D24B17"/>
    <w:rsid w:val="00D33AF5"/>
    <w:rsid w:val="00D5494E"/>
    <w:rsid w:val="00DA19A9"/>
    <w:rsid w:val="00DF20CD"/>
    <w:rsid w:val="00E04322"/>
    <w:rsid w:val="00E06637"/>
    <w:rsid w:val="00E339C1"/>
    <w:rsid w:val="00E46062"/>
    <w:rsid w:val="00E47103"/>
    <w:rsid w:val="00E514BF"/>
    <w:rsid w:val="00E55217"/>
    <w:rsid w:val="00E578FB"/>
    <w:rsid w:val="00E81586"/>
    <w:rsid w:val="00ED27ED"/>
    <w:rsid w:val="00ED53F9"/>
    <w:rsid w:val="00EE4DB7"/>
    <w:rsid w:val="00EE546D"/>
    <w:rsid w:val="00EF1D27"/>
    <w:rsid w:val="00F01CC3"/>
    <w:rsid w:val="00F059C4"/>
    <w:rsid w:val="00F21DB4"/>
    <w:rsid w:val="00F24F1C"/>
    <w:rsid w:val="00F25DD4"/>
    <w:rsid w:val="00F37324"/>
    <w:rsid w:val="00F37398"/>
    <w:rsid w:val="00F73829"/>
    <w:rsid w:val="00FA3F23"/>
    <w:rsid w:val="00FC0F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6FBCEC"/>
  <w14:defaultImageDpi w14:val="330"/>
  <w15:chartTrackingRefBased/>
  <w15:docId w15:val="{07032898-A854-4938-A054-03B00FA47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comentario">
    <w:name w:val="annotation text"/>
    <w:basedOn w:val="Normal"/>
    <w:link w:val="TextocomentarioCar"/>
    <w:uiPriority w:val="99"/>
    <w:unhideWhenUsed/>
    <w:rsid w:val="00BF7CBD"/>
    <w:pPr>
      <w:spacing w:after="0" w:line="240" w:lineRule="auto"/>
    </w:pPr>
    <w:rPr>
      <w:rFonts w:ascii="Arial" w:eastAsia="Arial" w:hAnsi="Arial" w:cs="Arial"/>
      <w:sz w:val="20"/>
      <w:szCs w:val="20"/>
      <w:lang w:val="es" w:eastAsia="es-ES"/>
    </w:rPr>
  </w:style>
  <w:style w:type="character" w:customStyle="1" w:styleId="TextocomentarioCar">
    <w:name w:val="Texto comentario Car"/>
    <w:basedOn w:val="Fuentedeprrafopredeter"/>
    <w:link w:val="Textocomentario"/>
    <w:uiPriority w:val="99"/>
    <w:rsid w:val="00BF7CBD"/>
    <w:rPr>
      <w:rFonts w:ascii="Arial" w:eastAsia="Arial" w:hAnsi="Arial" w:cs="Arial"/>
      <w:sz w:val="20"/>
      <w:szCs w:val="20"/>
      <w:lang w:val="es" w:eastAsia="es-ES"/>
    </w:rPr>
  </w:style>
  <w:style w:type="character" w:styleId="Refdecomentario">
    <w:name w:val="annotation reference"/>
    <w:basedOn w:val="Fuentedeprrafopredeter"/>
    <w:uiPriority w:val="99"/>
    <w:semiHidden/>
    <w:unhideWhenUsed/>
    <w:rsid w:val="00BF7CBD"/>
    <w:rPr>
      <w:sz w:val="16"/>
      <w:szCs w:val="16"/>
    </w:rPr>
  </w:style>
  <w:style w:type="paragraph" w:styleId="Textodeglobo">
    <w:name w:val="Balloon Text"/>
    <w:basedOn w:val="Normal"/>
    <w:link w:val="TextodegloboCar"/>
    <w:uiPriority w:val="99"/>
    <w:semiHidden/>
    <w:unhideWhenUsed/>
    <w:rsid w:val="00BF7CB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F7CBD"/>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015A97"/>
    <w:pPr>
      <w:spacing w:after="160"/>
    </w:pPr>
    <w:rPr>
      <w:rFonts w:asciiTheme="minorHAnsi" w:eastAsiaTheme="minorHAnsi" w:hAnsiTheme="minorHAnsi" w:cstheme="minorBidi"/>
      <w:b/>
      <w:bCs/>
      <w:lang w:val="es-ES" w:eastAsia="en-US"/>
    </w:rPr>
  </w:style>
  <w:style w:type="character" w:customStyle="1" w:styleId="AsuntodelcomentarioCar">
    <w:name w:val="Asunto del comentario Car"/>
    <w:basedOn w:val="TextocomentarioCar"/>
    <w:link w:val="Asuntodelcomentario"/>
    <w:uiPriority w:val="99"/>
    <w:semiHidden/>
    <w:rsid w:val="00015A97"/>
    <w:rPr>
      <w:rFonts w:ascii="Arial" w:eastAsia="Arial" w:hAnsi="Arial" w:cs="Arial"/>
      <w:b/>
      <w:bCs/>
      <w:sz w:val="20"/>
      <w:szCs w:val="20"/>
      <w:lang w:val="es" w:eastAsia="es-ES"/>
    </w:rPr>
  </w:style>
  <w:style w:type="paragraph" w:styleId="Prrafodelista">
    <w:name w:val="List Paragraph"/>
    <w:basedOn w:val="Normal"/>
    <w:uiPriority w:val="34"/>
    <w:qFormat/>
    <w:rsid w:val="00607A95"/>
    <w:pPr>
      <w:ind w:left="720"/>
      <w:contextualSpacing/>
    </w:pPr>
  </w:style>
  <w:style w:type="paragraph" w:styleId="Encabezado">
    <w:name w:val="header"/>
    <w:basedOn w:val="Normal"/>
    <w:link w:val="EncabezadoCar"/>
    <w:uiPriority w:val="99"/>
    <w:unhideWhenUsed/>
    <w:rsid w:val="002D400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D4000"/>
  </w:style>
  <w:style w:type="paragraph" w:styleId="Piedepgina">
    <w:name w:val="footer"/>
    <w:basedOn w:val="Normal"/>
    <w:link w:val="PiedepginaCar"/>
    <w:uiPriority w:val="99"/>
    <w:unhideWhenUsed/>
    <w:rsid w:val="002D400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D4000"/>
  </w:style>
  <w:style w:type="paragraph" w:styleId="Bibliografa">
    <w:name w:val="Bibliography"/>
    <w:basedOn w:val="Normal"/>
    <w:next w:val="Normal"/>
    <w:uiPriority w:val="37"/>
    <w:unhideWhenUsed/>
    <w:rsid w:val="00543F82"/>
    <w:pPr>
      <w:tabs>
        <w:tab w:val="left" w:pos="264"/>
      </w:tabs>
      <w:spacing w:after="240" w:line="240" w:lineRule="auto"/>
      <w:ind w:left="264" w:hanging="264"/>
    </w:pPr>
  </w:style>
  <w:style w:type="table" w:styleId="Tablaconcuadrcula">
    <w:name w:val="Table Grid"/>
    <w:basedOn w:val="Tablanormal"/>
    <w:uiPriority w:val="39"/>
    <w:rsid w:val="00B848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1clara-nfasis3">
    <w:name w:val="Grid Table 1 Light Accent 3"/>
    <w:basedOn w:val="Tablanormal"/>
    <w:uiPriority w:val="46"/>
    <w:rsid w:val="00B8488F"/>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9356661">
      <w:bodyDiv w:val="1"/>
      <w:marLeft w:val="0"/>
      <w:marRight w:val="0"/>
      <w:marTop w:val="0"/>
      <w:marBottom w:val="0"/>
      <w:divBdr>
        <w:top w:val="none" w:sz="0" w:space="0" w:color="auto"/>
        <w:left w:val="none" w:sz="0" w:space="0" w:color="auto"/>
        <w:bottom w:val="none" w:sz="0" w:space="0" w:color="auto"/>
        <w:right w:val="none" w:sz="0" w:space="0" w:color="auto"/>
      </w:divBdr>
    </w:div>
    <w:div w:id="1269921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35440198-07C9-4E9D-94EB-AAD21FDF10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TotalTime>
  <Pages>11</Pages>
  <Words>2786</Words>
  <Characters>15324</Characters>
  <Application>Microsoft Office Word</Application>
  <DocSecurity>0</DocSecurity>
  <Lines>127</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Celia</dc:creator>
  <cp:keywords/>
  <dc:description/>
  <cp:lastModifiedBy>Celia Martín Cuevas</cp:lastModifiedBy>
  <cp:revision>140</cp:revision>
  <dcterms:created xsi:type="dcterms:W3CDTF">2024-09-27T12:07:00Z</dcterms:created>
  <dcterms:modified xsi:type="dcterms:W3CDTF">2025-12-12T12:18:00Z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id="uffEIEB2"/&gt;&lt;style id="http://www.zotero.org/styles/vancouver" locale="en-US" hasBibliography="1" bibliographyStyleHasBeenSet="1"/&gt;&lt;prefs&gt;&lt;pref name="fieldType" value="Field"/&gt;&lt;/prefs&gt;&lt;/data&gt;</vt:lpwstr>
  </property>
</Properties>
</file>