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0E83F9">
      <w:pPr>
        <w:numPr>
          <w:ilvl w:val="0"/>
          <w:numId w:val="0"/>
        </w:numPr>
        <w:rPr>
          <w:rFonts w:ascii="Times New Roman" w:hAnsi="Times New Roman" w:eastAsia="等线" w:cs="Times New Roman"/>
          <w:b/>
          <w:bCs/>
          <w:sz w:val="28"/>
          <w:szCs w:val="28"/>
          <w:lang w:bidi="ar"/>
        </w:rPr>
      </w:pPr>
      <w:r>
        <w:rPr>
          <w:rFonts w:hint="eastAsia" w:ascii="Times New Roman" w:hAnsi="Times New Roman" w:eastAsia="等线" w:cs="Times New Roman"/>
          <w:b/>
          <w:bCs/>
          <w:sz w:val="28"/>
          <w:szCs w:val="28"/>
          <w:lang w:bidi="ar"/>
        </w:rPr>
        <w:t>APPENDIX MATERIALS AND METHODS</w:t>
      </w:r>
    </w:p>
    <w:p w14:paraId="0221604E">
      <w:pPr>
        <w:spacing w:line="360" w:lineRule="auto"/>
        <w:rPr>
          <w:rFonts w:ascii="Times New Roman" w:hAnsi="Times New Roman" w:eastAsia="等线" w:cs="Times New Roman"/>
          <w:sz w:val="24"/>
          <w:lang w:bidi="ar"/>
        </w:rPr>
      </w:pPr>
      <w:r>
        <w:rPr>
          <w:rFonts w:hint="eastAsia" w:ascii="Times New Roman" w:hAnsi="Times New Roman" w:eastAsia="等线" w:cs="Times New Roman"/>
          <w:b/>
          <w:bCs/>
          <w:sz w:val="24"/>
          <w:lang w:val="en-US" w:eastAsia="zh-CN" w:bidi="ar"/>
        </w:rPr>
        <w:t>1</w:t>
      </w:r>
      <w:r>
        <w:rPr>
          <w:rFonts w:ascii="Times New Roman" w:hAnsi="Times New Roman" w:eastAsia="等线" w:cs="Times New Roman"/>
          <w:b/>
          <w:bCs/>
          <w:sz w:val="24"/>
          <w:lang w:bidi="ar"/>
        </w:rPr>
        <w:t>. Experimental Periodontitis Model</w:t>
      </w:r>
    </w:p>
    <w:p w14:paraId="7F34EFBF">
      <w:pPr>
        <w:spacing w:line="360" w:lineRule="auto"/>
        <w:ind w:firstLine="480" w:firstLineChars="200"/>
        <w:rPr>
          <w:rFonts w:ascii="Times New Roman" w:hAnsi="Times New Roman" w:eastAsia="等线" w:cs="Times New Roman"/>
          <w:sz w:val="24"/>
          <w:lang w:bidi="ar"/>
        </w:rPr>
      </w:pPr>
      <w:r>
        <w:rPr>
          <w:rFonts w:ascii="Times New Roman" w:hAnsi="Times New Roman" w:eastAsia="等线" w:cs="Times New Roman"/>
          <w:sz w:val="24"/>
          <w:lang w:bidi="ar"/>
        </w:rPr>
        <w:t>All animal procedures were approved by the Animal Care and Use Committee of Nanfang Hospital (No. IACUC-LAC-20230207-004). All animal experiments met relevant regulatory standards. The animal welfare and experimental procedures were approved by the Animal Care and Use Committee of Nanfang Hospital. Male C57BL6/N mice (aged 7 weeks) were obtained from Southern Medical University Animal Experimental Center (China). In this study, all animals were kept in a maintained facility, where they had free access to food and water under specific pathogen-free (SPF) conditions. Experimental periodontitis induction was accomplished by first anesthetizing the mice with sodium pentobarbital, which was administered through intraperitoneal injections. A sterile 5-0 silk suture was tied in a subgingival position around the right second maxillary molars, as previously described (Abe and Hajishengallis 2013). The ligatures remained in place throughout the experimental period and were checked every 2 days to ensure subgingival placement. The mice were randomly divided into five groups: control, ligature, ligature+DMSO, ligature+RIPK3 inhibitor (GSK’872), and ligature+AdipoAI. In the ligature+DMSO, ligature+GSK’872, and ligature+AdipoAI groups, after ligation, DMSO (ZOSEN), 50 mM GSK’872 (0.1 μL; MedChemExpress, Shanghai, P.R.C.) suspended in PBS (10 μL), or 250 μM AdipoAI (0.1 μL; Xinyao, Shenzhen, P.R.C.) suspended in DMSO (10 μL) was injected into the buccal and palatal gingiva of the ligated second maxillary molar every 2 days using a 33-gauge Hamilton syringe (Hamilton Company, NV, USA) for 14 days. On Day 14, the animals were euthanized, and the maxillae were collected for analysis. Each maxilla was isolated and prepared for histological analysis (n = 5) in each group. The maxillary gingiva was removed and prepared for quantitative real-time polymerase chain reaction (qRT‒PCR) analysis (n = 5), while the alveolar bone and teeth were prepared for microcomputed tomography (micro-CT) analysis (n = 5). All mice met the intended experimental endpoint, and none were excluded from the analysis.</w:t>
      </w:r>
    </w:p>
    <w:p w14:paraId="473629DC">
      <w:pPr>
        <w:spacing w:line="360" w:lineRule="auto"/>
        <w:rPr>
          <w:rFonts w:ascii="Times New Roman" w:hAnsi="Times New Roman" w:eastAsia="等线" w:cs="Times New Roman"/>
          <w:b/>
          <w:bCs/>
          <w:sz w:val="24"/>
          <w:lang w:bidi="ar"/>
        </w:rPr>
      </w:pPr>
      <w:r>
        <w:rPr>
          <w:rFonts w:ascii="Times New Roman" w:hAnsi="Times New Roman" w:eastAsia="等线" w:cs="Times New Roman"/>
          <w:b/>
          <w:bCs/>
          <w:sz w:val="24"/>
          <w:lang w:bidi="ar"/>
        </w:rPr>
        <w:t>2. Micro-CT Analysis</w:t>
      </w:r>
    </w:p>
    <w:p w14:paraId="0F5EB2F7">
      <w:pPr>
        <w:spacing w:line="360" w:lineRule="auto"/>
        <w:ind w:firstLine="480" w:firstLineChars="200"/>
        <w:rPr>
          <w:rFonts w:ascii="Times New Roman" w:hAnsi="Times New Roman"/>
          <w:color w:val="000000"/>
          <w:sz w:val="24"/>
        </w:rPr>
      </w:pPr>
      <w:r>
        <w:rPr>
          <w:rFonts w:ascii="Times New Roman" w:hAnsi="Times New Roman" w:eastAsia="等线" w:cs="Times New Roman"/>
          <w:sz w:val="24"/>
          <w:lang w:bidi="ar"/>
        </w:rPr>
        <w:t>Mandibular bone specimens were placed in 4% paraformaldehyde for 24 h and then transferred to 75% ethanol for micro-CT scanning. A micro-CT system (SkyScan 1276, Bruker, Belgium) with a current of 200 μA, a voltage of 100 kV, and an isometric pixel size of 10 μm was used to evaluate the maxillae. The alveolar bone supporting</w:t>
      </w:r>
      <w:r>
        <w:rPr>
          <w:rFonts w:ascii="Times New Roman" w:hAnsi="Times New Roman" w:cs="Times New Roman"/>
          <w:sz w:val="24"/>
        </w:rPr>
        <w:t xml:space="preserve"> the second maxillary molars was selected as the region of interest (ROI</w:t>
      </w:r>
      <w:r>
        <w:rPr>
          <w:rFonts w:ascii="Times New Roman" w:hAnsi="Times New Roman" w:cs="Times New Roman"/>
          <w:color w:val="000000"/>
          <w:sz w:val="24"/>
        </w:rPr>
        <w:t xml:space="preserve">). Bone volume fraction (BV/TV), trabecular number (Tb.N), </w:t>
      </w:r>
      <w:r>
        <w:rPr>
          <w:rFonts w:ascii="Times New Roman" w:hAnsi="Times New Roman" w:eastAsia="TimesNewRomanPSMT" w:cs="Times New Roman"/>
          <w:color w:val="000000"/>
          <w:sz w:val="24"/>
        </w:rPr>
        <w:t xml:space="preserve">and </w:t>
      </w:r>
      <w:r>
        <w:rPr>
          <w:rFonts w:ascii="Times New Roman" w:hAnsi="Times New Roman" w:cs="Times New Roman"/>
          <w:color w:val="000000"/>
          <w:sz w:val="24"/>
        </w:rPr>
        <w:t xml:space="preserve">trabecular </w:t>
      </w:r>
      <w:r>
        <w:rPr>
          <w:rFonts w:ascii="Times New Roman" w:hAnsi="Times New Roman" w:eastAsia="TimesNewRomanPSMT" w:cs="Times New Roman"/>
          <w:color w:val="000000"/>
          <w:sz w:val="24"/>
        </w:rPr>
        <w:t>separation/spacing</w:t>
      </w:r>
      <w:r>
        <w:rPr>
          <w:rFonts w:ascii="Times New Roman" w:hAnsi="Times New Roman" w:cs="Times New Roman"/>
          <w:color w:val="000000"/>
          <w:sz w:val="24"/>
        </w:rPr>
        <w:t xml:space="preserve"> (Tb.Sp) were measured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SkyScan CTAn software (version 1.20.3.0).</w:t>
      </w:r>
    </w:p>
    <w:p w14:paraId="0FAAFA85">
      <w:pPr>
        <w:spacing w:line="360" w:lineRule="auto"/>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Tissue Embedding</w:t>
      </w:r>
    </w:p>
    <w:p w14:paraId="497DF3F6">
      <w:pPr>
        <w:spacing w:line="360" w:lineRule="auto"/>
        <w:ind w:firstLine="480" w:firstLineChars="200"/>
        <w:rPr>
          <w:rFonts w:ascii="Times New Roman" w:hAnsi="Times New Roman"/>
          <w:color w:val="000000"/>
          <w:sz w:val="24"/>
        </w:rPr>
      </w:pPr>
      <w:r>
        <w:rPr>
          <w:rFonts w:ascii="Times New Roman" w:hAnsi="Times New Roman" w:eastAsia="等线" w:cs="Times New Roman"/>
          <w:color w:val="000000" w:themeColor="text1"/>
          <w:sz w:val="24"/>
          <w14:textFill>
            <w14:solidFill>
              <w14:schemeClr w14:val="tx1"/>
            </w14:solidFill>
          </w14:textFill>
        </w:rPr>
        <w:t>Mouse</w:t>
      </w:r>
      <w:r>
        <w:rPr>
          <w:rFonts w:ascii="Times New Roman" w:hAnsi="Times New Roman" w:cs="Times New Roman"/>
          <w:color w:val="000000" w:themeColor="text1"/>
          <w:sz w:val="24"/>
          <w14:textFill>
            <w14:solidFill>
              <w14:schemeClr w14:val="tx1"/>
            </w14:solidFill>
          </w14:textFill>
        </w:rPr>
        <w:t xml:space="preserve"> maxillae, which had been fixed in paraformaldehyde for </w:t>
      </w:r>
      <w:r>
        <w:rPr>
          <w:rFonts w:ascii="Times New Roman" w:hAnsi="Times New Roman" w:eastAsia="等线" w:cs="Times New Roman"/>
          <w:color w:val="000000" w:themeColor="text1"/>
          <w:sz w:val="24"/>
          <w14:textFill>
            <w14:solidFill>
              <w14:schemeClr w14:val="tx1"/>
            </w14:solidFill>
          </w14:textFill>
        </w:rPr>
        <w:t>48 h</w:t>
      </w:r>
      <w:r>
        <w:rPr>
          <w:rFonts w:ascii="Times New Roman" w:hAnsi="Times New Roman" w:cs="Times New Roman"/>
          <w:color w:val="000000" w:themeColor="text1"/>
          <w:sz w:val="24"/>
          <w14:textFill>
            <w14:solidFill>
              <w14:schemeClr w14:val="tx1"/>
            </w14:solidFill>
          </w14:textFill>
        </w:rPr>
        <w:t xml:space="preserve"> at </w:t>
      </w:r>
      <w:r>
        <w:rPr>
          <w:rFonts w:ascii="Times New Roman" w:hAnsi="Times New Roman" w:eastAsia="等线" w:cs="Times New Roman"/>
          <w:color w:val="000000" w:themeColor="text1"/>
          <w:sz w:val="24"/>
          <w14:textFill>
            <w14:solidFill>
              <w14:schemeClr w14:val="tx1"/>
            </w14:solidFill>
          </w14:textFill>
        </w:rPr>
        <w:t>4°C,</w:t>
      </w:r>
      <w:r>
        <w:rPr>
          <w:rFonts w:ascii="Times New Roman" w:hAnsi="Times New Roman" w:cs="Times New Roman"/>
          <w:color w:val="000000" w:themeColor="text1"/>
          <w:sz w:val="24"/>
          <w14:textFill>
            <w14:solidFill>
              <w14:schemeClr w14:val="tx1"/>
            </w14:solidFill>
          </w14:textFill>
        </w:rPr>
        <w:t xml:space="preserve"> were demineralized in decalcifying fluid for 4 weeks. The samples were washed twice with 70% ethanol and embedded in paraffin for serial sectioning (4</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μm thickness). Approximately 15 serial sections were prepared from each sample. To standardize </w:t>
      </w:r>
      <w:r>
        <w:rPr>
          <w:rFonts w:ascii="Times New Roman" w:hAnsi="Times New Roman" w:eastAsia="等线" w:cs="Times New Roman"/>
          <w:color w:val="000000" w:themeColor="text1"/>
          <w:sz w:val="24"/>
          <w14:textFill>
            <w14:solidFill>
              <w14:schemeClr w14:val="tx1"/>
            </w14:solidFill>
          </w14:textFill>
        </w:rPr>
        <w:t xml:space="preserve">the </w:t>
      </w:r>
      <w:r>
        <w:rPr>
          <w:rFonts w:ascii="Times New Roman" w:hAnsi="Times New Roman" w:cs="Times New Roman"/>
          <w:color w:val="000000" w:themeColor="text1"/>
          <w:sz w:val="24"/>
          <w14:textFill>
            <w14:solidFill>
              <w14:schemeClr w14:val="tx1"/>
            </w14:solidFill>
          </w14:textFill>
        </w:rPr>
        <w:t>tissue location for the assays, the same axial level slide was used for all assays</w:t>
      </w:r>
      <w:r>
        <w:rPr>
          <w:rFonts w:ascii="Times New Roman" w:hAnsi="Times New Roman" w:eastAsia="等线"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 xml:space="preserve"> For example, slide 1 was used for hematoxylin and eosin (H&amp;E) staining, slide 2 was used for immunohistochemistry (IHC),</w:t>
      </w:r>
      <w:r>
        <w:rPr>
          <w:rFonts w:ascii="Times New Roman" w:hAnsi="Times New Roman" w:eastAsia="等线" w:cs="Times New Roman"/>
          <w:color w:val="000000" w:themeColor="text1"/>
          <w:sz w:val="24"/>
          <w14:textFill>
            <w14:solidFill>
              <w14:schemeClr w14:val="tx1"/>
            </w14:solidFill>
          </w14:textFill>
        </w:rPr>
        <w:t xml:space="preserve"> and</w:t>
      </w:r>
      <w:r>
        <w:rPr>
          <w:rFonts w:ascii="Times New Roman" w:hAnsi="Times New Roman" w:cs="Times New Roman"/>
          <w:color w:val="000000" w:themeColor="text1"/>
          <w:sz w:val="24"/>
          <w14:textFill>
            <w14:solidFill>
              <w14:schemeClr w14:val="tx1"/>
            </w14:solidFill>
          </w14:textFill>
        </w:rPr>
        <w:t xml:space="preserve"> slide 3 was used for immunofluorescent staining (IF).</w:t>
      </w:r>
    </w:p>
    <w:p w14:paraId="7DC3A236">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4</w:t>
      </w:r>
      <w:r>
        <w:rPr>
          <w:rFonts w:ascii="Times New Roman" w:hAnsi="Times New Roman" w:cs="Times New Roman"/>
          <w:b/>
          <w:color w:val="000000"/>
          <w:sz w:val="24"/>
        </w:rPr>
        <w:t>. H&amp;E Staining</w:t>
      </w:r>
    </w:p>
    <w:p w14:paraId="080170B1">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H&amp;E staining was </w:t>
      </w:r>
      <w:r>
        <w:rPr>
          <w:rFonts w:ascii="Times New Roman" w:hAnsi="Times New Roman" w:eastAsia="TimesNewRomanPSMT" w:cs="Times New Roman"/>
          <w:color w:val="000000"/>
          <w:sz w:val="24"/>
        </w:rPr>
        <w:t>carried out as per</w:t>
      </w:r>
      <w:r>
        <w:rPr>
          <w:rFonts w:ascii="Times New Roman" w:hAnsi="Times New Roman" w:cs="Times New Roman"/>
          <w:color w:val="000000"/>
          <w:sz w:val="24"/>
        </w:rPr>
        <w:t xml:space="preserve"> the manufacturer’s protocol (Leagene Biotech). </w:t>
      </w:r>
      <w:r>
        <w:rPr>
          <w:rFonts w:ascii="Times New Roman" w:hAnsi="Times New Roman" w:eastAsia="TimesNewRomanPSMT" w:cs="Times New Roman"/>
          <w:color w:val="000000"/>
          <w:sz w:val="24"/>
        </w:rPr>
        <w:t>The representative images indicate the</w:t>
      </w:r>
      <w:r>
        <w:rPr>
          <w:rFonts w:ascii="Times New Roman" w:hAnsi="Times New Roman" w:cs="Times New Roman"/>
          <w:color w:val="000000"/>
          <w:sz w:val="24"/>
        </w:rPr>
        <w:t xml:space="preserve"> distance between the cementoenamel junction and alveolar bone crest (CEJ-ABC</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ROIs were imaged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 microscope (BX63; Olympus, Southborough, MA, USA).</w:t>
      </w:r>
    </w:p>
    <w:p w14:paraId="2B73258B">
      <w:pPr>
        <w:spacing w:line="360" w:lineRule="auto"/>
        <w:rPr>
          <w:rFonts w:ascii="Times New Roman" w:hAnsi="Times New Roman" w:cs="Times New Roman"/>
          <w:color w:val="000000"/>
          <w:sz w:val="24"/>
        </w:rPr>
      </w:pPr>
      <w:r>
        <w:rPr>
          <w:rFonts w:hint="eastAsia" w:ascii="Times New Roman" w:hAnsi="Times New Roman" w:cs="Times New Roman"/>
          <w:b/>
          <w:color w:val="000000"/>
          <w:sz w:val="24"/>
          <w:lang w:val="en-US" w:eastAsia="zh-CN"/>
        </w:rPr>
        <w:t>5</w:t>
      </w:r>
      <w:r>
        <w:rPr>
          <w:rFonts w:ascii="Times New Roman" w:hAnsi="Times New Roman" w:cs="Times New Roman"/>
          <w:b/>
          <w:color w:val="000000"/>
          <w:sz w:val="24"/>
        </w:rPr>
        <w:t>. IHC Assays</w:t>
      </w:r>
    </w:p>
    <w:p w14:paraId="5FA30023">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IHC was performed according to the manufacturer’s protocol (ZhongShan Biotech). The primary antibodies included rabbit monoclonal anti-phospho-RIPK3 (p-RIPK3; ab209384, Abcam</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Cambridge, MA)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1:200 and rabbit monoclonal anti-phospho-MLKL (p-MLKL; ab187091, Abcam</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Cambridge, MA)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 xml:space="preserve">1:400, against Adipo receptor 1 (cat# SC69-04, NOVUS, RRID: AB_2893422)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1:100, rabbit monoclonal anti-phospho-AMPKα (Thr172) (p-AMPKα; cat# 2535S, Cell Signaling Technology.) diluted</w:t>
      </w:r>
      <w:r>
        <w:rPr>
          <w:rFonts w:ascii="Times New Roman" w:hAnsi="Times New Roman" w:eastAsia="TimesNewRomanPSMT" w:cs="Times New Roman"/>
          <w:color w:val="000000"/>
          <w:sz w:val="24"/>
        </w:rPr>
        <w:t xml:space="preserve"> to</w:t>
      </w:r>
      <w:r>
        <w:rPr>
          <w:rFonts w:ascii="Times New Roman" w:hAnsi="Times New Roman" w:cs="Times New Roman"/>
          <w:color w:val="000000"/>
          <w:sz w:val="24"/>
        </w:rPr>
        <w:t xml:space="preserve"> 1:200, and rabbit polyclonal antibody to APPL1 (cat# DF3983, Affinity, RRID: AB_2836343)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 xml:space="preserve">1:200. Negative controls included slides processed with the same protocol but without </w:t>
      </w:r>
      <w:r>
        <w:rPr>
          <w:rFonts w:ascii="Times New Roman" w:hAnsi="Times New Roman" w:eastAsia="TimesNewRomanPSMT" w:cs="Times New Roman"/>
          <w:color w:val="000000"/>
          <w:sz w:val="24"/>
        </w:rPr>
        <w:t xml:space="preserve">added </w:t>
      </w:r>
      <w:r>
        <w:rPr>
          <w:rFonts w:ascii="Times New Roman" w:hAnsi="Times New Roman" w:cs="Times New Roman"/>
          <w:color w:val="000000"/>
          <w:sz w:val="24"/>
        </w:rPr>
        <w:t xml:space="preserve">primary antibody. ROIs were imaged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 microscope (BX63; Olympus, Southborough, MA, USA).</w:t>
      </w:r>
    </w:p>
    <w:p w14:paraId="43F5432E">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6</w:t>
      </w:r>
      <w:r>
        <w:rPr>
          <w:rFonts w:ascii="Times New Roman" w:hAnsi="Times New Roman" w:cs="Times New Roman"/>
          <w:b/>
          <w:color w:val="000000"/>
          <w:sz w:val="24"/>
        </w:rPr>
        <w:t>. IF Assays</w:t>
      </w:r>
    </w:p>
    <w:p w14:paraId="1B744D65">
      <w:pPr>
        <w:spacing w:line="360" w:lineRule="auto"/>
        <w:ind w:firstLine="480" w:firstLineChars="200"/>
        <w:rPr>
          <w:rFonts w:ascii="Times New Roman" w:hAnsi="Times New Roman"/>
          <w:color w:val="000000"/>
          <w:sz w:val="24"/>
          <w:highlight w:val="none"/>
        </w:rPr>
      </w:pPr>
      <w:r>
        <w:rPr>
          <w:rFonts w:ascii="Times New Roman" w:hAnsi="Times New Roman" w:cs="Times New Roman"/>
          <w:color w:val="000000"/>
          <w:sz w:val="24"/>
        </w:rPr>
        <w:t>The slides were stained with primary antibodies, secondary antibodies</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and DAPI. Microscopic images were taken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 fluorescence microscope (Pannoramic SCAN П; 3DHISTECH</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Ltd</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Hungary), and positively stained cells were counted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ImageJ software. The primary antibodies included rabbit monoclonal anti-p-RIPK3 (E7S1R, Chemical Book Shanghai Universal Biotech Co., Ltd., Shanghai, P.R.C.)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1:200, rabbit monoclonal anti-p-MLKL (ab187091, Abcam</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Cambridge, MA) diluted</w:t>
      </w:r>
      <w:r>
        <w:rPr>
          <w:rFonts w:ascii="Times New Roman" w:hAnsi="Times New Roman" w:eastAsia="TimesNewRomanPSMT" w:cs="Times New Roman"/>
          <w:color w:val="000000"/>
          <w:sz w:val="24"/>
        </w:rPr>
        <w:t xml:space="preserve"> to</w:t>
      </w:r>
      <w:r>
        <w:rPr>
          <w:rFonts w:ascii="Times New Roman" w:hAnsi="Times New Roman" w:cs="Times New Roman"/>
          <w:color w:val="000000"/>
          <w:sz w:val="24"/>
        </w:rPr>
        <w:t xml:space="preserve"> 1:400, and rabbit monoclonal anti-S100 calcium binding protein A4 (S100A4; ab197896, Abcam Inc., Cambridge, MA)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 xml:space="preserve">1:200. p-AMPK </w:t>
      </w:r>
      <w:r>
        <w:rPr>
          <w:rFonts w:ascii="Times New Roman" w:hAnsi="Times New Roman" w:eastAsia="TimesNewRomanPSMT" w:cs="Times New Roman"/>
          <w:color w:val="000000"/>
          <w:sz w:val="24"/>
        </w:rPr>
        <w:t>secondary</w:t>
      </w:r>
      <w:r>
        <w:rPr>
          <w:rFonts w:ascii="Times New Roman" w:hAnsi="Times New Roman" w:cs="Times New Roman"/>
          <w:color w:val="000000"/>
          <w:sz w:val="24"/>
        </w:rPr>
        <w:t xml:space="preserve"> antibodies included Alexa Flour TM 594 Tyramide Reagent (Thermo Fisher</w:t>
      </w:r>
      <w:r>
        <w:rPr>
          <w:rFonts w:ascii="Times New Roman" w:hAnsi="Times New Roman" w:cs="Times New Roman"/>
          <w:color w:val="000000" w:themeColor="text1"/>
          <w:sz w:val="24"/>
          <w14:textFill>
            <w14:solidFill>
              <w14:schemeClr w14:val="tx1"/>
            </w14:solidFill>
          </w14:textFill>
        </w:rPr>
        <w:t>, MA</w:t>
      </w:r>
      <w:r>
        <w:rPr>
          <w:rFonts w:ascii="Times New Roman" w:hAnsi="Times New Roman" w:cs="Times New Roman"/>
          <w:color w:val="000000"/>
          <w:sz w:val="24"/>
        </w:rPr>
        <w:t xml:space="preserve">)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1:400, Alexa Flour TM 488 Tyramide Reagent (Thermo Fisher</w:t>
      </w:r>
      <w:r>
        <w:rPr>
          <w:rFonts w:ascii="Times New Roman" w:hAnsi="Times New Roman" w:cs="Times New Roman"/>
          <w:color w:val="000000" w:themeColor="text1"/>
          <w:sz w:val="24"/>
          <w14:textFill>
            <w14:solidFill>
              <w14:schemeClr w14:val="tx1"/>
            </w14:solidFill>
          </w14:textFill>
        </w:rPr>
        <w:t>, MA</w:t>
      </w:r>
      <w:r>
        <w:rPr>
          <w:rFonts w:ascii="Times New Roman" w:hAnsi="Times New Roman" w:cs="Times New Roman"/>
          <w:color w:val="000000"/>
          <w:sz w:val="24"/>
        </w:rPr>
        <w:t xml:space="preserve">)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1:400, and Alexa Flour TM 647 Tyramide Reagent (Thermo Fisher</w:t>
      </w:r>
      <w:r>
        <w:rPr>
          <w:rFonts w:ascii="Times New Roman" w:hAnsi="Times New Roman" w:cs="Times New Roman"/>
          <w:color w:val="000000" w:themeColor="text1"/>
          <w:sz w:val="24"/>
          <w14:textFill>
            <w14:solidFill>
              <w14:schemeClr w14:val="tx1"/>
            </w14:solidFill>
          </w14:textFill>
        </w:rPr>
        <w:t>, MA</w:t>
      </w:r>
      <w:r>
        <w:rPr>
          <w:rFonts w:ascii="Times New Roman" w:hAnsi="Times New Roman" w:cs="Times New Roman"/>
          <w:color w:val="000000"/>
          <w:sz w:val="24"/>
        </w:rPr>
        <w:t xml:space="preserve">)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1:400. The rabbit polyclonal anti-RIPK3</w:t>
      </w:r>
      <w:r>
        <w:rPr>
          <w:rFonts w:ascii="Times New Roman" w:hAnsi="Times New Roman" w:eastAsia="TimesNewRomanPSMT" w:cs="Times New Roman"/>
          <w:color w:val="000000"/>
          <w:sz w:val="24"/>
        </w:rPr>
        <w:t xml:space="preserve"> </w:t>
      </w:r>
      <w:r>
        <w:rPr>
          <w:rFonts w:ascii="Times New Roman" w:hAnsi="Times New Roman" w:cs="Times New Roman"/>
          <w:color w:val="000000"/>
          <w:sz w:val="24"/>
        </w:rPr>
        <w:t>(17563-1-AP, Proteintech</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Wuhan, Hubei, P.R.C.) </w:t>
      </w:r>
      <w:r>
        <w:rPr>
          <w:rFonts w:ascii="Times New Roman" w:hAnsi="Times New Roman" w:eastAsia="TimesNewRomanPSMT" w:cs="Times New Roman"/>
          <w:color w:val="000000"/>
          <w:sz w:val="24"/>
        </w:rPr>
        <w:t xml:space="preserve">was </w:t>
      </w:r>
      <w:r>
        <w:rPr>
          <w:rFonts w:ascii="Times New Roman" w:hAnsi="Times New Roman" w:cs="Times New Roman"/>
          <w:color w:val="000000"/>
          <w:sz w:val="24"/>
        </w:rPr>
        <w:t xml:space="preserve">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1:200</w:t>
      </w:r>
      <w:r>
        <w:rPr>
          <w:rFonts w:ascii="Times New Roman" w:hAnsi="Times New Roman" w:eastAsia="TimesNewRomanPSMT" w:cs="Times New Roman"/>
          <w:color w:val="000000"/>
          <w:sz w:val="24"/>
        </w:rPr>
        <w:t>.</w:t>
      </w:r>
    </w:p>
    <w:p w14:paraId="020DFA87">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7</w:t>
      </w:r>
      <w:r>
        <w:rPr>
          <w:rFonts w:ascii="Times New Roman" w:hAnsi="Times New Roman" w:cs="Times New Roman"/>
          <w:b/>
          <w:color w:val="000000"/>
          <w:sz w:val="24"/>
        </w:rPr>
        <w:t>. hGF Isolation, Culture</w:t>
      </w:r>
      <w:r>
        <w:rPr>
          <w:rFonts w:ascii="Times New Roman" w:hAnsi="Times New Roman" w:eastAsia="TimesNewRomanPSMT" w:cs="Times New Roman"/>
          <w:b/>
          <w:bCs/>
          <w:color w:val="000000"/>
          <w:sz w:val="24"/>
        </w:rPr>
        <w:t>,</w:t>
      </w:r>
      <w:r>
        <w:rPr>
          <w:rFonts w:ascii="Times New Roman" w:hAnsi="Times New Roman" w:cs="Times New Roman"/>
          <w:b/>
          <w:color w:val="000000"/>
          <w:sz w:val="24"/>
        </w:rPr>
        <w:t xml:space="preserve"> and Treatment</w:t>
      </w:r>
    </w:p>
    <w:p w14:paraId="09E302E6">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Human gingival tissues were collected from the interdental papillae of healthy individuals. </w:t>
      </w:r>
      <w:r>
        <w:rPr>
          <w:rFonts w:ascii="Times New Roman" w:hAnsi="Times New Roman" w:eastAsia="TimesNewRomanPSMT" w:cs="Times New Roman"/>
          <w:color w:val="000000"/>
          <w:sz w:val="24"/>
        </w:rPr>
        <w:t>The sample</w:t>
      </w:r>
      <w:r>
        <w:rPr>
          <w:rFonts w:ascii="Times New Roman" w:hAnsi="Times New Roman" w:cs="Times New Roman"/>
          <w:color w:val="000000"/>
          <w:sz w:val="24"/>
        </w:rPr>
        <w:t xml:space="preserve"> collection and research were approved by the Ethics Committee of Southern Medical University (</w:t>
      </w:r>
      <w:r>
        <w:rPr>
          <w:rFonts w:ascii="Times New Roman" w:hAnsi="Times New Roman"/>
          <w:color w:val="auto"/>
          <w:sz w:val="24"/>
          <w:highlight w:val="none"/>
        </w:rPr>
        <w:t>No</w:t>
      </w:r>
      <w:r>
        <w:rPr>
          <w:rFonts w:ascii="Times New Roman" w:hAnsi="Times New Roman" w:cs="Times New Roman"/>
          <w:color w:val="000000"/>
          <w:sz w:val="24"/>
        </w:rPr>
        <w:t xml:space="preserve">. NFEC2021-031). hGFs were isolated from human gingival tissues according to </w:t>
      </w:r>
      <w:r>
        <w:rPr>
          <w:rFonts w:ascii="Times New Roman" w:hAnsi="Times New Roman" w:eastAsia="TimesNewRomanPSMT" w:cs="Times New Roman"/>
          <w:color w:val="000000"/>
          <w:sz w:val="24"/>
        </w:rPr>
        <w:t>an earlier</w:t>
      </w:r>
      <w:r>
        <w:rPr>
          <w:rFonts w:ascii="Times New Roman" w:hAnsi="Times New Roman" w:cs="Times New Roman"/>
          <w:color w:val="000000"/>
          <w:sz w:val="24"/>
        </w:rPr>
        <w:t xml:space="preserve"> study</w:t>
      </w:r>
      <w:r>
        <w:rPr>
          <w:rFonts w:ascii="Times New Roman" w:hAnsi="Times New Roman"/>
          <w:color w:val="000000"/>
          <w:sz w:val="24"/>
        </w:rPr>
        <w:t xml:space="preserve"> </w:t>
      </w:r>
      <w:r>
        <w:rPr>
          <w:rFonts w:ascii="Times New Roman" w:hAnsi="Times New Roman" w:cs="Times New Roman"/>
          <w:color w:val="000000"/>
          <w:sz w:val="24"/>
        </w:rPr>
        <w:t>(Larjava et al. 1992)</w:t>
      </w:r>
      <w:r>
        <w:rPr>
          <w:rFonts w:ascii="Times New Roman" w:hAnsi="Times New Roman"/>
          <w:color w:val="000000"/>
          <w:sz w:val="24"/>
        </w:rPr>
        <w:t xml:space="preserve">. </w:t>
      </w:r>
      <w:r>
        <w:rPr>
          <w:rFonts w:ascii="Times New Roman" w:hAnsi="Times New Roman" w:cs="Times New Roman"/>
          <w:color w:val="000000"/>
          <w:sz w:val="24"/>
        </w:rPr>
        <w:t>Human gingival tissues were washed three times, cut into pieces of 1 mm</w:t>
      </w:r>
      <w:r>
        <w:rPr>
          <w:rFonts w:ascii="Times New Roman" w:hAnsi="Times New Roman" w:cs="Times New Roman"/>
          <w:color w:val="000000"/>
          <w:sz w:val="24"/>
          <w:vertAlign w:val="superscript"/>
        </w:rPr>
        <w:t>2</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and cultured in </w:t>
      </w:r>
      <w:r>
        <w:rPr>
          <w:rFonts w:ascii="Times New Roman" w:hAnsi="Times New Roman" w:eastAsia="TimesNewRomanPSMT" w:cs="Times New Roman"/>
          <w:color w:val="000000"/>
          <w:sz w:val="24"/>
        </w:rPr>
        <w:t>Dulbecco’s modified Eagle’s medium</w:t>
      </w:r>
      <w:r>
        <w:rPr>
          <w:rFonts w:ascii="Times New Roman" w:hAnsi="Times New Roman" w:cs="Times New Roman"/>
          <w:color w:val="000000"/>
          <w:sz w:val="24"/>
        </w:rPr>
        <w:t xml:space="preserve"> (DMEM; Gibco, USA) supplemented with 10% </w:t>
      </w:r>
      <w:r>
        <w:rPr>
          <w:rFonts w:ascii="Times New Roman" w:hAnsi="Times New Roman" w:eastAsia="TimesNewRomanPSMT" w:cs="Times New Roman"/>
          <w:color w:val="000000"/>
          <w:sz w:val="24"/>
        </w:rPr>
        <w:t>fetal</w:t>
      </w:r>
      <w:r>
        <w:rPr>
          <w:rFonts w:ascii="Times New Roman" w:hAnsi="Times New Roman" w:cs="Times New Roman"/>
          <w:color w:val="000000"/>
          <w:sz w:val="24"/>
        </w:rPr>
        <w:t xml:space="preserve"> bovine serum (FBS; Gibco, USA) and 1% penicillin/streptomycin solution (Gibco, USA). When the cells had grown to 80–100% confluence, the hGFs were passaged with 0.01% trypsin (Gibco, USA). The hGFs were used for experiments between passages three and seven. For all in vitro experiments, cells were seeded at a density of 4 x </w:t>
      </w:r>
      <w:r>
        <w:rPr>
          <w:rFonts w:ascii="Times New Roman" w:hAnsi="Times New Roman" w:eastAsia="TimesNewRomanPSMT" w:cs="Times New Roman"/>
          <w:color w:val="000000"/>
          <w:sz w:val="24"/>
        </w:rPr>
        <w:t>10</w:t>
      </w:r>
      <w:r>
        <w:rPr>
          <w:rFonts w:ascii="Times New Roman" w:hAnsi="Times New Roman" w:eastAsia="TimesNewRomanPSMT" w:cs="Times New Roman"/>
          <w:color w:val="000000"/>
          <w:sz w:val="24"/>
          <w:vertAlign w:val="superscript"/>
        </w:rPr>
        <w:t>5</w:t>
      </w:r>
      <w:r>
        <w:rPr>
          <w:rFonts w:ascii="Times New Roman" w:hAnsi="Times New Roman" w:eastAsia="TimesNewRomanPSMT" w:cs="Times New Roman"/>
          <w:color w:val="000000"/>
          <w:sz w:val="24"/>
        </w:rPr>
        <w:t xml:space="preserve"> cells/mL</w:t>
      </w:r>
      <w:r>
        <w:rPr>
          <w:rFonts w:ascii="Times New Roman" w:hAnsi="Times New Roman" w:cs="Times New Roman"/>
          <w:color w:val="000000"/>
          <w:sz w:val="24"/>
        </w:rPr>
        <w:t xml:space="preserve"> in 2 </w:t>
      </w:r>
      <w:r>
        <w:rPr>
          <w:rFonts w:ascii="Times New Roman" w:hAnsi="Times New Roman" w:eastAsia="TimesNewRomanPSMT" w:cs="Times New Roman"/>
          <w:color w:val="000000"/>
          <w:sz w:val="24"/>
        </w:rPr>
        <w:t>mL</w:t>
      </w:r>
      <w:r>
        <w:rPr>
          <w:rFonts w:ascii="Times New Roman" w:hAnsi="Times New Roman" w:cs="Times New Roman"/>
          <w:color w:val="000000"/>
          <w:sz w:val="24"/>
        </w:rPr>
        <w:t xml:space="preserve"> of growth media/well in 6-well cell culture dishes or </w:t>
      </w:r>
      <w:r>
        <w:rPr>
          <w:rFonts w:ascii="Times New Roman" w:hAnsi="Times New Roman" w:eastAsia="TimesNewRomanPSMT" w:cs="Times New Roman"/>
          <w:color w:val="000000"/>
          <w:sz w:val="24"/>
        </w:rPr>
        <w:t xml:space="preserve">in </w:t>
      </w:r>
      <w:r>
        <w:rPr>
          <w:rFonts w:ascii="Times New Roman" w:hAnsi="Times New Roman" w:cs="Times New Roman"/>
          <w:color w:val="000000"/>
          <w:sz w:val="24"/>
        </w:rPr>
        <w:t xml:space="preserve">0.5 </w:t>
      </w:r>
      <w:r>
        <w:rPr>
          <w:rFonts w:ascii="Times New Roman" w:hAnsi="Times New Roman" w:eastAsia="TimesNewRomanPSMT" w:cs="Times New Roman"/>
          <w:color w:val="000000"/>
          <w:sz w:val="24"/>
        </w:rPr>
        <w:t>mL</w:t>
      </w:r>
      <w:r>
        <w:rPr>
          <w:rFonts w:ascii="Times New Roman" w:hAnsi="Times New Roman" w:cs="Times New Roman"/>
          <w:color w:val="000000"/>
          <w:sz w:val="24"/>
        </w:rPr>
        <w:t xml:space="preserve"> growth media/well in 24-well cell culture dishes. After 24</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48 h, the medium was replaced with </w:t>
      </w:r>
      <w:r>
        <w:rPr>
          <w:rFonts w:ascii="Times New Roman" w:hAnsi="Times New Roman" w:eastAsia="TimesNewRomanPSMT" w:cs="Times New Roman"/>
          <w:color w:val="000000"/>
          <w:sz w:val="24"/>
        </w:rPr>
        <w:t xml:space="preserve">a </w:t>
      </w:r>
      <w:r>
        <w:rPr>
          <w:rFonts w:ascii="Times New Roman" w:hAnsi="Times New Roman" w:cs="Times New Roman"/>
          <w:color w:val="000000"/>
          <w:sz w:val="24"/>
        </w:rPr>
        <w:t xml:space="preserve">complete medium containing 20 </w:t>
      </w:r>
      <w:r>
        <w:rPr>
          <w:rFonts w:ascii="Times New Roman" w:hAnsi="Times New Roman" w:eastAsia="等线" w:cs="Times New Roman"/>
          <w:sz w:val="24"/>
          <w:lang w:bidi="ar"/>
        </w:rPr>
        <w:t>μ</w:t>
      </w:r>
      <w:r>
        <w:rPr>
          <w:rFonts w:ascii="Times New Roman" w:hAnsi="Times New Roman" w:cs="Times New Roman"/>
          <w:color w:val="000000"/>
          <w:sz w:val="24"/>
        </w:rPr>
        <w:t>M DMSO or 2.</w:t>
      </w:r>
      <w:r>
        <w:rPr>
          <w:rFonts w:ascii="Times New Roman" w:hAnsi="Times New Roman" w:eastAsia="TimesNewRomanPSMT" w:cs="Times New Roman"/>
          <w:color w:val="000000"/>
          <w:sz w:val="24"/>
        </w:rPr>
        <w:t>5</w:t>
      </w:r>
      <w:r>
        <w:rPr>
          <w:rFonts w:ascii="Times New Roman" w:hAnsi="Times New Roman" w:cs="Times New Roman"/>
          <w:color w:val="000000"/>
          <w:sz w:val="24"/>
        </w:rPr>
        <w:t xml:space="preserve">, </w:t>
      </w:r>
      <w:r>
        <w:rPr>
          <w:rFonts w:ascii="Times New Roman" w:hAnsi="Times New Roman" w:eastAsia="TimesNewRomanPSMT" w:cs="Times New Roman"/>
          <w:color w:val="000000"/>
          <w:sz w:val="24"/>
        </w:rPr>
        <w:t>5</w:t>
      </w:r>
      <w:r>
        <w:rPr>
          <w:rFonts w:ascii="Times New Roman" w:hAnsi="Times New Roman" w:cs="Times New Roman"/>
          <w:color w:val="000000"/>
          <w:sz w:val="24"/>
        </w:rPr>
        <w:t xml:space="preserve">, </w:t>
      </w:r>
      <w:r>
        <w:rPr>
          <w:rFonts w:ascii="Times New Roman" w:hAnsi="Times New Roman" w:eastAsia="TimesNewRomanPSMT" w:cs="Times New Roman"/>
          <w:color w:val="000000"/>
          <w:sz w:val="24"/>
        </w:rPr>
        <w:t>10</w:t>
      </w:r>
      <w:r>
        <w:rPr>
          <w:rFonts w:ascii="Times New Roman" w:hAnsi="Times New Roman" w:cs="Times New Roman"/>
          <w:color w:val="000000"/>
          <w:sz w:val="24"/>
        </w:rPr>
        <w:t xml:space="preserve">, or </w:t>
      </w:r>
      <w:r>
        <w:rPr>
          <w:rFonts w:ascii="Times New Roman" w:hAnsi="Times New Roman" w:eastAsia="等线" w:cs="Times New Roman"/>
          <w:sz w:val="24"/>
          <w:lang w:bidi="ar"/>
        </w:rPr>
        <w:t>20 μM AdipoAI</w:t>
      </w:r>
      <w:r>
        <w:rPr>
          <w:rFonts w:ascii="Times New Roman" w:hAnsi="Times New Roman" w:cs="Times New Roman"/>
          <w:color w:val="000000"/>
          <w:sz w:val="24"/>
        </w:rPr>
        <w:t xml:space="preserve">, and the hGFs were incubated for 24 </w:t>
      </w:r>
      <w:r>
        <w:rPr>
          <w:rFonts w:ascii="Times New Roman" w:hAnsi="Times New Roman" w:eastAsia="TimesNewRomanPSMT" w:cs="Times New Roman"/>
          <w:color w:val="000000"/>
          <w:sz w:val="24"/>
        </w:rPr>
        <w:t>h</w:t>
      </w:r>
      <w:r>
        <w:rPr>
          <w:rFonts w:ascii="Times New Roman" w:hAnsi="Times New Roman" w:cs="Times New Roman"/>
          <w:color w:val="000000"/>
          <w:sz w:val="24"/>
        </w:rPr>
        <w:t>. Then, the cells were washed with PBS. Media containing LAZ plus 20 μg/</w:t>
      </w:r>
      <w:r>
        <w:rPr>
          <w:rFonts w:ascii="Times New Roman" w:hAnsi="Times New Roman" w:eastAsia="TimesNewRomanPSMT" w:cs="Times New Roman"/>
          <w:color w:val="000000"/>
          <w:sz w:val="24"/>
        </w:rPr>
        <w:t>mL</w:t>
      </w:r>
      <w:r>
        <w:rPr>
          <w:rFonts w:ascii="Times New Roman" w:hAnsi="Times New Roman" w:cs="Times New Roman"/>
          <w:color w:val="000000"/>
          <w:sz w:val="24"/>
        </w:rPr>
        <w:t xml:space="preserve"> </w:t>
      </w:r>
      <w:r>
        <w:rPr>
          <w:rFonts w:ascii="Times New Roman" w:hAnsi="Times New Roman" w:cs="Times New Roman"/>
          <w:i/>
          <w:color w:val="000000"/>
          <w:sz w:val="24"/>
        </w:rPr>
        <w:t>Escherichia coli</w:t>
      </w:r>
      <w:r>
        <w:rPr>
          <w:rFonts w:ascii="Times New Roman" w:hAnsi="Times New Roman" w:cs="Times New Roman"/>
          <w:color w:val="000000"/>
          <w:sz w:val="24"/>
        </w:rPr>
        <w:t>-derived lipopolysaccharide (LPS; Sigma‒Aldrich), 1 μM AZD’5582 (MedChemExpress, Shanghai, P.R.C</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and 50 μM z-VAD-fmk (MedChemExpress, Shanghai, P.R.C.) was added.</w:t>
      </w:r>
    </w:p>
    <w:p w14:paraId="7734380A">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8</w:t>
      </w:r>
      <w:r>
        <w:rPr>
          <w:rFonts w:ascii="Times New Roman" w:hAnsi="Times New Roman" w:cs="Times New Roman"/>
          <w:b/>
          <w:color w:val="000000"/>
          <w:sz w:val="24"/>
        </w:rPr>
        <w:t>. qRT‒PCR</w:t>
      </w:r>
    </w:p>
    <w:p w14:paraId="72D3CE0D">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Total RNA was extracted from cells using an EZ-press RNA Purification Kit (EZBioscience, Roseville, USA) and quantified using standard spectrophotometric methods. Complementary DNA (cDNA) was synthesized from 1000 ng of total RNA with the PrimeScript RT reagent kit (EZBioscience, Roseville, USA). GAPDH was used as an internal control for normalization. The primer sequences for </w:t>
      </w:r>
      <w:r>
        <w:rPr>
          <w:rFonts w:ascii="Times New Roman" w:hAnsi="Times New Roman" w:eastAsia="TimesNewRomanPSMT" w:cs="Times New Roman"/>
          <w:color w:val="000000"/>
          <w:sz w:val="24"/>
        </w:rPr>
        <w:t xml:space="preserve">qRT–PCR </w:t>
      </w:r>
      <w:r>
        <w:rPr>
          <w:rFonts w:ascii="Times New Roman" w:hAnsi="Times New Roman" w:cs="Times New Roman"/>
          <w:color w:val="000000"/>
          <w:sz w:val="24"/>
        </w:rPr>
        <w:t xml:space="preserve">are listed in Appendix Table 1. Amplification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 SYBR Green qPCR Master Mix kit for </w:t>
      </w:r>
      <w:r>
        <w:rPr>
          <w:rFonts w:ascii="Times New Roman" w:hAnsi="Times New Roman" w:eastAsia="TimesNewRomanPSMT" w:cs="Times New Roman"/>
          <w:color w:val="000000"/>
          <w:sz w:val="24"/>
        </w:rPr>
        <w:t>qRT–PCR</w:t>
      </w:r>
      <w:r>
        <w:rPr>
          <w:rFonts w:ascii="Times New Roman" w:hAnsi="Times New Roman" w:cs="Times New Roman"/>
          <w:color w:val="000000"/>
          <w:sz w:val="24"/>
        </w:rPr>
        <w:t xml:space="preserve"> (EZBioscience, Roseville, USA) was performed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 LightCycler 480 thermal cycler. The 2</w:t>
      </w:r>
      <w:r>
        <w:rPr>
          <w:rFonts w:ascii="Times New Roman" w:hAnsi="Times New Roman" w:cs="Times New Roman"/>
          <w:color w:val="000000"/>
          <w:sz w:val="24"/>
          <w:vertAlign w:val="superscript"/>
        </w:rPr>
        <w:t>–ΔΔCt</w:t>
      </w:r>
      <w:r>
        <w:rPr>
          <w:rFonts w:ascii="Times New Roman" w:hAnsi="Times New Roman" w:cs="Times New Roman"/>
          <w:color w:val="000000"/>
          <w:sz w:val="24"/>
        </w:rPr>
        <w:t xml:space="preserve"> values were used to determine the fold changes of target gene messenger RNA (mRNA) expression, normalized to GAPDH.</w:t>
      </w:r>
    </w:p>
    <w:p w14:paraId="6E98C16B">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9</w:t>
      </w:r>
      <w:r>
        <w:rPr>
          <w:rFonts w:ascii="Times New Roman" w:hAnsi="Times New Roman" w:cs="Times New Roman"/>
          <w:b/>
          <w:color w:val="000000"/>
          <w:sz w:val="24"/>
        </w:rPr>
        <w:t>. Western Blotting</w:t>
      </w:r>
    </w:p>
    <w:p w14:paraId="5540DB1C">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Total protein </w:t>
      </w:r>
      <w:r>
        <w:rPr>
          <w:rFonts w:ascii="Times New Roman" w:hAnsi="Times New Roman" w:eastAsia="TimesNewRomanPSMT" w:cs="Times New Roman"/>
          <w:color w:val="000000"/>
          <w:sz w:val="24"/>
        </w:rPr>
        <w:t>was</w:t>
      </w:r>
      <w:r>
        <w:rPr>
          <w:rFonts w:ascii="Times New Roman" w:hAnsi="Times New Roman" w:cs="Times New Roman"/>
          <w:color w:val="000000"/>
          <w:sz w:val="24"/>
        </w:rPr>
        <w:t xml:space="preserve"> extracted from cells or tissues using cell lysis buffer for 30 min, and the lysates were centrifuged at 14,000 rpm for 10 min at 4°C. Cytoplasmic and membrane proteins were isolated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 Minute TM Plasma Membrane Protein Isolation and Cell Fractionation Kit (Invent Biotechnologies, Eden Prairie, MN, USA) according to the manufacturer’s instructions. These proteins were subjected to gel electrophoresis. The membranes were immunoblotted overnight at 4°C with primary antibodies. The primary antibodies included rabbit polyclonal anti-RIPK3 (17563-1-AP, Proteintech Inc., Wuhan, Hubei, P.R.C.)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1:1000, rabbit monoclonal anti-p-RIPK3 (ab209384, Abcam</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Cambridge, MA)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1:1000, rabbit monoclonal anti-MLKL (ab184718, Abcam</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Cambridge, MA)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1:1000, and rabbit monoclonal anti-p-MLKL (ab187091, Abcam</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Cambridge, MA)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 xml:space="preserve">1:800, against Adipo receptor 1 (cat# SC69-04, NOVUS, RRID: AB_2893422) diluted </w:t>
      </w:r>
      <w:r>
        <w:rPr>
          <w:rFonts w:ascii="Times New Roman" w:hAnsi="Times New Roman" w:eastAsia="TimesNewRomanPSMT" w:cs="Times New Roman"/>
          <w:color w:val="000000"/>
          <w:sz w:val="24"/>
        </w:rPr>
        <w:t xml:space="preserve">to </w:t>
      </w:r>
      <w:r>
        <w:rPr>
          <w:rFonts w:ascii="Times New Roman" w:hAnsi="Times New Roman" w:cs="Times New Roman"/>
          <w:color w:val="000000"/>
          <w:sz w:val="24"/>
        </w:rPr>
        <w:t>1:500, anti-AMPKα (AMPKα; cat# 2532S, Cell Signaling Technology.) diluted</w:t>
      </w:r>
      <w:r>
        <w:rPr>
          <w:rFonts w:ascii="Times New Roman" w:hAnsi="Times New Roman" w:eastAsia="TimesNewRomanPSMT" w:cs="Times New Roman"/>
          <w:color w:val="000000"/>
          <w:sz w:val="24"/>
        </w:rPr>
        <w:t xml:space="preserve"> to</w:t>
      </w:r>
      <w:r>
        <w:rPr>
          <w:rFonts w:ascii="Times New Roman" w:hAnsi="Times New Roman" w:cs="Times New Roman"/>
          <w:color w:val="000000"/>
          <w:sz w:val="24"/>
        </w:rPr>
        <w:t xml:space="preserve"> 1:1000, rabbit monoclonal anti-phospho-AMPKα (Thr172) (p-AMPKα; cat# 2535S, Cell Signaling Technology</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diluted</w:t>
      </w:r>
      <w:r>
        <w:rPr>
          <w:rFonts w:ascii="Times New Roman" w:hAnsi="Times New Roman" w:eastAsia="TimesNewRomanPSMT" w:cs="Times New Roman"/>
          <w:color w:val="000000"/>
          <w:sz w:val="24"/>
        </w:rPr>
        <w:t xml:space="preserve"> to</w:t>
      </w:r>
      <w:r>
        <w:rPr>
          <w:rFonts w:ascii="Times New Roman" w:hAnsi="Times New Roman" w:cs="Times New Roman"/>
          <w:color w:val="000000"/>
          <w:sz w:val="24"/>
        </w:rPr>
        <w:t xml:space="preserve"> 1:1000, and rabbit polyclonal antibody to APPL1 (cat# DF3983, Affinity, RRID: AB_2836343) diluted</w:t>
      </w:r>
      <w:r>
        <w:rPr>
          <w:rFonts w:ascii="Times New Roman" w:hAnsi="Times New Roman" w:eastAsia="TimesNewRomanPSMT" w:cs="Times New Roman"/>
          <w:color w:val="000000"/>
          <w:sz w:val="24"/>
        </w:rPr>
        <w:t xml:space="preserve"> to</w:t>
      </w:r>
      <w:r>
        <w:rPr>
          <w:rFonts w:ascii="Times New Roman" w:hAnsi="Times New Roman" w:cs="Times New Roman"/>
          <w:color w:val="000000"/>
          <w:sz w:val="24"/>
        </w:rPr>
        <w:t xml:space="preserve"> 1:4000. The membranes were washed three times, subjected to horseradish peroxidase (HRP)-conjugated secondary antibodies (B900210, Proteintech</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Inc., Wuhan, Hubei, P.R.C.) diluted</w:t>
      </w:r>
      <w:r>
        <w:rPr>
          <w:rFonts w:ascii="Times New Roman" w:hAnsi="Times New Roman" w:eastAsia="TimesNewRomanPSMT" w:cs="Times New Roman"/>
          <w:color w:val="000000"/>
          <w:sz w:val="24"/>
        </w:rPr>
        <w:t xml:space="preserve"> to</w:t>
      </w:r>
      <w:r>
        <w:rPr>
          <w:rFonts w:ascii="Times New Roman" w:hAnsi="Times New Roman" w:cs="Times New Roman"/>
          <w:color w:val="000000"/>
          <w:sz w:val="24"/>
        </w:rPr>
        <w:t xml:space="preserve"> 1:8000 for 60 min and developed using ECL reagent. Protein bands were visualized using a Tanon-5200 scanner. GAPDH was used as an internal control. The grey value of each protein band was calculated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ImageJ software.</w:t>
      </w:r>
    </w:p>
    <w:p w14:paraId="6CB6B594">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10</w:t>
      </w:r>
      <w:r>
        <w:rPr>
          <w:rFonts w:ascii="Times New Roman" w:hAnsi="Times New Roman" w:cs="Times New Roman"/>
          <w:b/>
          <w:color w:val="000000"/>
          <w:sz w:val="24"/>
        </w:rPr>
        <w:t xml:space="preserve">. Transmission </w:t>
      </w:r>
      <w:r>
        <w:rPr>
          <w:rFonts w:ascii="Times New Roman" w:hAnsi="Times New Roman" w:eastAsia="TimesNewRomanPSMT" w:cs="Times New Roman"/>
          <w:b/>
          <w:bCs/>
          <w:color w:val="000000"/>
          <w:sz w:val="24"/>
        </w:rPr>
        <w:t>Electron Microscopy</w:t>
      </w:r>
      <w:r>
        <w:rPr>
          <w:rFonts w:ascii="Times New Roman" w:hAnsi="Times New Roman" w:cs="Times New Roman"/>
          <w:b/>
          <w:color w:val="000000"/>
          <w:sz w:val="24"/>
        </w:rPr>
        <w:t xml:space="preserve"> (TEM) </w:t>
      </w:r>
      <w:r>
        <w:rPr>
          <w:rFonts w:ascii="Times New Roman" w:hAnsi="Times New Roman" w:eastAsia="TimesNewRomanPSMT" w:cs="Times New Roman"/>
          <w:b/>
          <w:bCs/>
          <w:color w:val="000000"/>
          <w:sz w:val="24"/>
        </w:rPr>
        <w:t>Analysis</w:t>
      </w:r>
    </w:p>
    <w:p w14:paraId="081EF8F6">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The treated hGFs were gently detached by a cell scraper in 2.5% glutaraldehyde, washed once, prefixed in 2.5% glutaraldehyde for 2 h</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and postfixed in 1% osmium tetroxide for another 2 h. </w:t>
      </w:r>
      <w:r>
        <w:rPr>
          <w:rFonts w:ascii="Times New Roman" w:hAnsi="Times New Roman" w:eastAsia="TimesNewRomanPSMT" w:cs="Times New Roman"/>
          <w:color w:val="000000"/>
          <w:sz w:val="24"/>
        </w:rPr>
        <w:t>Subsequently</w:t>
      </w:r>
      <w:r>
        <w:rPr>
          <w:rFonts w:ascii="Times New Roman" w:hAnsi="Times New Roman" w:cs="Times New Roman"/>
          <w:color w:val="000000"/>
          <w:sz w:val="24"/>
        </w:rPr>
        <w:t xml:space="preserve">, the fixed hGFs were dehydrated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an ascending graded series of ethanol solutions, infiltrated</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and embedded in resin. The resin-embedded samples were processed into ultrathin sections </w:t>
      </w:r>
      <w:r>
        <w:rPr>
          <w:rFonts w:ascii="Times New Roman" w:hAnsi="Times New Roman" w:eastAsia="TimesNewRomanPSMT" w:cs="Times New Roman"/>
          <w:color w:val="000000"/>
          <w:sz w:val="24"/>
        </w:rPr>
        <w:t>using</w:t>
      </w:r>
      <w:r>
        <w:rPr>
          <w:rFonts w:ascii="Times New Roman" w:hAnsi="Times New Roman" w:cs="Times New Roman"/>
          <w:color w:val="000000"/>
          <w:sz w:val="24"/>
        </w:rPr>
        <w:t xml:space="preserve"> an EM UC7 ultramicrotome (Leica, Wetzlar, Germany) and stained with uranyl acetate and lead citrate. </w:t>
      </w:r>
      <w:r>
        <w:rPr>
          <w:rFonts w:ascii="Times New Roman" w:hAnsi="Times New Roman" w:eastAsia="TimesNewRomanPSMT" w:cs="Times New Roman"/>
          <w:color w:val="000000"/>
          <w:sz w:val="24"/>
        </w:rPr>
        <w:t>The morphological characteristics of the hGF samples were observed using an</w:t>
      </w:r>
      <w:r>
        <w:rPr>
          <w:rFonts w:ascii="Times New Roman" w:hAnsi="Times New Roman" w:cs="Times New Roman"/>
          <w:color w:val="000000"/>
          <w:sz w:val="24"/>
        </w:rPr>
        <w:t xml:space="preserve"> HT7700 transmission electron microscope (Hitachi, Tokyo, Japan</w:t>
      </w:r>
      <w:r>
        <w:rPr>
          <w:rFonts w:ascii="Times New Roman" w:hAnsi="Times New Roman" w:eastAsia="TimesNewRomanPSMT" w:cs="Times New Roman"/>
          <w:color w:val="000000"/>
          <w:sz w:val="24"/>
        </w:rPr>
        <w:t>).</w:t>
      </w:r>
    </w:p>
    <w:p w14:paraId="75410B19">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11</w:t>
      </w:r>
      <w:r>
        <w:rPr>
          <w:rFonts w:ascii="Times New Roman" w:hAnsi="Times New Roman" w:cs="Times New Roman"/>
          <w:b/>
          <w:color w:val="000000"/>
          <w:sz w:val="24"/>
        </w:rPr>
        <w:t xml:space="preserve">. Flow </w:t>
      </w:r>
      <w:r>
        <w:rPr>
          <w:rFonts w:ascii="Times New Roman" w:hAnsi="Times New Roman" w:eastAsia="TimesNewRomanPSMT" w:cs="Times New Roman"/>
          <w:b/>
          <w:bCs/>
          <w:color w:val="000000"/>
          <w:sz w:val="24"/>
        </w:rPr>
        <w:t>Cytometry</w:t>
      </w:r>
    </w:p>
    <w:p w14:paraId="05E304F5">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hGFs were harvested, washed with PBS, and stained with Annexin V-FITC and propidium iodide (PI) for 15 min in the dark according to the </w:t>
      </w:r>
      <w:r>
        <w:rPr>
          <w:rFonts w:ascii="Times New Roman" w:hAnsi="Times New Roman" w:eastAsia="TimesNewRomanPSMT" w:cs="Times New Roman"/>
          <w:color w:val="000000"/>
          <w:sz w:val="24"/>
        </w:rPr>
        <w:t xml:space="preserve">manufacturer's </w:t>
      </w:r>
      <w:r>
        <w:rPr>
          <w:rFonts w:ascii="Times New Roman" w:hAnsi="Times New Roman" w:cs="Times New Roman"/>
          <w:color w:val="000000"/>
          <w:sz w:val="24"/>
        </w:rPr>
        <w:t xml:space="preserve">instructions (UElandy, </w:t>
      </w:r>
      <w:r>
        <w:rPr>
          <w:rStyle w:val="7"/>
          <w:rFonts w:ascii="Times New Roman" w:hAnsi="Times New Roman" w:cs="Times New Roman"/>
          <w:sz w:val="24"/>
          <w:szCs w:val="24"/>
        </w:rPr>
        <w:t>Shanghai</w:t>
      </w:r>
      <w:r>
        <w:rPr>
          <w:rFonts w:ascii="Times New Roman" w:hAnsi="Times New Roman" w:cs="Times New Roman"/>
          <w:color w:val="000000"/>
          <w:sz w:val="24"/>
        </w:rPr>
        <w:t>). A BD FACSCalibur (BD Biosciences, San Jose, CA, USA) was used for flow cytometric analysis.</w:t>
      </w:r>
    </w:p>
    <w:p w14:paraId="758F7F19">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1</w:t>
      </w:r>
      <w:r>
        <w:rPr>
          <w:rFonts w:ascii="Times New Roman" w:hAnsi="Times New Roman" w:cs="Times New Roman"/>
          <w:b/>
          <w:color w:val="000000"/>
          <w:sz w:val="24"/>
        </w:rPr>
        <w:t xml:space="preserve">2. Cell </w:t>
      </w:r>
      <w:r>
        <w:rPr>
          <w:rFonts w:ascii="Times New Roman" w:hAnsi="Times New Roman" w:eastAsia="TimesNewRomanPSMT" w:cs="Times New Roman"/>
          <w:b/>
          <w:bCs/>
          <w:color w:val="000000"/>
          <w:sz w:val="24"/>
        </w:rPr>
        <w:t>Counting Kit</w:t>
      </w:r>
      <w:r>
        <w:rPr>
          <w:rFonts w:ascii="Times New Roman" w:hAnsi="Times New Roman" w:cs="Times New Roman"/>
          <w:b/>
          <w:color w:val="000000"/>
          <w:sz w:val="24"/>
        </w:rPr>
        <w:t xml:space="preserve"> 8 (CCK8) Assay</w:t>
      </w:r>
    </w:p>
    <w:p w14:paraId="5B53A735">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Cell suspensions (100 μL) containing 5,000 cells were seeded in 96-well plates. After 48 h, the medium was replaced with </w:t>
      </w:r>
      <w:r>
        <w:rPr>
          <w:rFonts w:ascii="Times New Roman" w:hAnsi="Times New Roman" w:eastAsia="TimesNewRomanPSMT" w:cs="Times New Roman"/>
          <w:color w:val="000000"/>
          <w:sz w:val="24"/>
        </w:rPr>
        <w:t xml:space="preserve">a </w:t>
      </w:r>
      <w:r>
        <w:rPr>
          <w:rFonts w:ascii="Times New Roman" w:hAnsi="Times New Roman" w:cs="Times New Roman"/>
          <w:color w:val="000000"/>
          <w:sz w:val="24"/>
        </w:rPr>
        <w:t xml:space="preserve">complete medium containing 20 </w:t>
      </w:r>
      <w:r>
        <w:rPr>
          <w:rFonts w:ascii="Times New Roman" w:hAnsi="Times New Roman" w:eastAsia="等线" w:cs="Times New Roman"/>
          <w:sz w:val="24"/>
          <w:lang w:bidi="ar"/>
        </w:rPr>
        <w:t>μ</w:t>
      </w:r>
      <w:r>
        <w:rPr>
          <w:rFonts w:ascii="Times New Roman" w:hAnsi="Times New Roman" w:cs="Times New Roman"/>
          <w:color w:val="000000"/>
          <w:sz w:val="24"/>
        </w:rPr>
        <w:t>M DMSO or 2.</w:t>
      </w:r>
      <w:r>
        <w:rPr>
          <w:rFonts w:ascii="Times New Roman" w:hAnsi="Times New Roman" w:eastAsia="TimesNewRomanPSMT" w:cs="Times New Roman"/>
          <w:color w:val="000000"/>
          <w:sz w:val="24"/>
        </w:rPr>
        <w:t>5</w:t>
      </w:r>
      <w:r>
        <w:rPr>
          <w:rFonts w:ascii="Times New Roman" w:hAnsi="Times New Roman" w:cs="Times New Roman"/>
          <w:color w:val="000000"/>
          <w:sz w:val="24"/>
        </w:rPr>
        <w:t xml:space="preserve">, </w:t>
      </w:r>
      <w:r>
        <w:rPr>
          <w:rFonts w:ascii="Times New Roman" w:hAnsi="Times New Roman" w:eastAsia="TimesNewRomanPSMT" w:cs="Times New Roman"/>
          <w:color w:val="000000"/>
          <w:sz w:val="24"/>
        </w:rPr>
        <w:t>5</w:t>
      </w:r>
      <w:r>
        <w:rPr>
          <w:rFonts w:ascii="Times New Roman" w:hAnsi="Times New Roman" w:cs="Times New Roman"/>
          <w:color w:val="000000"/>
          <w:sz w:val="24"/>
        </w:rPr>
        <w:t xml:space="preserve">, </w:t>
      </w:r>
      <w:r>
        <w:rPr>
          <w:rFonts w:ascii="Times New Roman" w:hAnsi="Times New Roman" w:eastAsia="TimesNewRomanPSMT" w:cs="Times New Roman"/>
          <w:color w:val="000000"/>
          <w:sz w:val="24"/>
        </w:rPr>
        <w:t>10</w:t>
      </w:r>
      <w:r>
        <w:rPr>
          <w:rFonts w:ascii="Times New Roman" w:hAnsi="Times New Roman" w:cs="Times New Roman"/>
          <w:color w:val="000000"/>
          <w:sz w:val="24"/>
        </w:rPr>
        <w:t xml:space="preserve">, or </w:t>
      </w:r>
      <w:r>
        <w:rPr>
          <w:rFonts w:ascii="Times New Roman" w:hAnsi="Times New Roman" w:eastAsia="等线" w:cs="Times New Roman"/>
          <w:sz w:val="24"/>
          <w:lang w:bidi="ar"/>
        </w:rPr>
        <w:t>20 μM AdipoAI</w:t>
      </w:r>
      <w:r>
        <w:rPr>
          <w:rFonts w:ascii="Times New Roman" w:hAnsi="Times New Roman" w:cs="Times New Roman"/>
          <w:color w:val="000000"/>
          <w:sz w:val="24"/>
        </w:rPr>
        <w:t xml:space="preserve">, and the hGFs were incubated for 24 </w:t>
      </w:r>
      <w:r>
        <w:rPr>
          <w:rFonts w:ascii="Times New Roman" w:hAnsi="Times New Roman" w:eastAsia="TimesNewRomanPSMT" w:cs="Times New Roman"/>
          <w:color w:val="000000"/>
          <w:sz w:val="24"/>
        </w:rPr>
        <w:t>h</w:t>
      </w:r>
      <w:r>
        <w:rPr>
          <w:rFonts w:ascii="Times New Roman" w:hAnsi="Times New Roman" w:cs="Times New Roman"/>
          <w:color w:val="000000"/>
          <w:sz w:val="24"/>
        </w:rPr>
        <w:t xml:space="preserve">. Then, the cells were washed with PBS and stimulated with LAZ for 9 </w:t>
      </w:r>
      <w:r>
        <w:rPr>
          <w:rFonts w:ascii="Times New Roman" w:hAnsi="Times New Roman" w:eastAsia="TimesNewRomanPSMT" w:cs="Times New Roman"/>
          <w:color w:val="000000"/>
          <w:sz w:val="24"/>
        </w:rPr>
        <w:t>h</w:t>
      </w:r>
      <w:r>
        <w:rPr>
          <w:rFonts w:ascii="Times New Roman" w:hAnsi="Times New Roman" w:cs="Times New Roman"/>
          <w:color w:val="000000"/>
          <w:sz w:val="24"/>
        </w:rPr>
        <w:t xml:space="preserve">. After incubated for the indicated times, the media </w:t>
      </w:r>
      <w:r>
        <w:rPr>
          <w:rFonts w:ascii="Times New Roman" w:hAnsi="Times New Roman" w:eastAsia="TimesNewRomanPSMT" w:cs="Times New Roman"/>
          <w:color w:val="000000"/>
          <w:sz w:val="24"/>
        </w:rPr>
        <w:t>was</w:t>
      </w:r>
      <w:r>
        <w:rPr>
          <w:rFonts w:ascii="Times New Roman" w:hAnsi="Times New Roman" w:cs="Times New Roman"/>
          <w:color w:val="000000"/>
          <w:sz w:val="24"/>
        </w:rPr>
        <w:t xml:space="preserve"> removed and replaced with 100 μL of culture media containing 10 μL </w:t>
      </w:r>
      <w:r>
        <w:rPr>
          <w:rFonts w:ascii="Times New Roman" w:hAnsi="Times New Roman" w:eastAsia="TimesNewRomanPSMT" w:cs="Times New Roman"/>
          <w:color w:val="000000"/>
          <w:sz w:val="24"/>
        </w:rPr>
        <w:t xml:space="preserve">of </w:t>
      </w:r>
      <w:r>
        <w:rPr>
          <w:rFonts w:ascii="Times New Roman" w:hAnsi="Times New Roman" w:cs="Times New Roman"/>
          <w:color w:val="000000"/>
          <w:sz w:val="24"/>
        </w:rPr>
        <w:t xml:space="preserve">CCK8 solution per well </w:t>
      </w:r>
      <w:r>
        <w:rPr>
          <w:rFonts w:ascii="Times New Roman" w:hAnsi="Times New Roman" w:eastAsia="TimesNewRomanPSMT" w:cs="Times New Roman"/>
          <w:color w:val="000000"/>
          <w:sz w:val="24"/>
        </w:rPr>
        <w:t xml:space="preserve">according to the </w:t>
      </w:r>
      <w:r>
        <w:rPr>
          <w:rFonts w:ascii="Times New Roman" w:hAnsi="Times New Roman" w:cs="Times New Roman"/>
          <w:color w:val="000000"/>
          <w:sz w:val="24"/>
        </w:rPr>
        <w:t xml:space="preserve">protocol. After </w:t>
      </w:r>
      <w:r>
        <w:rPr>
          <w:rFonts w:ascii="Times New Roman" w:hAnsi="Times New Roman" w:eastAsia="TimesNewRomanPSMT" w:cs="Times New Roman"/>
          <w:color w:val="000000"/>
          <w:sz w:val="24"/>
        </w:rPr>
        <w:t>adding</w:t>
      </w:r>
      <w:r>
        <w:rPr>
          <w:rFonts w:ascii="Times New Roman" w:hAnsi="Times New Roman" w:cs="Times New Roman"/>
          <w:color w:val="000000"/>
          <w:sz w:val="24"/>
        </w:rPr>
        <w:t xml:space="preserve"> CCK8 solution,</w:t>
      </w:r>
      <w:r>
        <w:rPr>
          <w:rFonts w:ascii="Times New Roman" w:hAnsi="Times New Roman" w:eastAsia="TimesNewRomanPSMT" w:cs="Times New Roman"/>
          <w:color w:val="000000"/>
          <w:sz w:val="24"/>
        </w:rPr>
        <w:t xml:space="preserve"> the</w:t>
      </w:r>
      <w:r>
        <w:rPr>
          <w:rFonts w:ascii="Times New Roman" w:hAnsi="Times New Roman" w:cs="Times New Roman"/>
          <w:color w:val="000000"/>
          <w:sz w:val="24"/>
        </w:rPr>
        <w:t xml:space="preserve"> absorbance at 450 nm was measured at 1, 3</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and 6 h.</w:t>
      </w:r>
    </w:p>
    <w:p w14:paraId="72D0CE7B">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13</w:t>
      </w:r>
      <w:r>
        <w:rPr>
          <w:rFonts w:ascii="Times New Roman" w:hAnsi="Times New Roman" w:cs="Times New Roman"/>
          <w:b/>
          <w:color w:val="000000"/>
          <w:sz w:val="24"/>
        </w:rPr>
        <w:t>. Lactate Dehydrogenase (LDH) Assay</w:t>
      </w:r>
    </w:p>
    <w:p w14:paraId="5CD07C9B">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 xml:space="preserve">Cell suspensions (100 μL) containing 5,000 cells were seeded in 96-well plates. After 48 h, the hGFs were stimulated with 20 </w:t>
      </w:r>
      <w:r>
        <w:rPr>
          <w:rFonts w:ascii="Times New Roman" w:hAnsi="Times New Roman" w:eastAsia="等线" w:cs="Times New Roman"/>
          <w:sz w:val="24"/>
          <w:lang w:bidi="ar"/>
        </w:rPr>
        <w:t>μ</w:t>
      </w:r>
      <w:r>
        <w:rPr>
          <w:rFonts w:ascii="Times New Roman" w:hAnsi="Times New Roman" w:cs="Times New Roman"/>
          <w:color w:val="000000"/>
          <w:sz w:val="24"/>
        </w:rPr>
        <w:t>M DMSO or 2.</w:t>
      </w:r>
      <w:r>
        <w:rPr>
          <w:rFonts w:ascii="Times New Roman" w:hAnsi="Times New Roman" w:eastAsia="TimesNewRomanPSMT" w:cs="Times New Roman"/>
          <w:color w:val="000000"/>
          <w:sz w:val="24"/>
        </w:rPr>
        <w:t>5</w:t>
      </w:r>
      <w:r>
        <w:rPr>
          <w:rFonts w:ascii="Times New Roman" w:hAnsi="Times New Roman" w:cs="Times New Roman"/>
          <w:color w:val="000000"/>
          <w:sz w:val="24"/>
        </w:rPr>
        <w:t xml:space="preserve">, </w:t>
      </w:r>
      <w:r>
        <w:rPr>
          <w:rFonts w:ascii="Times New Roman" w:hAnsi="Times New Roman" w:eastAsia="TimesNewRomanPSMT" w:cs="Times New Roman"/>
          <w:color w:val="000000"/>
          <w:sz w:val="24"/>
        </w:rPr>
        <w:t>5</w:t>
      </w:r>
      <w:r>
        <w:rPr>
          <w:rFonts w:ascii="Times New Roman" w:hAnsi="Times New Roman" w:cs="Times New Roman"/>
          <w:color w:val="000000"/>
          <w:sz w:val="24"/>
        </w:rPr>
        <w:t xml:space="preserve">, </w:t>
      </w:r>
      <w:r>
        <w:rPr>
          <w:rFonts w:ascii="Times New Roman" w:hAnsi="Times New Roman" w:eastAsia="TimesNewRomanPSMT" w:cs="Times New Roman"/>
          <w:color w:val="000000"/>
          <w:sz w:val="24"/>
        </w:rPr>
        <w:t>10</w:t>
      </w:r>
      <w:r>
        <w:rPr>
          <w:rFonts w:ascii="Times New Roman" w:hAnsi="Times New Roman" w:cs="Times New Roman"/>
          <w:color w:val="000000"/>
          <w:sz w:val="24"/>
        </w:rPr>
        <w:t xml:space="preserve">, or </w:t>
      </w:r>
      <w:r>
        <w:rPr>
          <w:rFonts w:ascii="Times New Roman" w:hAnsi="Times New Roman" w:eastAsia="等线" w:cs="Times New Roman"/>
          <w:sz w:val="24"/>
          <w:lang w:bidi="ar"/>
        </w:rPr>
        <w:t xml:space="preserve">20 μM AdipoAI </w:t>
      </w:r>
      <w:r>
        <w:rPr>
          <w:rFonts w:ascii="Times New Roman" w:hAnsi="Times New Roman" w:cs="Times New Roman"/>
          <w:color w:val="000000"/>
          <w:sz w:val="24"/>
        </w:rPr>
        <w:t xml:space="preserve">for 24 </w:t>
      </w:r>
      <w:r>
        <w:rPr>
          <w:rFonts w:ascii="Times New Roman" w:hAnsi="Times New Roman" w:eastAsia="TimesNewRomanPSMT" w:cs="Times New Roman"/>
          <w:color w:val="000000"/>
          <w:sz w:val="24"/>
        </w:rPr>
        <w:t>h</w:t>
      </w:r>
      <w:r>
        <w:rPr>
          <w:rFonts w:ascii="Times New Roman" w:hAnsi="Times New Roman" w:cs="Times New Roman"/>
          <w:color w:val="000000"/>
          <w:sz w:val="24"/>
        </w:rPr>
        <w:t xml:space="preserve">. Then, the cells were stimulated with LAZ for 9 </w:t>
      </w:r>
      <w:r>
        <w:rPr>
          <w:rFonts w:ascii="Times New Roman" w:hAnsi="Times New Roman" w:eastAsia="TimesNewRomanPSMT" w:cs="Times New Roman"/>
          <w:color w:val="000000"/>
          <w:sz w:val="24"/>
        </w:rPr>
        <w:t>h</w:t>
      </w:r>
      <w:r>
        <w:rPr>
          <w:rFonts w:ascii="Times New Roman" w:hAnsi="Times New Roman" w:cs="Times New Roman"/>
          <w:color w:val="000000"/>
          <w:sz w:val="24"/>
        </w:rPr>
        <w:t>. After incubated for the indicated times, a cytotoxicity assay was performed using an LDH assay kit (Beyotime, Shanghai, P.R.C.) according to the manufacturer’s protocol.</w:t>
      </w:r>
    </w:p>
    <w:p w14:paraId="3AE622AD">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14</w:t>
      </w:r>
      <w:r>
        <w:rPr>
          <w:rFonts w:ascii="Times New Roman" w:hAnsi="Times New Roman" w:cs="Times New Roman"/>
          <w:b/>
          <w:color w:val="000000"/>
          <w:sz w:val="24"/>
        </w:rPr>
        <w:t xml:space="preserve">. siRNA </w:t>
      </w:r>
      <w:r>
        <w:rPr>
          <w:rFonts w:ascii="Times New Roman" w:hAnsi="Times New Roman" w:eastAsia="TimesNewRomanPSMT" w:cs="Times New Roman"/>
          <w:b/>
          <w:bCs/>
          <w:color w:val="000000"/>
          <w:sz w:val="24"/>
        </w:rPr>
        <w:t>Transfection</w:t>
      </w:r>
    </w:p>
    <w:p w14:paraId="15798ACD">
      <w:pPr>
        <w:spacing w:line="360" w:lineRule="auto"/>
        <w:ind w:firstLine="480" w:firstLineChars="200"/>
        <w:rPr>
          <w:rFonts w:hint="eastAsia" w:ascii="Times New Roman" w:hAnsi="Times New Roman" w:cs="Times New Roman" w:eastAsiaTheme="minorEastAsia"/>
          <w:color w:val="000000"/>
          <w:sz w:val="24"/>
          <w:lang w:val="en-US" w:eastAsia="zh-CN"/>
        </w:rPr>
      </w:pPr>
      <w:r>
        <w:rPr>
          <w:rFonts w:ascii="Times New Roman" w:hAnsi="Times New Roman" w:cs="Times New Roman"/>
          <w:color w:val="000000"/>
          <w:sz w:val="24"/>
        </w:rPr>
        <w:t>Adipo1 receptor siRNA and control siRNA were chemically synthesized (RiboBio, China</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rPr>
        <w:t>AdipoR1 siRNA：5′-AAGGTACTACTCAACTAGAATGT-3′</w:t>
      </w:r>
      <w:r>
        <w:rPr>
          <w:rFonts w:ascii="Times New Roman" w:hAnsi="Times New Roman" w:cs="Times New Roman"/>
          <w:color w:val="000000"/>
          <w:sz w:val="24"/>
        </w:rPr>
        <w:t xml:space="preserve">) and transfected into 60–70% confluent hGFs using a riboFECT CP transfection kit (cat# C10511-05, RiboBio, China). Dilution of the siRNA and transfection reagent and cell transfection were performed following the manufacturer's protocol. A total of 2 </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10</w:t>
      </w:r>
      <w:r>
        <w:rPr>
          <w:rFonts w:ascii="Times New Roman" w:hAnsi="Times New Roman" w:cs="Times New Roman"/>
          <w:color w:val="000000"/>
          <w:sz w:val="24"/>
          <w:vertAlign w:val="superscript"/>
        </w:rPr>
        <w:t>5</w:t>
      </w:r>
      <w:r>
        <w:rPr>
          <w:rFonts w:ascii="Times New Roman" w:hAnsi="Times New Roman" w:cs="Times New Roman"/>
          <w:color w:val="000000"/>
          <w:sz w:val="24"/>
        </w:rPr>
        <w:t xml:space="preserve"> hGFs were plated in 6-well plates and transfected with 50</w:t>
      </w:r>
      <w:r>
        <w:rPr>
          <w:rFonts w:ascii="Times New Roman" w:hAnsi="Times New Roman" w:eastAsia="TimesNewRomanPSMT" w:cs="Times New Roman"/>
          <w:color w:val="000000"/>
          <w:sz w:val="24"/>
        </w:rPr>
        <w:t xml:space="preserve"> </w:t>
      </w:r>
      <w:r>
        <w:rPr>
          <w:rFonts w:ascii="Times New Roman" w:hAnsi="Times New Roman" w:cs="Times New Roman"/>
          <w:color w:val="000000"/>
          <w:sz w:val="24"/>
        </w:rPr>
        <w:t xml:space="preserve">nM siRNA. NC siRNA was used as the </w:t>
      </w:r>
      <w:r>
        <w:rPr>
          <w:rFonts w:ascii="Times New Roman" w:hAnsi="Times New Roman" w:eastAsia="TimesNewRomanPSMT" w:cs="Times New Roman"/>
          <w:color w:val="000000"/>
          <w:sz w:val="24"/>
        </w:rPr>
        <w:t>negative control.</w:t>
      </w:r>
      <w:r>
        <w:rPr>
          <w:rFonts w:ascii="Times New Roman" w:hAnsi="Times New Roman" w:cs="Times New Roman"/>
          <w:color w:val="000000"/>
          <w:sz w:val="24"/>
        </w:rPr>
        <w:t xml:space="preserve"> The processed hGFs were used in Western blotting (WB)</w:t>
      </w:r>
      <w:r>
        <w:rPr>
          <w:rFonts w:hint="eastAsia" w:ascii="Times New Roman" w:hAnsi="Times New Roman" w:cs="Times New Roman"/>
          <w:color w:val="000000"/>
          <w:sz w:val="24"/>
          <w:lang w:val="en-US" w:eastAsia="zh-CN"/>
        </w:rPr>
        <w:t>.</w:t>
      </w:r>
    </w:p>
    <w:p w14:paraId="73E899BC">
      <w:pPr>
        <w:spacing w:line="360" w:lineRule="auto"/>
        <w:rPr>
          <w:rFonts w:ascii="Times New Roman" w:hAnsi="Times New Roman" w:cs="Times New Roman"/>
          <w:b/>
          <w:color w:val="000000"/>
          <w:sz w:val="24"/>
        </w:rPr>
      </w:pPr>
      <w:r>
        <w:rPr>
          <w:rFonts w:hint="eastAsia" w:ascii="Times New Roman" w:hAnsi="Times New Roman" w:cs="Times New Roman"/>
          <w:b/>
          <w:color w:val="000000"/>
          <w:sz w:val="24"/>
          <w:lang w:val="en-US" w:eastAsia="zh-CN"/>
        </w:rPr>
        <w:t>15</w:t>
      </w:r>
      <w:r>
        <w:rPr>
          <w:rFonts w:ascii="Times New Roman" w:hAnsi="Times New Roman" w:cs="Times New Roman"/>
          <w:b/>
          <w:color w:val="000000"/>
          <w:sz w:val="24"/>
        </w:rPr>
        <w:t>. Co-Immunoprecipitation</w:t>
      </w:r>
      <w:r>
        <w:rPr>
          <w:rFonts w:ascii="Times New Roman" w:hAnsi="Times New Roman" w:eastAsia="TimesNewRomanPSMT" w:cs="Times New Roman"/>
          <w:b/>
          <w:bCs/>
          <w:color w:val="000000"/>
          <w:sz w:val="24"/>
        </w:rPr>
        <w:t xml:space="preserve"> (</w:t>
      </w:r>
      <w:r>
        <w:rPr>
          <w:rFonts w:ascii="Times New Roman" w:hAnsi="Times New Roman" w:cs="Times New Roman"/>
          <w:b/>
          <w:color w:val="000000"/>
          <w:sz w:val="24"/>
        </w:rPr>
        <w:t>Co-IP</w:t>
      </w:r>
      <w:r>
        <w:rPr>
          <w:rFonts w:ascii="Times New Roman" w:hAnsi="Times New Roman" w:eastAsia="TimesNewRomanPSMT" w:cs="Times New Roman"/>
          <w:b/>
          <w:bCs/>
          <w:color w:val="000000"/>
          <w:sz w:val="24"/>
        </w:rPr>
        <w:t>)</w:t>
      </w:r>
    </w:p>
    <w:p w14:paraId="045887A1">
      <w:pPr>
        <w:spacing w:line="360" w:lineRule="auto"/>
        <w:ind w:firstLine="480" w:firstLineChars="200"/>
        <w:rPr>
          <w:rFonts w:ascii="Times New Roman" w:hAnsi="Times New Roman" w:cs="Times New Roman"/>
          <w:color w:val="000000"/>
          <w:sz w:val="24"/>
        </w:rPr>
      </w:pPr>
      <w:r>
        <w:rPr>
          <w:rFonts w:ascii="Times New Roman" w:hAnsi="Times New Roman" w:eastAsia="TimesNewRomanPSMT" w:cs="Times New Roman"/>
          <w:color w:val="000000"/>
          <w:sz w:val="24"/>
        </w:rPr>
        <w:t>An</w:t>
      </w:r>
      <w:r>
        <w:rPr>
          <w:rFonts w:ascii="Times New Roman" w:hAnsi="Times New Roman" w:cs="Times New Roman"/>
          <w:color w:val="000000"/>
          <w:sz w:val="24"/>
        </w:rPr>
        <w:t xml:space="preserve"> assay was performed using </w:t>
      </w:r>
      <w:r>
        <w:rPr>
          <w:rFonts w:ascii="Times New Roman" w:hAnsi="Times New Roman" w:eastAsia="TimesNewRomanPSMT" w:cs="Times New Roman"/>
          <w:color w:val="000000"/>
          <w:sz w:val="24"/>
        </w:rPr>
        <w:t>a</w:t>
      </w:r>
      <w:r>
        <w:rPr>
          <w:rFonts w:ascii="Times New Roman" w:hAnsi="Times New Roman" w:cs="Times New Roman"/>
          <w:color w:val="000000"/>
          <w:sz w:val="24"/>
        </w:rPr>
        <w:t xml:space="preserve"> PROTEIN A+G assay kit (Beyotime, Shanghai, P.R.C.) according to the manufacturer’s protocol.</w:t>
      </w:r>
      <w:r>
        <w:rPr>
          <w:rFonts w:ascii="Times New Roman" w:hAnsi="Times New Roman" w:eastAsia="TimesNewRomanPSMT" w:cs="Times New Roman"/>
          <w:color w:val="000000"/>
          <w:sz w:val="24"/>
        </w:rPr>
        <w:t xml:space="preserve"> </w:t>
      </w:r>
      <w:r>
        <w:rPr>
          <w:rFonts w:ascii="Times New Roman" w:hAnsi="Times New Roman" w:cs="Times New Roman"/>
          <w:color w:val="000000"/>
          <w:sz w:val="24"/>
        </w:rPr>
        <w:t xml:space="preserve">Cells are lysed using an appropriate lysis buffer. To reduce </w:t>
      </w:r>
      <w:r>
        <w:rPr>
          <w:rFonts w:ascii="Times New Roman" w:hAnsi="Times New Roman" w:eastAsia="TimesNewRomanPSMT" w:cs="Times New Roman"/>
          <w:color w:val="000000"/>
          <w:sz w:val="24"/>
        </w:rPr>
        <w:t>nonspecific</w:t>
      </w:r>
      <w:r>
        <w:rPr>
          <w:rFonts w:ascii="Times New Roman" w:hAnsi="Times New Roman" w:cs="Times New Roman"/>
          <w:color w:val="000000"/>
          <w:sz w:val="24"/>
        </w:rPr>
        <w:t xml:space="preserve"> binding, </w:t>
      </w:r>
      <w:r>
        <w:rPr>
          <w:rFonts w:ascii="Times New Roman" w:hAnsi="Times New Roman" w:eastAsia="TimesNewRomanPSMT" w:cs="Times New Roman"/>
          <w:color w:val="000000"/>
          <w:sz w:val="24"/>
        </w:rPr>
        <w:t>we</w:t>
      </w:r>
      <w:r>
        <w:rPr>
          <w:rFonts w:ascii="Times New Roman" w:hAnsi="Times New Roman" w:cs="Times New Roman"/>
          <w:color w:val="000000"/>
          <w:sz w:val="24"/>
        </w:rPr>
        <w:t xml:space="preserve"> pre-cleared </w:t>
      </w:r>
      <w:r>
        <w:rPr>
          <w:rFonts w:ascii="Times New Roman" w:hAnsi="Times New Roman" w:eastAsia="TimesNewRomanPSMT" w:cs="Times New Roman"/>
          <w:color w:val="000000"/>
          <w:sz w:val="24"/>
        </w:rPr>
        <w:t>lysates using protein</w:t>
      </w:r>
      <w:r>
        <w:rPr>
          <w:rFonts w:ascii="Times New Roman" w:hAnsi="Times New Roman" w:cs="Times New Roman"/>
          <w:color w:val="000000"/>
          <w:sz w:val="24"/>
        </w:rPr>
        <w:t xml:space="preserve"> A/G agarose beads </w:t>
      </w:r>
      <w:r>
        <w:rPr>
          <w:rFonts w:ascii="Times New Roman" w:hAnsi="Times New Roman" w:eastAsia="TimesNewRomanPSMT" w:cs="Times New Roman"/>
          <w:color w:val="000000"/>
          <w:sz w:val="24"/>
        </w:rPr>
        <w:t>via</w:t>
      </w:r>
      <w:r>
        <w:rPr>
          <w:rFonts w:ascii="Times New Roman" w:hAnsi="Times New Roman" w:cs="Times New Roman"/>
          <w:color w:val="000000"/>
          <w:sz w:val="24"/>
        </w:rPr>
        <w:t xml:space="preserve"> incubation for 1 </w:t>
      </w:r>
      <w:r>
        <w:rPr>
          <w:rFonts w:ascii="Times New Roman" w:hAnsi="Times New Roman" w:eastAsia="TimesNewRomanPSMT" w:cs="Times New Roman"/>
          <w:color w:val="000000"/>
          <w:sz w:val="24"/>
        </w:rPr>
        <w:t>h</w:t>
      </w:r>
      <w:r>
        <w:rPr>
          <w:rFonts w:ascii="Times New Roman" w:hAnsi="Times New Roman" w:cs="Times New Roman"/>
          <w:color w:val="000000"/>
          <w:sz w:val="24"/>
        </w:rPr>
        <w:t xml:space="preserve"> at 4°C</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The lysates </w:t>
      </w:r>
      <w:r>
        <w:rPr>
          <w:rFonts w:ascii="Times New Roman" w:hAnsi="Times New Roman" w:eastAsia="TimesNewRomanPSMT" w:cs="Times New Roman"/>
          <w:color w:val="000000"/>
          <w:sz w:val="24"/>
        </w:rPr>
        <w:t>were</w:t>
      </w:r>
      <w:r>
        <w:rPr>
          <w:rFonts w:ascii="Times New Roman" w:hAnsi="Times New Roman" w:cs="Times New Roman"/>
          <w:color w:val="000000"/>
          <w:sz w:val="24"/>
        </w:rPr>
        <w:t xml:space="preserve"> then incubated with a specific antibody or control IgG, </w:t>
      </w:r>
      <w:r>
        <w:rPr>
          <w:rFonts w:ascii="Times New Roman" w:hAnsi="Times New Roman" w:eastAsia="TimesNewRomanPSMT" w:cs="Times New Roman"/>
          <w:color w:val="000000"/>
          <w:sz w:val="24"/>
        </w:rPr>
        <w:t>after which protein</w:t>
      </w:r>
      <w:r>
        <w:rPr>
          <w:rFonts w:ascii="Times New Roman" w:hAnsi="Times New Roman" w:cs="Times New Roman"/>
          <w:color w:val="000000"/>
          <w:sz w:val="24"/>
        </w:rPr>
        <w:t xml:space="preserve"> A/G beads </w:t>
      </w:r>
      <w:r>
        <w:rPr>
          <w:rFonts w:ascii="Times New Roman" w:hAnsi="Times New Roman" w:eastAsia="TimesNewRomanPSMT" w:cs="Times New Roman"/>
          <w:color w:val="000000"/>
          <w:sz w:val="24"/>
        </w:rPr>
        <w:t xml:space="preserve">were added </w:t>
      </w:r>
      <w:r>
        <w:rPr>
          <w:rFonts w:ascii="Times New Roman" w:hAnsi="Times New Roman" w:cs="Times New Roman"/>
          <w:color w:val="000000"/>
          <w:sz w:val="24"/>
        </w:rPr>
        <w:t>to capture the antibody</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antigen complexes, </w:t>
      </w:r>
      <w:r>
        <w:rPr>
          <w:rFonts w:ascii="Times New Roman" w:hAnsi="Times New Roman" w:eastAsia="TimesNewRomanPSMT" w:cs="Times New Roman"/>
          <w:color w:val="000000"/>
          <w:sz w:val="24"/>
        </w:rPr>
        <w:t xml:space="preserve">which was </w:t>
      </w:r>
      <w:r>
        <w:rPr>
          <w:rFonts w:ascii="Times New Roman" w:hAnsi="Times New Roman" w:eastAsia="TimesNewRomanPSMT" w:cs="Times New Roman"/>
          <w:color w:val="auto"/>
          <w:sz w:val="24"/>
        </w:rPr>
        <w:t xml:space="preserve">allowed to stand </w:t>
      </w:r>
      <w:r>
        <w:rPr>
          <w:rFonts w:ascii="Times New Roman" w:hAnsi="Times New Roman" w:cs="Times New Roman"/>
          <w:color w:val="auto"/>
          <w:sz w:val="24"/>
        </w:rPr>
        <w:t xml:space="preserve">overnight </w:t>
      </w:r>
      <w:r>
        <w:rPr>
          <w:rFonts w:ascii="Times New Roman" w:hAnsi="Times New Roman" w:cs="Times New Roman"/>
          <w:color w:val="000000"/>
          <w:sz w:val="24"/>
        </w:rPr>
        <w:t xml:space="preserve">at 4°C. The beads </w:t>
      </w:r>
      <w:r>
        <w:rPr>
          <w:rFonts w:ascii="Times New Roman" w:hAnsi="Times New Roman" w:eastAsia="TimesNewRomanPSMT" w:cs="Times New Roman"/>
          <w:color w:val="000000"/>
          <w:sz w:val="24"/>
        </w:rPr>
        <w:t>were</w:t>
      </w:r>
      <w:r>
        <w:rPr>
          <w:rFonts w:ascii="Times New Roman" w:hAnsi="Times New Roman" w:cs="Times New Roman"/>
          <w:color w:val="000000"/>
          <w:sz w:val="24"/>
        </w:rPr>
        <w:t xml:space="preserve"> washed </w:t>
      </w:r>
      <w:r>
        <w:rPr>
          <w:rFonts w:ascii="Times New Roman" w:hAnsi="Times New Roman" w:eastAsia="TimesNewRomanPSMT" w:cs="Times New Roman"/>
          <w:color w:val="000000"/>
          <w:sz w:val="24"/>
        </w:rPr>
        <w:t>several</w:t>
      </w:r>
      <w:r>
        <w:rPr>
          <w:rFonts w:ascii="Times New Roman" w:hAnsi="Times New Roman" w:cs="Times New Roman"/>
          <w:color w:val="000000"/>
          <w:sz w:val="24"/>
        </w:rPr>
        <w:t xml:space="preserve"> times with lysis buffer. Immunoprecipitated proteins </w:t>
      </w:r>
      <w:r>
        <w:rPr>
          <w:rFonts w:ascii="Times New Roman" w:hAnsi="Times New Roman" w:eastAsia="TimesNewRomanPSMT" w:cs="Times New Roman"/>
          <w:color w:val="000000"/>
          <w:sz w:val="24"/>
        </w:rPr>
        <w:t>were</w:t>
      </w:r>
      <w:r>
        <w:rPr>
          <w:rFonts w:ascii="Times New Roman" w:hAnsi="Times New Roman" w:cs="Times New Roman"/>
          <w:color w:val="000000"/>
          <w:sz w:val="24"/>
        </w:rPr>
        <w:t xml:space="preserve"> eluted from the beads by boiling </w:t>
      </w:r>
      <w:r>
        <w:rPr>
          <w:rFonts w:ascii="Times New Roman" w:hAnsi="Times New Roman" w:eastAsia="TimesNewRomanPSMT" w:cs="Times New Roman"/>
          <w:color w:val="000000"/>
          <w:sz w:val="24"/>
        </w:rPr>
        <w:t xml:space="preserve">them </w:t>
      </w:r>
      <w:r>
        <w:rPr>
          <w:rFonts w:ascii="Times New Roman" w:hAnsi="Times New Roman" w:cs="Times New Roman"/>
          <w:color w:val="000000"/>
          <w:sz w:val="24"/>
        </w:rPr>
        <w:t xml:space="preserve">in SDS sample buffer. The eluates </w:t>
      </w:r>
      <w:r>
        <w:rPr>
          <w:rFonts w:ascii="Times New Roman" w:hAnsi="Times New Roman" w:eastAsia="TimesNewRomanPSMT" w:cs="Times New Roman"/>
          <w:color w:val="000000"/>
          <w:sz w:val="24"/>
        </w:rPr>
        <w:t>were</w:t>
      </w:r>
      <w:r>
        <w:rPr>
          <w:rFonts w:ascii="Times New Roman" w:hAnsi="Times New Roman" w:cs="Times New Roman"/>
          <w:color w:val="000000"/>
          <w:sz w:val="24"/>
        </w:rPr>
        <w:t xml:space="preserve"> analyzed by WB to identify the proteins of interest.</w:t>
      </w:r>
    </w:p>
    <w:p w14:paraId="7D4AC3EB">
      <w:pPr>
        <w:numPr>
          <w:ilvl w:val="0"/>
          <w:numId w:val="0"/>
        </w:numPr>
        <w:spacing w:line="360" w:lineRule="auto"/>
        <w:rPr>
          <w:rFonts w:hint="eastAsia" w:ascii="Times New Roman" w:hAnsi="Times New Roman" w:cs="Times New Roman"/>
          <w:b w:val="0"/>
          <w:bCs/>
          <w:color w:val="000000"/>
          <w:sz w:val="24"/>
        </w:rPr>
      </w:pPr>
      <w:r>
        <w:rPr>
          <w:rFonts w:hint="eastAsia" w:ascii="Times New Roman" w:hAnsi="Times New Roman" w:cs="Times New Roman" w:eastAsiaTheme="minorEastAsia"/>
          <w:b/>
          <w:bCs w:val="0"/>
          <w:color w:val="000000"/>
          <w:kern w:val="2"/>
          <w:sz w:val="24"/>
          <w:szCs w:val="24"/>
          <w:lang w:val="en-US" w:eastAsia="zh-CN" w:bidi="ar-SA"/>
        </w:rPr>
        <w:t>1</w:t>
      </w:r>
      <w:r>
        <w:rPr>
          <w:rFonts w:hint="eastAsia" w:ascii="Times New Roman" w:hAnsi="Times New Roman" w:cs="Times New Roman"/>
          <w:b/>
          <w:bCs w:val="0"/>
          <w:color w:val="000000"/>
          <w:kern w:val="2"/>
          <w:sz w:val="24"/>
          <w:szCs w:val="24"/>
          <w:lang w:val="en-US" w:eastAsia="zh-CN" w:bidi="ar-SA"/>
        </w:rPr>
        <w:t>6</w:t>
      </w:r>
      <w:r>
        <w:rPr>
          <w:rFonts w:hint="eastAsia" w:ascii="Times New Roman" w:hAnsi="Times New Roman" w:cs="Times New Roman" w:eastAsiaTheme="minorEastAsia"/>
          <w:b/>
          <w:bCs w:val="0"/>
          <w:color w:val="000000"/>
          <w:kern w:val="2"/>
          <w:sz w:val="24"/>
          <w:szCs w:val="24"/>
          <w:lang w:val="en-US" w:eastAsia="zh-CN" w:bidi="ar-SA"/>
        </w:rPr>
        <w:t>.</w:t>
      </w:r>
      <w:r>
        <w:rPr>
          <w:rFonts w:hint="eastAsia" w:ascii="Times New Roman" w:hAnsi="Times New Roman" w:cs="Times New Roman"/>
          <w:b/>
          <w:bCs w:val="0"/>
          <w:color w:val="000000"/>
          <w:kern w:val="2"/>
          <w:sz w:val="24"/>
          <w:szCs w:val="24"/>
          <w:lang w:val="en-US" w:eastAsia="zh-CN" w:bidi="ar-SA"/>
        </w:rPr>
        <w:t xml:space="preserve"> </w:t>
      </w:r>
      <w:r>
        <w:rPr>
          <w:rFonts w:hint="eastAsia" w:ascii="Times New Roman" w:hAnsi="Times New Roman" w:cs="Times New Roman"/>
          <w:b/>
          <w:bCs w:val="0"/>
          <w:color w:val="000000"/>
          <w:sz w:val="24"/>
        </w:rPr>
        <w:t>Molecular docking analysis</w:t>
      </w:r>
    </w:p>
    <w:p w14:paraId="467F2846">
      <w:pPr>
        <w:numPr>
          <w:ilvl w:val="0"/>
          <w:numId w:val="0"/>
        </w:numPr>
        <w:spacing w:line="360" w:lineRule="auto"/>
        <w:ind w:firstLine="480" w:firstLineChars="200"/>
        <w:rPr>
          <w:rFonts w:hint="eastAsia" w:ascii="Times New Roman" w:hAnsi="Times New Roman" w:cs="Times New Roman"/>
          <w:b w:val="0"/>
          <w:bCs/>
          <w:color w:val="000000"/>
          <w:sz w:val="24"/>
        </w:rPr>
      </w:pPr>
      <w:r>
        <w:rPr>
          <w:rFonts w:hint="eastAsia" w:ascii="Times New Roman" w:hAnsi="Times New Roman" w:cs="Times New Roman"/>
          <w:b w:val="0"/>
          <w:bCs/>
          <w:color w:val="000000"/>
          <w:sz w:val="24"/>
        </w:rPr>
        <w:t xml:space="preserve">The protein structures of </w:t>
      </w:r>
      <w:r>
        <w:rPr>
          <w:rFonts w:hint="eastAsia" w:ascii="Times New Roman" w:hAnsi="Times New Roman" w:cs="Times New Roman"/>
          <w:b w:val="0"/>
          <w:bCs/>
          <w:color w:val="000000"/>
          <w:sz w:val="24"/>
          <w:lang w:val="en-US" w:eastAsia="zh-CN"/>
        </w:rPr>
        <w:t>p-AMPK</w:t>
      </w:r>
      <w:r>
        <w:rPr>
          <w:rFonts w:hint="eastAsia" w:ascii="Times New Roman" w:hAnsi="Times New Roman" w:cs="Times New Roman"/>
          <w:b w:val="0"/>
          <w:bCs/>
          <w:color w:val="000000"/>
          <w:sz w:val="24"/>
        </w:rPr>
        <w:t xml:space="preserve"> (</w:t>
      </w:r>
      <w:r>
        <w:rPr>
          <w:rFonts w:hint="eastAsia" w:ascii="Times New Roman" w:hAnsi="Times New Roman" w:cs="Times New Roman"/>
          <w:b w:val="0"/>
          <w:bCs/>
          <w:color w:val="000000"/>
          <w:sz w:val="24"/>
          <w:lang w:val="en-US" w:eastAsia="zh-CN"/>
        </w:rPr>
        <w:t>4RER</w:t>
      </w:r>
      <w:r>
        <w:rPr>
          <w:rFonts w:hint="eastAsia" w:ascii="Times New Roman" w:hAnsi="Times New Roman" w:cs="Times New Roman"/>
          <w:b w:val="0"/>
          <w:bCs/>
          <w:color w:val="000000"/>
          <w:sz w:val="24"/>
        </w:rPr>
        <w:t xml:space="preserve">) and </w:t>
      </w:r>
      <w:r>
        <w:rPr>
          <w:rFonts w:hint="eastAsia" w:ascii="Times New Roman" w:hAnsi="Times New Roman" w:cs="Times New Roman"/>
          <w:b w:val="0"/>
          <w:bCs/>
          <w:color w:val="000000"/>
          <w:sz w:val="24"/>
          <w:lang w:val="en-US" w:eastAsia="zh-CN"/>
        </w:rPr>
        <w:t>RIPK3</w:t>
      </w:r>
      <w:r>
        <w:rPr>
          <w:rFonts w:hint="eastAsia" w:ascii="Times New Roman" w:hAnsi="Times New Roman" w:cs="Times New Roman"/>
          <w:b w:val="0"/>
          <w:bCs/>
          <w:color w:val="000000"/>
          <w:sz w:val="24"/>
        </w:rPr>
        <w:t xml:space="preserve"> (</w:t>
      </w:r>
      <w:r>
        <w:rPr>
          <w:rFonts w:hint="eastAsia" w:ascii="Times New Roman" w:hAnsi="Times New Roman" w:cs="Times New Roman"/>
          <w:b w:val="0"/>
          <w:bCs/>
          <w:color w:val="000000"/>
          <w:sz w:val="24"/>
          <w:lang w:val="en-US" w:eastAsia="zh-CN"/>
        </w:rPr>
        <w:t>7MX3</w:t>
      </w:r>
      <w:r>
        <w:rPr>
          <w:rFonts w:hint="eastAsia" w:ascii="Times New Roman" w:hAnsi="Times New Roman" w:cs="Times New Roman"/>
          <w:b w:val="0"/>
          <w:bCs/>
          <w:color w:val="000000"/>
          <w:sz w:val="24"/>
        </w:rPr>
        <w:t xml:space="preserve">) were obtained from the Protein Data Bank. The protein structures of </w:t>
      </w:r>
      <w:r>
        <w:rPr>
          <w:rFonts w:hint="eastAsia" w:ascii="Times New Roman" w:hAnsi="Times New Roman" w:cs="Times New Roman"/>
          <w:b w:val="0"/>
          <w:bCs/>
          <w:color w:val="000000"/>
          <w:sz w:val="24"/>
          <w:lang w:val="en-US" w:eastAsia="zh-CN"/>
        </w:rPr>
        <w:t>p-AMPK</w:t>
      </w:r>
      <w:r>
        <w:rPr>
          <w:rFonts w:hint="eastAsia" w:ascii="Times New Roman" w:hAnsi="Times New Roman" w:cs="Times New Roman"/>
          <w:b w:val="0"/>
          <w:bCs/>
          <w:color w:val="000000"/>
          <w:sz w:val="24"/>
        </w:rPr>
        <w:t xml:space="preserve"> and </w:t>
      </w:r>
      <w:r>
        <w:rPr>
          <w:rFonts w:hint="eastAsia" w:ascii="Times New Roman" w:hAnsi="Times New Roman" w:cs="Times New Roman"/>
          <w:b w:val="0"/>
          <w:bCs/>
          <w:color w:val="000000"/>
          <w:sz w:val="24"/>
          <w:lang w:val="en-US" w:eastAsia="zh-CN"/>
        </w:rPr>
        <w:t>RIPK3</w:t>
      </w:r>
      <w:r>
        <w:rPr>
          <w:rFonts w:hint="eastAsia" w:ascii="Times New Roman" w:hAnsi="Times New Roman" w:cs="Times New Roman"/>
          <w:b w:val="0"/>
          <w:bCs/>
          <w:color w:val="000000"/>
          <w:sz w:val="24"/>
        </w:rPr>
        <w:t xml:space="preserve"> were calculated using the AlphaFold 2 prediction model. Water molecules and heteroatoms were deleted from the structures, and hydrogen atoms were added using the UCSF Chimera visualization system. Finally, Amber99SB charges were allocated, and protonation states were also allocated using the H++3.0 program.</w:t>
      </w:r>
      <w:r>
        <w:rPr>
          <w:rFonts w:hint="eastAsia" w:ascii="Times New Roman" w:hAnsi="Times New Roman" w:cs="Times New Roman"/>
          <w:b w:val="0"/>
          <w:bCs/>
          <w:color w:val="000000"/>
          <w:sz w:val="24"/>
          <w:lang w:val="en-US" w:eastAsia="zh-CN"/>
        </w:rPr>
        <w:t xml:space="preserve"> </w:t>
      </w:r>
      <w:r>
        <w:rPr>
          <w:rFonts w:hint="eastAsia" w:ascii="Times New Roman" w:hAnsi="Times New Roman" w:cs="Times New Roman"/>
          <w:b w:val="0"/>
          <w:bCs/>
          <w:color w:val="000000"/>
          <w:sz w:val="24"/>
        </w:rPr>
        <w:t xml:space="preserve">AutoDock 4.2 software (Olson Laboratory, San Diego, California, USA) was used for molecular docking analysis. Molecular docking was performed in flexible docking mode, with </w:t>
      </w:r>
      <w:r>
        <w:rPr>
          <w:rFonts w:hint="eastAsia" w:ascii="Times New Roman" w:hAnsi="Times New Roman" w:cs="Times New Roman"/>
          <w:b w:val="0"/>
          <w:bCs/>
          <w:color w:val="000000"/>
          <w:sz w:val="24"/>
          <w:lang w:val="en-US" w:eastAsia="zh-CN"/>
        </w:rPr>
        <w:t>p-AMPK</w:t>
      </w:r>
      <w:r>
        <w:rPr>
          <w:rFonts w:hint="eastAsia" w:ascii="Times New Roman" w:hAnsi="Times New Roman" w:cs="Times New Roman"/>
          <w:b w:val="0"/>
          <w:bCs/>
          <w:color w:val="000000"/>
          <w:sz w:val="24"/>
        </w:rPr>
        <w:t xml:space="preserve"> as a receptor and </w:t>
      </w:r>
      <w:r>
        <w:rPr>
          <w:rFonts w:hint="eastAsia" w:ascii="Times New Roman" w:hAnsi="Times New Roman" w:cs="Times New Roman"/>
          <w:b w:val="0"/>
          <w:bCs/>
          <w:color w:val="000000"/>
          <w:sz w:val="24"/>
          <w:lang w:val="en-US" w:eastAsia="zh-CN"/>
        </w:rPr>
        <w:t>RIPK3</w:t>
      </w:r>
      <w:r>
        <w:rPr>
          <w:rFonts w:hint="eastAsia" w:ascii="Times New Roman" w:hAnsi="Times New Roman" w:cs="Times New Roman"/>
          <w:b w:val="0"/>
          <w:bCs/>
          <w:color w:val="000000"/>
          <w:sz w:val="24"/>
        </w:rPr>
        <w:t xml:space="preserve"> as ligands. </w:t>
      </w:r>
      <w:r>
        <w:rPr>
          <w:rFonts w:hint="eastAsia" w:ascii="Times New Roman" w:hAnsi="Times New Roman" w:cs="Times New Roman"/>
          <w:b w:val="0"/>
          <w:bCs/>
          <w:color w:val="000000"/>
          <w:sz w:val="24"/>
          <w:lang w:val="en-US" w:eastAsia="zh-CN"/>
        </w:rPr>
        <w:t>p-AMPK</w:t>
      </w:r>
      <w:r>
        <w:rPr>
          <w:rFonts w:hint="eastAsia" w:ascii="Times New Roman" w:hAnsi="Times New Roman" w:cs="Times New Roman"/>
          <w:b w:val="0"/>
          <w:bCs/>
          <w:color w:val="000000"/>
          <w:sz w:val="24"/>
        </w:rPr>
        <w:t xml:space="preserve"> was taken as the docking centre, the box size was set to a cube with a side length of 4.05 Å, and the spacing step size was set to 0.375. The maximum limit for searching conformations was set to 10 000, and the Lamarckian genetic algorithm was used for conformational sampling with 100 conformation outputs per docking. After scoring, the top ten conformations were compared. The open-source software PyMOL (DeLano Scientific LLC, Gilbert, Arizona, USA) and Maestro Academic Edition (Schrödinger LLC, New York, New York, USA) were used for protein interaction analysis.</w:t>
      </w:r>
    </w:p>
    <w:p w14:paraId="507293AF">
      <w:pPr>
        <w:numPr>
          <w:ilvl w:val="0"/>
          <w:numId w:val="0"/>
        </w:numPr>
        <w:spacing w:line="360" w:lineRule="auto"/>
        <w:rPr>
          <w:rFonts w:hint="eastAsia" w:ascii="Times New Roman" w:hAnsi="Times New Roman" w:cs="Times New Roman"/>
          <w:b w:val="0"/>
          <w:bCs/>
          <w:color w:val="000000"/>
          <w:sz w:val="24"/>
        </w:rPr>
      </w:pPr>
      <w:r>
        <w:rPr>
          <w:rFonts w:ascii="Times New Roman" w:hAnsi="Times New Roman" w:cs="Times New Roman" w:eastAsiaTheme="minorEastAsia"/>
          <w:b/>
          <w:color w:val="000000"/>
          <w:kern w:val="2"/>
          <w:sz w:val="24"/>
          <w:szCs w:val="24"/>
          <w:lang w:val="en-US" w:eastAsia="zh-CN" w:bidi="ar-SA"/>
        </w:rPr>
        <w:t>1</w:t>
      </w:r>
      <w:r>
        <w:rPr>
          <w:rFonts w:hint="eastAsia" w:ascii="Times New Roman" w:hAnsi="Times New Roman" w:cs="Times New Roman"/>
          <w:b/>
          <w:color w:val="000000"/>
          <w:kern w:val="2"/>
          <w:sz w:val="24"/>
          <w:szCs w:val="24"/>
          <w:lang w:val="en-US" w:eastAsia="zh-CN" w:bidi="ar-SA"/>
        </w:rPr>
        <w:t>7</w:t>
      </w:r>
      <w:r>
        <w:rPr>
          <w:rFonts w:ascii="Times New Roman" w:hAnsi="Times New Roman" w:cs="Times New Roman" w:eastAsiaTheme="minorEastAsia"/>
          <w:b/>
          <w:color w:val="000000"/>
          <w:kern w:val="2"/>
          <w:sz w:val="24"/>
          <w:szCs w:val="24"/>
          <w:lang w:val="en-US" w:eastAsia="zh-CN" w:bidi="ar-SA"/>
        </w:rPr>
        <w:t>.</w:t>
      </w:r>
      <w:r>
        <w:rPr>
          <w:rFonts w:hint="eastAsia" w:ascii="Times New Roman" w:hAnsi="Times New Roman" w:cs="Times New Roman"/>
          <w:b/>
          <w:color w:val="000000"/>
          <w:kern w:val="2"/>
          <w:sz w:val="24"/>
          <w:szCs w:val="24"/>
          <w:lang w:val="en-US" w:eastAsia="zh-CN" w:bidi="ar-SA"/>
        </w:rPr>
        <w:t xml:space="preserve"> </w:t>
      </w:r>
      <w:r>
        <w:rPr>
          <w:rFonts w:ascii="Times New Roman" w:hAnsi="Times New Roman" w:cs="Times New Roman"/>
          <w:b/>
          <w:color w:val="000000"/>
          <w:sz w:val="24"/>
        </w:rPr>
        <w:t>Statistical Analysis</w:t>
      </w:r>
    </w:p>
    <w:p w14:paraId="671759E6">
      <w:pPr>
        <w:spacing w:line="360" w:lineRule="auto"/>
        <w:ind w:firstLine="480" w:firstLineChars="200"/>
        <w:rPr>
          <w:rFonts w:hint="eastAsia" w:ascii="Times New Roman" w:hAnsi="Times New Roman" w:cs="Times New Roman"/>
          <w:color w:val="000000"/>
          <w:sz w:val="24"/>
          <w:lang w:val="en-US" w:eastAsia="zh-CN"/>
        </w:rPr>
      </w:pPr>
      <w:r>
        <w:rPr>
          <w:rFonts w:ascii="Times New Roman" w:hAnsi="Times New Roman" w:cs="Times New Roman"/>
          <w:color w:val="000000"/>
          <w:sz w:val="24"/>
        </w:rPr>
        <w:t xml:space="preserve">All data in the figures are presented as the mean ± SEM of independent experiments. The data were </w:t>
      </w:r>
      <w:r>
        <w:rPr>
          <w:rFonts w:ascii="Times New Roman" w:hAnsi="Times New Roman" w:eastAsia="TimesNewRomanPSMT" w:cs="Times New Roman"/>
          <w:color w:val="000000"/>
          <w:sz w:val="24"/>
        </w:rPr>
        <w:t>analyzed</w:t>
      </w:r>
      <w:r>
        <w:rPr>
          <w:rFonts w:ascii="Times New Roman" w:hAnsi="Times New Roman" w:cs="Times New Roman"/>
          <w:color w:val="000000"/>
          <w:sz w:val="24"/>
        </w:rPr>
        <w:t xml:space="preserve"> using Prism 7 (GraphPad Software). One-way analysis of variance (ANOVA</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followed by Tukey’s honestly significant difference post hoc test</w:t>
      </w:r>
      <w:r>
        <w:rPr>
          <w:rFonts w:ascii="Times New Roman" w:hAnsi="Times New Roman" w:eastAsia="TimesNewRomanPSMT" w:cs="Times New Roman"/>
          <w:color w:val="000000"/>
          <w:sz w:val="24"/>
        </w:rPr>
        <w:t>,</w:t>
      </w:r>
      <w:r>
        <w:rPr>
          <w:rFonts w:ascii="Times New Roman" w:hAnsi="Times New Roman" w:cs="Times New Roman"/>
          <w:color w:val="000000"/>
          <w:sz w:val="24"/>
        </w:rPr>
        <w:t xml:space="preserve"> was used to compare differences </w:t>
      </w:r>
      <w:r>
        <w:rPr>
          <w:rFonts w:ascii="Times New Roman" w:hAnsi="Times New Roman" w:eastAsia="TimesNewRomanPSMT" w:cs="Times New Roman"/>
          <w:color w:val="000000"/>
          <w:sz w:val="24"/>
        </w:rPr>
        <w:t>between</w:t>
      </w:r>
      <w:r>
        <w:rPr>
          <w:rFonts w:ascii="Times New Roman" w:hAnsi="Times New Roman" w:cs="Times New Roman"/>
          <w:color w:val="000000"/>
          <w:sz w:val="24"/>
        </w:rPr>
        <w:t xml:space="preserve"> multiple groups. Student’s </w:t>
      </w:r>
      <w:r>
        <w:rPr>
          <w:rFonts w:ascii="Times New Roman" w:hAnsi="Times New Roman" w:cs="Times New Roman"/>
          <w:i/>
          <w:color w:val="000000"/>
          <w:sz w:val="24"/>
        </w:rPr>
        <w:t>t-</w:t>
      </w:r>
      <w:r>
        <w:rPr>
          <w:rFonts w:ascii="Times New Roman" w:hAnsi="Times New Roman" w:cs="Times New Roman"/>
          <w:color w:val="000000"/>
          <w:sz w:val="24"/>
        </w:rPr>
        <w:t>test was used to compare differences between the groups. A P value</w:t>
      </w:r>
      <w:r>
        <w:rPr>
          <w:rFonts w:ascii="Times New Roman" w:hAnsi="Times New Roman" w:eastAsia="TimesNewRomanPSMT" w:cs="Times New Roman"/>
          <w:color w:val="000000"/>
          <w:sz w:val="24"/>
        </w:rPr>
        <w:t xml:space="preserve"> of</w:t>
      </w:r>
      <w:r>
        <w:rPr>
          <w:rFonts w:ascii="Times New Roman" w:hAnsi="Times New Roman" w:cs="Times New Roman"/>
          <w:color w:val="000000"/>
          <w:sz w:val="24"/>
        </w:rPr>
        <w:t xml:space="preserve"> &lt;0.05 was regarded as statistically significant.</w:t>
      </w:r>
      <w:r>
        <w:rPr>
          <w:rFonts w:hint="eastAsia" w:ascii="Times New Roman" w:hAnsi="Times New Roman" w:cs="Times New Roman"/>
          <w:color w:val="000000"/>
          <w:sz w:val="24"/>
          <w:lang w:val="en-US" w:eastAsia="zh-CN"/>
        </w:rPr>
        <w:t xml:space="preserve"> </w:t>
      </w:r>
    </w:p>
    <w:p w14:paraId="6645BC18">
      <w:pPr>
        <w:spacing w:line="360" w:lineRule="auto"/>
        <w:rPr>
          <w:rFonts w:hint="eastAsia" w:ascii="Times New Roman" w:hAnsi="Times New Roman" w:cs="Times New Roman"/>
          <w:b/>
          <w:bCs/>
          <w:color w:val="000000"/>
          <w:sz w:val="28"/>
          <w:szCs w:val="28"/>
        </w:rPr>
      </w:pPr>
    </w:p>
    <w:p w14:paraId="13343B40">
      <w:pPr>
        <w:spacing w:line="360" w:lineRule="auto"/>
        <w:rPr>
          <w:rFonts w:hint="eastAsia" w:ascii="Times New Roman" w:hAnsi="Times New Roman" w:cs="Times New Roman"/>
          <w:b/>
          <w:bCs/>
          <w:color w:val="000000"/>
          <w:sz w:val="28"/>
          <w:szCs w:val="28"/>
        </w:rPr>
      </w:pPr>
    </w:p>
    <w:p w14:paraId="44611889">
      <w:pPr>
        <w:spacing w:line="360" w:lineRule="auto"/>
        <w:rPr>
          <w:rFonts w:hint="eastAsia" w:ascii="Times New Roman" w:hAnsi="Times New Roman" w:cs="Times New Roman"/>
          <w:b/>
          <w:bCs/>
          <w:color w:val="000000"/>
          <w:sz w:val="28"/>
          <w:szCs w:val="28"/>
        </w:rPr>
      </w:pPr>
    </w:p>
    <w:p w14:paraId="2707A3B0">
      <w:pPr>
        <w:spacing w:line="360" w:lineRule="auto"/>
        <w:rPr>
          <w:rFonts w:hint="eastAsia" w:ascii="Times New Roman" w:hAnsi="Times New Roman" w:cs="Times New Roman"/>
          <w:b/>
          <w:bCs/>
          <w:color w:val="000000"/>
          <w:sz w:val="28"/>
          <w:szCs w:val="28"/>
        </w:rPr>
      </w:pPr>
    </w:p>
    <w:p w14:paraId="07676445">
      <w:pPr>
        <w:spacing w:line="360" w:lineRule="auto"/>
        <w:rPr>
          <w:rFonts w:hint="eastAsia" w:ascii="Times New Roman" w:hAnsi="Times New Roman" w:cs="Times New Roman"/>
          <w:b/>
          <w:bCs/>
          <w:color w:val="000000"/>
          <w:sz w:val="28"/>
          <w:szCs w:val="28"/>
        </w:rPr>
      </w:pPr>
    </w:p>
    <w:p w14:paraId="12FA9258">
      <w:pPr>
        <w:spacing w:line="360" w:lineRule="auto"/>
        <w:rPr>
          <w:rFonts w:hint="eastAsia" w:ascii="Times New Roman" w:hAnsi="Times New Roman" w:cs="Times New Roman"/>
          <w:b/>
          <w:bCs/>
          <w:color w:val="000000"/>
          <w:sz w:val="28"/>
          <w:szCs w:val="28"/>
        </w:rPr>
      </w:pPr>
    </w:p>
    <w:p w14:paraId="3FE1B677">
      <w:pPr>
        <w:spacing w:line="360" w:lineRule="auto"/>
        <w:rPr>
          <w:rFonts w:hint="eastAsia" w:ascii="Times New Roman" w:hAnsi="Times New Roman" w:cs="Times New Roman"/>
          <w:b/>
          <w:bCs/>
          <w:color w:val="000000"/>
          <w:sz w:val="28"/>
          <w:szCs w:val="28"/>
        </w:rPr>
      </w:pPr>
      <w:r>
        <w:rPr>
          <w:rFonts w:hint="eastAsia" w:ascii="Times New Roman" w:hAnsi="Times New Roman" w:cs="Times New Roman"/>
          <w:b/>
          <w:bCs/>
          <w:color w:val="000000"/>
          <w:sz w:val="28"/>
          <w:szCs w:val="28"/>
        </w:rPr>
        <w:t>Appendix FIGURES</w:t>
      </w:r>
    </w:p>
    <w:p w14:paraId="66CAD538">
      <w:pPr>
        <w:spacing w:line="360" w:lineRule="auto"/>
        <w:rPr>
          <w:rFonts w:hint="eastAsia" w:ascii="Times New Roman" w:hAnsi="Times New Roman" w:cs="Times New Roman" w:eastAsiaTheme="minorEastAsia"/>
          <w:b/>
          <w:bCs/>
          <w:color w:val="000000"/>
          <w:sz w:val="28"/>
          <w:szCs w:val="28"/>
          <w:lang w:eastAsia="zh-CN"/>
        </w:rPr>
      </w:pPr>
      <w:r>
        <w:rPr>
          <w:rFonts w:hint="eastAsia" w:ascii="Times New Roman" w:hAnsi="Times New Roman" w:cs="Times New Roman" w:eastAsiaTheme="minorEastAsia"/>
          <w:b/>
          <w:bCs/>
          <w:color w:val="000000"/>
          <w:sz w:val="28"/>
          <w:szCs w:val="28"/>
          <w:lang w:eastAsia="zh-CN"/>
        </w:rPr>
        <w:drawing>
          <wp:inline distT="0" distB="0" distL="114300" distR="114300">
            <wp:extent cx="5273040" cy="6647815"/>
            <wp:effectExtent l="0" t="0" r="3810" b="635"/>
            <wp:docPr id="5" name="图片 5" descr="sFi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Fig 1(1)"/>
                    <pic:cNvPicPr>
                      <a:picLocks noChangeAspect="1"/>
                    </pic:cNvPicPr>
                  </pic:nvPicPr>
                  <pic:blipFill>
                    <a:blip r:embed="rId4"/>
                    <a:stretch>
                      <a:fillRect/>
                    </a:stretch>
                  </pic:blipFill>
                  <pic:spPr>
                    <a:xfrm>
                      <a:off x="0" y="0"/>
                      <a:ext cx="5273040" cy="6647815"/>
                    </a:xfrm>
                    <a:prstGeom prst="rect">
                      <a:avLst/>
                    </a:prstGeom>
                  </pic:spPr>
                </pic:pic>
              </a:graphicData>
            </a:graphic>
          </wp:inline>
        </w:drawing>
      </w:r>
      <w:bookmarkStart w:id="0" w:name="_GoBack"/>
      <w:bookmarkEnd w:id="0"/>
    </w:p>
    <w:p w14:paraId="61D45D5B">
      <w:pPr>
        <w:spacing w:line="360" w:lineRule="auto"/>
        <w:rPr>
          <w:rFonts w:hint="default" w:ascii="Times New Roman" w:hAnsi="Times New Roman" w:cs="Times New Roman"/>
          <w:b w:val="0"/>
          <w:bCs w:val="0"/>
          <w:sz w:val="24"/>
          <w:szCs w:val="24"/>
          <w:lang w:val="en-US" w:eastAsia="zh-CN"/>
        </w:rPr>
      </w:pPr>
      <w:r>
        <w:rPr>
          <w:rFonts w:hint="eastAsia" w:ascii="Times New Roman" w:hAnsi="Times New Roman" w:cs="Times New Roman"/>
          <w:b/>
          <w:bCs/>
          <w:color w:val="000000"/>
          <w:sz w:val="24"/>
          <w:szCs w:val="24"/>
          <w:lang w:val="en-US" w:eastAsia="zh-CN"/>
        </w:rPr>
        <w:t>Appendix</w:t>
      </w:r>
      <w:r>
        <w:rPr>
          <w:rFonts w:hint="eastAsia" w:ascii="Times New Roman" w:hAnsi="Times New Roman" w:cs="Times New Roman"/>
          <w:b/>
          <w:bCs/>
          <w:color w:val="000000"/>
          <w:sz w:val="28"/>
          <w:szCs w:val="28"/>
          <w:lang w:val="en-US" w:eastAsia="zh-CN"/>
        </w:rPr>
        <w:t xml:space="preserve"> </w:t>
      </w:r>
      <w:r>
        <w:rPr>
          <w:rFonts w:hint="default" w:ascii="Times New Roman" w:hAnsi="Times New Roman" w:cs="Times New Roman"/>
          <w:b/>
          <w:bCs/>
          <w:sz w:val="24"/>
          <w:szCs w:val="24"/>
          <w:lang w:val="en-US" w:eastAsia="zh-CN"/>
        </w:rPr>
        <w:t xml:space="preserve">Figure </w:t>
      </w:r>
      <w:r>
        <w:rPr>
          <w:rFonts w:hint="eastAsia" w:ascii="Times New Roman" w:hAnsi="Times New Roman" w:cs="Times New Roman"/>
          <w:b/>
          <w:bCs/>
          <w:sz w:val="24"/>
          <w:szCs w:val="24"/>
          <w:lang w:val="en-US" w:eastAsia="zh-CN"/>
        </w:rPr>
        <w:t>1.</w:t>
      </w:r>
      <w:r>
        <w:rPr>
          <w:rFonts w:hint="default" w:ascii="Times New Roman" w:hAnsi="Times New Roman" w:cs="Times New Roman"/>
          <w:b/>
          <w:bCs/>
          <w:sz w:val="24"/>
          <w:szCs w:val="24"/>
          <w:lang w:val="en-US" w:eastAsia="zh-CN"/>
        </w:rPr>
        <w:t xml:space="preserve"> Single-cell transcriptomic landscape of periodontal tissues reveals fibroblast-enriched necroptosis signaling</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eastAsiaTheme="minorEastAsia"/>
          <w:b/>
          <w:bCs/>
          <w:kern w:val="2"/>
          <w:sz w:val="24"/>
          <w:szCs w:val="24"/>
          <w:lang w:val="en-US" w:eastAsia="zh-CN" w:bidi="ar-SA"/>
        </w:rPr>
        <w:t>(A)</w:t>
      </w:r>
      <w:r>
        <w:rPr>
          <w:rFonts w:hint="eastAsia" w:ascii="Times New Roman" w:hAnsi="Times New Roman" w:cs="Times New Roman"/>
          <w:b/>
          <w:bCs/>
          <w:kern w:val="2"/>
          <w:sz w:val="24"/>
          <w:szCs w:val="24"/>
          <w:lang w:val="en-US" w:eastAsia="zh-CN" w:bidi="ar-SA"/>
        </w:rPr>
        <w:t xml:space="preserve"> </w:t>
      </w:r>
      <w:r>
        <w:rPr>
          <w:rFonts w:hint="default" w:ascii="Times New Roman" w:hAnsi="Times New Roman" w:cs="Times New Roman"/>
          <w:b w:val="0"/>
          <w:bCs w:val="0"/>
          <w:sz w:val="24"/>
          <w:szCs w:val="24"/>
          <w:lang w:val="en-US" w:eastAsia="zh-CN"/>
        </w:rPr>
        <w:t xml:space="preserve">UMAP projection of 159,923 periodontal cells colored by Seurat cluster resolution 0.2 (15 clusters). </w:t>
      </w:r>
      <w:r>
        <w:rPr>
          <w:rFonts w:hint="default" w:ascii="Times New Roman" w:hAnsi="Times New Roman" w:cs="Times New Roman"/>
          <w:b/>
          <w:bCs/>
          <w:sz w:val="24"/>
          <w:szCs w:val="24"/>
          <w:lang w:val="en-US" w:eastAsia="zh-CN"/>
        </w:rPr>
        <w:t>(B)</w:t>
      </w:r>
      <w:r>
        <w:rPr>
          <w:rFonts w:hint="default" w:ascii="Times New Roman" w:hAnsi="Times New Roman" w:cs="Times New Roman"/>
          <w:b w:val="0"/>
          <w:bCs w:val="0"/>
          <w:sz w:val="24"/>
          <w:szCs w:val="24"/>
          <w:lang w:val="en-US" w:eastAsia="zh-CN"/>
        </w:rPr>
        <w:t xml:space="preserve"> Same UMAP colored by major cell-type annotations: Fibroblast (19,482 cells), Endothelial (24,178), Epithelial (20,662), Mast cell (4,948), B cell (8,689), Plasma cell (11,623), T/NK cell (49,692), Neutrophil (2,019), Macrophage (11,936) and Pericyte (6,694).  </w:t>
      </w:r>
      <w:r>
        <w:rPr>
          <w:rFonts w:hint="default" w:ascii="Times New Roman" w:hAnsi="Times New Roman" w:cs="Times New Roman"/>
          <w:b/>
          <w:bCs/>
          <w:sz w:val="24"/>
          <w:szCs w:val="24"/>
          <w:lang w:val="en-US" w:eastAsia="zh-CN"/>
        </w:rPr>
        <w:t xml:space="preserve">(C) </w:t>
      </w:r>
      <w:r>
        <w:rPr>
          <w:rFonts w:hint="default" w:ascii="Times New Roman" w:hAnsi="Times New Roman" w:cs="Times New Roman"/>
          <w:b w:val="0"/>
          <w:bCs w:val="0"/>
          <w:sz w:val="24"/>
          <w:szCs w:val="24"/>
          <w:lang w:val="en-US" w:eastAsia="zh-CN"/>
        </w:rPr>
        <w:t>Dot-plot showing average expression and percentage of cells expressing canonical necroptosis genes across the ten identified lineages; fibroblasts display the highest combined expression.</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bCs/>
          <w:sz w:val="24"/>
          <w:szCs w:val="24"/>
          <w:lang w:val="en-US" w:eastAsia="zh-CN"/>
        </w:rPr>
        <w:t xml:space="preserve">(D) </w:t>
      </w:r>
      <w:r>
        <w:rPr>
          <w:rFonts w:hint="default" w:ascii="Times New Roman" w:hAnsi="Times New Roman" w:cs="Times New Roman"/>
          <w:b w:val="0"/>
          <w:bCs w:val="0"/>
          <w:sz w:val="24"/>
          <w:szCs w:val="24"/>
          <w:lang w:val="en-US" w:eastAsia="zh-CN"/>
        </w:rPr>
        <w:t xml:space="preserve">AddModuleScore-based necroptosis pathway activity projected on UMAP; warmer colors indicate higher scores. </w:t>
      </w:r>
      <w:r>
        <w:rPr>
          <w:rFonts w:hint="default" w:ascii="Times New Roman" w:hAnsi="Times New Roman" w:cs="Times New Roman"/>
          <w:b/>
          <w:bCs/>
          <w:sz w:val="24"/>
          <w:szCs w:val="24"/>
          <w:lang w:val="en-US" w:eastAsia="zh-CN"/>
        </w:rPr>
        <w:t>(E)</w:t>
      </w:r>
      <w:r>
        <w:rPr>
          <w:rFonts w:hint="default" w:ascii="Times New Roman" w:hAnsi="Times New Roman" w:cs="Times New Roman"/>
          <w:b w:val="0"/>
          <w:bCs w:val="0"/>
          <w:sz w:val="24"/>
          <w:szCs w:val="24"/>
          <w:lang w:val="en-US" w:eastAsia="zh-CN"/>
        </w:rPr>
        <w:t xml:space="preserve"> Box-plot summarizing necroptosis scores per cell type; fibroblasts exhibit the highest median activity, implicating them as the primary necroptosis-susceptible population in periodontitis.</w:t>
      </w:r>
    </w:p>
    <w:p w14:paraId="08BACC75">
      <w:pPr>
        <w:spacing w:line="360" w:lineRule="auto"/>
        <w:rPr>
          <w:rFonts w:hint="default" w:ascii="Times New Roman" w:hAnsi="Times New Roman" w:cs="Times New Roman"/>
          <w:b w:val="0"/>
          <w:bCs w:val="0"/>
          <w:sz w:val="24"/>
          <w:szCs w:val="24"/>
          <w:lang w:val="en-US" w:eastAsia="zh-CN"/>
        </w:rPr>
      </w:pPr>
    </w:p>
    <w:p w14:paraId="7789F231">
      <w:pPr>
        <w:spacing w:line="360" w:lineRule="auto"/>
        <w:rPr>
          <w:rFonts w:hint="default" w:ascii="Times New Roman" w:hAnsi="Times New Roman" w:cs="Times New Roman"/>
          <w:b w:val="0"/>
          <w:bCs w:val="0"/>
          <w:sz w:val="24"/>
          <w:szCs w:val="24"/>
          <w:lang w:val="en-US" w:eastAsia="zh-CN"/>
        </w:rPr>
      </w:pPr>
    </w:p>
    <w:p w14:paraId="1B8152FB">
      <w:pPr>
        <w:spacing w:line="360" w:lineRule="auto"/>
        <w:rPr>
          <w:rFonts w:hint="default" w:ascii="Times New Roman" w:hAnsi="Times New Roman" w:cs="Times New Roman"/>
          <w:b w:val="0"/>
          <w:bCs w:val="0"/>
          <w:sz w:val="24"/>
          <w:szCs w:val="24"/>
          <w:lang w:val="en-US" w:eastAsia="zh-CN"/>
        </w:rPr>
      </w:pPr>
    </w:p>
    <w:p w14:paraId="5B48F6E5">
      <w:pPr>
        <w:spacing w:line="360" w:lineRule="auto"/>
        <w:rPr>
          <w:rFonts w:hint="default" w:ascii="Times New Roman" w:hAnsi="Times New Roman" w:cs="Times New Roman"/>
          <w:b w:val="0"/>
          <w:bCs w:val="0"/>
          <w:sz w:val="24"/>
          <w:szCs w:val="24"/>
          <w:lang w:val="en-US" w:eastAsia="zh-CN"/>
        </w:rPr>
      </w:pPr>
    </w:p>
    <w:p w14:paraId="45D796F0">
      <w:pPr>
        <w:spacing w:line="360" w:lineRule="auto"/>
        <w:rPr>
          <w:rFonts w:hint="default" w:ascii="Times New Roman" w:hAnsi="Times New Roman" w:cs="Times New Roman"/>
          <w:b w:val="0"/>
          <w:bCs w:val="0"/>
          <w:sz w:val="24"/>
          <w:szCs w:val="24"/>
          <w:lang w:val="en-US" w:eastAsia="zh-CN"/>
        </w:rPr>
      </w:pPr>
    </w:p>
    <w:p w14:paraId="0CFDFC55">
      <w:pPr>
        <w:spacing w:line="360" w:lineRule="auto"/>
        <w:rPr>
          <w:rFonts w:hint="default" w:ascii="Times New Roman" w:hAnsi="Times New Roman" w:cs="Times New Roman"/>
          <w:b w:val="0"/>
          <w:bCs w:val="0"/>
          <w:sz w:val="24"/>
          <w:szCs w:val="24"/>
          <w:lang w:val="en-US" w:eastAsia="zh-CN"/>
        </w:rPr>
      </w:pPr>
    </w:p>
    <w:p w14:paraId="32F04584">
      <w:pPr>
        <w:spacing w:line="360" w:lineRule="auto"/>
        <w:rPr>
          <w:rFonts w:hint="default" w:ascii="Times New Roman" w:hAnsi="Times New Roman" w:cs="Times New Roman"/>
          <w:b w:val="0"/>
          <w:bCs w:val="0"/>
          <w:sz w:val="24"/>
          <w:szCs w:val="24"/>
          <w:lang w:val="en-US" w:eastAsia="zh-CN"/>
        </w:rPr>
      </w:pPr>
    </w:p>
    <w:p w14:paraId="652AABF2">
      <w:pPr>
        <w:spacing w:line="360" w:lineRule="auto"/>
        <w:rPr>
          <w:rFonts w:hint="default" w:ascii="Times New Roman" w:hAnsi="Times New Roman" w:cs="Times New Roman"/>
          <w:b w:val="0"/>
          <w:bCs w:val="0"/>
          <w:sz w:val="24"/>
          <w:szCs w:val="24"/>
          <w:lang w:val="en-US" w:eastAsia="zh-CN"/>
        </w:rPr>
      </w:pPr>
    </w:p>
    <w:p w14:paraId="0805C00E">
      <w:pPr>
        <w:spacing w:line="360" w:lineRule="auto"/>
        <w:rPr>
          <w:rFonts w:hint="default" w:ascii="Times New Roman" w:hAnsi="Times New Roman" w:cs="Times New Roman"/>
          <w:b w:val="0"/>
          <w:bCs w:val="0"/>
          <w:sz w:val="24"/>
          <w:szCs w:val="24"/>
          <w:lang w:val="en-US" w:eastAsia="zh-CN"/>
        </w:rPr>
      </w:pPr>
    </w:p>
    <w:p w14:paraId="57809925">
      <w:pPr>
        <w:spacing w:line="360" w:lineRule="auto"/>
        <w:rPr>
          <w:rFonts w:hint="default" w:ascii="Times New Roman" w:hAnsi="Times New Roman" w:cs="Times New Roman"/>
          <w:b w:val="0"/>
          <w:bCs w:val="0"/>
          <w:sz w:val="24"/>
          <w:szCs w:val="24"/>
          <w:lang w:val="en-US" w:eastAsia="zh-CN"/>
        </w:rPr>
      </w:pPr>
    </w:p>
    <w:p w14:paraId="0F5A08F1">
      <w:pPr>
        <w:spacing w:line="360" w:lineRule="auto"/>
        <w:rPr>
          <w:rFonts w:hint="default" w:ascii="Times New Roman" w:hAnsi="Times New Roman" w:cs="Times New Roman"/>
          <w:b w:val="0"/>
          <w:bCs w:val="0"/>
          <w:sz w:val="24"/>
          <w:szCs w:val="24"/>
          <w:lang w:val="en-US" w:eastAsia="zh-CN"/>
        </w:rPr>
      </w:pPr>
    </w:p>
    <w:p w14:paraId="49F70376">
      <w:pPr>
        <w:spacing w:line="360" w:lineRule="auto"/>
        <w:rPr>
          <w:rFonts w:hint="eastAsia" w:ascii="Times New Roman" w:hAnsi="Times New Roman" w:cs="Times New Roman"/>
          <w:b w:val="0"/>
          <w:bCs w:val="0"/>
          <w:sz w:val="24"/>
          <w:szCs w:val="24"/>
          <w:lang w:val="en-US" w:eastAsia="zh-CN"/>
        </w:rPr>
      </w:pPr>
    </w:p>
    <w:p w14:paraId="5D4309F0">
      <w:pPr>
        <w:spacing w:line="360" w:lineRule="auto"/>
        <w:rPr>
          <w:rFonts w:hint="eastAsia"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drawing>
          <wp:inline distT="0" distB="0" distL="114300" distR="114300">
            <wp:extent cx="5272405" cy="3542030"/>
            <wp:effectExtent l="0" t="0" r="4445" b="1270"/>
            <wp:docPr id="1" name="图片 1" descr="Appendix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ppendix Figure 1"/>
                    <pic:cNvPicPr>
                      <a:picLocks noChangeAspect="1"/>
                    </pic:cNvPicPr>
                  </pic:nvPicPr>
                  <pic:blipFill>
                    <a:blip r:embed="rId5"/>
                    <a:stretch>
                      <a:fillRect/>
                    </a:stretch>
                  </pic:blipFill>
                  <pic:spPr>
                    <a:xfrm>
                      <a:off x="0" y="0"/>
                      <a:ext cx="5272405" cy="3542030"/>
                    </a:xfrm>
                    <a:prstGeom prst="rect">
                      <a:avLst/>
                    </a:prstGeom>
                  </pic:spPr>
                </pic:pic>
              </a:graphicData>
            </a:graphic>
          </wp:inline>
        </w:drawing>
      </w:r>
    </w:p>
    <w:p w14:paraId="69169FEA">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r>
        <w:rPr>
          <w:rFonts w:hint="eastAsia" w:ascii="Times New Roman" w:hAnsi="Times New Roman" w:cs="Times New Roman"/>
          <w:b/>
          <w:bCs/>
          <w:color w:val="000000"/>
          <w:sz w:val="24"/>
          <w:szCs w:val="24"/>
          <w:lang w:val="en-US" w:eastAsia="zh-CN"/>
        </w:rPr>
        <w:t>Appendix</w:t>
      </w:r>
      <w:r>
        <w:rPr>
          <w:rFonts w:hint="eastAsia" w:ascii="Times New Roman" w:hAnsi="Times New Roman" w:cs="Times New Roman"/>
          <w:b/>
          <w:bCs/>
          <w:color w:val="000000"/>
          <w:sz w:val="28"/>
          <w:szCs w:val="28"/>
          <w:lang w:val="en-US" w:eastAsia="zh-CN"/>
        </w:rPr>
        <w:t xml:space="preserve"> </w:t>
      </w:r>
      <w:r>
        <w:rPr>
          <w:rFonts w:hint="default" w:ascii="Times New Roman" w:hAnsi="Times New Roman" w:cs="Times New Roman"/>
          <w:b/>
          <w:bCs/>
          <w:sz w:val="24"/>
          <w:szCs w:val="24"/>
          <w:lang w:val="en-US" w:eastAsia="zh-CN"/>
        </w:rPr>
        <w:t xml:space="preserve">Figure </w:t>
      </w: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 xml:space="preserve"> Negative control gingiva or maxilla were examined by IHC or IF</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eastAsiaTheme="minorEastAsia"/>
          <w:b/>
          <w:bCs/>
          <w:kern w:val="2"/>
          <w:sz w:val="24"/>
          <w:szCs w:val="24"/>
          <w:lang w:val="en-US" w:eastAsia="zh-CN" w:bidi="ar-SA"/>
        </w:rPr>
        <w:t>(A)</w:t>
      </w:r>
      <w:r>
        <w:rPr>
          <w:rFonts w:hint="eastAsia" w:ascii="Times New Roman" w:hAnsi="Times New Roman" w:cs="Times New Roman"/>
          <w:b/>
          <w:bCs/>
          <w:kern w:val="2"/>
          <w:sz w:val="24"/>
          <w:szCs w:val="24"/>
          <w:lang w:val="en-US" w:eastAsia="zh-CN" w:bidi="ar-SA"/>
        </w:rPr>
        <w:t xml:space="preserve"> </w:t>
      </w:r>
      <w:r>
        <w:rPr>
          <w:rFonts w:hint="default" w:ascii="Times New Roman" w:hAnsi="Times New Roman" w:cs="Times New Roman"/>
          <w:b w:val="0"/>
          <w:bCs w:val="0"/>
          <w:sz w:val="24"/>
          <w:szCs w:val="24"/>
          <w:lang w:val="en-US" w:eastAsia="zh-CN"/>
        </w:rPr>
        <w:t xml:space="preserve">Negative control maxilla in the blank mouse group were examined by IHC. </w:t>
      </w:r>
      <w:r>
        <w:rPr>
          <w:rFonts w:hint="default" w:ascii="Times New Roman" w:hAnsi="Times New Roman" w:cs="Times New Roman" w:eastAsiaTheme="minorEastAsia"/>
          <w:b/>
          <w:bCs/>
          <w:kern w:val="2"/>
          <w:sz w:val="24"/>
          <w:szCs w:val="24"/>
          <w:lang w:val="en-US" w:eastAsia="zh-CN" w:bidi="ar-SA"/>
        </w:rPr>
        <w:t>(B)</w:t>
      </w:r>
      <w:r>
        <w:rPr>
          <w:rFonts w:hint="eastAsia" w:ascii="Times New Roman" w:hAnsi="Times New Roman" w:cs="Times New Roman"/>
          <w:b/>
          <w:bCs/>
          <w:kern w:val="2"/>
          <w:sz w:val="24"/>
          <w:szCs w:val="24"/>
          <w:lang w:val="en-US" w:eastAsia="zh-CN" w:bidi="ar-SA"/>
        </w:rPr>
        <w:t xml:space="preserve"> </w:t>
      </w:r>
      <w:r>
        <w:rPr>
          <w:rFonts w:hint="default" w:ascii="Times New Roman" w:hAnsi="Times New Roman" w:cs="Times New Roman"/>
          <w:b w:val="0"/>
          <w:bCs w:val="0"/>
          <w:sz w:val="24"/>
          <w:szCs w:val="24"/>
          <w:lang w:val="en-US" w:eastAsia="zh-CN"/>
        </w:rPr>
        <w:t>Negative control maxilla in the blank mouse group were examined by IF. All assays were performed without the primary antibody.</w:t>
      </w:r>
    </w:p>
    <w:p w14:paraId="59430324">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74DCE1B0">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51605CF9">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54578FF2">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13A4BCB8">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7FB4CE5A">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7C55AD6A">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576527F2">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18F9B31D">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10FD3EF2">
      <w:pPr>
        <w:widowControl w:val="0"/>
        <w:numPr>
          <w:ilvl w:val="0"/>
          <w:numId w:val="0"/>
        </w:numPr>
        <w:spacing w:line="360" w:lineRule="auto"/>
        <w:jc w:val="both"/>
        <w:rPr>
          <w:rFonts w:hint="default" w:ascii="Times New Roman" w:hAnsi="Times New Roman" w:cs="Times New Roman"/>
          <w:b w:val="0"/>
          <w:bCs w:val="0"/>
          <w:sz w:val="24"/>
          <w:szCs w:val="24"/>
          <w:lang w:val="en-US" w:eastAsia="zh-CN"/>
        </w:rPr>
      </w:pPr>
    </w:p>
    <w:p w14:paraId="0078DC5E">
      <w:pPr>
        <w:widowControl w:val="0"/>
        <w:numPr>
          <w:ilvl w:val="0"/>
          <w:numId w:val="0"/>
        </w:numPr>
        <w:spacing w:line="360" w:lineRule="auto"/>
        <w:ind w:left="0" w:leftChars="0" w:firstLine="0" w:firstLineChars="0"/>
        <w:jc w:val="both"/>
        <w:rPr>
          <w:rFonts w:hint="default" w:ascii="Times New Roman" w:hAnsi="Times New Roman" w:cs="Times New Roman"/>
          <w:b w:val="0"/>
          <w:bCs w:val="0"/>
          <w:sz w:val="24"/>
          <w:szCs w:val="24"/>
          <w:lang w:val="en-US" w:eastAsia="zh-CN"/>
        </w:rPr>
      </w:pPr>
      <w:r>
        <w:rPr>
          <w:rFonts w:hint="eastAsia" w:ascii="Times New Roman" w:hAnsi="Times New Roman" w:cs="Times New Roman"/>
          <w:b/>
          <w:bCs/>
          <w:sz w:val="24"/>
          <w:szCs w:val="24"/>
          <w:lang w:val="en-US" w:eastAsia="zh-CN"/>
        </w:rPr>
        <w:drawing>
          <wp:inline distT="0" distB="0" distL="114300" distR="114300">
            <wp:extent cx="5272405" cy="1783080"/>
            <wp:effectExtent l="0" t="0" r="4445" b="7620"/>
            <wp:docPr id="2" name="图片 2" descr="Appendix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ppendix Figure 2"/>
                    <pic:cNvPicPr>
                      <a:picLocks noChangeAspect="1"/>
                    </pic:cNvPicPr>
                  </pic:nvPicPr>
                  <pic:blipFill>
                    <a:blip r:embed="rId6"/>
                    <a:stretch>
                      <a:fillRect/>
                    </a:stretch>
                  </pic:blipFill>
                  <pic:spPr>
                    <a:xfrm>
                      <a:off x="0" y="0"/>
                      <a:ext cx="5272405" cy="1783080"/>
                    </a:xfrm>
                    <a:prstGeom prst="rect">
                      <a:avLst/>
                    </a:prstGeom>
                  </pic:spPr>
                </pic:pic>
              </a:graphicData>
            </a:graphic>
          </wp:inline>
        </w:drawing>
      </w:r>
    </w:p>
    <w:p w14:paraId="5DF8245B">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r>
        <w:rPr>
          <w:rFonts w:hint="eastAsia" w:ascii="Times New Roman" w:hAnsi="Times New Roman" w:cs="Times New Roman"/>
          <w:b/>
          <w:bCs/>
          <w:color w:val="000000"/>
          <w:sz w:val="24"/>
          <w:szCs w:val="24"/>
          <w:lang w:val="en-US" w:eastAsia="zh-CN"/>
        </w:rPr>
        <w:t>Appendix</w:t>
      </w:r>
      <w:r>
        <w:rPr>
          <w:rFonts w:hint="eastAsia" w:ascii="Times New Roman" w:hAnsi="Times New Roman" w:cs="Times New Roman"/>
          <w:b/>
          <w:bCs/>
          <w:color w:val="000000"/>
          <w:sz w:val="28"/>
          <w:szCs w:val="28"/>
          <w:lang w:val="en-US" w:eastAsia="zh-CN"/>
        </w:rPr>
        <w:t xml:space="preserve"> </w:t>
      </w:r>
      <w:r>
        <w:rPr>
          <w:rFonts w:hint="default" w:ascii="Times New Roman" w:hAnsi="Times New Roman" w:cs="Times New Roman"/>
          <w:b/>
          <w:bCs/>
          <w:sz w:val="24"/>
          <w:szCs w:val="24"/>
          <w:lang w:val="en-US" w:eastAsia="zh-CN"/>
        </w:rPr>
        <w:t>Figure</w:t>
      </w:r>
      <w:r>
        <w:rPr>
          <w:rFonts w:hint="eastAsia" w:ascii="Times New Roman" w:hAnsi="Times New Roman" w:cs="Times New Roman"/>
          <w:b/>
          <w:bCs/>
          <w:sz w:val="24"/>
          <w:szCs w:val="24"/>
          <w:lang w:val="en-US" w:eastAsia="zh-CN"/>
        </w:rPr>
        <w:t xml:space="preserve"> 3. Necroptosis-related proteins in LAZ-stimulated hGFs. </w:t>
      </w:r>
      <w:r>
        <w:rPr>
          <w:rFonts w:hint="default" w:ascii="Times New Roman" w:hAnsi="Times New Roman" w:cs="Times New Roman" w:eastAsiaTheme="minorEastAsia"/>
          <w:b/>
          <w:bCs/>
          <w:kern w:val="2"/>
          <w:sz w:val="24"/>
          <w:szCs w:val="24"/>
          <w:lang w:val="en-US" w:eastAsia="zh-CN" w:bidi="ar-SA"/>
        </w:rPr>
        <w:t>(A</w:t>
      </w:r>
      <w:r>
        <w:rPr>
          <w:rFonts w:hint="eastAsia" w:ascii="Times New Roman" w:hAnsi="Times New Roman" w:cs="Times New Roman"/>
          <w:b/>
          <w:bCs/>
          <w:kern w:val="2"/>
          <w:sz w:val="24"/>
          <w:szCs w:val="24"/>
          <w:lang w:val="en-US" w:eastAsia="zh-CN" w:bidi="ar-SA"/>
        </w:rPr>
        <w:t>, B</w:t>
      </w:r>
      <w:r>
        <w:rPr>
          <w:rFonts w:hint="default" w:ascii="Times New Roman" w:hAnsi="Times New Roman" w:cs="Times New Roman" w:eastAsiaTheme="minorEastAsia"/>
          <w:b/>
          <w:bCs/>
          <w:kern w:val="2"/>
          <w:sz w:val="24"/>
          <w:szCs w:val="24"/>
          <w:lang w:val="en-US" w:eastAsia="zh-CN" w:bidi="ar-SA"/>
        </w:rPr>
        <w:t>)</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cs="Times New Roman"/>
          <w:b w:val="0"/>
          <w:bCs w:val="0"/>
          <w:sz w:val="24"/>
          <w:szCs w:val="24"/>
          <w:lang w:val="en-US" w:eastAsia="zh-CN"/>
        </w:rPr>
        <w:t xml:space="preserve">Protein levels of necroptosis-related genes in hGFs stimulated with LAZ for 6h after pretreatment with different concentrations of AdipoAI were quantified by WB. </w:t>
      </w:r>
      <w:r>
        <w:rPr>
          <w:rFonts w:hint="eastAsia" w:ascii="Times New Roman" w:hAnsi="Times New Roman" w:cs="Times New Roman"/>
          <w:kern w:val="2"/>
          <w:sz w:val="24"/>
          <w:szCs w:val="24"/>
          <w:lang w:val="en-US" w:eastAsia="zh-CN" w:bidi="ar-SA"/>
        </w:rPr>
        <w:t>n=3 per group.</w:t>
      </w:r>
    </w:p>
    <w:p w14:paraId="348DA1ED">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337C3B08">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48DC137C">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292133A5">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148DDD6C">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43B2435B">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2D26888F">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5C8200F3">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97203A9">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44BAD426">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10C107C0">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3215748C">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484BEA2F">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7A7A54CE">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 xml:space="preserve"> </w:t>
      </w:r>
    </w:p>
    <w:p w14:paraId="6A3C1C42">
      <w:pPr>
        <w:widowControl w:val="0"/>
        <w:numPr>
          <w:ilvl w:val="0"/>
          <w:numId w:val="0"/>
        </w:numPr>
        <w:spacing w:line="360" w:lineRule="auto"/>
        <w:ind w:left="0" w:leftChars="0"/>
        <w:jc w:val="both"/>
        <w:rPr>
          <w:rFonts w:hint="default" w:ascii="Times New Roman" w:hAnsi="Times New Roman" w:cs="Times New Roman"/>
          <w:b w:val="0"/>
          <w:bCs w:val="0"/>
          <w:sz w:val="24"/>
          <w:szCs w:val="24"/>
          <w:lang w:val="en-US" w:eastAsia="zh-CN"/>
        </w:rPr>
      </w:pPr>
      <w:r>
        <w:rPr>
          <w:rFonts w:hint="eastAsia" w:ascii="Times New Roman" w:hAnsi="Times New Roman" w:cs="Times New Roman"/>
          <w:b/>
          <w:bCs/>
          <w:sz w:val="24"/>
          <w:szCs w:val="24"/>
          <w:lang w:val="en-US" w:eastAsia="zh-CN"/>
        </w:rPr>
        <w:drawing>
          <wp:inline distT="0" distB="0" distL="114300" distR="114300">
            <wp:extent cx="5272405" cy="1697990"/>
            <wp:effectExtent l="0" t="0" r="4445" b="6985"/>
            <wp:docPr id="3" name="图片 3" descr="Appendix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ppendix Figure 3"/>
                    <pic:cNvPicPr>
                      <a:picLocks noChangeAspect="1"/>
                    </pic:cNvPicPr>
                  </pic:nvPicPr>
                  <pic:blipFill>
                    <a:blip r:embed="rId7"/>
                    <a:stretch>
                      <a:fillRect/>
                    </a:stretch>
                  </pic:blipFill>
                  <pic:spPr>
                    <a:xfrm>
                      <a:off x="0" y="0"/>
                      <a:ext cx="5272405" cy="1697990"/>
                    </a:xfrm>
                    <a:prstGeom prst="rect">
                      <a:avLst/>
                    </a:prstGeom>
                  </pic:spPr>
                </pic:pic>
              </a:graphicData>
            </a:graphic>
          </wp:inline>
        </w:drawing>
      </w:r>
    </w:p>
    <w:p w14:paraId="2844DD38">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r>
        <w:rPr>
          <w:rFonts w:hint="eastAsia" w:ascii="Times New Roman" w:hAnsi="Times New Roman" w:cs="Times New Roman"/>
          <w:b/>
          <w:bCs/>
          <w:color w:val="000000"/>
          <w:sz w:val="24"/>
          <w:szCs w:val="24"/>
          <w:lang w:val="en-US" w:eastAsia="zh-CN"/>
        </w:rPr>
        <w:t>Appendix</w:t>
      </w:r>
      <w:r>
        <w:rPr>
          <w:rFonts w:hint="eastAsia" w:ascii="Times New Roman" w:hAnsi="Times New Roman" w:cs="Times New Roman"/>
          <w:b/>
          <w:bCs/>
          <w:color w:val="000000"/>
          <w:sz w:val="28"/>
          <w:szCs w:val="28"/>
          <w:lang w:val="en-US" w:eastAsia="zh-CN"/>
        </w:rPr>
        <w:t xml:space="preserve"> </w:t>
      </w:r>
      <w:r>
        <w:rPr>
          <w:rFonts w:hint="default" w:ascii="Times New Roman" w:hAnsi="Times New Roman" w:cs="Times New Roman"/>
          <w:b/>
          <w:bCs/>
          <w:sz w:val="24"/>
          <w:szCs w:val="24"/>
          <w:lang w:val="en-US" w:eastAsia="zh-CN"/>
        </w:rPr>
        <w:t>Figure</w:t>
      </w:r>
      <w:r>
        <w:rPr>
          <w:rFonts w:hint="eastAsia" w:ascii="Times New Roman" w:hAnsi="Times New Roman" w:cs="Times New Roman"/>
          <w:b/>
          <w:bCs/>
          <w:sz w:val="24"/>
          <w:szCs w:val="24"/>
          <w:lang w:val="en-US" w:eastAsia="zh-CN"/>
        </w:rPr>
        <w:t xml:space="preserve"> 4. LAZ-induced necroptosis modulated the morphology of  hGFs. </w:t>
      </w:r>
      <w:r>
        <w:rPr>
          <w:rFonts w:hint="eastAsia" w:ascii="Times New Roman" w:hAnsi="Times New Roman" w:cs="Times New Roman" w:eastAsiaTheme="minorEastAsia"/>
          <w:b/>
          <w:bCs/>
          <w:kern w:val="2"/>
          <w:sz w:val="24"/>
          <w:szCs w:val="24"/>
          <w:lang w:val="en-US" w:eastAsia="zh-CN" w:bidi="ar-SA"/>
        </w:rPr>
        <w:t>(A)</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cs="Times New Roman"/>
          <w:b w:val="0"/>
          <w:bCs w:val="0"/>
          <w:sz w:val="24"/>
          <w:szCs w:val="24"/>
          <w:lang w:val="en-US" w:eastAsia="zh-CN"/>
        </w:rPr>
        <w:t>Representative microphotographs of electron light microscopy of the morphology of necroptosis of cells. Arrows: shrinking cell bodies, intracellular bubble-like changes.</w:t>
      </w:r>
    </w:p>
    <w:p w14:paraId="5180100F">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7F221D03">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60D22786">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224294D4">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28ADFFB">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6C6A6BBD">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6547671F">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4BEEB387">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1BEA998">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5B8B489F">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01F4C00">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7ED59A09">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3F2F29FD">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BA77DD9">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3F4F3240">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23E22EF9">
      <w:pPr>
        <w:widowControl w:val="0"/>
        <w:numPr>
          <w:ilvl w:val="0"/>
          <w:numId w:val="0"/>
        </w:numPr>
        <w:spacing w:line="360" w:lineRule="auto"/>
        <w:jc w:val="both"/>
        <w:rPr>
          <w:rFonts w:hint="eastAsia" w:ascii="Times New Roman" w:hAnsi="Times New Roman" w:cs="Times New Roman"/>
          <w:b w:val="0"/>
          <w:bCs w:val="0"/>
          <w:sz w:val="24"/>
          <w:szCs w:val="24"/>
          <w:lang w:val="en-US" w:eastAsia="zh-CN"/>
        </w:rPr>
      </w:pPr>
      <w:r>
        <w:rPr>
          <w:rFonts w:hint="default" w:ascii="Times New Roman" w:hAnsi="Times New Roman" w:cs="Times New Roman"/>
          <w:b/>
          <w:bCs/>
          <w:sz w:val="24"/>
          <w:szCs w:val="24"/>
          <w:lang w:val="en-US" w:eastAsia="zh-CN"/>
        </w:rPr>
        <w:drawing>
          <wp:inline distT="0" distB="0" distL="114300" distR="114300">
            <wp:extent cx="5272405" cy="1621155"/>
            <wp:effectExtent l="0" t="0" r="4445" b="7620"/>
            <wp:docPr id="4" name="图片 4" descr="Appendix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ppendix Figure 4"/>
                    <pic:cNvPicPr>
                      <a:picLocks noChangeAspect="1"/>
                    </pic:cNvPicPr>
                  </pic:nvPicPr>
                  <pic:blipFill>
                    <a:blip r:embed="rId8"/>
                    <a:stretch>
                      <a:fillRect/>
                    </a:stretch>
                  </pic:blipFill>
                  <pic:spPr>
                    <a:xfrm>
                      <a:off x="0" y="0"/>
                      <a:ext cx="5272405" cy="1621155"/>
                    </a:xfrm>
                    <a:prstGeom prst="rect">
                      <a:avLst/>
                    </a:prstGeom>
                  </pic:spPr>
                </pic:pic>
              </a:graphicData>
            </a:graphic>
          </wp:inline>
        </w:drawing>
      </w:r>
    </w:p>
    <w:p w14:paraId="35C0A93D">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r>
        <w:rPr>
          <w:rFonts w:hint="eastAsia" w:ascii="Times New Roman" w:hAnsi="Times New Roman" w:cs="Times New Roman"/>
          <w:b/>
          <w:bCs/>
          <w:color w:val="000000"/>
          <w:sz w:val="24"/>
          <w:szCs w:val="24"/>
          <w:lang w:val="en-US" w:eastAsia="zh-CN"/>
        </w:rPr>
        <w:t>Appendix</w:t>
      </w:r>
      <w:r>
        <w:rPr>
          <w:rFonts w:hint="eastAsia" w:ascii="Times New Roman" w:hAnsi="Times New Roman" w:cs="Times New Roman"/>
          <w:b/>
          <w:bCs/>
          <w:color w:val="000000"/>
          <w:sz w:val="28"/>
          <w:szCs w:val="28"/>
          <w:lang w:val="en-US" w:eastAsia="zh-CN"/>
        </w:rPr>
        <w:t xml:space="preserve"> </w:t>
      </w:r>
      <w:r>
        <w:rPr>
          <w:rFonts w:hint="default" w:ascii="Times New Roman" w:hAnsi="Times New Roman" w:cs="Times New Roman"/>
          <w:b/>
          <w:bCs/>
          <w:sz w:val="24"/>
          <w:szCs w:val="24"/>
          <w:lang w:val="en-US" w:eastAsia="zh-CN"/>
        </w:rPr>
        <w:t>Figure</w:t>
      </w:r>
      <w:r>
        <w:rPr>
          <w:rFonts w:hint="eastAsia" w:ascii="Times New Roman" w:hAnsi="Times New Roman" w:cs="Times New Roman"/>
          <w:b/>
          <w:bCs/>
          <w:sz w:val="24"/>
          <w:szCs w:val="24"/>
          <w:lang w:val="en-US" w:eastAsia="zh-CN"/>
        </w:rPr>
        <w:t xml:space="preserve"> 5. AdipoAI activates AMPK signaling in a concentration-dependent manner. </w:t>
      </w:r>
      <w:r>
        <w:rPr>
          <w:rFonts w:hint="eastAsia" w:ascii="Times New Roman" w:hAnsi="Times New Roman" w:cs="Times New Roman" w:eastAsiaTheme="minorEastAsia"/>
          <w:b/>
          <w:bCs/>
          <w:kern w:val="2"/>
          <w:sz w:val="24"/>
          <w:szCs w:val="24"/>
          <w:lang w:val="en-US" w:eastAsia="zh-CN" w:bidi="ar-SA"/>
        </w:rPr>
        <w:t>(A</w:t>
      </w:r>
      <w:r>
        <w:rPr>
          <w:rFonts w:hint="eastAsia" w:ascii="Times New Roman" w:hAnsi="Times New Roman" w:cs="Times New Roman"/>
          <w:b/>
          <w:bCs/>
          <w:kern w:val="2"/>
          <w:sz w:val="24"/>
          <w:szCs w:val="24"/>
          <w:lang w:val="en-US" w:eastAsia="zh-CN" w:bidi="ar-SA"/>
        </w:rPr>
        <w:t>, B</w:t>
      </w:r>
      <w:r>
        <w:rPr>
          <w:rFonts w:hint="eastAsia" w:ascii="Times New Roman" w:hAnsi="Times New Roman" w:cs="Times New Roman" w:eastAsiaTheme="minorEastAsia"/>
          <w:b/>
          <w:bCs/>
          <w:kern w:val="2"/>
          <w:sz w:val="24"/>
          <w:szCs w:val="24"/>
          <w:lang w:val="en-US" w:eastAsia="zh-CN" w:bidi="ar-SA"/>
        </w:rPr>
        <w:t>)</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cs="Times New Roman"/>
          <w:b w:val="0"/>
          <w:bCs w:val="0"/>
          <w:sz w:val="24"/>
          <w:szCs w:val="24"/>
          <w:lang w:val="en-US" w:eastAsia="zh-CN"/>
        </w:rPr>
        <w:t xml:space="preserve">Protein levels of p-AMPK、AMPK in hGFs stimulated with different concentrations of AdipoAI were quantified by WB. </w:t>
      </w:r>
      <w:r>
        <w:rPr>
          <w:rFonts w:hint="eastAsia" w:ascii="Times New Roman" w:hAnsi="Times New Roman" w:cs="Times New Roman"/>
          <w:kern w:val="2"/>
          <w:sz w:val="24"/>
          <w:szCs w:val="24"/>
          <w:lang w:val="en-US" w:eastAsia="zh-CN" w:bidi="ar-SA"/>
        </w:rPr>
        <w:t xml:space="preserve">n=3 per group. </w:t>
      </w:r>
    </w:p>
    <w:p w14:paraId="5799F4C1">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2A6A45C">
      <w:pPr>
        <w:widowControl w:val="0"/>
        <w:numPr>
          <w:ilvl w:val="0"/>
          <w:numId w:val="0"/>
        </w:numPr>
        <w:spacing w:line="360" w:lineRule="auto"/>
        <w:ind w:leftChars="0"/>
        <w:jc w:val="both"/>
        <w:rPr>
          <w:rFonts w:hint="eastAsia" w:ascii="Times New Roman" w:hAnsi="Times New Roman" w:cs="Times New Roman"/>
          <w:kern w:val="2"/>
          <w:sz w:val="24"/>
          <w:szCs w:val="24"/>
          <w:lang w:val="en-US" w:eastAsia="zh-CN" w:bidi="ar-SA"/>
        </w:rPr>
      </w:pPr>
    </w:p>
    <w:p w14:paraId="054BE852">
      <w:pPr>
        <w:widowControl w:val="0"/>
        <w:numPr>
          <w:ilvl w:val="0"/>
          <w:numId w:val="0"/>
        </w:numPr>
        <w:spacing w:line="360" w:lineRule="auto"/>
        <w:ind w:left="0" w:leftChars="0"/>
        <w:jc w:val="both"/>
        <w:rPr>
          <w:rFonts w:hint="eastAsia" w:ascii="Times New Roman" w:hAnsi="Times New Roman" w:cs="Times New Roman"/>
          <w:b w:val="0"/>
          <w:bCs w:val="0"/>
          <w:sz w:val="24"/>
          <w:szCs w:val="24"/>
          <w:lang w:val="en-US" w:eastAsia="zh-CN"/>
        </w:rPr>
      </w:pPr>
    </w:p>
    <w:p w14:paraId="5CD1EBEC">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3C63D46A">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04769AC9">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48AE0B1E">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64FDE7D8">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06E3FC9F">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73BF43D3">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7F9905A3">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35E28553">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74618F43">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062C9B8D">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7E5DA35E">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4B58E8D2">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3195F763">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4263FEA9">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22FF1F85">
      <w:pPr>
        <w:widowControl w:val="0"/>
        <w:numPr>
          <w:ilvl w:val="0"/>
          <w:numId w:val="0"/>
        </w:numPr>
        <w:spacing w:line="360" w:lineRule="auto"/>
        <w:jc w:val="both"/>
        <w:rPr>
          <w:rFonts w:hint="default" w:ascii="Times New Roman" w:hAnsi="Times New Roman" w:cs="Times New Roman"/>
          <w:b/>
          <w:bCs/>
          <w:sz w:val="24"/>
          <w:szCs w:val="24"/>
          <w:lang w:val="en-US" w:eastAsia="zh-CN"/>
        </w:rPr>
      </w:pPr>
    </w:p>
    <w:p w14:paraId="482D397E">
      <w:pPr>
        <w:spacing w:line="360" w:lineRule="auto"/>
        <w:rPr>
          <w:rFonts w:hint="eastAsia"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Appendix TABLES</w:t>
      </w:r>
    </w:p>
    <w:p w14:paraId="08A89E91">
      <w:pPr>
        <w:spacing w:line="360" w:lineRule="auto"/>
        <w:rPr>
          <w:rFonts w:hint="eastAsia" w:ascii="Times New Roman" w:hAnsi="Times New Roman" w:cs="Times New Roman"/>
          <w:b w:val="0"/>
          <w:bCs w:val="0"/>
          <w:sz w:val="24"/>
          <w:szCs w:val="24"/>
          <w:lang w:val="en-US" w:eastAsia="zh-CN"/>
        </w:rPr>
      </w:pPr>
      <w:r>
        <w:rPr>
          <w:rFonts w:hint="eastAsia" w:ascii="Times New Roman" w:hAnsi="Times New Roman" w:cs="Times New Roman"/>
          <w:b/>
          <w:bCs/>
          <w:sz w:val="24"/>
          <w:szCs w:val="24"/>
          <w:lang w:val="en-US" w:eastAsia="zh-CN"/>
        </w:rPr>
        <w:t xml:space="preserve">Appendix Table 1. </w:t>
      </w:r>
      <w:r>
        <w:rPr>
          <w:rFonts w:hint="eastAsia" w:ascii="Times New Roman" w:hAnsi="Times New Roman" w:cs="Times New Roman"/>
          <w:b w:val="0"/>
          <w:bCs w:val="0"/>
          <w:sz w:val="24"/>
          <w:szCs w:val="24"/>
          <w:lang w:val="en-US" w:eastAsia="zh-CN"/>
        </w:rPr>
        <w:t>Primer Sequences for qRT-PCR.</w:t>
      </w:r>
    </w:p>
    <w:tbl>
      <w:tblPr>
        <w:tblStyle w:val="4"/>
        <w:tblW w:w="8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175"/>
        <w:gridCol w:w="3404"/>
        <w:gridCol w:w="3823"/>
      </w:tblGrid>
      <w:tr w14:paraId="14390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60" w:type="dxa"/>
            <w:tcBorders>
              <w:top w:val="single" w:color="000000" w:sz="12" w:space="0"/>
              <w:left w:val="nil"/>
              <w:bottom w:val="single" w:color="000000" w:sz="12" w:space="0"/>
              <w:right w:val="nil"/>
            </w:tcBorders>
            <w:shd w:val="clear" w:color="auto" w:fill="auto"/>
            <w:tcMar>
              <w:top w:w="72" w:type="dxa"/>
              <w:left w:w="144" w:type="dxa"/>
              <w:bottom w:w="72" w:type="dxa"/>
              <w:right w:w="144" w:type="dxa"/>
            </w:tcMar>
            <w:vAlign w:val="top"/>
          </w:tcPr>
          <w:p w14:paraId="253AC275">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b/>
                <w:bCs/>
                <w:i w:val="0"/>
                <w:iCs w:val="0"/>
                <w:color w:val="000000"/>
                <w:kern w:val="24"/>
                <w:sz w:val="21"/>
                <w:szCs w:val="21"/>
                <w:u w:val="none"/>
              </w:rPr>
              <w:t>Gene</w:t>
            </w:r>
          </w:p>
        </w:tc>
        <w:tc>
          <w:tcPr>
            <w:tcW w:w="2760" w:type="dxa"/>
            <w:tcBorders>
              <w:top w:val="single" w:color="000000" w:sz="12" w:space="0"/>
              <w:left w:val="nil"/>
              <w:bottom w:val="single" w:color="000000" w:sz="12" w:space="0"/>
              <w:right w:val="nil"/>
            </w:tcBorders>
            <w:shd w:val="clear" w:color="auto" w:fill="auto"/>
            <w:tcMar>
              <w:top w:w="72" w:type="dxa"/>
              <w:left w:w="144" w:type="dxa"/>
              <w:bottom w:w="72" w:type="dxa"/>
              <w:right w:w="144" w:type="dxa"/>
            </w:tcMar>
            <w:vAlign w:val="top"/>
          </w:tcPr>
          <w:p w14:paraId="02BD85C2">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b/>
                <w:bCs/>
                <w:i w:val="0"/>
                <w:iCs w:val="0"/>
                <w:color w:val="000000"/>
                <w:kern w:val="24"/>
                <w:sz w:val="21"/>
                <w:szCs w:val="21"/>
                <w:u w:val="none"/>
              </w:rPr>
              <w:t>Forward Primer (5’-3’)</w:t>
            </w:r>
          </w:p>
        </w:tc>
        <w:tc>
          <w:tcPr>
            <w:tcW w:w="2760" w:type="dxa"/>
            <w:tcBorders>
              <w:top w:val="single" w:color="000000" w:sz="12" w:space="0"/>
              <w:left w:val="nil"/>
              <w:bottom w:val="single" w:color="000000" w:sz="12" w:space="0"/>
              <w:right w:val="nil"/>
            </w:tcBorders>
            <w:shd w:val="clear" w:color="auto" w:fill="auto"/>
            <w:tcMar>
              <w:top w:w="72" w:type="dxa"/>
              <w:left w:w="144" w:type="dxa"/>
              <w:bottom w:w="72" w:type="dxa"/>
              <w:right w:w="144" w:type="dxa"/>
            </w:tcMar>
            <w:vAlign w:val="top"/>
          </w:tcPr>
          <w:p w14:paraId="17E38AC4">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b/>
                <w:bCs/>
                <w:i w:val="0"/>
                <w:iCs w:val="0"/>
                <w:color w:val="000000"/>
                <w:kern w:val="24"/>
                <w:sz w:val="21"/>
                <w:szCs w:val="21"/>
                <w:u w:val="none"/>
              </w:rPr>
              <w:t>Reverse Primer (</w:t>
            </w:r>
            <w:r>
              <w:rPr>
                <w:rFonts w:hint="eastAsia" w:ascii="Times New Roman" w:hAnsi="Times New Roman" w:eastAsia="等线" w:cs="Times New Roman"/>
                <w:b/>
                <w:bCs/>
                <w:i w:val="0"/>
                <w:iCs w:val="0"/>
                <w:color w:val="000000"/>
                <w:kern w:val="24"/>
                <w:sz w:val="21"/>
                <w:szCs w:val="21"/>
                <w:u w:val="none"/>
                <w:lang w:val="en-US" w:eastAsia="zh-CN"/>
              </w:rPr>
              <w:t>3</w:t>
            </w:r>
            <w:r>
              <w:rPr>
                <w:rFonts w:hint="default" w:ascii="Times New Roman" w:hAnsi="Times New Roman" w:eastAsia="等线" w:cs="Times New Roman"/>
                <w:b/>
                <w:bCs/>
                <w:i w:val="0"/>
                <w:iCs w:val="0"/>
                <w:color w:val="000000"/>
                <w:kern w:val="24"/>
                <w:sz w:val="21"/>
                <w:szCs w:val="21"/>
                <w:u w:val="none"/>
              </w:rPr>
              <w:t>’-</w:t>
            </w:r>
            <w:r>
              <w:rPr>
                <w:rFonts w:hint="eastAsia" w:ascii="Times New Roman" w:hAnsi="Times New Roman" w:eastAsia="等线" w:cs="Times New Roman"/>
                <w:b/>
                <w:bCs/>
                <w:i w:val="0"/>
                <w:iCs w:val="0"/>
                <w:color w:val="000000"/>
                <w:kern w:val="24"/>
                <w:sz w:val="21"/>
                <w:szCs w:val="21"/>
                <w:u w:val="none"/>
                <w:lang w:val="en-US" w:eastAsia="zh-CN"/>
              </w:rPr>
              <w:t>5</w:t>
            </w:r>
            <w:r>
              <w:rPr>
                <w:rFonts w:hint="default" w:ascii="Times New Roman" w:hAnsi="Times New Roman" w:eastAsia="等线" w:cs="Times New Roman"/>
                <w:b/>
                <w:bCs/>
                <w:i w:val="0"/>
                <w:iCs w:val="0"/>
                <w:color w:val="000000"/>
                <w:kern w:val="24"/>
                <w:sz w:val="21"/>
                <w:szCs w:val="21"/>
                <w:u w:val="none"/>
              </w:rPr>
              <w:t>’)</w:t>
            </w:r>
          </w:p>
        </w:tc>
      </w:tr>
      <w:tr w14:paraId="72A47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760" w:type="dxa"/>
            <w:tcBorders>
              <w:top w:val="single" w:color="000000" w:sz="12" w:space="0"/>
              <w:left w:val="nil"/>
              <w:bottom w:val="nil"/>
              <w:right w:val="nil"/>
            </w:tcBorders>
            <w:shd w:val="clear" w:color="auto" w:fill="auto"/>
            <w:tcMar>
              <w:top w:w="72" w:type="dxa"/>
              <w:left w:w="144" w:type="dxa"/>
              <w:bottom w:w="72" w:type="dxa"/>
              <w:right w:w="144" w:type="dxa"/>
            </w:tcMar>
            <w:vAlign w:val="top"/>
          </w:tcPr>
          <w:p w14:paraId="7F29ED8E">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hIL-6</w:t>
            </w:r>
          </w:p>
        </w:tc>
        <w:tc>
          <w:tcPr>
            <w:tcW w:w="2760" w:type="dxa"/>
            <w:tcBorders>
              <w:top w:val="single" w:color="000000" w:sz="12" w:space="0"/>
              <w:left w:val="nil"/>
              <w:bottom w:val="nil"/>
              <w:right w:val="nil"/>
            </w:tcBorders>
            <w:shd w:val="clear" w:color="auto" w:fill="auto"/>
            <w:tcMar>
              <w:top w:w="72" w:type="dxa"/>
              <w:left w:w="144" w:type="dxa"/>
              <w:bottom w:w="72" w:type="dxa"/>
              <w:right w:w="144" w:type="dxa"/>
            </w:tcMar>
            <w:vAlign w:val="top"/>
          </w:tcPr>
          <w:p w14:paraId="7C1A7AB6">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CCCCTGACCCAACCACAAAT</w:t>
            </w:r>
          </w:p>
        </w:tc>
        <w:tc>
          <w:tcPr>
            <w:tcW w:w="2760" w:type="dxa"/>
            <w:tcBorders>
              <w:top w:val="single" w:color="000000" w:sz="12" w:space="0"/>
              <w:left w:val="nil"/>
              <w:bottom w:val="nil"/>
              <w:right w:val="nil"/>
            </w:tcBorders>
            <w:shd w:val="clear" w:color="auto" w:fill="auto"/>
            <w:tcMar>
              <w:top w:w="72" w:type="dxa"/>
              <w:left w:w="144" w:type="dxa"/>
              <w:bottom w:w="72" w:type="dxa"/>
              <w:right w:w="144" w:type="dxa"/>
            </w:tcMar>
            <w:vAlign w:val="top"/>
          </w:tcPr>
          <w:p w14:paraId="2E8F4B92">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GTGCCCATGCTACATTTGCC</w:t>
            </w:r>
          </w:p>
        </w:tc>
      </w:tr>
      <w:tr w14:paraId="10A57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728C8832">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hIL-1β</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1FC0748F">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ACGAATCTCCGACCACCA</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48BA022B">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GCAGGGAACCAGCATCTT</w:t>
            </w:r>
          </w:p>
        </w:tc>
      </w:tr>
      <w:tr w14:paraId="7FE88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66513DFE">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hCOX-2</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293068BD">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CTGGCGCTCAGCCATACAG</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4F771827">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CGCACTTATACTGGTCAAATCCC</w:t>
            </w:r>
          </w:p>
        </w:tc>
      </w:tr>
      <w:tr w14:paraId="7E2CC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7B1948D2">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hGAPDH</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11CF2591">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CTGGGCTACACTGAGCACC</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12A15C40">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AAGTGGTCGTTGAGGGCAATG</w:t>
            </w:r>
          </w:p>
        </w:tc>
      </w:tr>
      <w:tr w14:paraId="0C5AE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212741E5">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mIL-6</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453F9A02">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TCCAGTTGCCTTCTTGGGAC</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62853E1D">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GTGTAATTAAGCCTCCGACTTG</w:t>
            </w:r>
          </w:p>
        </w:tc>
      </w:tr>
      <w:tr w14:paraId="69131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1558B68B">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mIL-1β</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1E53C6BF">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GAAAGACGGCACACCCACCCT</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20868C91">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GCTCTGCTTGTGAGGTGCTGATGTA</w:t>
            </w:r>
          </w:p>
        </w:tc>
      </w:tr>
      <w:tr w14:paraId="7CC06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53888070">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mCOX-2</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08109C7F">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TTCCAATCCATGTCAAAACCGT</w:t>
            </w:r>
          </w:p>
        </w:tc>
        <w:tc>
          <w:tcPr>
            <w:tcW w:w="2760" w:type="dxa"/>
            <w:tcBorders>
              <w:top w:val="nil"/>
              <w:left w:val="nil"/>
              <w:bottom w:val="nil"/>
              <w:right w:val="nil"/>
            </w:tcBorders>
            <w:shd w:val="clear" w:color="auto" w:fill="auto"/>
            <w:tcMar>
              <w:top w:w="72" w:type="dxa"/>
              <w:left w:w="144" w:type="dxa"/>
              <w:bottom w:w="72" w:type="dxa"/>
              <w:right w:w="144" w:type="dxa"/>
            </w:tcMar>
            <w:vAlign w:val="top"/>
          </w:tcPr>
          <w:p w14:paraId="454233B5">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AGTCCGGGTACAGTCACACTT</w:t>
            </w:r>
          </w:p>
        </w:tc>
      </w:tr>
      <w:tr w14:paraId="2784D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760" w:type="dxa"/>
            <w:tcBorders>
              <w:top w:val="nil"/>
              <w:left w:val="nil"/>
              <w:bottom w:val="single" w:color="000000" w:sz="12" w:space="0"/>
              <w:right w:val="nil"/>
            </w:tcBorders>
            <w:shd w:val="clear" w:color="auto" w:fill="auto"/>
            <w:tcMar>
              <w:top w:w="72" w:type="dxa"/>
              <w:left w:w="144" w:type="dxa"/>
              <w:bottom w:w="72" w:type="dxa"/>
              <w:right w:w="144" w:type="dxa"/>
            </w:tcMar>
            <w:vAlign w:val="top"/>
          </w:tcPr>
          <w:p w14:paraId="330AC240">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mGAPDH</w:t>
            </w:r>
          </w:p>
        </w:tc>
        <w:tc>
          <w:tcPr>
            <w:tcW w:w="2760" w:type="dxa"/>
            <w:tcBorders>
              <w:top w:val="nil"/>
              <w:left w:val="nil"/>
              <w:bottom w:val="single" w:color="000000" w:sz="12" w:space="0"/>
              <w:right w:val="nil"/>
            </w:tcBorders>
            <w:shd w:val="clear" w:color="auto" w:fill="auto"/>
            <w:tcMar>
              <w:top w:w="72" w:type="dxa"/>
              <w:left w:w="144" w:type="dxa"/>
              <w:bottom w:w="72" w:type="dxa"/>
              <w:right w:w="144" w:type="dxa"/>
            </w:tcMar>
            <w:vAlign w:val="top"/>
          </w:tcPr>
          <w:p w14:paraId="44F7E820">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GACTTCAACAGCAACTCCCAC</w:t>
            </w:r>
          </w:p>
        </w:tc>
        <w:tc>
          <w:tcPr>
            <w:tcW w:w="2760" w:type="dxa"/>
            <w:tcBorders>
              <w:top w:val="nil"/>
              <w:left w:val="nil"/>
              <w:bottom w:val="single" w:color="000000" w:sz="12" w:space="0"/>
              <w:right w:val="nil"/>
            </w:tcBorders>
            <w:shd w:val="clear" w:color="auto" w:fill="auto"/>
            <w:tcMar>
              <w:top w:w="72" w:type="dxa"/>
              <w:left w:w="144" w:type="dxa"/>
              <w:bottom w:w="72" w:type="dxa"/>
              <w:right w:w="144" w:type="dxa"/>
            </w:tcMar>
            <w:vAlign w:val="top"/>
          </w:tcPr>
          <w:p w14:paraId="5EFFAB12">
            <w:pPr>
              <w:pStyle w:val="3"/>
              <w:keepNext w:val="0"/>
              <w:keepLines w:val="0"/>
              <w:widowControl/>
              <w:suppressLineNumbers w:val="0"/>
              <w:kinsoku/>
              <w:wordWrap/>
              <w:overflowPunct/>
              <w:bidi w:val="0"/>
              <w:spacing w:before="0" w:beforeAutospacing="0" w:after="0" w:afterAutospacing="0"/>
              <w:ind w:left="0"/>
              <w:jc w:val="both"/>
              <w:textAlignment w:val="top"/>
            </w:pPr>
            <w:r>
              <w:rPr>
                <w:rFonts w:hint="default" w:ascii="Times New Roman" w:hAnsi="Times New Roman" w:eastAsia="等线" w:cs="Times New Roman"/>
                <w:i w:val="0"/>
                <w:iCs w:val="0"/>
                <w:color w:val="000000"/>
                <w:kern w:val="24"/>
                <w:sz w:val="21"/>
                <w:szCs w:val="21"/>
                <w:u w:val="none"/>
              </w:rPr>
              <w:t>TCCACCACCCTGTTGCTGTA</w:t>
            </w:r>
          </w:p>
        </w:tc>
      </w:tr>
    </w:tbl>
    <w:p w14:paraId="7EC6176D">
      <w:pPr>
        <w:spacing w:line="360" w:lineRule="auto"/>
        <w:rPr>
          <w:rFonts w:hint="eastAsia" w:ascii="Times New Roman" w:hAnsi="Times New Roman" w:cs="Times New Roman"/>
          <w:b w:val="0"/>
          <w:bCs w:val="0"/>
          <w:sz w:val="24"/>
          <w:szCs w:val="24"/>
          <w:lang w:val="en-US" w:eastAsia="zh-CN"/>
        </w:rPr>
      </w:pPr>
    </w:p>
    <w:p w14:paraId="0FA621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PSMT">
    <w:altName w:val="Yu Gothic"/>
    <w:panose1 w:val="00000000000000000000"/>
    <w:charset w:val="0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NWMyMmY5NTJkNTZmZWJhNjAzYzgyMTQxNjJiNGYifQ=="/>
  </w:docVars>
  <w:rsids>
    <w:rsidRoot w:val="00000000"/>
    <w:rsid w:val="02E13205"/>
    <w:rsid w:val="0846299C"/>
    <w:rsid w:val="12332174"/>
    <w:rsid w:val="168D490F"/>
    <w:rsid w:val="16A32841"/>
    <w:rsid w:val="1FC83C13"/>
    <w:rsid w:val="2091237A"/>
    <w:rsid w:val="23C245B7"/>
    <w:rsid w:val="24651B54"/>
    <w:rsid w:val="25E14838"/>
    <w:rsid w:val="27030D7B"/>
    <w:rsid w:val="27164E68"/>
    <w:rsid w:val="278C564A"/>
    <w:rsid w:val="31A21087"/>
    <w:rsid w:val="320170D4"/>
    <w:rsid w:val="39303698"/>
    <w:rsid w:val="4124316A"/>
    <w:rsid w:val="42080B01"/>
    <w:rsid w:val="42251A4B"/>
    <w:rsid w:val="430D1AFA"/>
    <w:rsid w:val="56FC33A3"/>
    <w:rsid w:val="57B240B1"/>
    <w:rsid w:val="5BBF1E07"/>
    <w:rsid w:val="5BD26A03"/>
    <w:rsid w:val="5EF757E3"/>
    <w:rsid w:val="5EFC11C1"/>
    <w:rsid w:val="67982F70"/>
    <w:rsid w:val="6FA32EDD"/>
    <w:rsid w:val="737344C9"/>
    <w:rsid w:val="73F85B9F"/>
    <w:rsid w:val="7E1B2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rPr>
      <w:sz w:val="20"/>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26E5" w:themeColor="hyperlink"/>
      <w:u w:val="single"/>
      <w14:textFill>
        <w14:solidFill>
          <w14:schemeClr w14:val="hlink"/>
        </w14:solidFill>
      </w14:textFill>
    </w:rPr>
  </w:style>
  <w:style w:type="character" w:styleId="7">
    <w:name w:val="annotation reference"/>
    <w:basedOn w:val="5"/>
    <w:qFormat/>
    <w:uiPriority w:val="0"/>
    <w:rPr>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2332</Words>
  <Characters>13580</Characters>
  <Lines>0</Lines>
  <Paragraphs>0</Paragraphs>
  <TotalTime>5</TotalTime>
  <ScaleCrop>false</ScaleCrop>
  <LinksUpToDate>false</LinksUpToDate>
  <CharactersWithSpaces>15839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2024-11-05T06:11:00Z</dcterms:created>
  <dc:creator>nacy</dc:creator>
  <cp:lastModifiedBy>weilun</cp:lastModifiedBy>
  <dcterms:modified xsi:type="dcterms:W3CDTF">2025-10-27T07:59:19Z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9F8B8CD1C6A94432A9CCFCCFE165EFB5_13</vt:lpwstr>
  </property>
  <property fmtid="{D5CDD505-2E9C-101B-9397-08002B2CF9AE}" pid="4" name="KSOTemplateDocerSaveRecord">
    <vt:lpwstr>eyJoZGlkIjoiYzZhNWMyMmY5NTJkNTZmZWJhNjAzYzgyMTQxNjJiNGYiLCJ1c2VySWQiOiI1MjkyNzcyMzIifQ==</vt:lpwstr>
  </property>
</Properties>
</file>