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712C">
      <w:pPr>
        <w:pStyle w:val="3"/>
        <w:spacing w:before="0"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 Materials for “Semiparametric Outcome Regression-Based Estimator of the Mann-Whitney-type Causal Effect”</w:t>
      </w:r>
    </w:p>
    <w:p w14:paraId="298874C9"/>
    <w:p w14:paraId="72F507A7">
      <w:pPr>
        <w:pStyle w:val="4"/>
        <w:keepNext w:val="0"/>
        <w:keepLines w:val="0"/>
        <w:spacing w:before="0"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Web Appendix I: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6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Simulation Approach for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Estimation of True Theta (</w:t>
      </w:r>
      <m:oMath>
        <m:r>
          <m:rPr>
            <m:nor/>
          </m:rPr>
          <w:rPr>
            <w:rFonts w:ascii="Times New Roman" w:hAnsi="Times New Roman" w:cs="Times New Roman"/>
            <w:i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θ</m:t>
        </m:r>
      </m:oMath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</w:p>
    <w:p w14:paraId="3D337A32">
      <w:pPr>
        <w:pStyle w:val="15"/>
        <w:spacing w:after="0" w:line="480" w:lineRule="auto"/>
        <w:rPr>
          <w:rFonts w:eastAsia="Aptos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Aptos"/>
          <w:color w:val="000000" w:themeColor="text1"/>
          <w:lang w:bidi="ar"/>
          <w14:textFill>
            <w14:solidFill>
              <w14:schemeClr w14:val="tx1"/>
            </w14:solidFill>
          </w14:textFill>
        </w:rPr>
        <w:t xml:space="preserve">A pseudo-population of </w:t>
      </w:r>
      <w:r>
        <w:rPr>
          <w:rFonts w:eastAsia="Aptos"/>
          <w:i/>
          <w:iCs/>
          <w:color w:val="000000" w:themeColor="text1"/>
          <w:lang w:bidi="ar"/>
          <w14:textFill>
            <w14:solidFill>
              <w14:schemeClr w14:val="tx1"/>
            </w14:solidFill>
          </w14:textFill>
        </w:rPr>
        <w:t>n=</w:t>
      </w:r>
      <w:r>
        <w:rPr>
          <w:rFonts w:eastAsia="Aptos"/>
          <w:color w:val="000000" w:themeColor="text1"/>
          <w:lang w:bidi="ar"/>
          <w14:textFill>
            <w14:solidFill>
              <w14:schemeClr w14:val="tx1"/>
            </w14:solidFill>
          </w14:textFill>
        </w:rPr>
        <w:t xml:space="preserve">1,000,000 observations was generated according to the study’s data-generating process to estimate true values across various simulation scenarios. The methodology involved two steps: </w:t>
      </w:r>
    </w:p>
    <w:p w14:paraId="7AE3929F">
      <w:pPr>
        <w:pStyle w:val="15"/>
        <w:spacing w:after="0" w:line="48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Aptos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Step 1: </w:t>
      </w:r>
      <w:r>
        <w:rPr>
          <w:rStyle w:val="16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Parameter Specification and Data Generation</w:t>
      </w:r>
    </w:p>
    <w:p w14:paraId="077CE263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set to 1,000,000.</w:t>
      </w:r>
    </w:p>
    <w:p w14:paraId="5D05B6EC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Confounder coefficient (</w:t>
      </w:r>
      <w:r>
        <w:rPr>
          <w:rStyle w:val="13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β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and treatment effect parameter (</w:t>
      </w:r>
      <w:r>
        <w:rPr>
          <w:rStyle w:val="13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τ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selected</w:t>
      </w:r>
    </w:p>
    <w:p w14:paraId="3F475619">
      <w:pPr>
        <w:pStyle w:val="15"/>
        <w:numPr>
          <w:ilvl w:val="0"/>
          <w:numId w:val="1"/>
        </w:numPr>
        <w:spacing w:before="0" w:beforeAutospacing="0" w:after="0" w:afterAutospacing="0" w:line="480" w:lineRule="auto"/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Confounder sampled from a standard normal distribution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 w14:paraId="2EBED92C">
      <w:pPr>
        <w:pStyle w:val="15"/>
        <w:numPr>
          <w:ilvl w:val="0"/>
          <w:numId w:val="1"/>
        </w:numPr>
        <w:spacing w:before="0" w:beforeAutospacing="0" w:after="0" w:afterAutospacing="0" w:line="480" w:lineRule="auto"/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>Potential outcomes under both treatment and control generated using the exponential linear model with added noise as described in Section 3.1.</w:t>
      </w:r>
    </w:p>
    <w:p w14:paraId="6A9E2986">
      <w:pPr>
        <w:pStyle w:val="15"/>
        <w:spacing w:after="0" w:line="480" w:lineRule="auto"/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Aptos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Step 2: Estimate Causal Effects via Pairwise Comparison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0ABF0E4">
      <w:pPr>
        <w:pStyle w:val="15"/>
        <w:numPr>
          <w:ilvl w:val="0"/>
          <w:numId w:val="1"/>
        </w:numPr>
        <w:spacing w:before="0" w:beforeAutospacing="0" w:after="0" w:afterAutospacing="0" w:line="480" w:lineRule="auto"/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 Randomly sampled 1,000,000 independent pairs of potential outcomes (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j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)  </w:t>
      </w:r>
    </w:p>
    <w:p w14:paraId="6F45344A">
      <w:pPr>
        <w:pStyle w:val="15"/>
        <w:numPr>
          <w:ilvl w:val="0"/>
          <w:numId w:val="1"/>
        </w:numPr>
        <w:spacing w:before="0" w:beforeAutospacing="0" w:after="0" w:afterAutospacing="0" w:line="480" w:lineRule="auto"/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 Calculated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eastAsia="Aptos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i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eastAsia="Aptos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j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) across all sampled pairs; 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eastAsia="Aptos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i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eastAsia="Aptos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j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) </w:t>
      </w:r>
      <w:r>
        <w:rPr>
          <w:rStyle w:val="13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= 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if individual </w:t>
      </w:r>
      <w:r>
        <w:rPr>
          <w:rStyle w:val="13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had a greater outcome than </w:t>
      </w:r>
      <w:r>
        <w:rPr>
          <w:rStyle w:val="13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j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eastAsia="Aptos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i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eastAsia="Aptos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j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Style w:val="13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= 0.5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if their outcomes were equal, and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h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eastAsia="Aptos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i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eastAsia="Aptos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eastAsia="Aptos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j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Style w:val="13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= 0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if individual </w:t>
      </w:r>
      <w:r>
        <w:rPr>
          <w:rStyle w:val="13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had a smaller outcome than </w:t>
      </w:r>
      <w:r>
        <w:rPr>
          <w:rStyle w:val="13"/>
          <w:rFonts w:eastAsiaTheme="majorEastAsia"/>
          <w:color w:val="000000" w:themeColor="text1"/>
          <w14:textFill>
            <w14:solidFill>
              <w14:schemeClr w14:val="tx1"/>
            </w14:solidFill>
          </w14:textFill>
        </w:rPr>
        <w:t>j</w:t>
      </w: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 xml:space="preserve">.  </w:t>
      </w:r>
    </w:p>
    <w:p w14:paraId="4CF3F670">
      <w:pPr>
        <w:pStyle w:val="15"/>
        <w:numPr>
          <w:ilvl w:val="0"/>
          <w:numId w:val="1"/>
        </w:numPr>
        <w:spacing w:before="0" w:beforeAutospacing="0" w:after="0" w:afterAutospacing="0" w:line="480" w:lineRule="auto"/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Aptos"/>
          <w:color w:val="000000" w:themeColor="text1"/>
          <w14:textFill>
            <w14:solidFill>
              <w14:schemeClr w14:val="tx1"/>
            </w14:solidFill>
          </w14:textFill>
        </w:rPr>
        <w:t>Averaged results across all pairs to estimate the population-level Mann–Whitney-type causal effect</w:t>
      </w:r>
    </w:p>
    <w:p w14:paraId="464214C2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73136B">
      <w:pPr>
        <w:pStyle w:val="4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Web Appendix II: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Comparison Models</w:t>
      </w:r>
    </w:p>
    <w:p w14:paraId="4DBC909D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604BF56">
      <w:pPr>
        <w:pStyle w:val="3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CPMs with correct link function: </w:t>
      </w:r>
    </w:p>
    <w:p w14:paraId="0F2D1A17">
      <w:pPr>
        <w:numPr>
          <w:ilvl w:val="255"/>
          <w:numId w:val="0"/>
        </w:numPr>
        <w:spacing w:after="0" w:line="48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G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[</m:t>
          </m:r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≤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X</m:t>
              </m:r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A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]=</m:t>
          </m:r>
          <m:r>
            <m:rPr>
              <m:nor/>
            </m:rPr>
            <w:rPr>
              <w:rFonts w:ascii="Times New Roman" w:hAnsi="Times New Roman" w:cs="Times New Roman" w:eastAsiaTheme="minorEastAsia"/>
              <w:i/>
              <w:color w:val="000000" w:themeColor="text1"/>
              <w:sz w:val="24"/>
              <w:szCs w:val="24"/>
              <w:shd w:val="clear" w:color="auto" w:fill="FFFFFF"/>
              <w14:textFill>
                <w14:solidFill>
                  <w14:schemeClr w14:val="tx1"/>
                </w14:solidFill>
              </w14:textFill>
            </w:rPr>
            <m:t>α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β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T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X</m:t>
          </m:r>
          <m:r>
            <m:rPr>
              <m:nor/>
              <m:sty m:val="b"/>
            </m:r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β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A</m:t>
          </m:r>
          <m:r>
            <m:rPr>
              <m:nor/>
              <m:sty m:val="b"/>
            </m:rPr>
            <w:rPr>
              <w:rFonts w:ascii="Times New Roman" w:hAnsi="Times New Roman" w:cs="Times New Roman" w:eastAsiaTheme="minorEastAsia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 xml:space="preserve">  </m:t>
          </m:r>
        </m:oMath>
      </m:oMathPara>
    </w:p>
    <w:p w14:paraId="504EA1A5">
      <w:pPr>
        <w:numPr>
          <w:ilvl w:val="255"/>
          <w:numId w:val="0"/>
        </w:numPr>
        <w:spacing w:after="0" w:line="48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where G[.] is a probit link function </w:t>
      </w:r>
    </w:p>
    <w:p w14:paraId="739C271B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CPMs with incorrectly specified link function:</w:t>
      </w:r>
    </w:p>
    <w:p w14:paraId="489533CA">
      <w:pPr>
        <w:numPr>
          <w:ilvl w:val="255"/>
          <w:numId w:val="0"/>
        </w:numPr>
        <w:spacing w:after="0" w:line="48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G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[</m:t>
          </m:r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≤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X</m:t>
              </m:r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A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]=</m:t>
          </m:r>
          <m:r>
            <m:rPr>
              <m:nor/>
            </m:rPr>
            <w:rPr>
              <w:rFonts w:ascii="Times New Roman" w:hAnsi="Times New Roman" w:cs="Times New Roman" w:eastAsiaTheme="minorEastAsia"/>
              <w:i/>
              <w:color w:val="000000" w:themeColor="text1"/>
              <w:sz w:val="24"/>
              <w:szCs w:val="24"/>
              <w:shd w:val="clear" w:color="auto" w:fill="FFFFFF"/>
              <w14:textFill>
                <w14:solidFill>
                  <w14:schemeClr w14:val="tx1"/>
                </w14:solidFill>
              </w14:textFill>
            </w:rPr>
            <m:t>α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β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Times New Roman" w:hAnsi="Times New Roman" w:cs="Times New Roman"/>
                      <w:b w:val="0"/>
                      <w:i w:val="0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T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X</m:t>
          </m:r>
          <m:r>
            <m:rPr>
              <m:nor/>
              <m:sty m:val="b"/>
            </m:r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β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A</m:t>
          </m:r>
          <m:r>
            <m:rPr>
              <m:nor/>
              <m:sty m:val="b"/>
            </m:rPr>
            <w:rPr>
              <w:rFonts w:ascii="Times New Roman" w:hAnsi="Times New Roman" w:cs="Times New Roman" w:eastAsiaTheme="minorEastAsia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 xml:space="preserve">  </m:t>
          </m:r>
        </m:oMath>
      </m:oMathPara>
    </w:p>
    <w:p w14:paraId="1EF0A553">
      <w:pPr>
        <w:numPr>
          <w:ilvl w:val="255"/>
          <w:numId w:val="0"/>
        </w:numPr>
        <w:spacing w:after="0"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where G[.] is a logit link function </w:t>
      </w:r>
    </w:p>
    <w:p w14:paraId="11032BEF">
      <w:pPr>
        <w:pStyle w:val="3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CPMs that exclude the confounder variable: </w:t>
      </w:r>
    </w:p>
    <w:p w14:paraId="41B92DF1">
      <w:pPr>
        <w:numPr>
          <w:ilvl w:val="255"/>
          <w:numId w:val="0"/>
        </w:numPr>
        <w:spacing w:after="0" w:line="48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  <w:lang w:val="es-ES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G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[</m:t>
          </m:r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≤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X</m:t>
              </m:r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A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]=</m:t>
          </m:r>
          <m:r>
            <m:rPr>
              <m:nor/>
            </m:rPr>
            <w:rPr>
              <w:rFonts w:ascii="Times New Roman" w:hAnsi="Times New Roman" w:cs="Times New Roman" w:eastAsiaTheme="minorEastAsia"/>
              <w:i/>
              <w:color w:val="000000" w:themeColor="text1"/>
              <w:sz w:val="24"/>
              <w:szCs w:val="24"/>
              <w:shd w:val="clear" w:color="auto" w:fill="FFFFFF"/>
              <w14:textFill>
                <w14:solidFill>
                  <w14:schemeClr w14:val="tx1"/>
                </w14:solidFill>
              </w14:textFill>
            </w:rPr>
            <m:t>α</m:t>
          </m:r>
          <m:d>
            <m:dPr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14:textFill>
                    <w14:solidFill>
                      <w14:schemeClr w14:val="tx1"/>
                    </w14:solidFill>
                  </w14:textFill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y</m:t>
              </m:r>
              <m:ctrlPr>
                <w:rPr>
                  <w:rFonts w:ascii="Cambria Math" w:hAnsi="Cambria Math" w:cs="Times New Roman" w:eastAsiaTheme="minorEastAsia"/>
                  <w:i/>
                  <w:color w:val="000000" w:themeColor="text1"/>
                  <w:sz w:val="24"/>
                  <w:szCs w:val="24"/>
                  <w:shd w:val="clear" w:color="auto" w:fill="FFFFFF"/>
                  <w14:textFill>
                    <w14:solidFill>
                      <w14:schemeClr w14:val="tx1"/>
                    </w14:solidFill>
                  </w14:textFill>
                </w:rPr>
              </m:ctrlPr>
            </m:e>
          </m:d>
          <m:r>
            <m:rPr>
              <m:nor/>
              <m:sty m:val="b"/>
            </m:r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β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A</m:t>
          </m:r>
          <m:r>
            <m:rPr>
              <m:nor/>
              <m:sty m:val="b"/>
            </m:rPr>
            <w:rPr>
              <w:rFonts w:ascii="Times New Roman" w:hAnsi="Times New Roman" w:cs="Times New Roman" w:eastAsiaTheme="minorEastAsia"/>
              <w:b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 xml:space="preserve">  </m:t>
          </m:r>
        </m:oMath>
      </m:oMathPara>
    </w:p>
    <w:p w14:paraId="78244047">
      <w:pPr>
        <w:numPr>
          <w:ilvl w:val="255"/>
          <w:numId w:val="0"/>
        </w:numPr>
        <w:spacing w:after="0"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where G[.] is a probit link function</w:t>
      </w:r>
    </w:p>
    <w:p w14:paraId="21C2D9CF">
      <w:pPr>
        <w:pStyle w:val="3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Correctly transformed parametric models: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es-E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lang w:val="es-ES"/>
          <w14:textFill>
            <w14:solidFill>
              <w14:schemeClr w14:val="tx1"/>
            </w14:solidFill>
          </w14:textFill>
        </w:rPr>
        <w:tab/>
      </w:r>
      <m:oMath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>log(</m:t>
        </m:r>
        <m:r>
          <m:rPr>
            <m:nor/>
          </m:rPr>
          <w:rPr>
            <w:rFonts w:ascii="Times New Roman" w:hAnsi="Times New Roman" w:cs="Times New Roman"/>
            <w:i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>Y</m:t>
        </m:r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 xml:space="preserve">)=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β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val="es-ES"/>
                <w14:textFill>
                  <w14:solidFill>
                    <w14:schemeClr w14:val="tx1"/>
                  </w14:solidFill>
                </w14:textFill>
              </w:rPr>
              <m:t>0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 xml:space="preserve"> +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β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val="es-ES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nor/>
          </m:rPr>
          <w:rPr>
            <w:rFonts w:ascii="Times New Roman" w:hAnsi="Times New Roman" w:cs="Times New Roman"/>
            <w:i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>X</m:t>
        </m:r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β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val="es-ES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>
            <m:nor/>
          </m:rPr>
          <w:rPr>
            <w:rFonts w:ascii="Times New Roman" w:hAnsi="Times New Roman" w:cs="Times New Roman"/>
            <w:i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>A</m:t>
        </m:r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 xml:space="preserve"> + </m:t>
        </m:r>
        <m:r>
          <m:rPr>
            <m:nor/>
          </m:rPr>
          <w:rPr>
            <w:rFonts w:ascii="Times New Roman" w:hAnsi="Times New Roman" w:cs="Times New Roman"/>
            <w:i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ε</m:t>
        </m:r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 xml:space="preserve">   ,   </m:t>
        </m:r>
        <m:r>
          <m:rPr>
            <m:nor/>
          </m:rPr>
          <w:rPr>
            <w:rFonts w:ascii="Times New Roman" w:hAnsi="Times New Roman" w:cs="Times New Roman"/>
            <w:i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ε</m:t>
        </m:r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 xml:space="preserve">~N(0, 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σ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:lang w:val="es-ES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:lang w:val="es-ES"/>
            <w14:textFill>
              <w14:solidFill>
                <w14:schemeClr w14:val="tx1"/>
              </w14:solidFill>
            </w14:textFill>
          </w:rPr>
          <m:t>)</m:t>
        </m:r>
      </m:oMath>
    </w:p>
    <w:p w14:paraId="4B2A90F9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Incorrectly transformed parametric models:</w:t>
      </w:r>
    </w:p>
    <w:p w14:paraId="3B0871D4">
      <w:pPr>
        <w:spacing w:after="0" w:line="480" w:lineRule="auto"/>
        <w:ind w:left="1440" w:firstLine="720"/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  <w:lang w:val="es-ES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sqrt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(</m:t>
          </m:r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Y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)=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β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0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 xml:space="preserve"> 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β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1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X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β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b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b>
          </m:sSub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>A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 xml:space="preserve"> + </m:t>
          </m:r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ε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 xml:space="preserve">,           </m:t>
          </m:r>
          <m:r>
            <m:rPr>
              <m:nor/>
            </m:rPr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m:t>ε</m:t>
          </m:r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 xml:space="preserve">~N(0, 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m:t>σ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>
                  <m:nor/>
                  <m:sty m:val="p"/>
                </m:rPr>
                <w:rPr>
                  <w:rFonts w:ascii="Times New Roman" w:hAnsi="Times New Roman" w:cs="Times New Roman"/>
                  <w:b w:val="0"/>
                  <w:i w:val="0"/>
                  <w:color w:val="000000" w:themeColor="text1"/>
                  <w:sz w:val="24"/>
                  <w:szCs w:val="24"/>
                  <w:lang w:val="es-ES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rFonts w:ascii="Cambria Math" w:hAnsi="Cambria Math" w:cs="Times New Roman"/>
                  <w:i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  <m:r>
            <m:rPr>
              <m:nor/>
              <m:sty m:val="p"/>
            </m:rPr>
            <w:rPr>
              <w:rFonts w:ascii="Times New Roman" w:hAnsi="Times New Roman" w:cs="Times New Roman"/>
              <w:b w:val="0"/>
              <w:i w:val="0"/>
              <w:color w:val="000000" w:themeColor="text1"/>
              <w:sz w:val="24"/>
              <w:szCs w:val="24"/>
              <w:lang w:val="es-ES"/>
              <w14:textFill>
                <w14:solidFill>
                  <w14:schemeClr w14:val="tx1"/>
                </w14:solidFill>
              </w14:textFill>
            </w:rPr>
            <m:t xml:space="preserve">) </m:t>
          </m:r>
        </m:oMath>
      </m:oMathPara>
    </w:p>
    <w:p w14:paraId="4E03B5E5">
      <w:pPr>
        <w:spacing w:after="0" w:line="480" w:lineRule="auto"/>
        <w:ind w:left="1440" w:firstLine="720"/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:lang w:val="es-ES"/>
          <w14:textFill>
            <w14:solidFill>
              <w14:schemeClr w14:val="tx1"/>
            </w14:solidFill>
          </w14:textFill>
        </w:rPr>
      </w:pPr>
    </w:p>
    <w:p w14:paraId="7F65F0E6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Note that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intercept, </w:t>
      </w:r>
      <m:oMath>
        <m:r>
          <m:rPr>
            <m:nor/>
          </m:rPr>
          <w:rPr>
            <w:rFonts w:ascii="Times New Roman" w:hAnsi="Times New Roman" w:cs="Times New Roman" w:eastAsiaTheme="minorEastAsia"/>
            <w:i/>
            <w:color w:val="000000" w:themeColor="text1"/>
            <w:sz w:val="24"/>
            <w:szCs w:val="24"/>
            <w:shd w:val="clear" w:color="auto" w:fill="FFFFFF"/>
            <w14:textFill>
              <w14:solidFill>
                <w14:schemeClr w14:val="tx1"/>
              </w14:solidFill>
            </w14:textFill>
          </w:rPr>
          <m:t>α</m:t>
        </m:r>
        <m:d>
          <m:dP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 w:eastAsiaTheme="minorEastAsia"/>
                <w:i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rFonts w:ascii="Cambria Math" w:hAnsi="Cambria Math" w:cs="Times New Roman" w:eastAsiaTheme="minorEastAsia"/>
                <w:i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m:ctrlPr>
          </m:e>
        </m:d>
        <m:r>
          <m:rPr>
            <m:nor/>
            <m:sty m:val="p"/>
          </m:rPr>
          <w:rPr>
            <w:rFonts w:ascii="Times New Roman" w:hAnsi="Times New Roman" w:cs="Times New Roman"/>
            <w:b w:val="0"/>
            <w:i w:val="0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 xml:space="preserve">, </m:t>
        </m:r>
      </m:oMath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is estimated using a step function with the CPM.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INCLUDEPICTURE  "C:\\Users\\sssan\\AppData\\Local\\Temp\\ksohtml13104\\wps22.jpg" \* MERGEFORMATINET 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β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is the coefficient for the confounder variable X,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β</m:t>
            </m: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>
                <m:nor/>
                <m:sty m:val="p"/>
              </m:rP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is the coefficient for the treatment variable A, and </w:t>
      </w:r>
      <m:oMath>
        <m:r>
          <m:rPr>
            <m:nor/>
          </m:rPr>
          <w:rPr>
            <w:rFonts w:ascii="Times New Roman" w:hAnsi="Times New Roman" w:cs="Times New Roman"/>
            <w:i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m:t>ε</m:t>
        </m:r>
      </m:oMath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is the error term, which accounts for the randomness or other factors not included in the model.</w:t>
      </w:r>
    </w:p>
    <w:p w14:paraId="04D7982D">
      <w:pPr>
        <w:spacing w:after="0" w:line="480" w:lineRule="auto"/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DF5AA1F">
      <w:pPr>
        <w:spacing w:after="0" w:line="480" w:lineRule="auto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48C54CF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9E521C">
      <w:pPr>
        <w:pStyle w:val="4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Web Appendix III: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Figures</w:t>
      </w:r>
    </w:p>
    <w:p w14:paraId="02C0A589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504180" cy="3401060"/>
            <wp:effectExtent l="0" t="0" r="1270" b="8890"/>
            <wp:docPr id="85712574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2574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688" cy="340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B3670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842CF8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504180" cy="3401060"/>
            <wp:effectExtent l="0" t="0" r="1270" b="8890"/>
            <wp:docPr id="36760619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06193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688" cy="340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E2579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B064B4">
      <w:pPr>
        <w:pStyle w:val="4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Web Appendix IV: R Codes</w:t>
      </w:r>
    </w:p>
    <w:p w14:paraId="04142DC1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2BE8DB">
      <w:pPr>
        <w:spacing w:after="0" w:line="480" w:lineRule="auto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Function to fit cumulative probability model, predict F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and compute </w:t>
      </w:r>
      <m:oMath>
        <m:acc>
          <m:accPr>
            <m:ctrlPr>
              <w:rPr>
                <w:rFonts w:ascii="Cambria Math" w:hAnsi="Cambria Math" w:cs="Times New Roman"/>
                <w:b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nor/>
                <m:sty m:val="bi"/>
              </m:r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θ</m:t>
            </m:r>
            <m:ctrlPr>
              <w:rPr>
                <w:rFonts w:ascii="Cambria Math" w:hAnsi="Cambria Math" w:cs="Times New Roman"/>
                <w:b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</w:p>
    <w:p w14:paraId="5090E5AF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C85964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943600" cy="5332730"/>
            <wp:effectExtent l="0" t="0" r="0" b="1270"/>
            <wp:docPr id="1549750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50217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E1A43F8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AE577D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B5F1A72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865E8D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E650F2">
      <w:pPr>
        <w:pStyle w:val="4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Function to fit transformed linear model, predict, and calculate </w:t>
      </w:r>
      <m:oMath>
        <m:acc>
          <m:accPr>
            <m:ctrlPr>
              <w:rPr>
                <w:rFonts w:ascii="Cambria Math" w:hAnsi="Cambria Math" w:cs="Times New Roman"/>
                <w:b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nor/>
                <m:sty m:val="bi"/>
              </m:r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:t>θ</m:t>
            </m:r>
            <m:ctrlPr>
              <w:rPr>
                <w:rFonts w:ascii="Cambria Math" w:hAnsi="Cambria Math" w:cs="Times New Roman"/>
                <w:b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</w:p>
    <w:p w14:paraId="11BC0200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A5624F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943600" cy="5861685"/>
            <wp:effectExtent l="0" t="0" r="0" b="5715"/>
            <wp:docPr id="1740133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33001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96644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94F207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15E0A4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57D535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B4619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DCD983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916BC7">
      <w:pPr>
        <w:pStyle w:val="4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Web Appendix V: Model Fit and Residual Diagnostics</w:t>
      </w:r>
    </w:p>
    <w:p w14:paraId="00E08E6F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C4E355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Model Fit Comparison Using Log-Likelihood</w:t>
      </w:r>
    </w:p>
    <w:p w14:paraId="395217C3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We compared loglikelihoods of cumulative probability models (CPMs) with different link functions for modeling uACR and eGFR:</w:t>
      </w:r>
    </w:p>
    <w:p w14:paraId="1D6657A7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3836"/>
        <w:gridCol w:w="2084"/>
        <w:gridCol w:w="2084"/>
      </w:tblGrid>
      <w:tr w14:paraId="50D4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1" w:type="pct"/>
            <w:tcBorders>
              <w:top w:val="single" w:color="auto" w:sz="4" w:space="0"/>
              <w:bottom w:val="single" w:color="auto" w:sz="4" w:space="0"/>
            </w:tcBorders>
          </w:tcPr>
          <w:p w14:paraId="7A3D63E7">
            <w:pPr>
              <w:spacing w:after="0" w:line="480" w:lineRule="auto"/>
              <w:jc w:val="both"/>
              <w:rPr>
                <w:rFonts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Model</w:t>
            </w:r>
          </w:p>
        </w:tc>
        <w:tc>
          <w:tcPr>
            <w:tcW w:w="2003" w:type="pct"/>
            <w:tcBorders>
              <w:top w:val="single" w:color="auto" w:sz="4" w:space="0"/>
              <w:bottom w:val="single" w:color="auto" w:sz="4" w:space="0"/>
            </w:tcBorders>
          </w:tcPr>
          <w:p w14:paraId="202E84A3">
            <w:pPr>
              <w:spacing w:after="0" w:line="480" w:lineRule="auto"/>
              <w:jc w:val="both"/>
              <w:rPr>
                <w:rFonts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Details</w:t>
            </w:r>
          </w:p>
        </w:tc>
        <w:tc>
          <w:tcPr>
            <w:tcW w:w="1088" w:type="pct"/>
            <w:tcBorders>
              <w:top w:val="single" w:color="auto" w:sz="4" w:space="0"/>
              <w:bottom w:val="single" w:color="auto" w:sz="4" w:space="0"/>
            </w:tcBorders>
          </w:tcPr>
          <w:p w14:paraId="33A33476">
            <w:pPr>
              <w:spacing w:after="0" w:line="480" w:lineRule="auto"/>
              <w:jc w:val="center"/>
              <w:rPr>
                <w:rFonts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uACR Log-likelihood</w:t>
            </w:r>
          </w:p>
        </w:tc>
        <w:tc>
          <w:tcPr>
            <w:tcW w:w="1088" w:type="pct"/>
            <w:tcBorders>
              <w:top w:val="single" w:color="auto" w:sz="4" w:space="0"/>
              <w:bottom w:val="single" w:color="auto" w:sz="4" w:space="0"/>
            </w:tcBorders>
          </w:tcPr>
          <w:p w14:paraId="17206524">
            <w:pPr>
              <w:spacing w:after="0" w:line="480" w:lineRule="auto"/>
              <w:jc w:val="center"/>
              <w:rPr>
                <w:rFonts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eGFR Log-likelihood</w:t>
            </w:r>
          </w:p>
        </w:tc>
      </w:tr>
      <w:tr w14:paraId="6D29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1" w:type="pct"/>
            <w:tcBorders>
              <w:top w:val="single" w:color="auto" w:sz="4" w:space="0"/>
            </w:tcBorders>
          </w:tcPr>
          <w:p w14:paraId="10CEC109">
            <w:pPr>
              <w:spacing w:after="0" w:line="48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CPM 1</w:t>
            </w:r>
          </w:p>
        </w:tc>
        <w:tc>
          <w:tcPr>
            <w:tcW w:w="2003" w:type="pct"/>
            <w:tcBorders>
              <w:top w:val="single" w:color="auto" w:sz="4" w:space="0"/>
            </w:tcBorders>
          </w:tcPr>
          <w:p w14:paraId="66D01EA7">
            <w:pPr>
              <w:spacing w:after="0" w:line="48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Logit link function</w:t>
            </w:r>
          </w:p>
        </w:tc>
        <w:tc>
          <w:tcPr>
            <w:tcW w:w="1088" w:type="pct"/>
            <w:tcBorders>
              <w:top w:val="single" w:color="auto" w:sz="4" w:space="0"/>
            </w:tcBorders>
          </w:tcPr>
          <w:p w14:paraId="5934E933">
            <w:pPr>
              <w:spacing w:after="0" w:line="480" w:lineRule="auto"/>
              <w:jc w:val="right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-17780.88</w:t>
            </w: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</w:p>
        </w:tc>
        <w:tc>
          <w:tcPr>
            <w:tcW w:w="1088" w:type="pct"/>
            <w:tcBorders>
              <w:top w:val="single" w:color="auto" w:sz="4" w:space="0"/>
            </w:tcBorders>
          </w:tcPr>
          <w:p w14:paraId="5DE31F05">
            <w:pPr>
              <w:spacing w:after="0" w:line="480" w:lineRule="auto"/>
              <w:jc w:val="right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-16044.71</w:t>
            </w:r>
          </w:p>
        </w:tc>
      </w:tr>
      <w:tr w14:paraId="3A75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1" w:type="pct"/>
          </w:tcPr>
          <w:p w14:paraId="7B75BA04">
            <w:pPr>
              <w:spacing w:after="0" w:line="48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CPM 2</w:t>
            </w:r>
          </w:p>
        </w:tc>
        <w:tc>
          <w:tcPr>
            <w:tcW w:w="2003" w:type="pct"/>
          </w:tcPr>
          <w:p w14:paraId="6E6E30C0">
            <w:pPr>
              <w:spacing w:after="0" w:line="48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Probit link function</w:t>
            </w:r>
          </w:p>
        </w:tc>
        <w:tc>
          <w:tcPr>
            <w:tcW w:w="1088" w:type="pct"/>
          </w:tcPr>
          <w:p w14:paraId="145114FD">
            <w:pPr>
              <w:spacing w:after="0" w:line="480" w:lineRule="auto"/>
              <w:jc w:val="right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-17777.09</w:t>
            </w:r>
          </w:p>
        </w:tc>
        <w:tc>
          <w:tcPr>
            <w:tcW w:w="1088" w:type="pct"/>
          </w:tcPr>
          <w:p w14:paraId="059EDC4B">
            <w:pPr>
              <w:spacing w:after="0" w:line="480" w:lineRule="auto"/>
              <w:jc w:val="right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-16064.85</w:t>
            </w:r>
          </w:p>
        </w:tc>
      </w:tr>
      <w:tr w14:paraId="1A63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1" w:type="pct"/>
            <w:tcBorders>
              <w:bottom w:val="single" w:color="auto" w:sz="4" w:space="0"/>
            </w:tcBorders>
          </w:tcPr>
          <w:p w14:paraId="59227A0A">
            <w:pPr>
              <w:spacing w:after="0" w:line="48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CPM 3</w:t>
            </w:r>
          </w:p>
        </w:tc>
        <w:tc>
          <w:tcPr>
            <w:tcW w:w="2003" w:type="pct"/>
            <w:tcBorders>
              <w:bottom w:val="single" w:color="auto" w:sz="4" w:space="0"/>
            </w:tcBorders>
          </w:tcPr>
          <w:p w14:paraId="1AB0ACC0">
            <w:pPr>
              <w:spacing w:after="0" w:line="48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Log-log link function</w:t>
            </w:r>
          </w:p>
        </w:tc>
        <w:tc>
          <w:tcPr>
            <w:tcW w:w="1088" w:type="pct"/>
            <w:tcBorders>
              <w:bottom w:val="single" w:color="auto" w:sz="4" w:space="0"/>
            </w:tcBorders>
          </w:tcPr>
          <w:p w14:paraId="06DFF06F">
            <w:pPr>
              <w:spacing w:after="0" w:line="480" w:lineRule="auto"/>
              <w:jc w:val="right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-17765.36</w:t>
            </w:r>
          </w:p>
        </w:tc>
        <w:tc>
          <w:tcPr>
            <w:tcW w:w="1088" w:type="pct"/>
            <w:tcBorders>
              <w:bottom w:val="single" w:color="auto" w:sz="4" w:space="0"/>
            </w:tcBorders>
          </w:tcPr>
          <w:p w14:paraId="58178C05">
            <w:pPr>
              <w:spacing w:after="0" w:line="480" w:lineRule="auto"/>
              <w:jc w:val="right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-16135.79</w:t>
            </w:r>
          </w:p>
        </w:tc>
      </w:tr>
    </w:tbl>
    <w:p w14:paraId="73DC48C1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E0016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With respect to uACR, the Log-log link yielded the highest log-likelihood, indicating the best statistical fit among the cumulative probability models—though the margin of improvement was modest. For eGFR, the Logit link clearly outperformed the alternatives, while the Log-log link showed the poorest fit. </w:t>
      </w:r>
    </w:p>
    <w:p w14:paraId="00A3D9C4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E5F0E6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 QQ Plots of Empirical Residuals </w:t>
      </w:r>
    </w:p>
    <w:p w14:paraId="18575FFB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We generated QQ plots of empirical residuals against a Uniform distribution for each model </w:t>
      </w:r>
      <w:r>
        <w:rPr>
          <w:rFonts w:ascii="Times New Roman" w:hAnsi="Times New Roman" w:eastAsia="Segoe UI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to detect departures from the assumption of no systematic error across the entire support.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 the uACR models, all three link functions resulted in similar QQ plots. For the eGFR models, the logit link function most closely approximated the uniform distribution; minimal departures from uniformity are seen with the log-log link function.</w:t>
      </w:r>
    </w:p>
    <w:p w14:paraId="6B09D68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78771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504180" cy="3401060"/>
            <wp:effectExtent l="0" t="0" r="1270" b="8890"/>
            <wp:docPr id="1990052476" name="Picture 4" descr="A graph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52476" name="Picture 4" descr="A graph of a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688" cy="340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D6E77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504180" cy="3401060"/>
            <wp:effectExtent l="0" t="0" r="1270" b="8890"/>
            <wp:docPr id="1501932826" name="Picture 25" descr="A graph of different valu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932826" name="Picture 25" descr="A graph of different valu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688" cy="340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3C597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Additional Notes</w:t>
      </w:r>
    </w:p>
    <w:p w14:paraId="3DBFFD29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Bootstrapped estimates of treatment effects were also generated and are available upon request.</w:t>
      </w:r>
    </w:p>
    <w:p w14:paraId="095FD6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214BBFE"/>
    <w:sectPr>
      <w:footerReference r:id="rId5" w:type="default"/>
      <w:pgSz w:w="12240" w:h="15840"/>
      <w:pgMar w:top="1440" w:right="1440" w:bottom="1440" w:left="1440" w:header="720" w:footer="720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937138"/>
    </w:sdtPr>
    <w:sdtContent>
      <w:p w14:paraId="38CFE882"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789F6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718F7"/>
    <w:multiLevelType w:val="multilevel"/>
    <w:tmpl w:val="34B718F7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5201415"/>
    <w:multiLevelType w:val="multilevel"/>
    <w:tmpl w:val="452014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47B4771"/>
    <w:multiLevelType w:val="singleLevel"/>
    <w:tmpl w:val="647B4771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0B"/>
    <w:rsid w:val="00823B33"/>
    <w:rsid w:val="00A8040B"/>
    <w:rsid w:val="01E217A5"/>
    <w:rsid w:val="1B402FE6"/>
    <w:rsid w:val="3E5A3EDC"/>
    <w:rsid w:val="44B3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0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16">
    <w:name w:val="Strong"/>
    <w:basedOn w:val="11"/>
    <w:qFormat/>
    <w:uiPriority w:val="0"/>
    <w:rPr>
      <w:b/>
      <w:bCs/>
    </w:rPr>
  </w:style>
  <w:style w:type="paragraph" w:styleId="17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12"/>
    <w:qFormat/>
    <w:uiPriority w:val="39"/>
    <w:pPr>
      <w:spacing w:after="0" w:line="240" w:lineRule="auto"/>
    </w:pPr>
    <w:rPr>
      <w:rFonts w:ascii="Times New Roman" w:hAnsi="Times New Roman" w:eastAsia="SimSun" w:cs="Times New Roman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Intense Quote Char"/>
    <w:basedOn w:val="11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Footer Char"/>
    <w:basedOn w:val="11"/>
    <w:link w:val="14"/>
    <w:qFormat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745</Words>
  <Characters>4251</Characters>
  <Lines>35</Lines>
  <Paragraphs>9</Paragraphs>
  <TotalTime>10</TotalTime>
  <ScaleCrop>false</ScaleCrop>
  <LinksUpToDate>false</LinksUpToDate>
  <CharactersWithSpaces>4987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2025-12-02T18:05:00Z</dcterms:created>
  <dc:creator>Safiya Sada</dc:creator>
  <cp:lastModifiedBy>Safiya Sada</cp:lastModifiedBy>
  <dcterms:modified xsi:type="dcterms:W3CDTF">2025-12-09T20:53:25Z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28B463052748461EAD1DDB6F995ADAF5_13</vt:lpwstr>
  </property>
</Properties>
</file>