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E8BE6" w14:textId="28F83C3B" w:rsidR="00543C72" w:rsidRDefault="00D27B9F" w:rsidP="009F7A01">
      <w:pPr>
        <w:rPr>
          <w:rFonts w:cs="Arial"/>
          <w:b/>
          <w:bCs/>
          <w:szCs w:val="20"/>
        </w:rPr>
      </w:pPr>
      <w:r>
        <w:rPr>
          <w:rFonts w:cs="Arial"/>
          <w:b/>
          <w:bCs/>
          <w:szCs w:val="20"/>
        </w:rPr>
        <w:t xml:space="preserve">Supplement to: </w:t>
      </w:r>
      <w:r w:rsidR="00D814F3" w:rsidRPr="00D814F3">
        <w:rPr>
          <w:rFonts w:cs="Arial"/>
          <w:b/>
          <w:bCs/>
          <w:szCs w:val="20"/>
        </w:rPr>
        <w:t xml:space="preserve">Leaf wax isotopes reveal enhanced humidity and earlier </w:t>
      </w:r>
      <w:r w:rsidR="001B128E">
        <w:rPr>
          <w:rFonts w:cs="Arial"/>
          <w:b/>
          <w:bCs/>
          <w:szCs w:val="20"/>
        </w:rPr>
        <w:t>growing season</w:t>
      </w:r>
      <w:r w:rsidR="00D814F3" w:rsidRPr="00D814F3">
        <w:rPr>
          <w:rFonts w:cs="Arial"/>
          <w:b/>
          <w:bCs/>
          <w:szCs w:val="20"/>
        </w:rPr>
        <w:t xml:space="preserve"> during Dansgaard-Oeschger warming events in Europe</w:t>
      </w:r>
    </w:p>
    <w:p w14:paraId="43608FAB" w14:textId="77777777" w:rsidR="00C801EF" w:rsidRPr="009F7A01" w:rsidRDefault="00C801EF" w:rsidP="00C801EF">
      <w:pPr>
        <w:rPr>
          <w:rFonts w:cs="Arial"/>
          <w:szCs w:val="20"/>
          <w:vertAlign w:val="superscript"/>
        </w:rPr>
      </w:pPr>
      <w:r w:rsidRPr="009F7A01">
        <w:rPr>
          <w:rFonts w:cs="Arial"/>
          <w:szCs w:val="20"/>
        </w:rPr>
        <w:t>Paul D. Zander</w:t>
      </w:r>
      <w:r w:rsidRPr="009F7A01">
        <w:rPr>
          <w:rFonts w:cs="Arial"/>
          <w:szCs w:val="20"/>
          <w:vertAlign w:val="superscript"/>
        </w:rPr>
        <w:t>1,2</w:t>
      </w:r>
      <w:r w:rsidRPr="009F7A01">
        <w:rPr>
          <w:rFonts w:cs="Arial"/>
          <w:szCs w:val="20"/>
        </w:rPr>
        <w:t>, Frank Sirocko</w:t>
      </w:r>
      <w:r w:rsidRPr="009F7A01">
        <w:rPr>
          <w:rFonts w:cs="Arial"/>
          <w:szCs w:val="20"/>
          <w:vertAlign w:val="superscript"/>
        </w:rPr>
        <w:t>3</w:t>
      </w:r>
      <w:r w:rsidRPr="009F7A01">
        <w:rPr>
          <w:rFonts w:cs="Arial"/>
          <w:szCs w:val="20"/>
        </w:rPr>
        <w:t>, Xiaojing Du</w:t>
      </w:r>
      <w:r w:rsidRPr="009F7A01">
        <w:rPr>
          <w:rFonts w:cs="Arial"/>
          <w:szCs w:val="20"/>
          <w:vertAlign w:val="superscript"/>
        </w:rPr>
        <w:t>4</w:t>
      </w:r>
      <w:r w:rsidRPr="009F7A01">
        <w:rPr>
          <w:rFonts w:cs="Arial"/>
          <w:szCs w:val="20"/>
        </w:rPr>
        <w:t xml:space="preserve">, </w:t>
      </w:r>
      <w:proofErr w:type="spellStart"/>
      <w:r w:rsidRPr="009F7A01">
        <w:rPr>
          <w:rFonts w:cs="Arial"/>
          <w:szCs w:val="20"/>
        </w:rPr>
        <w:t>Chijun</w:t>
      </w:r>
      <w:proofErr w:type="spellEnd"/>
      <w:r w:rsidRPr="009F7A01">
        <w:rPr>
          <w:rFonts w:cs="Arial"/>
          <w:szCs w:val="20"/>
        </w:rPr>
        <w:t xml:space="preserve"> Sun</w:t>
      </w:r>
      <w:r w:rsidRPr="009F7A01">
        <w:rPr>
          <w:rFonts w:cs="Arial"/>
          <w:szCs w:val="20"/>
          <w:vertAlign w:val="superscript"/>
        </w:rPr>
        <w:t>5</w:t>
      </w:r>
      <w:r w:rsidRPr="009F7A01">
        <w:rPr>
          <w:rFonts w:cs="Arial"/>
          <w:szCs w:val="20"/>
        </w:rPr>
        <w:t>, Florian Rubach</w:t>
      </w:r>
      <w:r w:rsidRPr="009F7A01">
        <w:rPr>
          <w:rFonts w:cs="Arial"/>
          <w:szCs w:val="20"/>
          <w:vertAlign w:val="superscript"/>
        </w:rPr>
        <w:t>1</w:t>
      </w:r>
      <w:r w:rsidRPr="009F7A01">
        <w:rPr>
          <w:rFonts w:cs="Arial"/>
          <w:szCs w:val="20"/>
        </w:rPr>
        <w:t>, Gerald</w:t>
      </w:r>
      <w:r>
        <w:rPr>
          <w:rFonts w:cs="Arial"/>
          <w:szCs w:val="20"/>
        </w:rPr>
        <w:t xml:space="preserve"> H.</w:t>
      </w:r>
      <w:r w:rsidRPr="009F7A01">
        <w:rPr>
          <w:rFonts w:cs="Arial"/>
          <w:szCs w:val="20"/>
        </w:rPr>
        <w:t xml:space="preserve"> Haug</w:t>
      </w:r>
      <w:r w:rsidRPr="009F7A01">
        <w:rPr>
          <w:rFonts w:cs="Arial"/>
          <w:szCs w:val="20"/>
          <w:vertAlign w:val="superscript"/>
        </w:rPr>
        <w:t>1,6</w:t>
      </w:r>
      <w:r w:rsidRPr="009F7A01">
        <w:rPr>
          <w:rFonts w:cs="Arial"/>
          <w:szCs w:val="20"/>
        </w:rPr>
        <w:t>, Alfredo Martínez-García</w:t>
      </w:r>
      <w:r w:rsidRPr="009F7A01">
        <w:rPr>
          <w:rFonts w:cs="Arial"/>
          <w:szCs w:val="20"/>
          <w:vertAlign w:val="superscript"/>
        </w:rPr>
        <w:t>1</w:t>
      </w:r>
    </w:p>
    <w:p w14:paraId="6A747739" w14:textId="77777777" w:rsidR="00C801EF" w:rsidRPr="009F7A01" w:rsidRDefault="00C801EF" w:rsidP="00C801EF">
      <w:pPr>
        <w:spacing w:after="0" w:line="240" w:lineRule="auto"/>
        <w:rPr>
          <w:rFonts w:cs="Arial"/>
          <w:szCs w:val="20"/>
        </w:rPr>
      </w:pPr>
      <w:r w:rsidRPr="009F7A01">
        <w:rPr>
          <w:rFonts w:cs="Arial"/>
          <w:szCs w:val="20"/>
          <w:vertAlign w:val="superscript"/>
        </w:rPr>
        <w:t>1</w:t>
      </w:r>
      <w:r w:rsidRPr="009F7A01">
        <w:rPr>
          <w:rFonts w:cs="Arial"/>
          <w:szCs w:val="20"/>
        </w:rPr>
        <w:t>Climate Geochemistry Department, Max Planck Institute for Chemistry, Mainz, 55128, Germany</w:t>
      </w:r>
    </w:p>
    <w:p w14:paraId="110EB953" w14:textId="77777777" w:rsidR="00C801EF" w:rsidRPr="009F7A01" w:rsidRDefault="00C801EF" w:rsidP="00C801EF">
      <w:pPr>
        <w:spacing w:after="0" w:line="240" w:lineRule="auto"/>
        <w:rPr>
          <w:rFonts w:cs="Arial"/>
          <w:szCs w:val="20"/>
        </w:rPr>
      </w:pPr>
      <w:r w:rsidRPr="009F7A01">
        <w:rPr>
          <w:rFonts w:cs="Arial"/>
          <w:szCs w:val="20"/>
          <w:vertAlign w:val="superscript"/>
        </w:rPr>
        <w:t>2</w:t>
      </w:r>
      <w:r w:rsidRPr="009F7A01">
        <w:rPr>
          <w:rFonts w:cs="Arial"/>
          <w:szCs w:val="20"/>
        </w:rPr>
        <w:t>Center for Accelerator Mass Spectrometry, Lawrence Livermore National Laboratory, USA</w:t>
      </w:r>
    </w:p>
    <w:p w14:paraId="7CE8630A" w14:textId="77777777" w:rsidR="00C801EF" w:rsidRPr="009F7A01" w:rsidRDefault="00C801EF" w:rsidP="00C801EF">
      <w:pPr>
        <w:spacing w:after="0" w:line="240" w:lineRule="auto"/>
        <w:rPr>
          <w:rFonts w:cs="Arial"/>
          <w:szCs w:val="20"/>
        </w:rPr>
      </w:pPr>
      <w:r w:rsidRPr="009F7A01">
        <w:rPr>
          <w:rFonts w:cs="Arial"/>
          <w:szCs w:val="20"/>
          <w:vertAlign w:val="superscript"/>
        </w:rPr>
        <w:t>3</w:t>
      </w:r>
      <w:r w:rsidRPr="009F7A01">
        <w:rPr>
          <w:rFonts w:cs="Arial"/>
          <w:szCs w:val="20"/>
        </w:rPr>
        <w:t>Institute of Geosciences, Johannes Gutenberg-University, Mainz, 55122, Germany</w:t>
      </w:r>
    </w:p>
    <w:p w14:paraId="7A2C782E" w14:textId="77777777" w:rsidR="00C801EF" w:rsidRPr="009F7A01" w:rsidRDefault="00C801EF" w:rsidP="00C801EF">
      <w:pPr>
        <w:spacing w:after="0" w:line="240" w:lineRule="auto"/>
        <w:rPr>
          <w:rFonts w:cs="Arial"/>
          <w:szCs w:val="20"/>
        </w:rPr>
      </w:pPr>
      <w:r w:rsidRPr="009F7A01">
        <w:rPr>
          <w:rFonts w:cs="Arial"/>
          <w:szCs w:val="20"/>
          <w:vertAlign w:val="superscript"/>
        </w:rPr>
        <w:t>4</w:t>
      </w:r>
      <w:r w:rsidRPr="009F7A01">
        <w:rPr>
          <w:rFonts w:cs="Arial"/>
          <w:szCs w:val="20"/>
        </w:rPr>
        <w:t>Department of Atmospheric, Oceanic, and Earth Sciences, George Mason University, Fairfax, 22030, USA</w:t>
      </w:r>
    </w:p>
    <w:p w14:paraId="170B7F2A" w14:textId="77777777" w:rsidR="00C801EF" w:rsidRPr="009F7A01" w:rsidRDefault="00C801EF" w:rsidP="00C801EF">
      <w:pPr>
        <w:spacing w:after="0" w:line="240" w:lineRule="auto"/>
        <w:rPr>
          <w:rFonts w:cs="Arial"/>
          <w:szCs w:val="20"/>
        </w:rPr>
      </w:pPr>
      <w:r w:rsidRPr="009F7A01">
        <w:rPr>
          <w:rFonts w:cs="Arial"/>
          <w:szCs w:val="20"/>
          <w:vertAlign w:val="superscript"/>
        </w:rPr>
        <w:t>5</w:t>
      </w:r>
      <w:r w:rsidRPr="009F7A01">
        <w:rPr>
          <w:rFonts w:cs="Arial"/>
          <w:szCs w:val="20"/>
        </w:rPr>
        <w:t>Department of Earth and Planetary Sciences, University of California Davis, Davis, 95616, USA</w:t>
      </w:r>
    </w:p>
    <w:p w14:paraId="2F1A2AE0" w14:textId="77777777" w:rsidR="00C801EF" w:rsidRPr="009F7A01" w:rsidRDefault="00C801EF" w:rsidP="00C801EF">
      <w:pPr>
        <w:spacing w:after="0" w:line="240" w:lineRule="auto"/>
        <w:rPr>
          <w:rFonts w:cs="Arial"/>
          <w:szCs w:val="20"/>
        </w:rPr>
      </w:pPr>
      <w:r w:rsidRPr="009F7A01">
        <w:rPr>
          <w:rFonts w:cs="Arial"/>
          <w:szCs w:val="20"/>
          <w:vertAlign w:val="superscript"/>
        </w:rPr>
        <w:t>6</w:t>
      </w:r>
      <w:r w:rsidRPr="009F7A01">
        <w:rPr>
          <w:rFonts w:cs="Arial"/>
          <w:szCs w:val="20"/>
        </w:rPr>
        <w:t>Department of Earth Sciences, ETH Zurich, Zurich, 8092, Switzerland</w:t>
      </w:r>
    </w:p>
    <w:p w14:paraId="19EBAB32" w14:textId="77777777" w:rsidR="00C801EF" w:rsidRPr="009F7A01" w:rsidRDefault="00C801EF" w:rsidP="00C801EF">
      <w:pPr>
        <w:spacing w:after="0" w:line="240" w:lineRule="auto"/>
        <w:rPr>
          <w:rFonts w:cs="Arial"/>
          <w:szCs w:val="20"/>
        </w:rPr>
      </w:pPr>
    </w:p>
    <w:p w14:paraId="01134C26" w14:textId="390857CC" w:rsidR="00C801EF" w:rsidRDefault="00C801EF" w:rsidP="00C801EF">
      <w:pPr>
        <w:spacing w:after="0" w:line="240" w:lineRule="auto"/>
        <w:rPr>
          <w:rFonts w:cs="Arial"/>
          <w:szCs w:val="20"/>
        </w:rPr>
      </w:pPr>
      <w:r w:rsidRPr="009F7A01">
        <w:rPr>
          <w:rFonts w:cs="Arial"/>
          <w:szCs w:val="20"/>
        </w:rPr>
        <w:t>*Corresponding authors: Paul D. Zander (</w:t>
      </w:r>
      <w:r>
        <w:rPr>
          <w:rFonts w:cs="Arial"/>
          <w:szCs w:val="20"/>
        </w:rPr>
        <w:t>paul.zander@mpic.de</w:t>
      </w:r>
      <w:r w:rsidRPr="009F7A01">
        <w:rPr>
          <w:rFonts w:cs="Arial"/>
          <w:szCs w:val="20"/>
        </w:rPr>
        <w:t>) and Alfredo Martínez-García (</w:t>
      </w:r>
      <w:r w:rsidRPr="00C801EF">
        <w:rPr>
          <w:rFonts w:cs="Arial"/>
          <w:szCs w:val="20"/>
        </w:rPr>
        <w:t>a.martinez-garcia@mpic.de</w:t>
      </w:r>
      <w:r w:rsidRPr="009F7A01">
        <w:rPr>
          <w:rFonts w:cs="Arial"/>
          <w:szCs w:val="20"/>
        </w:rPr>
        <w:t>)</w:t>
      </w:r>
    </w:p>
    <w:p w14:paraId="5D99AFBB" w14:textId="77777777" w:rsidR="00C801EF" w:rsidRPr="009F7A01" w:rsidRDefault="00C801EF" w:rsidP="00C801EF">
      <w:pPr>
        <w:spacing w:after="0" w:line="240" w:lineRule="auto"/>
        <w:rPr>
          <w:rFonts w:cs="Arial"/>
          <w:szCs w:val="20"/>
        </w:rPr>
      </w:pPr>
    </w:p>
    <w:p w14:paraId="66E7B21C" w14:textId="2DD13688" w:rsidR="00177EB3" w:rsidRDefault="00177EB3" w:rsidP="009F7A01">
      <w:pPr>
        <w:rPr>
          <w:rFonts w:cs="Arial"/>
          <w:szCs w:val="20"/>
        </w:rPr>
      </w:pPr>
      <w:r w:rsidRPr="00C0332F">
        <w:rPr>
          <w:rFonts w:cs="Arial"/>
          <w:noProof/>
          <w:szCs w:val="20"/>
        </w:rPr>
        <w:drawing>
          <wp:inline distT="0" distB="0" distL="0" distR="0" wp14:anchorId="4E25D965" wp14:editId="1D11D74D">
            <wp:extent cx="3676650" cy="3444135"/>
            <wp:effectExtent l="0" t="0" r="0" b="4445"/>
            <wp:docPr id="1529869824" name="Picture 3" descr="Chart, scatt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69824" name="Picture 3" descr="Chart, scatter chart&#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82785" cy="3449882"/>
                    </a:xfrm>
                    <a:prstGeom prst="rect">
                      <a:avLst/>
                    </a:prstGeom>
                    <a:noFill/>
                    <a:ln>
                      <a:noFill/>
                    </a:ln>
                  </pic:spPr>
                </pic:pic>
              </a:graphicData>
            </a:graphic>
          </wp:inline>
        </w:drawing>
      </w:r>
    </w:p>
    <w:p w14:paraId="7CAE23A4" w14:textId="6D91A19E" w:rsidR="00104BEB" w:rsidRDefault="00104BEB" w:rsidP="009F7A01">
      <w:pPr>
        <w:rPr>
          <w:rFonts w:cs="Arial"/>
          <w:szCs w:val="20"/>
        </w:rPr>
      </w:pPr>
      <w:r>
        <w:rPr>
          <w:rFonts w:cs="Arial"/>
          <w:szCs w:val="20"/>
        </w:rPr>
        <w:t>Fig. S</w:t>
      </w:r>
      <w:r w:rsidR="008A7FC6">
        <w:rPr>
          <w:rFonts w:cs="Arial"/>
          <w:szCs w:val="20"/>
        </w:rPr>
        <w:t>1</w:t>
      </w:r>
      <w:r>
        <w:rPr>
          <w:rFonts w:cs="Arial"/>
          <w:szCs w:val="20"/>
        </w:rPr>
        <w:t>:</w:t>
      </w:r>
      <w:r w:rsidR="00BE2E43">
        <w:rPr>
          <w:rFonts w:cs="Arial"/>
          <w:szCs w:val="20"/>
        </w:rPr>
        <w:t xml:space="preserve"> </w:t>
      </w:r>
      <w:r w:rsidR="0089533D">
        <w:rPr>
          <w:rFonts w:cs="Arial"/>
          <w:szCs w:val="20"/>
        </w:rPr>
        <w:t>Relationship between P</w:t>
      </w:r>
      <w:r w:rsidR="0089533D" w:rsidRPr="0089533D">
        <w:rPr>
          <w:rFonts w:cs="Arial"/>
          <w:szCs w:val="20"/>
          <w:vertAlign w:val="subscript"/>
        </w:rPr>
        <w:t>aq</w:t>
      </w:r>
      <w:r w:rsidR="007118CF">
        <w:rPr>
          <w:rFonts w:cs="Arial"/>
          <w:szCs w:val="20"/>
          <w:vertAlign w:val="subscript"/>
        </w:rPr>
        <w:fldChar w:fldCharType="begin"/>
      </w:r>
      <w:r w:rsidR="007118CF">
        <w:rPr>
          <w:rFonts w:cs="Arial"/>
          <w:szCs w:val="20"/>
          <w:vertAlign w:val="subscript"/>
        </w:rPr>
        <w:instrText xml:space="preserve"> ADDIN ZOTERO_ITEM CSL_CITATION {"citationID":"NGhtPI3o","properties":{"formattedCitation":"\\super 1\\nosupersub{}","plainCitation":"1","noteIndex":0},"citationItems":[{"id":1511,"uris":["http://zotero.org/users/9895892/items/CGRD5K39"],"itemData":{"id":1511,"type":"article-journal","abstract":"Lipid analysis of aquatic plants from lakes on Mt. Kenya, E. Africa, revealed that non-emergent (submerged and floating-leaved) species displayed enhanced abundances of mid-chain length, C23 and C25 n-alkanes. In contrast, the emergent aquatic plants had n-alkane distributions similar to those of the terrestrial vegetation, typically dominated by the long-chain length homologues (&gt; C29). A proxy ratio, P(aq), has been formulated to reflect the non-emergent aquatic macrophyte input to lake sediments relative to that from the emergent aquatic and terrestrial plants. (C) 2000 Elsevier Science Ltd.","container-title":"Organic Geochemistry","DOI":"10.1016/S0146-6380(00)00081-4","ISSN":"01466380","issue":"7-8","page":"745-749","title":"An n-alkane proxy for the sedimentary input of submerged/floating freshwater aquatic macrophytes","volume":"31","author":[{"family":"Ficken","given":"K. J."},{"family":"Li","given":"B"},{"family":"Swain","given":"D. L."},{"family":"Eglinton","given":"G."}],"issued":{"date-parts":[["2000"]]}}}],"schema":"https://github.com/citation-style-language/schema/raw/master/csl-citation.json"} </w:instrText>
      </w:r>
      <w:r w:rsidR="007118CF">
        <w:rPr>
          <w:rFonts w:cs="Arial"/>
          <w:szCs w:val="20"/>
          <w:vertAlign w:val="subscript"/>
        </w:rPr>
        <w:fldChar w:fldCharType="separate"/>
      </w:r>
      <w:r w:rsidR="007118CF" w:rsidRPr="007118CF">
        <w:rPr>
          <w:rFonts w:cs="Arial"/>
          <w:vertAlign w:val="superscript"/>
        </w:rPr>
        <w:t>1</w:t>
      </w:r>
      <w:r w:rsidR="007118CF">
        <w:rPr>
          <w:rFonts w:cs="Arial"/>
          <w:szCs w:val="20"/>
          <w:vertAlign w:val="subscript"/>
        </w:rPr>
        <w:fldChar w:fldCharType="end"/>
      </w:r>
      <w:r w:rsidR="0089533D">
        <w:rPr>
          <w:rFonts w:cs="Arial"/>
          <w:szCs w:val="20"/>
        </w:rPr>
        <w:t xml:space="preserve"> and </w:t>
      </w:r>
      <w:r w:rsidR="0089533D" w:rsidRPr="0089533D">
        <w:rPr>
          <w:rFonts w:cs="Arial"/>
          <w:szCs w:val="20"/>
        </w:rPr>
        <w:t>δ</w:t>
      </w:r>
      <w:r w:rsidR="0089533D" w:rsidRPr="0089533D">
        <w:rPr>
          <w:rFonts w:cs="Arial"/>
          <w:szCs w:val="20"/>
          <w:vertAlign w:val="superscript"/>
        </w:rPr>
        <w:t>13</w:t>
      </w:r>
      <w:r w:rsidR="0089533D" w:rsidRPr="0089533D">
        <w:rPr>
          <w:rFonts w:cs="Arial"/>
          <w:szCs w:val="20"/>
        </w:rPr>
        <w:t>C</w:t>
      </w:r>
      <w:r w:rsidR="00A36B8B">
        <w:rPr>
          <w:rFonts w:cs="Arial"/>
          <w:szCs w:val="20"/>
        </w:rPr>
        <w:t xml:space="preserve"> measured on different </w:t>
      </w:r>
      <w:r w:rsidR="00A36B8B" w:rsidRPr="00A36B8B">
        <w:rPr>
          <w:rFonts w:cs="Arial"/>
          <w:i/>
          <w:iCs/>
          <w:szCs w:val="20"/>
        </w:rPr>
        <w:t>n</w:t>
      </w:r>
      <w:r w:rsidR="00A36B8B">
        <w:rPr>
          <w:rFonts w:cs="Arial"/>
          <w:szCs w:val="20"/>
        </w:rPr>
        <w:t>-alkane chains</w:t>
      </w:r>
      <w:r w:rsidR="007118CF">
        <w:rPr>
          <w:rFonts w:cs="Arial"/>
          <w:szCs w:val="20"/>
        </w:rPr>
        <w:t xml:space="preserve"> showing variable contributions for aquatic material</w:t>
      </w:r>
      <w:r w:rsidR="00BC1C04">
        <w:rPr>
          <w:rFonts w:cs="Arial"/>
          <w:szCs w:val="20"/>
        </w:rPr>
        <w:t xml:space="preserve"> depending on chain length. </w:t>
      </w:r>
    </w:p>
    <w:p w14:paraId="205F63AE" w14:textId="2D853075" w:rsidR="00F0739A" w:rsidRDefault="0036471C" w:rsidP="009F7A01">
      <w:pPr>
        <w:rPr>
          <w:rFonts w:cs="Arial"/>
          <w:szCs w:val="20"/>
        </w:rPr>
      </w:pPr>
      <w:r>
        <w:rPr>
          <w:noProof/>
        </w:rPr>
        <w:lastRenderedPageBreak/>
        <w:drawing>
          <wp:inline distT="0" distB="0" distL="0" distR="0" wp14:anchorId="42465CD6" wp14:editId="53DC1FE7">
            <wp:extent cx="4839335" cy="4468495"/>
            <wp:effectExtent l="0" t="0" r="0" b="8255"/>
            <wp:docPr id="1893568597" name="Picture 4" descr="Chart, treemap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68597" name="Picture 4" descr="Chart, treemap char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9335" cy="4468495"/>
                    </a:xfrm>
                    <a:prstGeom prst="rect">
                      <a:avLst/>
                    </a:prstGeom>
                    <a:noFill/>
                    <a:ln>
                      <a:noFill/>
                    </a:ln>
                  </pic:spPr>
                </pic:pic>
              </a:graphicData>
            </a:graphic>
          </wp:inline>
        </w:drawing>
      </w:r>
    </w:p>
    <w:p w14:paraId="6D74733E" w14:textId="2521E136" w:rsidR="00F0739A" w:rsidRDefault="00F0739A" w:rsidP="009F7A01">
      <w:pPr>
        <w:rPr>
          <w:rFonts w:cs="Arial"/>
          <w:szCs w:val="20"/>
        </w:rPr>
      </w:pPr>
      <w:r>
        <w:rPr>
          <w:rFonts w:cs="Arial"/>
          <w:szCs w:val="20"/>
        </w:rPr>
        <w:t>Fig. S</w:t>
      </w:r>
      <w:r w:rsidR="008A7FC6">
        <w:rPr>
          <w:rFonts w:cs="Arial"/>
          <w:szCs w:val="20"/>
        </w:rPr>
        <w:t>2</w:t>
      </w:r>
      <w:r>
        <w:rPr>
          <w:rFonts w:cs="Arial"/>
          <w:szCs w:val="20"/>
        </w:rPr>
        <w:t xml:space="preserve">: Correlation matrix of </w:t>
      </w:r>
      <w:proofErr w:type="spellStart"/>
      <w:r w:rsidR="00D05E72">
        <w:rPr>
          <w:rFonts w:cs="Arial"/>
          <w:szCs w:val="20"/>
        </w:rPr>
        <w:t>δD</w:t>
      </w:r>
      <w:proofErr w:type="spellEnd"/>
      <w:r w:rsidR="00D05E72">
        <w:rPr>
          <w:rFonts w:cs="Arial"/>
          <w:szCs w:val="20"/>
        </w:rPr>
        <w:t xml:space="preserve"> and key proxies</w:t>
      </w:r>
      <w:r w:rsidR="00D71E02">
        <w:rPr>
          <w:rFonts w:cs="Arial"/>
          <w:szCs w:val="20"/>
        </w:rPr>
        <w:t xml:space="preserve">. </w:t>
      </w:r>
      <w:r w:rsidR="007B6057">
        <w:rPr>
          <w:rFonts w:cs="Arial"/>
          <w:szCs w:val="20"/>
        </w:rPr>
        <w:t>Correlation</w:t>
      </w:r>
      <w:r w:rsidR="00057600">
        <w:rPr>
          <w:rFonts w:cs="Arial"/>
          <w:szCs w:val="20"/>
        </w:rPr>
        <w:t xml:space="preserve"> coefficients are </w:t>
      </w:r>
      <w:proofErr w:type="spellStart"/>
      <w:r w:rsidR="00057600">
        <w:rPr>
          <w:rFonts w:cs="Arial"/>
          <w:szCs w:val="20"/>
        </w:rPr>
        <w:t>pearson</w:t>
      </w:r>
      <w:proofErr w:type="spellEnd"/>
      <w:r w:rsidR="00057600">
        <w:rPr>
          <w:rFonts w:cs="Arial"/>
          <w:szCs w:val="20"/>
        </w:rPr>
        <w:t xml:space="preserve"> r values. Correlation is not shown </w:t>
      </w:r>
      <w:r w:rsidR="002C6021">
        <w:rPr>
          <w:rFonts w:cs="Arial"/>
          <w:szCs w:val="20"/>
        </w:rPr>
        <w:t>for</w:t>
      </w:r>
      <w:r w:rsidR="00057600">
        <w:rPr>
          <w:rFonts w:cs="Arial"/>
          <w:szCs w:val="20"/>
        </w:rPr>
        <w:t xml:space="preserve"> </w:t>
      </w:r>
      <w:r w:rsidR="007B6057">
        <w:rPr>
          <w:rFonts w:cs="Arial"/>
          <w:szCs w:val="20"/>
        </w:rPr>
        <w:t>P-values &lt;0.05. P-values</w:t>
      </w:r>
      <w:r w:rsidR="00057600">
        <w:rPr>
          <w:rFonts w:cs="Arial"/>
          <w:szCs w:val="20"/>
        </w:rPr>
        <w:t xml:space="preserve"> were corrected </w:t>
      </w:r>
      <w:r w:rsidR="00BC35CB">
        <w:rPr>
          <w:rFonts w:cs="Arial"/>
          <w:szCs w:val="20"/>
        </w:rPr>
        <w:t>for multiple hypothesis testing using the false discovery rate metho</w:t>
      </w:r>
      <w:r w:rsidR="006A7A0C">
        <w:rPr>
          <w:rFonts w:cs="Arial"/>
          <w:szCs w:val="20"/>
        </w:rPr>
        <w:t>d</w:t>
      </w:r>
      <w:r w:rsidR="006A7A0C">
        <w:rPr>
          <w:rFonts w:cs="Arial"/>
          <w:szCs w:val="20"/>
        </w:rPr>
        <w:fldChar w:fldCharType="begin"/>
      </w:r>
      <w:r w:rsidR="007118CF">
        <w:rPr>
          <w:rFonts w:cs="Arial"/>
          <w:szCs w:val="20"/>
        </w:rPr>
        <w:instrText xml:space="preserve"> ADDIN ZOTERO_ITEM CSL_CITATION {"citationID":"yLeeM5fI","properties":{"formattedCitation":"\\super 2\\nosupersub{}","plainCitation":"2","noteIndex":0},"citationItems":[{"id":1093,"uris":["http://zotero.org/users/9895892/items/4RR9H29C"],"itemData":{"id":1093,"type":"article-journal","abstract":"The common approach to the multiplicity problem calls for controlling the familywise error rate (FWER). This approach, though, has faults, and we point out a few. A different approach to problems of multiple significance testing is presented. It calls for controlling the expected proportion of falsely rejected hypotheses- the false discovery rate. This error rate is equivalent to the FWER when all hypotheses are true but is smaller otherwise. Therefore, in problems where the control of the false discovery rate rather than that of the FWER is desired, there is potential for a gain in power. A simple sequential Bonferronitype procedure is proved to control the false discovery rate for independent test statistics, and a simulation study shows that the gain in power is substantial. The use of the new procedure and the appropriateness of the criterion are illustrated with examples.","container-title":"Journal of the Royal Statistical Society: Series B (Methodological)","DOI":"10.1111/j.2517-6161.1995.tb02031.x","ISSN":"2517-6161","issue":"1","note":"publisher: Wiley","page":"289-300","title":"Controlling the False Discovery Rate: A Practical and Powerful Approach to Multiple Testing","volume":"57","author":[{"family":"Benjamini","given":"Yoav"},{"family":"Hochberg","given":"Yosef"}],"issued":{"date-parts":[["1995",1,1]]}}}],"schema":"https://github.com/citation-style-language/schema/raw/master/csl-citation.json"} </w:instrText>
      </w:r>
      <w:r w:rsidR="006A7A0C">
        <w:rPr>
          <w:rFonts w:cs="Arial"/>
          <w:szCs w:val="20"/>
        </w:rPr>
        <w:fldChar w:fldCharType="separate"/>
      </w:r>
      <w:r w:rsidR="007118CF" w:rsidRPr="007118CF">
        <w:rPr>
          <w:rFonts w:cs="Arial"/>
          <w:vertAlign w:val="superscript"/>
        </w:rPr>
        <w:t>2</w:t>
      </w:r>
      <w:r w:rsidR="006A7A0C">
        <w:rPr>
          <w:rFonts w:cs="Arial"/>
          <w:szCs w:val="20"/>
        </w:rPr>
        <w:fldChar w:fldCharType="end"/>
      </w:r>
      <w:r w:rsidR="00BC35CB">
        <w:rPr>
          <w:rFonts w:cs="Arial"/>
          <w:szCs w:val="20"/>
        </w:rPr>
        <w:t xml:space="preserve">. </w:t>
      </w:r>
      <w:r w:rsidR="002C6021">
        <w:rPr>
          <w:rFonts w:cs="Arial"/>
          <w:szCs w:val="20"/>
        </w:rPr>
        <w:t>Darker colors correspond to higher correlation or anticorrelation.</w:t>
      </w:r>
    </w:p>
    <w:p w14:paraId="1E84CA35" w14:textId="7B9C9B1C" w:rsidR="00022430" w:rsidRDefault="00557C05" w:rsidP="009F7A01">
      <w:pPr>
        <w:rPr>
          <w:rFonts w:cs="Arial"/>
          <w:szCs w:val="20"/>
        </w:rPr>
      </w:pPr>
      <w:r>
        <w:rPr>
          <w:noProof/>
        </w:rPr>
        <w:lastRenderedPageBreak/>
        <w:drawing>
          <wp:inline distT="0" distB="0" distL="0" distR="0" wp14:anchorId="3AF0D4D5" wp14:editId="23E0484A">
            <wp:extent cx="5003165" cy="5753735"/>
            <wp:effectExtent l="0" t="0" r="6985" b="0"/>
            <wp:docPr id="846918103" name="Picture 2"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18103" name="Picture 2" descr="Char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3165" cy="5753735"/>
                    </a:xfrm>
                    <a:prstGeom prst="rect">
                      <a:avLst/>
                    </a:prstGeom>
                    <a:noFill/>
                    <a:ln>
                      <a:noFill/>
                    </a:ln>
                  </pic:spPr>
                </pic:pic>
              </a:graphicData>
            </a:graphic>
          </wp:inline>
        </w:drawing>
      </w:r>
    </w:p>
    <w:p w14:paraId="63D3D0B2" w14:textId="64B2CD10" w:rsidR="000576F1" w:rsidRDefault="000576F1" w:rsidP="009F7A01">
      <w:pPr>
        <w:rPr>
          <w:rFonts w:cs="Arial"/>
          <w:szCs w:val="20"/>
        </w:rPr>
      </w:pPr>
      <w:r>
        <w:rPr>
          <w:rFonts w:cs="Arial"/>
          <w:szCs w:val="20"/>
        </w:rPr>
        <w:t>Fig. S</w:t>
      </w:r>
      <w:r w:rsidR="008A7FC6">
        <w:rPr>
          <w:rFonts w:cs="Arial"/>
          <w:szCs w:val="20"/>
        </w:rPr>
        <w:t>3</w:t>
      </w:r>
      <w:r>
        <w:rPr>
          <w:rFonts w:cs="Arial"/>
          <w:szCs w:val="20"/>
        </w:rPr>
        <w:t xml:space="preserve">: </w:t>
      </w:r>
      <w:r w:rsidR="001E1EB4">
        <w:rPr>
          <w:rFonts w:cs="Arial"/>
          <w:szCs w:val="20"/>
        </w:rPr>
        <w:t xml:space="preserve">Complete n-alkane </w:t>
      </w:r>
      <w:proofErr w:type="spellStart"/>
      <w:r w:rsidR="001E1EB4">
        <w:rPr>
          <w:rFonts w:cs="Arial"/>
          <w:szCs w:val="20"/>
        </w:rPr>
        <w:t>δD</w:t>
      </w:r>
      <w:proofErr w:type="spellEnd"/>
      <w:r w:rsidR="001E1EB4">
        <w:rPr>
          <w:rFonts w:cs="Arial"/>
          <w:szCs w:val="20"/>
        </w:rPr>
        <w:t xml:space="preserve"> dataset. Filled circles represent points with single measurements, open circles </w:t>
      </w:r>
      <w:r w:rsidR="006F081A">
        <w:rPr>
          <w:rFonts w:cs="Arial"/>
          <w:szCs w:val="20"/>
        </w:rPr>
        <w:t xml:space="preserve">were measured in duplicate (or more) and error bars represent the </w:t>
      </w:r>
      <w:r w:rsidR="00D87E04">
        <w:rPr>
          <w:rFonts w:cs="Arial"/>
          <w:szCs w:val="20"/>
        </w:rPr>
        <w:t>pooled standard deviation of replicates (4 ‰)</w:t>
      </w:r>
      <w:r w:rsidR="00D91E33">
        <w:rPr>
          <w:rFonts w:cs="Arial"/>
          <w:szCs w:val="20"/>
        </w:rPr>
        <w:fldChar w:fldCharType="begin"/>
      </w:r>
      <w:r w:rsidR="007118CF">
        <w:rPr>
          <w:rFonts w:cs="Arial"/>
          <w:szCs w:val="20"/>
        </w:rPr>
        <w:instrText xml:space="preserve"> ADDIN ZOTERO_ITEM CSL_CITATION {"citationID":"ux7ayFsu","properties":{"formattedCitation":"\\super 3\\nosupersub{}","plainCitation":"3","noteIndex":0},"citationItems":[{"id":4899,"uris":["http://zotero.org/users/9895892/items/63WY798A"],"itemData":{"id":4899,"type":"article-journal","abstract":"Methods: We developed a large-volume (20 μL) injection method that allows for high throughput analysis of less concentrated samples and tested it for δ13C and δD measurements of n-alkanes. We also conducted a comparison of reference standards and assessed several methods to normalize and correct n-alkane δD and δ13C measurements.\nResults: The mean precision of the δD method based on 233 environmental n-alkane samples (two to three replications per sample) is 4.0‰ (1σ, estimated from the weighted mean of the pooled unbiased standard deviations) and 0.46‰ (1σ) for δ13C from 37 environmental samples (two to three replications per sample). The evaluation of reference standards shows that the use of n-alkane standards with large offsets in δD values in adjacent n-alkane chains can lead to biases in measurement correction.\nConclusions: The large-volume injection method shows good reproducibility of δ13C and δD measurements of n-alkanes and reduces the required sample concentration by about 80%. We propose that for δD measurements, a reference standard set should be used in which each reference standard has a limited range of δD values and no adjacent n-alkane chains, to minimize memory effects.","container-title":"Rapid Communications in Mass Spectrometry","issue":"3","language":"en","license":"All rights reserved","page":"e9943","source":"Zotero","title":"Large</w:instrText>
      </w:r>
      <w:r w:rsidR="007118CF">
        <w:rPr>
          <w:rFonts w:ascii="Cambria Math" w:hAnsi="Cambria Math" w:cs="Cambria Math"/>
          <w:szCs w:val="20"/>
        </w:rPr>
        <w:instrText>‐</w:instrText>
      </w:r>
      <w:r w:rsidR="007118CF">
        <w:rPr>
          <w:rFonts w:cs="Arial"/>
          <w:szCs w:val="20"/>
        </w:rPr>
        <w:instrText>Volume Injection and Assessment of Reference Standards for n</w:instrText>
      </w:r>
      <w:r w:rsidR="007118CF">
        <w:rPr>
          <w:rFonts w:ascii="Cambria Math" w:hAnsi="Cambria Math" w:cs="Cambria Math"/>
          <w:szCs w:val="20"/>
        </w:rPr>
        <w:instrText>‐</w:instrText>
      </w:r>
      <w:r w:rsidR="007118CF">
        <w:rPr>
          <w:rFonts w:cs="Arial"/>
          <w:szCs w:val="20"/>
        </w:rPr>
        <w:instrText xml:space="preserve">Alkane δD and δ13C Analysis via Gas Chromatography Isotope Ratio Mass Spectrometry","volume":"39","author":[{"family":"Zander","given":"Paul D"},{"family":"Rubach","given":"Florian"},{"family":"Martínez-García","given":"Alfredo"}],"issued":{"date-parts":[["2025"]]}}}],"schema":"https://github.com/citation-style-language/schema/raw/master/csl-citation.json"} </w:instrText>
      </w:r>
      <w:r w:rsidR="00D91E33">
        <w:rPr>
          <w:rFonts w:cs="Arial"/>
          <w:szCs w:val="20"/>
        </w:rPr>
        <w:fldChar w:fldCharType="separate"/>
      </w:r>
      <w:r w:rsidR="007118CF" w:rsidRPr="007118CF">
        <w:rPr>
          <w:rFonts w:cs="Arial"/>
          <w:vertAlign w:val="superscript"/>
        </w:rPr>
        <w:t>3</w:t>
      </w:r>
      <w:r w:rsidR="00D91E33">
        <w:rPr>
          <w:rFonts w:cs="Arial"/>
          <w:szCs w:val="20"/>
        </w:rPr>
        <w:fldChar w:fldCharType="end"/>
      </w:r>
      <w:r w:rsidR="00D91E33">
        <w:rPr>
          <w:rFonts w:cs="Arial"/>
          <w:szCs w:val="20"/>
        </w:rPr>
        <w:t xml:space="preserve">. </w:t>
      </w:r>
    </w:p>
    <w:p w14:paraId="33730E71" w14:textId="03F36F83" w:rsidR="00134E01" w:rsidRDefault="00134E01" w:rsidP="009F7A01">
      <w:pPr>
        <w:rPr>
          <w:rFonts w:cs="Arial"/>
          <w:szCs w:val="20"/>
        </w:rPr>
      </w:pPr>
    </w:p>
    <w:p w14:paraId="7896A606" w14:textId="77777777" w:rsidR="00413C9B" w:rsidRDefault="00413C9B" w:rsidP="00413C9B">
      <w:pPr>
        <w:rPr>
          <w:rFonts w:cs="Arial"/>
          <w:szCs w:val="20"/>
        </w:rPr>
      </w:pPr>
      <w:r>
        <w:rPr>
          <w:noProof/>
        </w:rPr>
        <w:lastRenderedPageBreak/>
        <w:drawing>
          <wp:inline distT="0" distB="0" distL="0" distR="0" wp14:anchorId="3E567A0A" wp14:editId="1694B930">
            <wp:extent cx="5791200" cy="3421510"/>
            <wp:effectExtent l="0" t="0" r="0" b="7620"/>
            <wp:docPr id="613561520" name="Picture 7" descr="Chart, hist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61520" name="Picture 7" descr="Chart, histogram&#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6527" cy="3424657"/>
                    </a:xfrm>
                    <a:prstGeom prst="rect">
                      <a:avLst/>
                    </a:prstGeom>
                    <a:noFill/>
                    <a:ln>
                      <a:noFill/>
                    </a:ln>
                  </pic:spPr>
                </pic:pic>
              </a:graphicData>
            </a:graphic>
          </wp:inline>
        </w:drawing>
      </w:r>
    </w:p>
    <w:p w14:paraId="15751D1E" w14:textId="2D6F1F1E" w:rsidR="00413C9B" w:rsidRDefault="00413C9B" w:rsidP="009F7A01">
      <w:pPr>
        <w:rPr>
          <w:rFonts w:cs="Arial"/>
          <w:szCs w:val="20"/>
        </w:rPr>
      </w:pPr>
      <w:r>
        <w:rPr>
          <w:rFonts w:cs="Arial"/>
          <w:szCs w:val="20"/>
        </w:rPr>
        <w:t>Fig. S</w:t>
      </w:r>
      <w:r w:rsidR="008A7FC6">
        <w:rPr>
          <w:rFonts w:cs="Arial"/>
          <w:szCs w:val="20"/>
        </w:rPr>
        <w:t>4</w:t>
      </w:r>
      <w:r>
        <w:rPr>
          <w:rFonts w:cs="Arial"/>
          <w:szCs w:val="20"/>
        </w:rPr>
        <w:t xml:space="preserve">: Estimates of the effects of global ice volume changes, temperature, and vegetation on </w:t>
      </w:r>
      <w:r w:rsidRPr="003420E4">
        <w:rPr>
          <w:rFonts w:cs="Arial"/>
          <w:szCs w:val="20"/>
        </w:rPr>
        <w:t>dD</w:t>
      </w:r>
      <w:r w:rsidRPr="003420E4">
        <w:rPr>
          <w:rFonts w:cs="Arial"/>
          <w:szCs w:val="20"/>
          <w:vertAlign w:val="subscript"/>
        </w:rPr>
        <w:t>wax</w:t>
      </w:r>
      <w:r>
        <w:rPr>
          <w:rFonts w:cs="Arial"/>
          <w:szCs w:val="20"/>
        </w:rPr>
        <w:t>. Vegetation effect calculated based on the proportion of herbs, shrubs and grasses in pollen data</w:t>
      </w:r>
      <w:r>
        <w:rPr>
          <w:rFonts w:cs="Arial"/>
          <w:szCs w:val="20"/>
        </w:rPr>
        <w:fldChar w:fldCharType="begin"/>
      </w:r>
      <w:r w:rsidR="007118CF">
        <w:rPr>
          <w:rFonts w:cs="Arial"/>
          <w:szCs w:val="20"/>
        </w:rPr>
        <w:instrText xml:space="preserve"> ADDIN ZOTERO_ITEM CSL_CITATION {"citationID":"0OMLvXj4","properties":{"formattedCitation":"\\super 4\\nosupersub{}","plainCitation":"4","noteIndex":0},"citationItems":[{"id":3950,"uris":["http://zotero.org/users/9895892/items/C7J6LB2H"],"itemData":{"id":3950,"type":"article-journal","abstract":"Seven published and four new pollen records from well-dated sediment cores from six Pleistocene and Holocene maar structures located in the Eifel, Germany, are combined to a pollen stack that covers the entire last 132,000 years. This stack is complemented by new macroremain data from one additional sediment core. The pollen data included into the stack show consistently that the Eifel was covered by a dense forest during the Eemian, early Marine Isotope Stage (MIS) 3, and the Holocene. While other European records indeed indicate a warming, the early MIS 3 fully developed forest remains a unique feature in central European pollen records. Comparison to orbital parameters and insolation hints to warm and humid, however, not fully interglacial conditions, which are also visible in speleothem growth throughout Europe. With the cooling trend towards the glacial maxima of MIS 4 and 2, tree pollen declined, with recovering phases during MIS 5c and 5a, as well as during all MIS 3 interglacials. During the colder stadials, steppe vegetation expanded. For MIS 5 and 4, we defined six new landscape evolution zones based on pollen and macroremains.","container-title":"Quaternary","DOI":"10.3390/quat7010008","ISSN":"2571-550X","issue":"1","language":"en","license":"http://creativecommons.org/licenses/by/3.0/","note":"number: 1\npublisher: Multidisciplinary Digital Publishing Institute","page":"8","source":"www.mdpi.com","title":"Vegetation Patterns during the Last 132,000 Years: A Synthesis from Twelve Eifel Maar Sediment Cores (Germany): The ELSA-23-Pollen-Stack","title-short":"Vegetation Patterns during the Last 132,000 Years","volume":"7","author":[{"family":"Britzius","given":"Sarah"},{"family":"Dreher","given":"Frank"},{"family":"Maisel","given":"Patricia"},{"family":"Sirocko","given":"Frank"}],"issued":{"date-parts":[["2024",3]]}}}],"schema":"https://github.com/citation-style-language/schema/raw/master/csl-citation.json"} </w:instrText>
      </w:r>
      <w:r>
        <w:rPr>
          <w:rFonts w:cs="Arial"/>
          <w:szCs w:val="20"/>
        </w:rPr>
        <w:fldChar w:fldCharType="separate"/>
      </w:r>
      <w:r w:rsidR="007118CF" w:rsidRPr="007118CF">
        <w:rPr>
          <w:rFonts w:cs="Arial"/>
          <w:vertAlign w:val="superscript"/>
        </w:rPr>
        <w:t>4</w:t>
      </w:r>
      <w:r>
        <w:rPr>
          <w:rFonts w:cs="Arial"/>
          <w:szCs w:val="20"/>
        </w:rPr>
        <w:fldChar w:fldCharType="end"/>
      </w:r>
      <w:r>
        <w:rPr>
          <w:rFonts w:cs="Arial"/>
          <w:szCs w:val="20"/>
        </w:rPr>
        <w:t xml:space="preserve"> and the apparent fractionation factors estimated in Konecky et al</w:t>
      </w:r>
      <w:r>
        <w:rPr>
          <w:rFonts w:cs="Arial"/>
          <w:szCs w:val="20"/>
        </w:rPr>
        <w:fldChar w:fldCharType="begin"/>
      </w:r>
      <w:r w:rsidR="007118CF">
        <w:rPr>
          <w:rFonts w:cs="Arial"/>
          <w:szCs w:val="20"/>
        </w:rPr>
        <w:instrText xml:space="preserve"> ADDIN ZOTERO_ITEM CSL_CITATION {"citationID":"wkFJ89cs","properties":{"formattedCitation":"\\super 5\\nosupersub{}","plainCitation":"5","noteIndex":0},"citationItems":[{"id":1539,"uris":["http://zotero.org/users/9895892/items/87JK2WKY"],"itemData":{"id":1539,"type":"article-journal","abstract":"The D/H ratio of epicuticular plant waxes (δDwax) preserved in sedimentary archives is a powerful tool for paleoclimate reconstruction, but comparisons to other proxy records or to climate model simulations requires a proxy system model (PSM) that accounts for transformations between δDprecip and δDwax. Here we present a new, publicly available PSM for plant waxes, WaxPSM. WaxPSM predicts δDwax from observational data or any isotope-enabled modern, paleo, or future climate model experiment. δD values of the C29 n-alkane are calculated based on precipitation or soil water δD and observed apparent fractionation values, adjusted for plant-type differences. Using WaxPSM, we assess three key uncertainties in δDwax records: the degree to which variations in δD may reflect changes in vegetation rather than climate, structural uncertainties that arise from limited water isotopic observations, and the impacts of land cover change on climate reconstructions during the Last Glacial Maximum and the Preindustrial period. Parametric and structural uncertainties can cause δDwax variations up to 50‰, but in most cases, the differences are </w:instrText>
      </w:r>
      <w:r w:rsidR="007118CF">
        <w:rPr>
          <w:rFonts w:ascii="Cambria Math" w:hAnsi="Cambria Math" w:cs="Cambria Math"/>
          <w:szCs w:val="20"/>
        </w:rPr>
        <w:instrText>∼</w:instrText>
      </w:r>
      <w:r w:rsidR="007118CF">
        <w:rPr>
          <w:rFonts w:cs="Arial"/>
          <w:szCs w:val="20"/>
        </w:rPr>
        <w:instrText xml:space="preserve">10–30‰. The drier subtropics are additionally impacted by the incorrect structural assumption that plants' source water, δDsoil, is isotopically similar to the climate variable of interest, δDprecip. We recommend a coordinated, systematic effort to elevate observational constraints on δDprecip, δDsoil, and the δD of multiple compound classes, which would dramatically reduce parametric and structural uncertainties and allow further complexity to be built into the model.","container-title":"Journal of Geophysical Research: Biogeosciences","DOI":"10.1029/2018JG004708","ISSN":"21698961","issue":"7","note":"publisher: Blackwell Publishing Ltd","page":"2107-2125","title":"WaxPSM: A Forward Model of Leaf Wax Hydrogen Isotope Ratios to Bridge Proxy and Model Estimates of Past Climate","volume":"124","author":[{"family":"Konecky","given":"Bronwen"},{"family":"Dee","given":"Sylvia G."},{"family":"Noone","given":"David C."}],"issued":{"date-parts":[["2019",7,1]]}}}],"schema":"https://github.com/citation-style-language/schema/raw/master/csl-citation.json"} </w:instrText>
      </w:r>
      <w:r>
        <w:rPr>
          <w:rFonts w:cs="Arial"/>
          <w:szCs w:val="20"/>
        </w:rPr>
        <w:fldChar w:fldCharType="separate"/>
      </w:r>
      <w:r w:rsidR="007118CF" w:rsidRPr="007118CF">
        <w:rPr>
          <w:rFonts w:cs="Arial"/>
          <w:vertAlign w:val="superscript"/>
        </w:rPr>
        <w:t>5</w:t>
      </w:r>
      <w:r>
        <w:rPr>
          <w:rFonts w:cs="Arial"/>
          <w:szCs w:val="20"/>
        </w:rPr>
        <w:fldChar w:fldCharType="end"/>
      </w:r>
      <w:r>
        <w:rPr>
          <w:rFonts w:cs="Arial"/>
          <w:szCs w:val="20"/>
        </w:rPr>
        <w:t xml:space="preserve">. The temperature effect was calculated based on the </w:t>
      </w:r>
      <w:proofErr w:type="spellStart"/>
      <w:r>
        <w:rPr>
          <w:rFonts w:cs="Arial"/>
          <w:szCs w:val="20"/>
        </w:rPr>
        <w:t>brGDGT</w:t>
      </w:r>
      <w:proofErr w:type="spellEnd"/>
      <w:r>
        <w:rPr>
          <w:rFonts w:cs="Arial"/>
          <w:szCs w:val="20"/>
        </w:rPr>
        <w:t xml:space="preserve"> temperature reconstruction for the ELSA study site</w:t>
      </w:r>
      <w:r>
        <w:rPr>
          <w:rFonts w:cs="Arial"/>
          <w:szCs w:val="20"/>
        </w:rPr>
        <w:fldChar w:fldCharType="begin"/>
      </w:r>
      <w:r w:rsidR="007118CF">
        <w:rPr>
          <w:rFonts w:cs="Arial"/>
          <w:szCs w:val="20"/>
        </w:rPr>
        <w:instrText xml:space="preserve"> ADDIN ZOTERO_ITEM CSL_CITATION {"citationID":"JQNiQe3I","properties":{"formattedCitation":"\\super 6\\nosupersub{}","plainCitation":"6","noteIndex":0},"citationItems":[{"id":4065,"uris":["http://zotero.org/users/9895892/items/2LAQCVTG"],"itemData":{"id":4065,"type":"article-journal","abstract":"Abstract. Millennial-scale climate variations during the last glacial period, such as Dansgaard–Oeschger (DO) cycles and Heinrich events, have been extensively studied using ice core and marine proxy records. However, there is a limited understanding of the magnitude of these temperature fluctuations in continental regions, and questions remain about the seasonal signal of these climate events. This study presents a 60 000-year-long temperature reconstruction based on branched glycerol dialkyl glycerol tetraethers (brGDGTs) extracted from lake sediments from the Eifel Volcanic Field, Germany. brGDGTs are bacterial membrane-spanning lipids that are known to have a strong relationship with temperature, making them suitable for temperature reconstructions. We test several temperature calibration models on modern samples taken from soils and multiple maar lakes. We find a negative bias in brGDGT-based temperature estimates associated with water depth and anoxic conditions that can be corrected for by accounting for a brGDGT isomer that is only produced in anoxic conditions. The corrected temperature reconstruction correlates with proxy and climate model estimates of temperature spanning the same time period, validating the calibration approach we selected. However, millennial-scale variability is significantly dampened in the brGDGT record, and in contrast to other Northern Hemisphere climate records, during several Heinrich stadials, temperatures actually increase. We demonstrate that these apparent discrepancies can be explained by the unique seasonal response of the brGDGT paleothermometer to temperatures of months above freezing (TMAF). Our data support the view that warm-season temperatures in Europe varied minimally during the last glacial period and that abrupt millennial-scale events were defined by colder, longer winters. Our continuous high-resolution temperature reconstruction provides important information about the magnitude of seasonal climate variability during the last glacial period that can be used to test climate models and inform studies of paleoecological change.","container-title":"Climate of the Past","DOI":"10.5194/cp-20-841-2024","ISSN":"1814-9332","issue":"4","journalAbbreviation":"Clim. Past","language":"en","license":"https://creativecommons.org/licenses/by/4.0/","page":"841-864","source":"DOI.org (Crossref)","title":"Reconstruction of warm-season temperatures in central Europe during the past 60 000 years from lacustrine branched glycerol dialkyl glycerol tetraethers (brGDGTs)","volume":"20","author":[{"family":"Zander","given":"Paul D."},{"family":"Böhl","given":"Daniel"},{"family":"Sirocko","given":"Frank"},{"family":"Auderset","given":"Alexandra"},{"family":"Haug","given":"Gerald H."},{"family":"Martínez-García","given":"Alfredo"}],"issued":{"date-parts":[["2024",4,8]]}}}],"schema":"https://github.com/citation-style-language/schema/raw/master/csl-citation.json"} </w:instrText>
      </w:r>
      <w:r>
        <w:rPr>
          <w:rFonts w:cs="Arial"/>
          <w:szCs w:val="20"/>
        </w:rPr>
        <w:fldChar w:fldCharType="separate"/>
      </w:r>
      <w:r w:rsidR="007118CF" w:rsidRPr="007118CF">
        <w:rPr>
          <w:rFonts w:cs="Arial"/>
          <w:vertAlign w:val="superscript"/>
        </w:rPr>
        <w:t>6</w:t>
      </w:r>
      <w:r>
        <w:rPr>
          <w:rFonts w:cs="Arial"/>
          <w:szCs w:val="20"/>
        </w:rPr>
        <w:fldChar w:fldCharType="end"/>
      </w:r>
      <w:r>
        <w:rPr>
          <w:rFonts w:cs="Arial"/>
          <w:szCs w:val="20"/>
        </w:rPr>
        <w:t xml:space="preserve"> and the relationship between precipitation isotopes and temperature observed in the two nearest GNIP stations, Koblenz and Trier</w:t>
      </w:r>
      <w:r>
        <w:rPr>
          <w:rFonts w:cs="Arial"/>
          <w:szCs w:val="20"/>
        </w:rPr>
        <w:fldChar w:fldCharType="begin"/>
      </w:r>
      <w:r w:rsidR="007118CF">
        <w:rPr>
          <w:rFonts w:cs="Arial"/>
          <w:szCs w:val="20"/>
        </w:rPr>
        <w:instrText xml:space="preserve"> ADDIN ZOTERO_ITEM CSL_CITATION {"citationID":"kGqxnP3g","properties":{"formattedCitation":"\\super 7\\nosupersub{}","plainCitation":"7","noteIndex":0},"citationItems":[{"id":5082,"uris":["http://zotero.org/users/9895892/items/CADLC5D6"],"itemData":{"id":5082,"type":"dataset","title":"Global Network of Isotopes in Precipitation, GNIP database","URL":"https://nucleus.iaea.org/wiser","author":[{"family":"IAEA/WMO","given":""}],"accessed":{"date-parts":[["2024",8,24]]},"issued":{"date-parts":[["2024"]]}}}],"schema":"https://github.com/citation-style-language/schema/raw/master/csl-citation.json"} </w:instrText>
      </w:r>
      <w:r>
        <w:rPr>
          <w:rFonts w:cs="Arial"/>
          <w:szCs w:val="20"/>
        </w:rPr>
        <w:fldChar w:fldCharType="separate"/>
      </w:r>
      <w:r w:rsidR="007118CF" w:rsidRPr="007118CF">
        <w:rPr>
          <w:rFonts w:cs="Arial"/>
          <w:vertAlign w:val="superscript"/>
        </w:rPr>
        <w:t>7</w:t>
      </w:r>
      <w:r>
        <w:rPr>
          <w:rFonts w:cs="Arial"/>
          <w:szCs w:val="20"/>
        </w:rPr>
        <w:fldChar w:fldCharType="end"/>
      </w:r>
      <w:r w:rsidR="0048093B">
        <w:rPr>
          <w:rFonts w:cs="Arial"/>
          <w:szCs w:val="20"/>
        </w:rPr>
        <w:t xml:space="preserve"> (Fig. S</w:t>
      </w:r>
      <w:r w:rsidR="001E6F45">
        <w:rPr>
          <w:rFonts w:cs="Arial"/>
          <w:szCs w:val="20"/>
        </w:rPr>
        <w:t>7</w:t>
      </w:r>
      <w:r w:rsidR="0048093B">
        <w:rPr>
          <w:rFonts w:cs="Arial"/>
          <w:szCs w:val="20"/>
        </w:rPr>
        <w:t>)</w:t>
      </w:r>
      <w:r>
        <w:rPr>
          <w:rFonts w:cs="Arial"/>
          <w:szCs w:val="20"/>
        </w:rPr>
        <w:t>. Global ice volume effect was calculated using the method outline in Tierney et al</w:t>
      </w:r>
      <w:r>
        <w:rPr>
          <w:rFonts w:cs="Arial"/>
          <w:szCs w:val="20"/>
        </w:rPr>
        <w:fldChar w:fldCharType="begin"/>
      </w:r>
      <w:r w:rsidR="007118CF">
        <w:rPr>
          <w:rFonts w:cs="Arial"/>
          <w:szCs w:val="20"/>
        </w:rPr>
        <w:instrText xml:space="preserve"> ADDIN ZOTERO_ITEM CSL_CITATION {"citationID":"KiDJb8Q8","properties":{"formattedCitation":"\\super 8\\nosupersub{}","plainCitation":"8","noteIndex":0},"citationItems":[{"id":1527,"uris":["http://zotero.org/users/9895892/items/MK2KDHHD"],"itemData":{"id":1527,"type":"article-journal","abstract":"© 2017 Geological Society of America. Around 200,000 yr ago, Homo sapiens emerged in Africa. By 40 ka, Homo sapiens had spread throughout Eurasia, and a major competing species, the Neanderthals, became extinct. The factors that drove our species \"out of Africa\" remain a topic of vigorous debate. Existing research invokes climate change as either providing opportunities or imposing limits on human migration. Yet the paleoclimate history of northeast Africa, the gateway to migration, is unknown. Here, we reconstruct temperature and aridity in the Horn of Africa region spanning the past 200,000 yr. Our data suggest that warm and wet conditions from 120,000 to 90,000 yr ago could have facilitated early waves of human migration toward the Levant and Arabia, as supported by fossil and lithic evidence. However, the primary out-of-Africa event, as constrained by genetic studies (ca. 65-55 ka), occurred during a cold and dry time. This complicates the climatemigration relationship, suggesting that both \"push\" and \"pull\" factors may have prompted Homo sapiens to colonize Eurasia.","container-title":"Geology","DOI":"10.1130/G39457.1","ISSN":"19432682","issue":"11","license":"All rights reserved","page":"1023-1026","title":"A climatic context for the out-of-Africa migration","volume":"45","author":[{"family":"Tierney","given":"Jessica E."},{"family":"DeMenocal","given":"Peter B."},{"family":"Zander","given":"Paul D."}],"issued":{"date-parts":[["2017"]]}}}],"schema":"https://github.com/citation-style-language/schema/raw/master/csl-citation.json"} </w:instrText>
      </w:r>
      <w:r>
        <w:rPr>
          <w:rFonts w:cs="Arial"/>
          <w:szCs w:val="20"/>
        </w:rPr>
        <w:fldChar w:fldCharType="separate"/>
      </w:r>
      <w:r w:rsidR="007118CF" w:rsidRPr="007118CF">
        <w:rPr>
          <w:rFonts w:cs="Arial"/>
          <w:vertAlign w:val="superscript"/>
        </w:rPr>
        <w:t>8</w:t>
      </w:r>
      <w:r>
        <w:rPr>
          <w:rFonts w:cs="Arial"/>
          <w:szCs w:val="20"/>
        </w:rPr>
        <w:fldChar w:fldCharType="end"/>
      </w:r>
      <w:r>
        <w:rPr>
          <w:rFonts w:cs="Arial"/>
          <w:szCs w:val="20"/>
        </w:rPr>
        <w:t>. The global marine benthic stack</w:t>
      </w:r>
      <w:r>
        <w:rPr>
          <w:rFonts w:cs="Arial"/>
          <w:szCs w:val="20"/>
        </w:rPr>
        <w:fldChar w:fldCharType="begin"/>
      </w:r>
      <w:r w:rsidR="007118CF">
        <w:rPr>
          <w:rFonts w:cs="Arial"/>
          <w:szCs w:val="20"/>
        </w:rPr>
        <w:instrText xml:space="preserve"> ADDIN ZOTERO_ITEM CSL_CITATION {"citationID":"Uy6XP656","properties":{"formattedCitation":"\\super 9\\nosupersub{}","plainCitation":"9","noteIndex":0},"citationItems":[{"id":3642,"uris":["http://zotero.org/users/9895892/items/332Q936W"],"itemData":{"id":3642,"type":"article-journal","abstract":"We present a 5.3-Myr stack (the “LR04” stack) of benthic δ18O records from 57 globally distributed sites aligned by an automated graphic correlation algorithm. This is the first benthic δ18O stack composed of more than three records to extend beyond 850 ka, and we use its improved signal quality to identify 24 new marine isotope stages in the early Pliocene. We also present a new LR04 age model for the Pliocene-Pleistocene derived from tuning the δ18O stack to a simple ice model based on 21 June insolation at 65°N. Stacked sedimentation rates provide additional age model constraints to prevent overtuning. Despite a conservative tuning strategy, the LR04 benthic stack exhibits significant coherency with insolation in the obliquity band throughout the entire 5.3 Myr and in the precession band for more than half of the record. The LR04 stack contains significantly more variance in benthic δ18O than previously published stacks of the late Pleistocene as the result of higher-resolution records, a better alignment technique, and a greater percentage of records from the Atlantic. Finally, the relative phases of the stack's 41- and 23-kyr components suggest that the precession component of δ18O from 2.7–1.6 Ma is primarily a deep-water temperature signal and that the phase of δ18O precession response changed suddenly at 1.6 Ma.","container-title":"Paleoceanography","DOI":"10.1029/2004PA001071","ISSN":"1944-9186","issue":"1","language":"en","license":"Copyright 2005 by the American Geophysical Union.","note":"_eprint: https://onlinelibrary.wiley.com/doi/pdf/10.1029/2004PA001071","source":"Wiley Online Library","title":"A Pliocene-Pleistocene stack of 57 globally distributed benthic δ18O records","URL":"https://onlinelibrary.wiley.com/doi/abs/10.1029/2004PA001071","volume":"20","author":[{"family":"Lisiecki","given":"Lorraine E."},{"family":"Raymo","given":"Maureen E."}],"accessed":{"date-parts":[["2023",10,28]]},"issued":{"date-parts":[["2005"]]}}}],"schema":"https://github.com/citation-style-language/schema/raw/master/csl-citation.json"} </w:instrText>
      </w:r>
      <w:r>
        <w:rPr>
          <w:rFonts w:cs="Arial"/>
          <w:szCs w:val="20"/>
        </w:rPr>
        <w:fldChar w:fldCharType="separate"/>
      </w:r>
      <w:r w:rsidR="007118CF" w:rsidRPr="007118CF">
        <w:rPr>
          <w:rFonts w:cs="Arial"/>
          <w:vertAlign w:val="superscript"/>
        </w:rPr>
        <w:t>9</w:t>
      </w:r>
      <w:r>
        <w:rPr>
          <w:rFonts w:cs="Arial"/>
          <w:szCs w:val="20"/>
        </w:rPr>
        <w:fldChar w:fldCharType="end"/>
      </w:r>
      <w:r>
        <w:rPr>
          <w:rFonts w:cs="Arial"/>
          <w:szCs w:val="20"/>
        </w:rPr>
        <w:t xml:space="preserve"> was scaled based on an assumption of 1 </w:t>
      </w:r>
      <w:r w:rsidRPr="00DF64B3">
        <w:rPr>
          <w:rFonts w:cs="Arial"/>
          <w:szCs w:val="20"/>
        </w:rPr>
        <w:t>‰</w:t>
      </w:r>
      <w:r>
        <w:rPr>
          <w:rFonts w:cs="Arial"/>
          <w:szCs w:val="20"/>
        </w:rPr>
        <w:t xml:space="preserve"> δ</w:t>
      </w:r>
      <w:r w:rsidRPr="00DF64B3">
        <w:rPr>
          <w:rFonts w:cs="Arial"/>
          <w:szCs w:val="20"/>
          <w:vertAlign w:val="superscript"/>
        </w:rPr>
        <w:t>18</w:t>
      </w:r>
      <w:r>
        <w:rPr>
          <w:rFonts w:cs="Arial"/>
          <w:szCs w:val="20"/>
        </w:rPr>
        <w:t xml:space="preserve">O and 8 </w:t>
      </w:r>
      <w:r w:rsidRPr="00DF64B3">
        <w:rPr>
          <w:rFonts w:cs="Arial"/>
          <w:szCs w:val="20"/>
        </w:rPr>
        <w:t>‰</w:t>
      </w:r>
      <w:r>
        <w:rPr>
          <w:rFonts w:cs="Arial"/>
          <w:szCs w:val="20"/>
        </w:rPr>
        <w:t xml:space="preserve"> </w:t>
      </w:r>
      <w:proofErr w:type="spellStart"/>
      <w:r>
        <w:rPr>
          <w:rFonts w:cs="Arial"/>
          <w:szCs w:val="20"/>
        </w:rPr>
        <w:t>δD</w:t>
      </w:r>
      <w:proofErr w:type="spellEnd"/>
      <w:r>
        <w:rPr>
          <w:rFonts w:cs="Arial"/>
          <w:szCs w:val="20"/>
        </w:rPr>
        <w:t xml:space="preserve"> change in seawater composition between the LGM and present</w:t>
      </w:r>
      <w:r>
        <w:rPr>
          <w:rFonts w:cs="Arial"/>
          <w:szCs w:val="20"/>
        </w:rPr>
        <w:fldChar w:fldCharType="begin"/>
      </w:r>
      <w:r w:rsidR="007118CF">
        <w:rPr>
          <w:rFonts w:cs="Arial"/>
          <w:szCs w:val="20"/>
        </w:rPr>
        <w:instrText xml:space="preserve"> ADDIN ZOTERO_ITEM CSL_CITATION {"citationID":"GmyvPT2J","properties":{"formattedCitation":"\\super 10\\nosupersub{}","plainCitation":"10","noteIndex":0},"citationItems":[{"id":5578,"uris":["http://zotero.org/users/9895892/items/68KTCERI"],"itemData":{"id":5578,"type":"article-journal","abstract":"Pore fluids from the upper 60 meters of sediment 3000 meters below the surface of the tropical Atlantic indicate that the oxygen isotopic composition (δ\n              18\n              O) of seawater at this site during the last glacial maximum was 0.8 ± 0.1 per mil higher than it is today. Combined with the δ\n              18\n              O change in benthic foraminifera from this region, the elevated ratio indicates that the temperature of deep water in the tropical Atlantic Ocean was 4°C colder during the last glacial maximum. Extrapolation from this site to a global average suggests that the ice volume contribution to the change in δ\n              18\n              O of foraminifera is 1.0 per mil, which partially reconciles the foraminiferal oxygen isotope record of tropical sea surface temperatures with estimates from Barbados corals and terrestrial climate proxies.","container-title":"Science","DOI":"10.1126/science.272.5270.1930","ISSN":"0036-8075, 1095-9203","issue":"5270","journalAbbreviation":"Science","language":"en","page":"1930-1932","source":"DOI.org (Crossref)","title":"Pore Fluid Constraints on the Temperature and Oxygen Isotopic Composition of the Glacial Ocean","volume":"272","author":[{"family":"Schrag","given":"Daniel P."},{"family":"Hampt","given":"Gretchen"},{"family":"Murray","given":"David W."}],"issued":{"date-parts":[["1996",6,28]]}}}],"schema":"https://github.com/citation-style-language/schema/raw/master/csl-citation.json"} </w:instrText>
      </w:r>
      <w:r>
        <w:rPr>
          <w:rFonts w:cs="Arial"/>
          <w:szCs w:val="20"/>
        </w:rPr>
        <w:fldChar w:fldCharType="separate"/>
      </w:r>
      <w:r w:rsidR="007118CF" w:rsidRPr="007118CF">
        <w:rPr>
          <w:rFonts w:cs="Arial"/>
          <w:vertAlign w:val="superscript"/>
        </w:rPr>
        <w:t>10</w:t>
      </w:r>
      <w:r>
        <w:rPr>
          <w:rFonts w:cs="Arial"/>
          <w:szCs w:val="20"/>
        </w:rPr>
        <w:fldChar w:fldCharType="end"/>
      </w:r>
      <w:r>
        <w:rPr>
          <w:rFonts w:cs="Arial"/>
          <w:szCs w:val="20"/>
        </w:rPr>
        <w:t xml:space="preserve">. </w:t>
      </w:r>
    </w:p>
    <w:p w14:paraId="7F566228" w14:textId="4107E74B" w:rsidR="00134E01" w:rsidRDefault="00134E01" w:rsidP="009F7A01">
      <w:pPr>
        <w:rPr>
          <w:rFonts w:cs="Arial"/>
          <w:szCs w:val="20"/>
        </w:rPr>
      </w:pPr>
      <w:r>
        <w:rPr>
          <w:noProof/>
        </w:rPr>
        <w:lastRenderedPageBreak/>
        <w:drawing>
          <wp:inline distT="0" distB="0" distL="0" distR="0" wp14:anchorId="674101C9" wp14:editId="46079120">
            <wp:extent cx="3543300" cy="3470581"/>
            <wp:effectExtent l="0" t="0" r="0" b="0"/>
            <wp:docPr id="109689413" name="Picture 1" descr="Chart, waterfall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9413" name="Picture 1" descr="Chart, waterfall char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8912" cy="3476077"/>
                    </a:xfrm>
                    <a:prstGeom prst="rect">
                      <a:avLst/>
                    </a:prstGeom>
                    <a:noFill/>
                    <a:ln>
                      <a:noFill/>
                    </a:ln>
                  </pic:spPr>
                </pic:pic>
              </a:graphicData>
            </a:graphic>
          </wp:inline>
        </w:drawing>
      </w:r>
    </w:p>
    <w:p w14:paraId="2E94E2BA" w14:textId="49EC037C" w:rsidR="006E0445" w:rsidRPr="009F7A01" w:rsidRDefault="00134E01" w:rsidP="006E0445">
      <w:pPr>
        <w:pStyle w:val="Caption"/>
      </w:pPr>
      <w:r>
        <w:t>Fig S</w:t>
      </w:r>
      <w:r w:rsidR="008A7FC6">
        <w:t>5</w:t>
      </w:r>
      <w:r>
        <w:t>:</w:t>
      </w:r>
      <w:r w:rsidR="006E0445">
        <w:t xml:space="preserve"> </w:t>
      </w:r>
      <w:r w:rsidR="006E0445" w:rsidRPr="00023FFD">
        <w:rPr>
          <w:i/>
          <w:iCs/>
        </w:rPr>
        <w:t>n</w:t>
      </w:r>
      <w:r w:rsidR="006E0445" w:rsidRPr="009F7A01">
        <w:t xml:space="preserve">-alkane </w:t>
      </w:r>
      <w:proofErr w:type="spellStart"/>
      <w:r w:rsidR="006E0445" w:rsidRPr="009F7A01">
        <w:t>δD</w:t>
      </w:r>
      <w:proofErr w:type="spellEnd"/>
      <w:r w:rsidR="006E0445" w:rsidRPr="009F7A01">
        <w:t xml:space="preserve"> </w:t>
      </w:r>
      <w:r w:rsidR="00AC6D99">
        <w:t>response to Heinrich events</w:t>
      </w:r>
      <w:r w:rsidR="00650D00">
        <w:t>. Offsets</w:t>
      </w:r>
      <w:r w:rsidR="00AC6D99">
        <w:t xml:space="preserve"> </w:t>
      </w:r>
      <w:r w:rsidR="006E0445" w:rsidRPr="009F7A01">
        <w:t xml:space="preserve">calculated as </w:t>
      </w:r>
      <w:r w:rsidR="004A2E2E">
        <w:t xml:space="preserve">the </w:t>
      </w:r>
      <w:r w:rsidR="006E0445" w:rsidRPr="009F7A01">
        <w:t xml:space="preserve">mean </w:t>
      </w:r>
      <w:proofErr w:type="spellStart"/>
      <w:r w:rsidR="00AC6D99">
        <w:t>δD</w:t>
      </w:r>
      <w:proofErr w:type="spellEnd"/>
      <w:r w:rsidR="00AC6D99">
        <w:t xml:space="preserve"> </w:t>
      </w:r>
      <w:r w:rsidR="006E0445" w:rsidRPr="009F7A01">
        <w:t xml:space="preserve">of the </w:t>
      </w:r>
      <w:r w:rsidR="00D3517D">
        <w:t xml:space="preserve">Heinrich event </w:t>
      </w:r>
      <w:r w:rsidR="006E0445" w:rsidRPr="009F7A01">
        <w:t>minus the</w:t>
      </w:r>
      <w:r w:rsidR="006E0445">
        <w:t xml:space="preserve"> mean of the</w:t>
      </w:r>
      <w:r w:rsidR="006E0445" w:rsidRPr="009F7A01">
        <w:t xml:space="preserve"> 500 years before </w:t>
      </w:r>
      <w:r w:rsidR="00D3517D">
        <w:t>the start of the event</w:t>
      </w:r>
      <w:r w:rsidR="00806FE4">
        <w:t>, except for HS1, where the baseline was extended to 1000 years to capture 2 data points</w:t>
      </w:r>
      <w:r w:rsidR="006B729C">
        <w:t xml:space="preserve">. </w:t>
      </w:r>
      <w:r w:rsidR="00E737D6">
        <w:t xml:space="preserve">Our record contains only one data point during the YD, therefore data from nearby </w:t>
      </w:r>
      <w:proofErr w:type="spellStart"/>
      <w:r w:rsidR="00E737D6">
        <w:t>Meerfelder</w:t>
      </w:r>
      <w:proofErr w:type="spellEnd"/>
      <w:r w:rsidR="00E737D6">
        <w:t xml:space="preserve"> Maar</w:t>
      </w:r>
      <w:r w:rsidR="00030B51">
        <w:t xml:space="preserve"> (MFM)</w:t>
      </w:r>
      <w:r w:rsidR="00E737D6">
        <w:t xml:space="preserve"> is also shown</w:t>
      </w:r>
      <w:r w:rsidR="0051607F">
        <w:fldChar w:fldCharType="begin"/>
      </w:r>
      <w:r w:rsidR="007118CF">
        <w:instrText xml:space="preserve"> ADDIN ZOTERO_ITEM CSL_CITATION {"citationID":"qPQXGSXm","properties":{"formattedCitation":"\\super 11\\nosupersub{}","plainCitation":"11","noteIndex":0},"citationItems":[{"id":1325,"uris":["http://zotero.org/users/9895892/items/BZ7AEXEC"],"itemData":{"id":1325,"type":"article-journal","abstract":"The general warming trend of the last deglaciation was interrupted by the Younger Dryas, a period of abrupt cooling and widespread environmental change. Ice core records suggest the abrupt cooling began 12,846 years ago in Greenland, about 170 years before the significant environmental and vegetation change in western Europe classically defined as the Younger Dryas. However, this difference in timing falls within age model uncertainties. Here we use the hydrogen isotope composition of lipid biomarkers from precisely dated varved sediments from Lake Meerfelder Maar to reconstruct hydroclimate over western Europe. We observe a decrease in the hydrogen isotope values of both aquatic and terrestrial lipids 12,850 years ago, indicating cooling climate in this region synchronous with the abrupt cooling in Greenland. A second drop occurs 170 years later, mainly in the hydrogen isotope record of aquatic lipids but to a lesser extent in the terrestrial lipids, which we attribute to aridification, as well as a change in moisture source and pathway. We thus confirm that there was indeed a lag between cooling and substantial hydrologic and environmental change in western Europe. We suggest the delay is related to the expansion of sea ice in the North Atlantic Ocean and the subsequent southward migration of the westerly wind system. We further suggest that these hydrological changes amplified environmental change in western Europe at the onset of the Younger Dryas. © 2014 Macmillan Publishers Limited. All rights reserved.","container-title":"Nature Geoscience","DOI":"10.1038/ngeo2053","ISSN":"17520894","issue":"2","note":"publisher: Nature Publishing Group","page":"109-112","title":"Delayed hydrological response to Greenland cooling at the onset of the Younger Dryas in western Europe","volume":"7","author":[{"family":"Rach","given":"O."},{"family":"Brauer","given":"A."},{"family":"Wilkes","given":"H."},{"family":"Sachse","given":"D."}],"issued":{"date-parts":[["2014",2,19]]}}}],"schema":"https://github.com/citation-style-language/schema/raw/master/csl-citation.json"} </w:instrText>
      </w:r>
      <w:r w:rsidR="0051607F">
        <w:fldChar w:fldCharType="separate"/>
      </w:r>
      <w:r w:rsidR="007118CF" w:rsidRPr="007118CF">
        <w:rPr>
          <w:vertAlign w:val="superscript"/>
        </w:rPr>
        <w:t>11</w:t>
      </w:r>
      <w:r w:rsidR="0051607F">
        <w:fldChar w:fldCharType="end"/>
      </w:r>
      <w:r w:rsidR="00E418A6">
        <w:t>.</w:t>
      </w:r>
      <w:r w:rsidR="00030B51">
        <w:t xml:space="preserve"> Not that for MFM, the baseline period for the anomaly calculation is only </w:t>
      </w:r>
      <w:r w:rsidR="00F87667">
        <w:t>300 years.</w:t>
      </w:r>
      <w:r w:rsidR="006E0445" w:rsidRPr="009F7A01">
        <w:t xml:space="preserve"> </w:t>
      </w:r>
      <w:r w:rsidR="006E0445">
        <w:t>For details on ice, temperature and vegetation effects, see Fig. S</w:t>
      </w:r>
      <w:r w:rsidR="004B139D">
        <w:t>4</w:t>
      </w:r>
      <w:r w:rsidR="006E0445">
        <w:t>.</w:t>
      </w:r>
    </w:p>
    <w:p w14:paraId="7382DD20" w14:textId="1557F8D1" w:rsidR="00134E01" w:rsidRDefault="003851F6" w:rsidP="009F7A01">
      <w:pPr>
        <w:rPr>
          <w:rFonts w:cs="Arial"/>
          <w:szCs w:val="20"/>
        </w:rPr>
      </w:pPr>
      <w:r>
        <w:rPr>
          <w:noProof/>
        </w:rPr>
        <w:lastRenderedPageBreak/>
        <w:drawing>
          <wp:inline distT="0" distB="0" distL="0" distR="0" wp14:anchorId="30BE9D59" wp14:editId="3C150632">
            <wp:extent cx="4580890" cy="4125595"/>
            <wp:effectExtent l="0" t="0" r="0" b="8255"/>
            <wp:docPr id="1615667193"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67193" name="Picture 1" descr="Char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0890" cy="4125595"/>
                    </a:xfrm>
                    <a:prstGeom prst="rect">
                      <a:avLst/>
                    </a:prstGeom>
                    <a:noFill/>
                    <a:ln>
                      <a:noFill/>
                    </a:ln>
                  </pic:spPr>
                </pic:pic>
              </a:graphicData>
            </a:graphic>
          </wp:inline>
        </w:drawing>
      </w:r>
    </w:p>
    <w:p w14:paraId="00B20288" w14:textId="67A018E7" w:rsidR="003851F6" w:rsidRDefault="005635FE" w:rsidP="009F7A01">
      <w:pPr>
        <w:rPr>
          <w:rFonts w:cs="Arial"/>
          <w:szCs w:val="20"/>
        </w:rPr>
      </w:pPr>
      <w:r>
        <w:rPr>
          <w:rFonts w:cs="Arial"/>
          <w:szCs w:val="20"/>
        </w:rPr>
        <w:t>Fig. S</w:t>
      </w:r>
      <w:r w:rsidR="008A7FC6">
        <w:rPr>
          <w:rFonts w:cs="Arial"/>
          <w:szCs w:val="20"/>
        </w:rPr>
        <w:t>6</w:t>
      </w:r>
      <w:r>
        <w:rPr>
          <w:rFonts w:cs="Arial"/>
          <w:szCs w:val="20"/>
        </w:rPr>
        <w:t xml:space="preserve">: </w:t>
      </w:r>
      <w:r w:rsidR="00964EAC">
        <w:rPr>
          <w:rFonts w:cs="Arial"/>
          <w:szCs w:val="20"/>
        </w:rPr>
        <w:t xml:space="preserve">Terrestrial minus aquatic </w:t>
      </w:r>
      <w:proofErr w:type="spellStart"/>
      <w:r w:rsidR="00964EAC">
        <w:rPr>
          <w:rFonts w:cs="Arial"/>
          <w:szCs w:val="20"/>
        </w:rPr>
        <w:t>δD</w:t>
      </w:r>
      <w:proofErr w:type="spellEnd"/>
      <w:r w:rsidR="00964EAC">
        <w:rPr>
          <w:rFonts w:cs="Arial"/>
          <w:szCs w:val="20"/>
        </w:rPr>
        <w:t xml:space="preserve"> changes across </w:t>
      </w:r>
      <w:r w:rsidR="00FE235B">
        <w:rPr>
          <w:rFonts w:cs="Arial"/>
          <w:szCs w:val="20"/>
        </w:rPr>
        <w:t xml:space="preserve">interstadial transitions. The dual biomarker method compares </w:t>
      </w:r>
      <w:proofErr w:type="spellStart"/>
      <w:r w:rsidR="00FE235B">
        <w:rPr>
          <w:rFonts w:cs="Arial"/>
          <w:szCs w:val="20"/>
        </w:rPr>
        <w:t>δD</w:t>
      </w:r>
      <w:proofErr w:type="spellEnd"/>
      <w:r w:rsidR="00FE235B">
        <w:rPr>
          <w:rFonts w:cs="Arial"/>
          <w:szCs w:val="20"/>
        </w:rPr>
        <w:t xml:space="preserve"> of terrestrial leaf wax </w:t>
      </w:r>
      <w:r w:rsidR="00FE235B" w:rsidRPr="00FE235B">
        <w:rPr>
          <w:rFonts w:cs="Arial"/>
          <w:i/>
          <w:iCs/>
          <w:szCs w:val="20"/>
        </w:rPr>
        <w:t>n</w:t>
      </w:r>
      <w:r w:rsidR="00FE235B">
        <w:rPr>
          <w:rFonts w:cs="Arial"/>
          <w:szCs w:val="20"/>
        </w:rPr>
        <w:t xml:space="preserve">-alkanes and aquatic </w:t>
      </w:r>
      <w:r w:rsidR="00FE235B" w:rsidRPr="00FE235B">
        <w:rPr>
          <w:rFonts w:cs="Arial"/>
          <w:i/>
          <w:iCs/>
          <w:szCs w:val="20"/>
        </w:rPr>
        <w:t>n</w:t>
      </w:r>
      <w:r w:rsidR="00FE235B">
        <w:rPr>
          <w:rFonts w:cs="Arial"/>
          <w:szCs w:val="20"/>
        </w:rPr>
        <w:t>-alkanes to assess evaporative enrichment</w:t>
      </w:r>
      <w:r w:rsidR="004D02DC">
        <w:rPr>
          <w:rFonts w:cs="Arial"/>
          <w:szCs w:val="20"/>
        </w:rPr>
        <w:fldChar w:fldCharType="begin"/>
      </w:r>
      <w:r w:rsidR="007118CF">
        <w:rPr>
          <w:rFonts w:cs="Arial"/>
          <w:szCs w:val="20"/>
        </w:rPr>
        <w:instrText xml:space="preserve"> ADDIN ZOTERO_ITEM CSL_CITATION {"citationID":"v0orSEZJ","properties":{"formattedCitation":"\\super 12\\nosupersub{}","plainCitation":"12","noteIndex":0},"citationItems":[{"id":1637,"uris":["http://zotero.org/users/9895892/items/BWG36FJ2"],"itemData":{"id":1637,"type":"article-journal","abstract":"Past climatic change can be reconstructed from sedimentary archives by a number of proxies. However, few methods exist to directly estimate hydrological changes and even fewer result in quantitative data, impeding our understanding of the timing, magnitude and mechanisms of hydrological changes. Here we present a novel approach based on δ2H values of sedimentary lipid biomarkers in combination with plant physiological modeling to extract quantitative information on past changes in relative humidity. Our initial application to an annually laminated lacustrine sediment sequence from western Europe deposited during the Younger Dryas cold period revealed relative humidity changes of up to 15 % over sub-centennial timescales, leading to major ecosystem changes, in agreement with palynological data from the region. We show that by combining organic geochemical methods and mechanistic plant physiological models on well characterized lacustrine archives it is possible to extract quantitative ecohydrological parameters from sedimentary lipid biomarker δ2H data.","container-title":"Climate of the Past","DOI":"10.5194/cp-13-741-2017","ISSN":"18149332","issue":"7","page":"741-757","title":"A dual-biomarker approach for quantification of changes in relative humidity from sedimentary lipid D/H ratios","volume":"13","author":[{"family":"Rach","given":"O."},{"family":"Kahmen","given":"Ansgar"},{"family":"Brauer","given":"Achim"},{"family":"Sachse","given":"Dirk"}],"issued":{"date-parts":[["2017"]]}}}],"schema":"https://github.com/citation-style-language/schema/raw/master/csl-citation.json"} </w:instrText>
      </w:r>
      <w:r w:rsidR="004D02DC">
        <w:rPr>
          <w:rFonts w:cs="Arial"/>
          <w:szCs w:val="20"/>
        </w:rPr>
        <w:fldChar w:fldCharType="separate"/>
      </w:r>
      <w:r w:rsidR="007118CF" w:rsidRPr="007118CF">
        <w:rPr>
          <w:rFonts w:cs="Arial"/>
          <w:vertAlign w:val="superscript"/>
        </w:rPr>
        <w:t>12</w:t>
      </w:r>
      <w:r w:rsidR="004D02DC">
        <w:rPr>
          <w:rFonts w:cs="Arial"/>
          <w:szCs w:val="20"/>
        </w:rPr>
        <w:fldChar w:fldCharType="end"/>
      </w:r>
      <w:r w:rsidR="005B02BB">
        <w:rPr>
          <w:rFonts w:cs="Arial"/>
          <w:szCs w:val="20"/>
        </w:rPr>
        <w:t xml:space="preserve">. Each bar represents the change in terrestrial minus aquatic </w:t>
      </w:r>
      <w:proofErr w:type="spellStart"/>
      <w:r w:rsidR="005B02BB">
        <w:rPr>
          <w:rFonts w:cs="Arial"/>
          <w:szCs w:val="20"/>
        </w:rPr>
        <w:t>δD</w:t>
      </w:r>
      <w:proofErr w:type="spellEnd"/>
      <w:r w:rsidR="005B02BB">
        <w:rPr>
          <w:rFonts w:cs="Arial"/>
          <w:szCs w:val="20"/>
        </w:rPr>
        <w:t xml:space="preserve"> </w:t>
      </w:r>
      <w:r w:rsidR="00345093">
        <w:rPr>
          <w:rFonts w:cs="Arial"/>
          <w:szCs w:val="20"/>
        </w:rPr>
        <w:t xml:space="preserve">across GS to GI transitions, using the same </w:t>
      </w:r>
      <w:r w:rsidR="00591EA8">
        <w:rPr>
          <w:rFonts w:cs="Arial"/>
          <w:szCs w:val="20"/>
        </w:rPr>
        <w:t>calculation as in Fig</w:t>
      </w:r>
      <w:r w:rsidR="00526C3F">
        <w:rPr>
          <w:rFonts w:cs="Arial"/>
          <w:szCs w:val="20"/>
        </w:rPr>
        <w:t>.</w:t>
      </w:r>
      <w:r w:rsidR="00591EA8">
        <w:rPr>
          <w:rFonts w:cs="Arial"/>
          <w:szCs w:val="20"/>
        </w:rPr>
        <w:t xml:space="preserve"> </w:t>
      </w:r>
      <w:r w:rsidR="00526C3F">
        <w:rPr>
          <w:rFonts w:cs="Arial"/>
          <w:szCs w:val="20"/>
        </w:rPr>
        <w:t>4 in the main text</w:t>
      </w:r>
      <w:r w:rsidR="00CA55F0">
        <w:rPr>
          <w:rFonts w:cs="Arial"/>
          <w:szCs w:val="20"/>
        </w:rPr>
        <w:t xml:space="preserve">. This calculation was done for four permutations of </w:t>
      </w:r>
      <w:proofErr w:type="spellStart"/>
      <w:r w:rsidR="00CA55F0">
        <w:rPr>
          <w:rFonts w:cs="Arial"/>
          <w:szCs w:val="20"/>
        </w:rPr>
        <w:t>terr</w:t>
      </w:r>
      <w:proofErr w:type="spellEnd"/>
      <w:r w:rsidR="00CA55F0">
        <w:rPr>
          <w:rFonts w:cs="Arial"/>
          <w:szCs w:val="20"/>
        </w:rPr>
        <w:t xml:space="preserve"> = C29 or C31 and </w:t>
      </w:r>
      <w:proofErr w:type="spellStart"/>
      <w:r w:rsidR="008A2C51">
        <w:rPr>
          <w:rFonts w:cs="Arial"/>
          <w:szCs w:val="20"/>
        </w:rPr>
        <w:t>aq</w:t>
      </w:r>
      <w:proofErr w:type="spellEnd"/>
      <w:r w:rsidR="008A2C51">
        <w:rPr>
          <w:rFonts w:cs="Arial"/>
          <w:szCs w:val="20"/>
        </w:rPr>
        <w:t xml:space="preserve"> = C23 or C25.</w:t>
      </w:r>
      <w:r w:rsidR="006B324D">
        <w:rPr>
          <w:rFonts w:cs="Arial"/>
          <w:szCs w:val="20"/>
        </w:rPr>
        <w:t xml:space="preserve"> </w:t>
      </w:r>
      <w:r w:rsidR="008D39B5">
        <w:rPr>
          <w:rFonts w:cs="Arial"/>
          <w:szCs w:val="20"/>
        </w:rPr>
        <w:t>Negative values indicate</w:t>
      </w:r>
      <w:r w:rsidR="0049034B">
        <w:rPr>
          <w:rFonts w:cs="Arial"/>
          <w:szCs w:val="20"/>
        </w:rPr>
        <w:t xml:space="preserve"> higher RH</w:t>
      </w:r>
      <w:r w:rsidR="00A65528">
        <w:rPr>
          <w:rFonts w:cs="Arial"/>
          <w:szCs w:val="20"/>
        </w:rPr>
        <w:t xml:space="preserve"> and</w:t>
      </w:r>
      <w:r w:rsidR="00DC606C">
        <w:rPr>
          <w:rFonts w:cs="Arial"/>
          <w:szCs w:val="20"/>
        </w:rPr>
        <w:t xml:space="preserve"> less evaporative enrichment of terrestrial leaf water, assuming that lake water </w:t>
      </w:r>
      <w:r w:rsidR="0049034B">
        <w:rPr>
          <w:rFonts w:cs="Arial"/>
          <w:szCs w:val="20"/>
        </w:rPr>
        <w:t>reflects precipitation δD</w:t>
      </w:r>
      <w:r w:rsidR="0049034B">
        <w:rPr>
          <w:rFonts w:cs="Arial"/>
          <w:szCs w:val="20"/>
        </w:rPr>
        <w:fldChar w:fldCharType="begin"/>
      </w:r>
      <w:r w:rsidR="0048093B">
        <w:rPr>
          <w:rFonts w:cs="Arial"/>
          <w:szCs w:val="20"/>
        </w:rPr>
        <w:instrText xml:space="preserve"> ADDIN ZOTERO_ITEM CSL_CITATION {"citationID":"hqsI16VW","properties":{"formattedCitation":"\\super 12\\nosupersub{}","plainCitation":"12","noteIndex":0},"citationItems":[{"id":1637,"uris":["http://zotero.org/users/9895892/items/BWG36FJ2"],"itemData":{"id":1637,"type":"article-journal","abstract":"Past climatic change can be reconstructed from sedimentary archives by a number of proxies. However, few methods exist to directly estimate hydrological changes and even fewer result in quantitative data, impeding our understanding of the timing, magnitude and mechanisms of hydrological changes. Here we present a novel approach based on δ2H values of sedimentary lipid biomarkers in combination with plant physiological modeling to extract quantitative information on past changes in relative humidity. Our initial application to an annually laminated lacustrine sediment sequence from western Europe deposited during the Younger Dryas cold period revealed relative humidity changes of up to 15 % over sub-centennial timescales, leading to major ecosystem changes, in agreement with palynological data from the region. We show that by combining organic geochemical methods and mechanistic plant physiological models on well characterized lacustrine archives it is possible to extract quantitative ecohydrological parameters from sedimentary lipid biomarker δ2H data.","container-title":"Climate of the Past","DOI":"10.5194/cp-13-741-2017","ISSN":"18149332","issue":"7","page":"741-757","title":"A dual-biomarker approach for quantification of changes in relative humidity from sedimentary lipid D/H ratios","volume":"13","author":[{"family":"Rach","given":"O."},{"family":"Kahmen","given":"Ansgar"},{"family":"Brauer","given":"Achim"},{"family":"Sachse","given":"Dirk"}],"issued":{"date-parts":[["2017"]]}}}],"schema":"https://github.com/citation-style-language/schema/raw/master/csl-citation.json"} </w:instrText>
      </w:r>
      <w:r w:rsidR="0049034B">
        <w:rPr>
          <w:rFonts w:cs="Arial"/>
          <w:szCs w:val="20"/>
        </w:rPr>
        <w:fldChar w:fldCharType="separate"/>
      </w:r>
      <w:r w:rsidR="0049034B" w:rsidRPr="007118CF">
        <w:rPr>
          <w:rFonts w:cs="Arial"/>
          <w:vertAlign w:val="superscript"/>
        </w:rPr>
        <w:t>12</w:t>
      </w:r>
      <w:r w:rsidR="0049034B">
        <w:rPr>
          <w:rFonts w:cs="Arial"/>
          <w:szCs w:val="20"/>
        </w:rPr>
        <w:fldChar w:fldCharType="end"/>
      </w:r>
      <w:r w:rsidR="0049034B">
        <w:rPr>
          <w:rFonts w:cs="Arial"/>
          <w:szCs w:val="20"/>
        </w:rPr>
        <w:t>.</w:t>
      </w:r>
    </w:p>
    <w:p w14:paraId="376255D8" w14:textId="77777777" w:rsidR="001E6F45" w:rsidRDefault="001E6F45" w:rsidP="001E6F45">
      <w:pPr>
        <w:spacing w:line="278" w:lineRule="auto"/>
        <w:rPr>
          <w:rFonts w:cs="Arial"/>
          <w:b/>
          <w:bCs/>
          <w:szCs w:val="20"/>
        </w:rPr>
      </w:pPr>
      <w:r>
        <w:rPr>
          <w:noProof/>
        </w:rPr>
        <w:lastRenderedPageBreak/>
        <w:drawing>
          <wp:inline distT="0" distB="0" distL="0" distR="0" wp14:anchorId="2D14482E" wp14:editId="7E21D517">
            <wp:extent cx="4045585" cy="2752090"/>
            <wp:effectExtent l="0" t="0" r="0" b="0"/>
            <wp:docPr id="1833555338" name="Picture 3" descr="Chart, scatt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55338" name="Picture 3" descr="Chart, scatter char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5585" cy="2752090"/>
                    </a:xfrm>
                    <a:prstGeom prst="rect">
                      <a:avLst/>
                    </a:prstGeom>
                    <a:noFill/>
                    <a:ln>
                      <a:noFill/>
                    </a:ln>
                  </pic:spPr>
                </pic:pic>
              </a:graphicData>
            </a:graphic>
          </wp:inline>
        </w:drawing>
      </w:r>
    </w:p>
    <w:p w14:paraId="52840081" w14:textId="74419A62" w:rsidR="001E6F45" w:rsidRDefault="001E6F45" w:rsidP="001E6F45">
      <w:pPr>
        <w:spacing w:line="278" w:lineRule="auto"/>
        <w:rPr>
          <w:rFonts w:cs="Arial"/>
          <w:szCs w:val="20"/>
        </w:rPr>
      </w:pPr>
      <w:r w:rsidRPr="0048093B">
        <w:rPr>
          <w:rFonts w:cs="Arial"/>
          <w:szCs w:val="20"/>
        </w:rPr>
        <w:t>Fig. S</w:t>
      </w:r>
      <w:r>
        <w:rPr>
          <w:rFonts w:cs="Arial"/>
          <w:szCs w:val="20"/>
        </w:rPr>
        <w:t>7: Precipitation isotopes plotted versus temperature. Measured at GNIP stations at Koblenz and Trier, Germany</w:t>
      </w:r>
      <w:r>
        <w:rPr>
          <w:rFonts w:cs="Arial"/>
          <w:szCs w:val="20"/>
        </w:rPr>
        <w:fldChar w:fldCharType="begin"/>
      </w:r>
      <w:r>
        <w:rPr>
          <w:rFonts w:cs="Arial"/>
          <w:szCs w:val="20"/>
        </w:rPr>
        <w:instrText xml:space="preserve"> ADDIN ZOTERO_ITEM CSL_CITATION {"citationID":"B1P8LLiE","properties":{"formattedCitation":"\\super 7\\nosupersub{}","plainCitation":"7","noteIndex":0},"citationItems":[{"id":5082,"uris":["http://zotero.org/users/9895892/items/CADLC5D6"],"itemData":{"id":5082,"type":"dataset","title":"Global Network of Isotopes in Precipitation, GNIP database","URL":"https://nucleus.iaea.org/wiser","author":[{"family":"IAEA/WMO","given":""}],"accessed":{"date-parts":[["2024",8,24]]},"issued":{"date-parts":[["2024"]]}}}],"schema":"https://github.com/citation-style-language/schema/raw/master/csl-citation.json"} </w:instrText>
      </w:r>
      <w:r>
        <w:rPr>
          <w:rFonts w:cs="Arial"/>
          <w:szCs w:val="20"/>
        </w:rPr>
        <w:fldChar w:fldCharType="separate"/>
      </w:r>
      <w:r w:rsidRPr="0048093B">
        <w:rPr>
          <w:rFonts w:cs="Arial"/>
          <w:vertAlign w:val="superscript"/>
        </w:rPr>
        <w:t>7</w:t>
      </w:r>
      <w:r>
        <w:rPr>
          <w:rFonts w:cs="Arial"/>
          <w:szCs w:val="20"/>
        </w:rPr>
        <w:fldChar w:fldCharType="end"/>
      </w:r>
    </w:p>
    <w:p w14:paraId="1EE69759" w14:textId="77777777" w:rsidR="001E6F45" w:rsidRDefault="001E6F45" w:rsidP="009F7A01">
      <w:pPr>
        <w:rPr>
          <w:rFonts w:cs="Arial"/>
          <w:szCs w:val="20"/>
        </w:rPr>
      </w:pPr>
    </w:p>
    <w:p w14:paraId="58B57873" w14:textId="77777777" w:rsidR="001E6F45" w:rsidRDefault="001E6F45" w:rsidP="009F7A01">
      <w:pPr>
        <w:rPr>
          <w:rFonts w:cs="Arial"/>
          <w:szCs w:val="20"/>
        </w:rPr>
      </w:pPr>
    </w:p>
    <w:p w14:paraId="526634F2" w14:textId="77777777" w:rsidR="001E6F45" w:rsidRDefault="001E6F45" w:rsidP="009F7A01">
      <w:pPr>
        <w:rPr>
          <w:rFonts w:cs="Arial"/>
          <w:szCs w:val="20"/>
        </w:rPr>
      </w:pPr>
    </w:p>
    <w:p w14:paraId="245856DB" w14:textId="07D19A4A" w:rsidR="00D27B9F" w:rsidRDefault="00405607" w:rsidP="009F7A01">
      <w:pPr>
        <w:rPr>
          <w:rFonts w:cs="Arial"/>
          <w:szCs w:val="20"/>
        </w:rPr>
      </w:pPr>
      <w:r>
        <w:rPr>
          <w:noProof/>
        </w:rPr>
        <w:lastRenderedPageBreak/>
        <w:drawing>
          <wp:inline distT="0" distB="0" distL="0" distR="0" wp14:anchorId="0C59D316" wp14:editId="1096A691">
            <wp:extent cx="3864334" cy="4271274"/>
            <wp:effectExtent l="0" t="0" r="3175" b="0"/>
            <wp:docPr id="19831220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7628" t="3272" r="5628" b="6737"/>
                    <a:stretch>
                      <a:fillRect/>
                    </a:stretch>
                  </pic:blipFill>
                  <pic:spPr bwMode="auto">
                    <a:xfrm>
                      <a:off x="0" y="0"/>
                      <a:ext cx="3873449" cy="4281349"/>
                    </a:xfrm>
                    <a:prstGeom prst="rect">
                      <a:avLst/>
                    </a:prstGeom>
                    <a:noFill/>
                    <a:ln>
                      <a:noFill/>
                    </a:ln>
                    <a:extLst>
                      <a:ext uri="{53640926-AAD7-44D8-BBD7-CCE9431645EC}">
                        <a14:shadowObscured xmlns:a14="http://schemas.microsoft.com/office/drawing/2010/main"/>
                      </a:ext>
                    </a:extLst>
                  </pic:spPr>
                </pic:pic>
              </a:graphicData>
            </a:graphic>
          </wp:inline>
        </w:drawing>
      </w:r>
    </w:p>
    <w:p w14:paraId="31A936A9" w14:textId="4FF98939" w:rsidR="00BF61C7" w:rsidRDefault="00BF61C7" w:rsidP="009F7A01">
      <w:pPr>
        <w:rPr>
          <w:rFonts w:cs="Arial"/>
          <w:szCs w:val="20"/>
        </w:rPr>
      </w:pPr>
      <w:r>
        <w:rPr>
          <w:rFonts w:cs="Arial"/>
          <w:szCs w:val="20"/>
        </w:rPr>
        <w:t>Fig</w:t>
      </w:r>
      <w:r w:rsidR="00D91E33">
        <w:rPr>
          <w:rFonts w:cs="Arial"/>
          <w:szCs w:val="20"/>
        </w:rPr>
        <w:t>.</w:t>
      </w:r>
      <w:r>
        <w:rPr>
          <w:rFonts w:cs="Arial"/>
          <w:szCs w:val="20"/>
        </w:rPr>
        <w:t xml:space="preserve"> S</w:t>
      </w:r>
      <w:r w:rsidR="001E6F45">
        <w:rPr>
          <w:rFonts w:cs="Arial"/>
          <w:szCs w:val="20"/>
        </w:rPr>
        <w:t>8</w:t>
      </w:r>
      <w:r w:rsidR="006178E4">
        <w:rPr>
          <w:rFonts w:cs="Arial"/>
          <w:szCs w:val="20"/>
        </w:rPr>
        <w:t xml:space="preserve">: Wind </w:t>
      </w:r>
      <w:r w:rsidR="00D823F7">
        <w:rPr>
          <w:rFonts w:cs="Arial"/>
          <w:szCs w:val="20"/>
        </w:rPr>
        <w:t xml:space="preserve">and precipitation </w:t>
      </w:r>
      <w:r w:rsidR="006178E4">
        <w:rPr>
          <w:rFonts w:cs="Arial"/>
          <w:szCs w:val="20"/>
        </w:rPr>
        <w:t xml:space="preserve">anomalies from </w:t>
      </w:r>
      <w:proofErr w:type="spellStart"/>
      <w:r w:rsidR="006178E4">
        <w:rPr>
          <w:rFonts w:cs="Arial"/>
          <w:szCs w:val="20"/>
        </w:rPr>
        <w:t>iTRACE</w:t>
      </w:r>
      <w:proofErr w:type="spellEnd"/>
      <w:r w:rsidR="006178E4">
        <w:rPr>
          <w:rFonts w:cs="Arial"/>
          <w:szCs w:val="20"/>
        </w:rPr>
        <w:t xml:space="preserve"> simulation. Top panel: </w:t>
      </w:r>
      <w:r w:rsidR="00D823F7">
        <w:rPr>
          <w:rFonts w:cs="Arial"/>
          <w:szCs w:val="20"/>
        </w:rPr>
        <w:t>Heinrich 1 (</w:t>
      </w:r>
      <w:r w:rsidR="008B4CD1" w:rsidRPr="008B4CD1">
        <w:rPr>
          <w:rFonts w:cs="Arial"/>
          <w:szCs w:val="20"/>
        </w:rPr>
        <w:t>17-15 ka BP</w:t>
      </w:r>
      <w:r w:rsidR="008B4CD1">
        <w:rPr>
          <w:rFonts w:cs="Arial"/>
          <w:szCs w:val="20"/>
        </w:rPr>
        <w:t>) minus LGM (</w:t>
      </w:r>
      <w:r w:rsidR="00C01686">
        <w:rPr>
          <w:rFonts w:cs="Arial"/>
          <w:szCs w:val="20"/>
        </w:rPr>
        <w:t xml:space="preserve">20-19 ka BP). Bottom panel: </w:t>
      </w:r>
      <w:r w:rsidR="00CA39B6" w:rsidRPr="00CA39B6">
        <w:rPr>
          <w:rFonts w:cs="Arial"/>
          <w:szCs w:val="20"/>
        </w:rPr>
        <w:t>Bolling-</w:t>
      </w:r>
      <w:proofErr w:type="spellStart"/>
      <w:r w:rsidR="00CA39B6" w:rsidRPr="00CA39B6">
        <w:rPr>
          <w:rFonts w:cs="Arial"/>
          <w:szCs w:val="20"/>
        </w:rPr>
        <w:t>Allerod</w:t>
      </w:r>
      <w:proofErr w:type="spellEnd"/>
      <w:r w:rsidR="00CA39B6" w:rsidRPr="00CA39B6">
        <w:rPr>
          <w:rFonts w:cs="Arial"/>
          <w:szCs w:val="20"/>
        </w:rPr>
        <w:t xml:space="preserve"> (BA; 14-13 ka BP)</w:t>
      </w:r>
      <w:r w:rsidR="00CA39B6">
        <w:rPr>
          <w:rFonts w:cs="Arial"/>
          <w:szCs w:val="20"/>
        </w:rPr>
        <w:t xml:space="preserve"> minus Heinrich 1. Both panels show color contours of precipitation rate anomalies with arrows representing the wind vector anomaly</w:t>
      </w:r>
      <w:r w:rsidR="0095677A">
        <w:rPr>
          <w:rFonts w:cs="Arial"/>
          <w:szCs w:val="20"/>
        </w:rPr>
        <w:t>.</w:t>
      </w:r>
    </w:p>
    <w:p w14:paraId="29C0A4D7" w14:textId="77777777" w:rsidR="0048093B" w:rsidRDefault="0048093B">
      <w:pPr>
        <w:spacing w:line="278" w:lineRule="auto"/>
        <w:rPr>
          <w:rFonts w:cs="Arial"/>
          <w:b/>
          <w:bCs/>
          <w:szCs w:val="20"/>
        </w:rPr>
      </w:pPr>
    </w:p>
    <w:p w14:paraId="2FE42F26" w14:textId="77777777" w:rsidR="0048093B" w:rsidRPr="0048093B" w:rsidRDefault="0048093B">
      <w:pPr>
        <w:spacing w:line="278" w:lineRule="auto"/>
        <w:rPr>
          <w:rFonts w:cs="Arial"/>
          <w:szCs w:val="20"/>
        </w:rPr>
      </w:pPr>
    </w:p>
    <w:p w14:paraId="0696AD4B" w14:textId="77777777" w:rsidR="0048093B" w:rsidRDefault="0048093B">
      <w:pPr>
        <w:spacing w:line="278" w:lineRule="auto"/>
        <w:rPr>
          <w:rFonts w:cs="Arial"/>
          <w:b/>
          <w:bCs/>
          <w:szCs w:val="20"/>
        </w:rPr>
      </w:pPr>
    </w:p>
    <w:p w14:paraId="1DEFBA9A" w14:textId="77777777" w:rsidR="00DD0E9D" w:rsidRDefault="00DD0E9D">
      <w:pPr>
        <w:spacing w:line="278" w:lineRule="auto"/>
        <w:rPr>
          <w:rFonts w:cs="Arial"/>
          <w:b/>
          <w:bCs/>
          <w:szCs w:val="20"/>
        </w:rPr>
      </w:pPr>
      <w:r>
        <w:rPr>
          <w:rFonts w:cs="Arial"/>
          <w:b/>
          <w:bCs/>
          <w:szCs w:val="20"/>
        </w:rPr>
        <w:br w:type="page"/>
      </w:r>
    </w:p>
    <w:p w14:paraId="0DBEB76A" w14:textId="6984925C" w:rsidR="001808CB" w:rsidRPr="000C5B6F" w:rsidRDefault="001808CB" w:rsidP="009F7A01">
      <w:pPr>
        <w:rPr>
          <w:rFonts w:cs="Arial"/>
          <w:b/>
          <w:bCs/>
          <w:szCs w:val="20"/>
        </w:rPr>
      </w:pPr>
      <w:r w:rsidRPr="000C5B6F">
        <w:rPr>
          <w:rFonts w:cs="Arial"/>
          <w:b/>
          <w:bCs/>
          <w:szCs w:val="20"/>
        </w:rPr>
        <w:lastRenderedPageBreak/>
        <w:t>References</w:t>
      </w:r>
    </w:p>
    <w:p w14:paraId="2CA350B7" w14:textId="77777777" w:rsidR="0048093B" w:rsidRPr="0048093B" w:rsidRDefault="00D91E33" w:rsidP="0048093B">
      <w:pPr>
        <w:pStyle w:val="Bibliography"/>
      </w:pPr>
      <w:r>
        <w:rPr>
          <w:rFonts w:cs="Arial"/>
          <w:szCs w:val="20"/>
        </w:rPr>
        <w:fldChar w:fldCharType="begin"/>
      </w:r>
      <w:r w:rsidR="006A7A0C">
        <w:rPr>
          <w:rFonts w:cs="Arial"/>
          <w:szCs w:val="20"/>
        </w:rPr>
        <w:instrText xml:space="preserve"> ADDIN ZOTERO_BIBL {"uncited":[],"omitted":[],"custom":[]} CSL_BIBLIOGRAPHY </w:instrText>
      </w:r>
      <w:r>
        <w:rPr>
          <w:rFonts w:cs="Arial"/>
          <w:szCs w:val="20"/>
        </w:rPr>
        <w:fldChar w:fldCharType="separate"/>
      </w:r>
      <w:r w:rsidR="0048093B" w:rsidRPr="0048093B">
        <w:t>1.</w:t>
      </w:r>
      <w:r w:rsidR="0048093B" w:rsidRPr="0048093B">
        <w:tab/>
        <w:t xml:space="preserve">Ficken, K. J., Li, B., Swain, D. L. &amp; Eglinton, G. An n-alkane proxy for the sedimentary input of submerged/floating freshwater aquatic macrophytes. </w:t>
      </w:r>
      <w:r w:rsidR="0048093B" w:rsidRPr="0048093B">
        <w:rPr>
          <w:i/>
          <w:iCs/>
        </w:rPr>
        <w:t>Org. Geochem.</w:t>
      </w:r>
      <w:r w:rsidR="0048093B" w:rsidRPr="0048093B">
        <w:t xml:space="preserve"> </w:t>
      </w:r>
      <w:r w:rsidR="0048093B" w:rsidRPr="0048093B">
        <w:rPr>
          <w:b/>
          <w:bCs/>
        </w:rPr>
        <w:t>31</w:t>
      </w:r>
      <w:r w:rsidR="0048093B" w:rsidRPr="0048093B">
        <w:t>, 745–749 (2000).</w:t>
      </w:r>
    </w:p>
    <w:p w14:paraId="105C5905" w14:textId="77777777" w:rsidR="0048093B" w:rsidRPr="0048093B" w:rsidRDefault="0048093B" w:rsidP="0048093B">
      <w:pPr>
        <w:pStyle w:val="Bibliography"/>
      </w:pPr>
      <w:r w:rsidRPr="0048093B">
        <w:t>2.</w:t>
      </w:r>
      <w:r w:rsidRPr="0048093B">
        <w:tab/>
        <w:t xml:space="preserve">Benjamini, Y. &amp; Hochberg, Y. Controlling the False Discovery Rate: A Practical and Powerful Approach to Multiple Testing. </w:t>
      </w:r>
      <w:r w:rsidRPr="0048093B">
        <w:rPr>
          <w:i/>
          <w:iCs/>
        </w:rPr>
        <w:t>J. R. Stat. Soc. Ser. B Methodol.</w:t>
      </w:r>
      <w:r w:rsidRPr="0048093B">
        <w:t xml:space="preserve"> </w:t>
      </w:r>
      <w:r w:rsidRPr="0048093B">
        <w:rPr>
          <w:b/>
          <w:bCs/>
        </w:rPr>
        <w:t>57</w:t>
      </w:r>
      <w:r w:rsidRPr="0048093B">
        <w:t>, 289–300 (1995).</w:t>
      </w:r>
    </w:p>
    <w:p w14:paraId="41CFD4CE" w14:textId="77777777" w:rsidR="0048093B" w:rsidRPr="0048093B" w:rsidRDefault="0048093B" w:rsidP="0048093B">
      <w:pPr>
        <w:pStyle w:val="Bibliography"/>
      </w:pPr>
      <w:r w:rsidRPr="0048093B">
        <w:t>3.</w:t>
      </w:r>
      <w:r w:rsidRPr="0048093B">
        <w:tab/>
        <w:t>Zander, P. D., Rubach, F. &amp; Martínez-García, A. Large</w:t>
      </w:r>
      <w:r w:rsidRPr="0048093B">
        <w:rPr>
          <w:rFonts w:ascii="Cambria Math" w:hAnsi="Cambria Math" w:cs="Cambria Math"/>
        </w:rPr>
        <w:t>‐</w:t>
      </w:r>
      <w:r w:rsidRPr="0048093B">
        <w:t>Volume Injection and Assessment of Reference Standards for n</w:t>
      </w:r>
      <w:r w:rsidRPr="0048093B">
        <w:rPr>
          <w:rFonts w:ascii="Cambria Math" w:hAnsi="Cambria Math" w:cs="Cambria Math"/>
        </w:rPr>
        <w:t>‐</w:t>
      </w:r>
      <w:r w:rsidRPr="0048093B">
        <w:t xml:space="preserve">Alkane </w:t>
      </w:r>
      <w:r w:rsidRPr="0048093B">
        <w:rPr>
          <w:rFonts w:cs="Arial"/>
        </w:rPr>
        <w:t>δ</w:t>
      </w:r>
      <w:r w:rsidRPr="0048093B">
        <w:t xml:space="preserve">D and </w:t>
      </w:r>
      <w:r w:rsidRPr="0048093B">
        <w:rPr>
          <w:rFonts w:cs="Arial"/>
        </w:rPr>
        <w:t>δ</w:t>
      </w:r>
      <w:r w:rsidRPr="0048093B">
        <w:t xml:space="preserve">13C Analysis via Gas Chromatography Isotope Ratio Mass Spectrometry. </w:t>
      </w:r>
      <w:r w:rsidRPr="0048093B">
        <w:rPr>
          <w:i/>
          <w:iCs/>
        </w:rPr>
        <w:t>Rapid Commun. Mass Spectrom.</w:t>
      </w:r>
      <w:r w:rsidRPr="0048093B">
        <w:t xml:space="preserve"> </w:t>
      </w:r>
      <w:r w:rsidRPr="0048093B">
        <w:rPr>
          <w:b/>
          <w:bCs/>
        </w:rPr>
        <w:t>39</w:t>
      </w:r>
      <w:r w:rsidRPr="0048093B">
        <w:t>, e9943 (2025).</w:t>
      </w:r>
    </w:p>
    <w:p w14:paraId="5D23C152" w14:textId="77777777" w:rsidR="0048093B" w:rsidRPr="0048093B" w:rsidRDefault="0048093B" w:rsidP="0048093B">
      <w:pPr>
        <w:pStyle w:val="Bibliography"/>
      </w:pPr>
      <w:r w:rsidRPr="0048093B">
        <w:t>4.</w:t>
      </w:r>
      <w:r w:rsidRPr="0048093B">
        <w:tab/>
        <w:t xml:space="preserve">Britzius, S., Dreher, F., Maisel, P. &amp; Sirocko, F. Vegetation Patterns during the Last 132,000 Years: A Synthesis from Twelve Eifel Maar Sediment Cores (Germany): The ELSA-23-Pollen-Stack. </w:t>
      </w:r>
      <w:r w:rsidRPr="0048093B">
        <w:rPr>
          <w:i/>
          <w:iCs/>
        </w:rPr>
        <w:t>Quaternary</w:t>
      </w:r>
      <w:r w:rsidRPr="0048093B">
        <w:t xml:space="preserve"> </w:t>
      </w:r>
      <w:r w:rsidRPr="0048093B">
        <w:rPr>
          <w:b/>
          <w:bCs/>
        </w:rPr>
        <w:t>7</w:t>
      </w:r>
      <w:r w:rsidRPr="0048093B">
        <w:t>, 8 (2024).</w:t>
      </w:r>
    </w:p>
    <w:p w14:paraId="3FBC4280" w14:textId="77777777" w:rsidR="0048093B" w:rsidRPr="0048093B" w:rsidRDefault="0048093B" w:rsidP="0048093B">
      <w:pPr>
        <w:pStyle w:val="Bibliography"/>
      </w:pPr>
      <w:r w:rsidRPr="0048093B">
        <w:t>5.</w:t>
      </w:r>
      <w:r w:rsidRPr="0048093B">
        <w:tab/>
        <w:t xml:space="preserve">Konecky, B., Dee, S. G. &amp; Noone, D. C. WaxPSM: A Forward Model of Leaf Wax Hydrogen Isotope Ratios to Bridge Proxy and Model Estimates of Past Climate. </w:t>
      </w:r>
      <w:r w:rsidRPr="0048093B">
        <w:rPr>
          <w:i/>
          <w:iCs/>
        </w:rPr>
        <w:t>J. Geophys. Res. Biogeosciences</w:t>
      </w:r>
      <w:r w:rsidRPr="0048093B">
        <w:t xml:space="preserve"> </w:t>
      </w:r>
      <w:r w:rsidRPr="0048093B">
        <w:rPr>
          <w:b/>
          <w:bCs/>
        </w:rPr>
        <w:t>124</w:t>
      </w:r>
      <w:r w:rsidRPr="0048093B">
        <w:t>, 2107–2125 (2019).</w:t>
      </w:r>
    </w:p>
    <w:p w14:paraId="34500EEE" w14:textId="77777777" w:rsidR="0048093B" w:rsidRPr="0048093B" w:rsidRDefault="0048093B" w:rsidP="0048093B">
      <w:pPr>
        <w:pStyle w:val="Bibliography"/>
      </w:pPr>
      <w:r w:rsidRPr="0048093B">
        <w:t>6.</w:t>
      </w:r>
      <w:r w:rsidRPr="0048093B">
        <w:tab/>
        <w:t xml:space="preserve">Zander, P. D. </w:t>
      </w:r>
      <w:r w:rsidRPr="0048093B">
        <w:rPr>
          <w:i/>
          <w:iCs/>
        </w:rPr>
        <w:t>et al.</w:t>
      </w:r>
      <w:r w:rsidRPr="0048093B">
        <w:t xml:space="preserve"> Reconstruction of warm-season temperatures in central Europe during the past 60 000 years from lacustrine branched glycerol dialkyl glycerol tetraethers (brGDGTs). </w:t>
      </w:r>
      <w:r w:rsidRPr="0048093B">
        <w:rPr>
          <w:i/>
          <w:iCs/>
        </w:rPr>
        <w:t>Clim. Past</w:t>
      </w:r>
      <w:r w:rsidRPr="0048093B">
        <w:t xml:space="preserve"> </w:t>
      </w:r>
      <w:r w:rsidRPr="0048093B">
        <w:rPr>
          <w:b/>
          <w:bCs/>
        </w:rPr>
        <w:t>20</w:t>
      </w:r>
      <w:r w:rsidRPr="0048093B">
        <w:t>, 841–864 (2024).</w:t>
      </w:r>
    </w:p>
    <w:p w14:paraId="7E597F8C" w14:textId="77777777" w:rsidR="0048093B" w:rsidRPr="0048093B" w:rsidRDefault="0048093B" w:rsidP="0048093B">
      <w:pPr>
        <w:pStyle w:val="Bibliography"/>
      </w:pPr>
      <w:r w:rsidRPr="0048093B">
        <w:t>7.</w:t>
      </w:r>
      <w:r w:rsidRPr="0048093B">
        <w:tab/>
        <w:t>IAEA/WMO. Global Network of Isotopes in Precipitation, GNIP database. (2024).</w:t>
      </w:r>
    </w:p>
    <w:p w14:paraId="4A7F1BD0" w14:textId="77777777" w:rsidR="0048093B" w:rsidRPr="0048093B" w:rsidRDefault="0048093B" w:rsidP="0048093B">
      <w:pPr>
        <w:pStyle w:val="Bibliography"/>
      </w:pPr>
      <w:r w:rsidRPr="0048093B">
        <w:t>8.</w:t>
      </w:r>
      <w:r w:rsidRPr="0048093B">
        <w:tab/>
        <w:t xml:space="preserve">Tierney, J. E., DeMenocal, P. B. &amp; Zander, P. D. A climatic context for the out-of-Africa migration. </w:t>
      </w:r>
      <w:r w:rsidRPr="0048093B">
        <w:rPr>
          <w:i/>
          <w:iCs/>
        </w:rPr>
        <w:t>Geology</w:t>
      </w:r>
      <w:r w:rsidRPr="0048093B">
        <w:t xml:space="preserve"> </w:t>
      </w:r>
      <w:r w:rsidRPr="0048093B">
        <w:rPr>
          <w:b/>
          <w:bCs/>
        </w:rPr>
        <w:t>45</w:t>
      </w:r>
      <w:r w:rsidRPr="0048093B">
        <w:t>, 1023–1026 (2017).</w:t>
      </w:r>
    </w:p>
    <w:p w14:paraId="095AE171" w14:textId="77777777" w:rsidR="0048093B" w:rsidRPr="0048093B" w:rsidRDefault="0048093B" w:rsidP="0048093B">
      <w:pPr>
        <w:pStyle w:val="Bibliography"/>
      </w:pPr>
      <w:r w:rsidRPr="0048093B">
        <w:t>9.</w:t>
      </w:r>
      <w:r w:rsidRPr="0048093B">
        <w:tab/>
        <w:t xml:space="preserve">Lisiecki, L. E. &amp; Raymo, M. E. A Pliocene-Pleistocene stack of 57 globally distributed benthic δ18O records. </w:t>
      </w:r>
      <w:r w:rsidRPr="0048093B">
        <w:rPr>
          <w:i/>
          <w:iCs/>
        </w:rPr>
        <w:t>Paleoceanography</w:t>
      </w:r>
      <w:r w:rsidRPr="0048093B">
        <w:t xml:space="preserve"> </w:t>
      </w:r>
      <w:r w:rsidRPr="0048093B">
        <w:rPr>
          <w:b/>
          <w:bCs/>
        </w:rPr>
        <w:t>20</w:t>
      </w:r>
      <w:r w:rsidRPr="0048093B">
        <w:t>, (2005).</w:t>
      </w:r>
    </w:p>
    <w:p w14:paraId="7E876E95" w14:textId="77777777" w:rsidR="0048093B" w:rsidRPr="0048093B" w:rsidRDefault="0048093B" w:rsidP="0048093B">
      <w:pPr>
        <w:pStyle w:val="Bibliography"/>
      </w:pPr>
      <w:r w:rsidRPr="0048093B">
        <w:t>10.</w:t>
      </w:r>
      <w:r w:rsidRPr="0048093B">
        <w:tab/>
        <w:t xml:space="preserve">Schrag, D. P., Hampt, G. &amp; Murray, D. W. Pore Fluid Constraints on the Temperature and Oxygen Isotopic Composition of the Glacial Ocean. </w:t>
      </w:r>
      <w:r w:rsidRPr="0048093B">
        <w:rPr>
          <w:i/>
          <w:iCs/>
        </w:rPr>
        <w:t>Science</w:t>
      </w:r>
      <w:r w:rsidRPr="0048093B">
        <w:t xml:space="preserve"> </w:t>
      </w:r>
      <w:r w:rsidRPr="0048093B">
        <w:rPr>
          <w:b/>
          <w:bCs/>
        </w:rPr>
        <w:t>272</w:t>
      </w:r>
      <w:r w:rsidRPr="0048093B">
        <w:t>, 1930–1932 (1996).</w:t>
      </w:r>
    </w:p>
    <w:p w14:paraId="2CAA55B9" w14:textId="77777777" w:rsidR="0048093B" w:rsidRPr="0048093B" w:rsidRDefault="0048093B" w:rsidP="0048093B">
      <w:pPr>
        <w:pStyle w:val="Bibliography"/>
      </w:pPr>
      <w:r w:rsidRPr="0048093B">
        <w:t>11.</w:t>
      </w:r>
      <w:r w:rsidRPr="0048093B">
        <w:tab/>
        <w:t xml:space="preserve">Rach, O., Brauer, A., Wilkes, H. &amp; Sachse, D. Delayed hydrological response to Greenland cooling at the onset of the Younger Dryas in western Europe. </w:t>
      </w:r>
      <w:r w:rsidRPr="0048093B">
        <w:rPr>
          <w:i/>
          <w:iCs/>
        </w:rPr>
        <w:t>Nat. Geosci.</w:t>
      </w:r>
      <w:r w:rsidRPr="0048093B">
        <w:t xml:space="preserve"> </w:t>
      </w:r>
      <w:r w:rsidRPr="0048093B">
        <w:rPr>
          <w:b/>
          <w:bCs/>
        </w:rPr>
        <w:t>7</w:t>
      </w:r>
      <w:r w:rsidRPr="0048093B">
        <w:t>, 109–112 (2014).</w:t>
      </w:r>
    </w:p>
    <w:p w14:paraId="1DA75CF8" w14:textId="77777777" w:rsidR="0048093B" w:rsidRPr="0048093B" w:rsidRDefault="0048093B" w:rsidP="0048093B">
      <w:pPr>
        <w:pStyle w:val="Bibliography"/>
      </w:pPr>
      <w:r w:rsidRPr="0048093B">
        <w:t>12.</w:t>
      </w:r>
      <w:r w:rsidRPr="0048093B">
        <w:tab/>
        <w:t xml:space="preserve">Rach, O., Kahmen, A., Brauer, A. &amp; Sachse, D. A dual-biomarker approach for quantification of changes in relative humidity from sedimentary lipid D/H ratios. </w:t>
      </w:r>
      <w:r w:rsidRPr="0048093B">
        <w:rPr>
          <w:i/>
          <w:iCs/>
        </w:rPr>
        <w:t>Clim. Past</w:t>
      </w:r>
      <w:r w:rsidRPr="0048093B">
        <w:t xml:space="preserve"> </w:t>
      </w:r>
      <w:r w:rsidRPr="0048093B">
        <w:rPr>
          <w:b/>
          <w:bCs/>
        </w:rPr>
        <w:t>13</w:t>
      </w:r>
      <w:r w:rsidRPr="0048093B">
        <w:t>, 741–757 (2017).</w:t>
      </w:r>
    </w:p>
    <w:p w14:paraId="7C393E04" w14:textId="7B2F6161" w:rsidR="001808CB" w:rsidRPr="009F7A01" w:rsidRDefault="00D91E33" w:rsidP="009F7A01">
      <w:pPr>
        <w:rPr>
          <w:rFonts w:cs="Arial"/>
          <w:szCs w:val="20"/>
        </w:rPr>
      </w:pPr>
      <w:r>
        <w:rPr>
          <w:rFonts w:cs="Arial"/>
          <w:szCs w:val="20"/>
        </w:rPr>
        <w:lastRenderedPageBreak/>
        <w:fldChar w:fldCharType="end"/>
      </w:r>
    </w:p>
    <w:sectPr w:rsidR="001808CB" w:rsidRPr="009F7A01" w:rsidSect="00F337F8">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A7E6C"/>
    <w:multiLevelType w:val="hybridMultilevel"/>
    <w:tmpl w:val="7D849AE6"/>
    <w:lvl w:ilvl="0" w:tplc="DDA499F6">
      <w:start w:val="1"/>
      <w:numFmt w:val="bullet"/>
      <w:lvlText w:val=""/>
      <w:lvlJc w:val="left"/>
      <w:pPr>
        <w:ind w:left="2160" w:hanging="360"/>
      </w:pPr>
      <w:rPr>
        <w:rFonts w:ascii="Symbol" w:hAnsi="Symbol"/>
      </w:rPr>
    </w:lvl>
    <w:lvl w:ilvl="1" w:tplc="13B20C36">
      <w:start w:val="1"/>
      <w:numFmt w:val="bullet"/>
      <w:lvlText w:val=""/>
      <w:lvlJc w:val="left"/>
      <w:pPr>
        <w:ind w:left="2160" w:hanging="360"/>
      </w:pPr>
      <w:rPr>
        <w:rFonts w:ascii="Symbol" w:hAnsi="Symbol"/>
      </w:rPr>
    </w:lvl>
    <w:lvl w:ilvl="2" w:tplc="C3369D7A">
      <w:start w:val="1"/>
      <w:numFmt w:val="bullet"/>
      <w:lvlText w:val=""/>
      <w:lvlJc w:val="left"/>
      <w:pPr>
        <w:ind w:left="2160" w:hanging="360"/>
      </w:pPr>
      <w:rPr>
        <w:rFonts w:ascii="Symbol" w:hAnsi="Symbol"/>
      </w:rPr>
    </w:lvl>
    <w:lvl w:ilvl="3" w:tplc="E548B11E">
      <w:start w:val="1"/>
      <w:numFmt w:val="bullet"/>
      <w:lvlText w:val=""/>
      <w:lvlJc w:val="left"/>
      <w:pPr>
        <w:ind w:left="2160" w:hanging="360"/>
      </w:pPr>
      <w:rPr>
        <w:rFonts w:ascii="Symbol" w:hAnsi="Symbol"/>
      </w:rPr>
    </w:lvl>
    <w:lvl w:ilvl="4" w:tplc="7EF4C934">
      <w:start w:val="1"/>
      <w:numFmt w:val="bullet"/>
      <w:lvlText w:val=""/>
      <w:lvlJc w:val="left"/>
      <w:pPr>
        <w:ind w:left="2160" w:hanging="360"/>
      </w:pPr>
      <w:rPr>
        <w:rFonts w:ascii="Symbol" w:hAnsi="Symbol"/>
      </w:rPr>
    </w:lvl>
    <w:lvl w:ilvl="5" w:tplc="60CAB8E2">
      <w:start w:val="1"/>
      <w:numFmt w:val="bullet"/>
      <w:lvlText w:val=""/>
      <w:lvlJc w:val="left"/>
      <w:pPr>
        <w:ind w:left="2160" w:hanging="360"/>
      </w:pPr>
      <w:rPr>
        <w:rFonts w:ascii="Symbol" w:hAnsi="Symbol"/>
      </w:rPr>
    </w:lvl>
    <w:lvl w:ilvl="6" w:tplc="4BA6A73C">
      <w:start w:val="1"/>
      <w:numFmt w:val="bullet"/>
      <w:lvlText w:val=""/>
      <w:lvlJc w:val="left"/>
      <w:pPr>
        <w:ind w:left="2160" w:hanging="360"/>
      </w:pPr>
      <w:rPr>
        <w:rFonts w:ascii="Symbol" w:hAnsi="Symbol"/>
      </w:rPr>
    </w:lvl>
    <w:lvl w:ilvl="7" w:tplc="41A6FBA0">
      <w:start w:val="1"/>
      <w:numFmt w:val="bullet"/>
      <w:lvlText w:val=""/>
      <w:lvlJc w:val="left"/>
      <w:pPr>
        <w:ind w:left="2160" w:hanging="360"/>
      </w:pPr>
      <w:rPr>
        <w:rFonts w:ascii="Symbol" w:hAnsi="Symbol"/>
      </w:rPr>
    </w:lvl>
    <w:lvl w:ilvl="8" w:tplc="B804EBCE">
      <w:start w:val="1"/>
      <w:numFmt w:val="bullet"/>
      <w:lvlText w:val=""/>
      <w:lvlJc w:val="left"/>
      <w:pPr>
        <w:ind w:left="2160" w:hanging="360"/>
      </w:pPr>
      <w:rPr>
        <w:rFonts w:ascii="Symbol" w:hAnsi="Symbol"/>
      </w:rPr>
    </w:lvl>
  </w:abstractNum>
  <w:abstractNum w:abstractNumId="1" w15:restartNumberingAfterBreak="0">
    <w:nsid w:val="0DA11AEE"/>
    <w:multiLevelType w:val="hybridMultilevel"/>
    <w:tmpl w:val="A1420C22"/>
    <w:lvl w:ilvl="0" w:tplc="B09241A0">
      <w:start w:val="1"/>
      <w:numFmt w:val="bullet"/>
      <w:lvlText w:val=""/>
      <w:lvlJc w:val="left"/>
      <w:pPr>
        <w:ind w:left="2160" w:hanging="360"/>
      </w:pPr>
      <w:rPr>
        <w:rFonts w:ascii="Symbol" w:hAnsi="Symbol"/>
      </w:rPr>
    </w:lvl>
    <w:lvl w:ilvl="1" w:tplc="0DE21892">
      <w:start w:val="1"/>
      <w:numFmt w:val="bullet"/>
      <w:lvlText w:val=""/>
      <w:lvlJc w:val="left"/>
      <w:pPr>
        <w:ind w:left="2160" w:hanging="360"/>
      </w:pPr>
      <w:rPr>
        <w:rFonts w:ascii="Symbol" w:hAnsi="Symbol"/>
      </w:rPr>
    </w:lvl>
    <w:lvl w:ilvl="2" w:tplc="E876B28E">
      <w:start w:val="1"/>
      <w:numFmt w:val="bullet"/>
      <w:lvlText w:val=""/>
      <w:lvlJc w:val="left"/>
      <w:pPr>
        <w:ind w:left="2160" w:hanging="360"/>
      </w:pPr>
      <w:rPr>
        <w:rFonts w:ascii="Symbol" w:hAnsi="Symbol"/>
      </w:rPr>
    </w:lvl>
    <w:lvl w:ilvl="3" w:tplc="8070C782">
      <w:start w:val="1"/>
      <w:numFmt w:val="bullet"/>
      <w:lvlText w:val=""/>
      <w:lvlJc w:val="left"/>
      <w:pPr>
        <w:ind w:left="2160" w:hanging="360"/>
      </w:pPr>
      <w:rPr>
        <w:rFonts w:ascii="Symbol" w:hAnsi="Symbol"/>
      </w:rPr>
    </w:lvl>
    <w:lvl w:ilvl="4" w:tplc="7C74E0EE">
      <w:start w:val="1"/>
      <w:numFmt w:val="bullet"/>
      <w:lvlText w:val=""/>
      <w:lvlJc w:val="left"/>
      <w:pPr>
        <w:ind w:left="2160" w:hanging="360"/>
      </w:pPr>
      <w:rPr>
        <w:rFonts w:ascii="Symbol" w:hAnsi="Symbol"/>
      </w:rPr>
    </w:lvl>
    <w:lvl w:ilvl="5" w:tplc="C1021806">
      <w:start w:val="1"/>
      <w:numFmt w:val="bullet"/>
      <w:lvlText w:val=""/>
      <w:lvlJc w:val="left"/>
      <w:pPr>
        <w:ind w:left="2160" w:hanging="360"/>
      </w:pPr>
      <w:rPr>
        <w:rFonts w:ascii="Symbol" w:hAnsi="Symbol"/>
      </w:rPr>
    </w:lvl>
    <w:lvl w:ilvl="6" w:tplc="ECD8CD06">
      <w:start w:val="1"/>
      <w:numFmt w:val="bullet"/>
      <w:lvlText w:val=""/>
      <w:lvlJc w:val="left"/>
      <w:pPr>
        <w:ind w:left="2160" w:hanging="360"/>
      </w:pPr>
      <w:rPr>
        <w:rFonts w:ascii="Symbol" w:hAnsi="Symbol"/>
      </w:rPr>
    </w:lvl>
    <w:lvl w:ilvl="7" w:tplc="DB0046B2">
      <w:start w:val="1"/>
      <w:numFmt w:val="bullet"/>
      <w:lvlText w:val=""/>
      <w:lvlJc w:val="left"/>
      <w:pPr>
        <w:ind w:left="2160" w:hanging="360"/>
      </w:pPr>
      <w:rPr>
        <w:rFonts w:ascii="Symbol" w:hAnsi="Symbol"/>
      </w:rPr>
    </w:lvl>
    <w:lvl w:ilvl="8" w:tplc="AA2A767C">
      <w:start w:val="1"/>
      <w:numFmt w:val="bullet"/>
      <w:lvlText w:val=""/>
      <w:lvlJc w:val="left"/>
      <w:pPr>
        <w:ind w:left="2160" w:hanging="360"/>
      </w:pPr>
      <w:rPr>
        <w:rFonts w:ascii="Symbol" w:hAnsi="Symbol"/>
      </w:rPr>
    </w:lvl>
  </w:abstractNum>
  <w:abstractNum w:abstractNumId="2" w15:restartNumberingAfterBreak="0">
    <w:nsid w:val="0EF57949"/>
    <w:multiLevelType w:val="hybridMultilevel"/>
    <w:tmpl w:val="01E04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5B0E42"/>
    <w:multiLevelType w:val="hybridMultilevel"/>
    <w:tmpl w:val="72D865B6"/>
    <w:lvl w:ilvl="0" w:tplc="88D6DCD8">
      <w:start w:val="1"/>
      <w:numFmt w:val="bullet"/>
      <w:lvlText w:val=""/>
      <w:lvlJc w:val="left"/>
      <w:pPr>
        <w:ind w:left="2160" w:hanging="360"/>
      </w:pPr>
      <w:rPr>
        <w:rFonts w:ascii="Symbol" w:hAnsi="Symbol"/>
      </w:rPr>
    </w:lvl>
    <w:lvl w:ilvl="1" w:tplc="FB92B846">
      <w:start w:val="1"/>
      <w:numFmt w:val="bullet"/>
      <w:lvlText w:val=""/>
      <w:lvlJc w:val="left"/>
      <w:pPr>
        <w:ind w:left="2160" w:hanging="360"/>
      </w:pPr>
      <w:rPr>
        <w:rFonts w:ascii="Symbol" w:hAnsi="Symbol"/>
      </w:rPr>
    </w:lvl>
    <w:lvl w:ilvl="2" w:tplc="FCB6550C">
      <w:start w:val="1"/>
      <w:numFmt w:val="bullet"/>
      <w:lvlText w:val=""/>
      <w:lvlJc w:val="left"/>
      <w:pPr>
        <w:ind w:left="2160" w:hanging="360"/>
      </w:pPr>
      <w:rPr>
        <w:rFonts w:ascii="Symbol" w:hAnsi="Symbol"/>
      </w:rPr>
    </w:lvl>
    <w:lvl w:ilvl="3" w:tplc="27C4FAE6">
      <w:start w:val="1"/>
      <w:numFmt w:val="bullet"/>
      <w:lvlText w:val=""/>
      <w:lvlJc w:val="left"/>
      <w:pPr>
        <w:ind w:left="2160" w:hanging="360"/>
      </w:pPr>
      <w:rPr>
        <w:rFonts w:ascii="Symbol" w:hAnsi="Symbol"/>
      </w:rPr>
    </w:lvl>
    <w:lvl w:ilvl="4" w:tplc="12C4693A">
      <w:start w:val="1"/>
      <w:numFmt w:val="bullet"/>
      <w:lvlText w:val=""/>
      <w:lvlJc w:val="left"/>
      <w:pPr>
        <w:ind w:left="2160" w:hanging="360"/>
      </w:pPr>
      <w:rPr>
        <w:rFonts w:ascii="Symbol" w:hAnsi="Symbol"/>
      </w:rPr>
    </w:lvl>
    <w:lvl w:ilvl="5" w:tplc="68E0AEE8">
      <w:start w:val="1"/>
      <w:numFmt w:val="bullet"/>
      <w:lvlText w:val=""/>
      <w:lvlJc w:val="left"/>
      <w:pPr>
        <w:ind w:left="2160" w:hanging="360"/>
      </w:pPr>
      <w:rPr>
        <w:rFonts w:ascii="Symbol" w:hAnsi="Symbol"/>
      </w:rPr>
    </w:lvl>
    <w:lvl w:ilvl="6" w:tplc="8654C75A">
      <w:start w:val="1"/>
      <w:numFmt w:val="bullet"/>
      <w:lvlText w:val=""/>
      <w:lvlJc w:val="left"/>
      <w:pPr>
        <w:ind w:left="2160" w:hanging="360"/>
      </w:pPr>
      <w:rPr>
        <w:rFonts w:ascii="Symbol" w:hAnsi="Symbol"/>
      </w:rPr>
    </w:lvl>
    <w:lvl w:ilvl="7" w:tplc="3E04B102">
      <w:start w:val="1"/>
      <w:numFmt w:val="bullet"/>
      <w:lvlText w:val=""/>
      <w:lvlJc w:val="left"/>
      <w:pPr>
        <w:ind w:left="2160" w:hanging="360"/>
      </w:pPr>
      <w:rPr>
        <w:rFonts w:ascii="Symbol" w:hAnsi="Symbol"/>
      </w:rPr>
    </w:lvl>
    <w:lvl w:ilvl="8" w:tplc="2FA64C66">
      <w:start w:val="1"/>
      <w:numFmt w:val="bullet"/>
      <w:lvlText w:val=""/>
      <w:lvlJc w:val="left"/>
      <w:pPr>
        <w:ind w:left="2160" w:hanging="360"/>
      </w:pPr>
      <w:rPr>
        <w:rFonts w:ascii="Symbol" w:hAnsi="Symbol"/>
      </w:rPr>
    </w:lvl>
  </w:abstractNum>
  <w:abstractNum w:abstractNumId="4" w15:restartNumberingAfterBreak="0">
    <w:nsid w:val="22F54393"/>
    <w:multiLevelType w:val="hybridMultilevel"/>
    <w:tmpl w:val="3446C894"/>
    <w:lvl w:ilvl="0" w:tplc="7D883A9A">
      <w:start w:val="1"/>
      <w:numFmt w:val="bullet"/>
      <w:lvlText w:val=""/>
      <w:lvlJc w:val="left"/>
      <w:pPr>
        <w:ind w:left="2160" w:hanging="360"/>
      </w:pPr>
      <w:rPr>
        <w:rFonts w:ascii="Symbol" w:hAnsi="Symbol"/>
      </w:rPr>
    </w:lvl>
    <w:lvl w:ilvl="1" w:tplc="A3044140">
      <w:start w:val="1"/>
      <w:numFmt w:val="bullet"/>
      <w:lvlText w:val=""/>
      <w:lvlJc w:val="left"/>
      <w:pPr>
        <w:ind w:left="2160" w:hanging="360"/>
      </w:pPr>
      <w:rPr>
        <w:rFonts w:ascii="Symbol" w:hAnsi="Symbol"/>
      </w:rPr>
    </w:lvl>
    <w:lvl w:ilvl="2" w:tplc="C8667B1C">
      <w:start w:val="1"/>
      <w:numFmt w:val="bullet"/>
      <w:lvlText w:val=""/>
      <w:lvlJc w:val="left"/>
      <w:pPr>
        <w:ind w:left="2160" w:hanging="360"/>
      </w:pPr>
      <w:rPr>
        <w:rFonts w:ascii="Symbol" w:hAnsi="Symbol"/>
      </w:rPr>
    </w:lvl>
    <w:lvl w:ilvl="3" w:tplc="56009340">
      <w:start w:val="1"/>
      <w:numFmt w:val="bullet"/>
      <w:lvlText w:val=""/>
      <w:lvlJc w:val="left"/>
      <w:pPr>
        <w:ind w:left="2160" w:hanging="360"/>
      </w:pPr>
      <w:rPr>
        <w:rFonts w:ascii="Symbol" w:hAnsi="Symbol"/>
      </w:rPr>
    </w:lvl>
    <w:lvl w:ilvl="4" w:tplc="95D485BA">
      <w:start w:val="1"/>
      <w:numFmt w:val="bullet"/>
      <w:lvlText w:val=""/>
      <w:lvlJc w:val="left"/>
      <w:pPr>
        <w:ind w:left="2160" w:hanging="360"/>
      </w:pPr>
      <w:rPr>
        <w:rFonts w:ascii="Symbol" w:hAnsi="Symbol"/>
      </w:rPr>
    </w:lvl>
    <w:lvl w:ilvl="5" w:tplc="BC7A119C">
      <w:start w:val="1"/>
      <w:numFmt w:val="bullet"/>
      <w:lvlText w:val=""/>
      <w:lvlJc w:val="left"/>
      <w:pPr>
        <w:ind w:left="2160" w:hanging="360"/>
      </w:pPr>
      <w:rPr>
        <w:rFonts w:ascii="Symbol" w:hAnsi="Symbol"/>
      </w:rPr>
    </w:lvl>
    <w:lvl w:ilvl="6" w:tplc="D93E97A4">
      <w:start w:val="1"/>
      <w:numFmt w:val="bullet"/>
      <w:lvlText w:val=""/>
      <w:lvlJc w:val="left"/>
      <w:pPr>
        <w:ind w:left="2160" w:hanging="360"/>
      </w:pPr>
      <w:rPr>
        <w:rFonts w:ascii="Symbol" w:hAnsi="Symbol"/>
      </w:rPr>
    </w:lvl>
    <w:lvl w:ilvl="7" w:tplc="DBBA1502">
      <w:start w:val="1"/>
      <w:numFmt w:val="bullet"/>
      <w:lvlText w:val=""/>
      <w:lvlJc w:val="left"/>
      <w:pPr>
        <w:ind w:left="2160" w:hanging="360"/>
      </w:pPr>
      <w:rPr>
        <w:rFonts w:ascii="Symbol" w:hAnsi="Symbol"/>
      </w:rPr>
    </w:lvl>
    <w:lvl w:ilvl="8" w:tplc="6E74C5A8">
      <w:start w:val="1"/>
      <w:numFmt w:val="bullet"/>
      <w:lvlText w:val=""/>
      <w:lvlJc w:val="left"/>
      <w:pPr>
        <w:ind w:left="2160" w:hanging="360"/>
      </w:pPr>
      <w:rPr>
        <w:rFonts w:ascii="Symbol" w:hAnsi="Symbol"/>
      </w:rPr>
    </w:lvl>
  </w:abstractNum>
  <w:abstractNum w:abstractNumId="5" w15:restartNumberingAfterBreak="0">
    <w:nsid w:val="46932C7D"/>
    <w:multiLevelType w:val="hybridMultilevel"/>
    <w:tmpl w:val="C77802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78A4C79"/>
    <w:multiLevelType w:val="hybridMultilevel"/>
    <w:tmpl w:val="17D831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9D656E9"/>
    <w:multiLevelType w:val="hybridMultilevel"/>
    <w:tmpl w:val="BD0E79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291CDC"/>
    <w:multiLevelType w:val="hybridMultilevel"/>
    <w:tmpl w:val="C64602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84507E"/>
    <w:multiLevelType w:val="hybridMultilevel"/>
    <w:tmpl w:val="759097C0"/>
    <w:lvl w:ilvl="0" w:tplc="283A7F0E">
      <w:start w:val="1"/>
      <w:numFmt w:val="bullet"/>
      <w:lvlText w:val=""/>
      <w:lvlJc w:val="left"/>
      <w:pPr>
        <w:ind w:left="2160" w:hanging="360"/>
      </w:pPr>
      <w:rPr>
        <w:rFonts w:ascii="Symbol" w:hAnsi="Symbol"/>
      </w:rPr>
    </w:lvl>
    <w:lvl w:ilvl="1" w:tplc="9B7C48F8">
      <w:start w:val="1"/>
      <w:numFmt w:val="bullet"/>
      <w:lvlText w:val=""/>
      <w:lvlJc w:val="left"/>
      <w:pPr>
        <w:ind w:left="2160" w:hanging="360"/>
      </w:pPr>
      <w:rPr>
        <w:rFonts w:ascii="Symbol" w:hAnsi="Symbol"/>
      </w:rPr>
    </w:lvl>
    <w:lvl w:ilvl="2" w:tplc="D0F04096">
      <w:start w:val="1"/>
      <w:numFmt w:val="bullet"/>
      <w:lvlText w:val=""/>
      <w:lvlJc w:val="left"/>
      <w:pPr>
        <w:ind w:left="2160" w:hanging="360"/>
      </w:pPr>
      <w:rPr>
        <w:rFonts w:ascii="Symbol" w:hAnsi="Symbol"/>
      </w:rPr>
    </w:lvl>
    <w:lvl w:ilvl="3" w:tplc="23C0ED22">
      <w:start w:val="1"/>
      <w:numFmt w:val="bullet"/>
      <w:lvlText w:val=""/>
      <w:lvlJc w:val="left"/>
      <w:pPr>
        <w:ind w:left="2160" w:hanging="360"/>
      </w:pPr>
      <w:rPr>
        <w:rFonts w:ascii="Symbol" w:hAnsi="Symbol"/>
      </w:rPr>
    </w:lvl>
    <w:lvl w:ilvl="4" w:tplc="B2F85FA8">
      <w:start w:val="1"/>
      <w:numFmt w:val="bullet"/>
      <w:lvlText w:val=""/>
      <w:lvlJc w:val="left"/>
      <w:pPr>
        <w:ind w:left="2160" w:hanging="360"/>
      </w:pPr>
      <w:rPr>
        <w:rFonts w:ascii="Symbol" w:hAnsi="Symbol"/>
      </w:rPr>
    </w:lvl>
    <w:lvl w:ilvl="5" w:tplc="0A2E0106">
      <w:start w:val="1"/>
      <w:numFmt w:val="bullet"/>
      <w:lvlText w:val=""/>
      <w:lvlJc w:val="left"/>
      <w:pPr>
        <w:ind w:left="2160" w:hanging="360"/>
      </w:pPr>
      <w:rPr>
        <w:rFonts w:ascii="Symbol" w:hAnsi="Symbol"/>
      </w:rPr>
    </w:lvl>
    <w:lvl w:ilvl="6" w:tplc="AFD29F0A">
      <w:start w:val="1"/>
      <w:numFmt w:val="bullet"/>
      <w:lvlText w:val=""/>
      <w:lvlJc w:val="left"/>
      <w:pPr>
        <w:ind w:left="2160" w:hanging="360"/>
      </w:pPr>
      <w:rPr>
        <w:rFonts w:ascii="Symbol" w:hAnsi="Symbol"/>
      </w:rPr>
    </w:lvl>
    <w:lvl w:ilvl="7" w:tplc="E890A31A">
      <w:start w:val="1"/>
      <w:numFmt w:val="bullet"/>
      <w:lvlText w:val=""/>
      <w:lvlJc w:val="left"/>
      <w:pPr>
        <w:ind w:left="2160" w:hanging="360"/>
      </w:pPr>
      <w:rPr>
        <w:rFonts w:ascii="Symbol" w:hAnsi="Symbol"/>
      </w:rPr>
    </w:lvl>
    <w:lvl w:ilvl="8" w:tplc="AF724EE2">
      <w:start w:val="1"/>
      <w:numFmt w:val="bullet"/>
      <w:lvlText w:val=""/>
      <w:lvlJc w:val="left"/>
      <w:pPr>
        <w:ind w:left="2160" w:hanging="360"/>
      </w:pPr>
      <w:rPr>
        <w:rFonts w:ascii="Symbol" w:hAnsi="Symbol"/>
      </w:rPr>
    </w:lvl>
  </w:abstractNum>
  <w:abstractNum w:abstractNumId="10" w15:restartNumberingAfterBreak="0">
    <w:nsid w:val="5CAB658A"/>
    <w:multiLevelType w:val="hybridMultilevel"/>
    <w:tmpl w:val="3DF699C2"/>
    <w:lvl w:ilvl="0" w:tplc="18247494">
      <w:start w:val="1"/>
      <w:numFmt w:val="bullet"/>
      <w:lvlText w:val=""/>
      <w:lvlJc w:val="left"/>
      <w:pPr>
        <w:ind w:left="1440" w:hanging="360"/>
      </w:pPr>
      <w:rPr>
        <w:rFonts w:ascii="Symbol" w:hAnsi="Symbol"/>
      </w:rPr>
    </w:lvl>
    <w:lvl w:ilvl="1" w:tplc="BBB21070">
      <w:start w:val="1"/>
      <w:numFmt w:val="bullet"/>
      <w:lvlText w:val=""/>
      <w:lvlJc w:val="left"/>
      <w:pPr>
        <w:ind w:left="1440" w:hanging="360"/>
      </w:pPr>
      <w:rPr>
        <w:rFonts w:ascii="Symbol" w:hAnsi="Symbol"/>
      </w:rPr>
    </w:lvl>
    <w:lvl w:ilvl="2" w:tplc="FAE6EDD2">
      <w:start w:val="1"/>
      <w:numFmt w:val="bullet"/>
      <w:lvlText w:val=""/>
      <w:lvlJc w:val="left"/>
      <w:pPr>
        <w:ind w:left="1440" w:hanging="360"/>
      </w:pPr>
      <w:rPr>
        <w:rFonts w:ascii="Symbol" w:hAnsi="Symbol"/>
      </w:rPr>
    </w:lvl>
    <w:lvl w:ilvl="3" w:tplc="3D881C38">
      <w:start w:val="1"/>
      <w:numFmt w:val="bullet"/>
      <w:lvlText w:val=""/>
      <w:lvlJc w:val="left"/>
      <w:pPr>
        <w:ind w:left="1440" w:hanging="360"/>
      </w:pPr>
      <w:rPr>
        <w:rFonts w:ascii="Symbol" w:hAnsi="Symbol"/>
      </w:rPr>
    </w:lvl>
    <w:lvl w:ilvl="4" w:tplc="16E8391E">
      <w:start w:val="1"/>
      <w:numFmt w:val="bullet"/>
      <w:lvlText w:val=""/>
      <w:lvlJc w:val="left"/>
      <w:pPr>
        <w:ind w:left="1440" w:hanging="360"/>
      </w:pPr>
      <w:rPr>
        <w:rFonts w:ascii="Symbol" w:hAnsi="Symbol"/>
      </w:rPr>
    </w:lvl>
    <w:lvl w:ilvl="5" w:tplc="7DA0D872">
      <w:start w:val="1"/>
      <w:numFmt w:val="bullet"/>
      <w:lvlText w:val=""/>
      <w:lvlJc w:val="left"/>
      <w:pPr>
        <w:ind w:left="1440" w:hanging="360"/>
      </w:pPr>
      <w:rPr>
        <w:rFonts w:ascii="Symbol" w:hAnsi="Symbol"/>
      </w:rPr>
    </w:lvl>
    <w:lvl w:ilvl="6" w:tplc="2C448956">
      <w:start w:val="1"/>
      <w:numFmt w:val="bullet"/>
      <w:lvlText w:val=""/>
      <w:lvlJc w:val="left"/>
      <w:pPr>
        <w:ind w:left="1440" w:hanging="360"/>
      </w:pPr>
      <w:rPr>
        <w:rFonts w:ascii="Symbol" w:hAnsi="Symbol"/>
      </w:rPr>
    </w:lvl>
    <w:lvl w:ilvl="7" w:tplc="3C6E9BC8">
      <w:start w:val="1"/>
      <w:numFmt w:val="bullet"/>
      <w:lvlText w:val=""/>
      <w:lvlJc w:val="left"/>
      <w:pPr>
        <w:ind w:left="1440" w:hanging="360"/>
      </w:pPr>
      <w:rPr>
        <w:rFonts w:ascii="Symbol" w:hAnsi="Symbol"/>
      </w:rPr>
    </w:lvl>
    <w:lvl w:ilvl="8" w:tplc="C362383E">
      <w:start w:val="1"/>
      <w:numFmt w:val="bullet"/>
      <w:lvlText w:val=""/>
      <w:lvlJc w:val="left"/>
      <w:pPr>
        <w:ind w:left="1440" w:hanging="360"/>
      </w:pPr>
      <w:rPr>
        <w:rFonts w:ascii="Symbol" w:hAnsi="Symbol"/>
      </w:rPr>
    </w:lvl>
  </w:abstractNum>
  <w:abstractNum w:abstractNumId="11" w15:restartNumberingAfterBreak="0">
    <w:nsid w:val="65A5442F"/>
    <w:multiLevelType w:val="hybridMultilevel"/>
    <w:tmpl w:val="E78A600A"/>
    <w:lvl w:ilvl="0" w:tplc="D4B84974">
      <w:start w:val="1"/>
      <w:numFmt w:val="bullet"/>
      <w:lvlText w:val=""/>
      <w:lvlJc w:val="left"/>
      <w:pPr>
        <w:ind w:left="720" w:hanging="360"/>
      </w:pPr>
      <w:rPr>
        <w:rFonts w:ascii="Symbol" w:hAnsi="Symbol"/>
      </w:rPr>
    </w:lvl>
    <w:lvl w:ilvl="1" w:tplc="70AE6684">
      <w:start w:val="1"/>
      <w:numFmt w:val="bullet"/>
      <w:lvlText w:val=""/>
      <w:lvlJc w:val="left"/>
      <w:pPr>
        <w:ind w:left="720" w:hanging="360"/>
      </w:pPr>
      <w:rPr>
        <w:rFonts w:ascii="Symbol" w:hAnsi="Symbol"/>
      </w:rPr>
    </w:lvl>
    <w:lvl w:ilvl="2" w:tplc="346EB238">
      <w:start w:val="1"/>
      <w:numFmt w:val="bullet"/>
      <w:lvlText w:val=""/>
      <w:lvlJc w:val="left"/>
      <w:pPr>
        <w:ind w:left="720" w:hanging="360"/>
      </w:pPr>
      <w:rPr>
        <w:rFonts w:ascii="Symbol" w:hAnsi="Symbol"/>
      </w:rPr>
    </w:lvl>
    <w:lvl w:ilvl="3" w:tplc="80B6540E">
      <w:start w:val="1"/>
      <w:numFmt w:val="bullet"/>
      <w:lvlText w:val=""/>
      <w:lvlJc w:val="left"/>
      <w:pPr>
        <w:ind w:left="720" w:hanging="360"/>
      </w:pPr>
      <w:rPr>
        <w:rFonts w:ascii="Symbol" w:hAnsi="Symbol"/>
      </w:rPr>
    </w:lvl>
    <w:lvl w:ilvl="4" w:tplc="11404540">
      <w:start w:val="1"/>
      <w:numFmt w:val="bullet"/>
      <w:lvlText w:val=""/>
      <w:lvlJc w:val="left"/>
      <w:pPr>
        <w:ind w:left="720" w:hanging="360"/>
      </w:pPr>
      <w:rPr>
        <w:rFonts w:ascii="Symbol" w:hAnsi="Symbol"/>
      </w:rPr>
    </w:lvl>
    <w:lvl w:ilvl="5" w:tplc="212E5A5A">
      <w:start w:val="1"/>
      <w:numFmt w:val="bullet"/>
      <w:lvlText w:val=""/>
      <w:lvlJc w:val="left"/>
      <w:pPr>
        <w:ind w:left="720" w:hanging="360"/>
      </w:pPr>
      <w:rPr>
        <w:rFonts w:ascii="Symbol" w:hAnsi="Symbol"/>
      </w:rPr>
    </w:lvl>
    <w:lvl w:ilvl="6" w:tplc="ADD4374C">
      <w:start w:val="1"/>
      <w:numFmt w:val="bullet"/>
      <w:lvlText w:val=""/>
      <w:lvlJc w:val="left"/>
      <w:pPr>
        <w:ind w:left="720" w:hanging="360"/>
      </w:pPr>
      <w:rPr>
        <w:rFonts w:ascii="Symbol" w:hAnsi="Symbol"/>
      </w:rPr>
    </w:lvl>
    <w:lvl w:ilvl="7" w:tplc="BD2CEF4C">
      <w:start w:val="1"/>
      <w:numFmt w:val="bullet"/>
      <w:lvlText w:val=""/>
      <w:lvlJc w:val="left"/>
      <w:pPr>
        <w:ind w:left="720" w:hanging="360"/>
      </w:pPr>
      <w:rPr>
        <w:rFonts w:ascii="Symbol" w:hAnsi="Symbol"/>
      </w:rPr>
    </w:lvl>
    <w:lvl w:ilvl="8" w:tplc="DE283E0C">
      <w:start w:val="1"/>
      <w:numFmt w:val="bullet"/>
      <w:lvlText w:val=""/>
      <w:lvlJc w:val="left"/>
      <w:pPr>
        <w:ind w:left="720" w:hanging="360"/>
      </w:pPr>
      <w:rPr>
        <w:rFonts w:ascii="Symbol" w:hAnsi="Symbol"/>
      </w:rPr>
    </w:lvl>
  </w:abstractNum>
  <w:abstractNum w:abstractNumId="12" w15:restartNumberingAfterBreak="0">
    <w:nsid w:val="66D846C9"/>
    <w:multiLevelType w:val="hybridMultilevel"/>
    <w:tmpl w:val="BD0E799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1C741AE"/>
    <w:multiLevelType w:val="hybridMultilevel"/>
    <w:tmpl w:val="62E6A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3021622">
    <w:abstractNumId w:val="5"/>
  </w:num>
  <w:num w:numId="2" w16cid:durableId="698897159">
    <w:abstractNumId w:val="2"/>
  </w:num>
  <w:num w:numId="3" w16cid:durableId="1624846491">
    <w:abstractNumId w:val="7"/>
  </w:num>
  <w:num w:numId="4" w16cid:durableId="1432160619">
    <w:abstractNumId w:val="6"/>
  </w:num>
  <w:num w:numId="5" w16cid:durableId="396980177">
    <w:abstractNumId w:val="12"/>
  </w:num>
  <w:num w:numId="6" w16cid:durableId="121970554">
    <w:abstractNumId w:val="3"/>
  </w:num>
  <w:num w:numId="7" w16cid:durableId="220094127">
    <w:abstractNumId w:val="4"/>
  </w:num>
  <w:num w:numId="8" w16cid:durableId="1609922614">
    <w:abstractNumId w:val="10"/>
  </w:num>
  <w:num w:numId="9" w16cid:durableId="1488864075">
    <w:abstractNumId w:val="9"/>
  </w:num>
  <w:num w:numId="10" w16cid:durableId="16082413">
    <w:abstractNumId w:val="0"/>
  </w:num>
  <w:num w:numId="11" w16cid:durableId="1011301608">
    <w:abstractNumId w:val="11"/>
  </w:num>
  <w:num w:numId="12" w16cid:durableId="1944149522">
    <w:abstractNumId w:val="1"/>
  </w:num>
  <w:num w:numId="13" w16cid:durableId="1960184584">
    <w:abstractNumId w:val="8"/>
  </w:num>
  <w:num w:numId="14" w16cid:durableId="13261997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A04"/>
    <w:rsid w:val="000006AE"/>
    <w:rsid w:val="00002206"/>
    <w:rsid w:val="00010BF3"/>
    <w:rsid w:val="00011A12"/>
    <w:rsid w:val="00011EF7"/>
    <w:rsid w:val="00012A3F"/>
    <w:rsid w:val="0001454F"/>
    <w:rsid w:val="00015AD6"/>
    <w:rsid w:val="000215A5"/>
    <w:rsid w:val="00022430"/>
    <w:rsid w:val="000263B3"/>
    <w:rsid w:val="00030B51"/>
    <w:rsid w:val="00033D18"/>
    <w:rsid w:val="00035913"/>
    <w:rsid w:val="00037361"/>
    <w:rsid w:val="00037BF5"/>
    <w:rsid w:val="000426CC"/>
    <w:rsid w:val="000434EF"/>
    <w:rsid w:val="00044CA4"/>
    <w:rsid w:val="00052045"/>
    <w:rsid w:val="00052F2C"/>
    <w:rsid w:val="00053BB6"/>
    <w:rsid w:val="000562E0"/>
    <w:rsid w:val="00056D70"/>
    <w:rsid w:val="00057600"/>
    <w:rsid w:val="000576F1"/>
    <w:rsid w:val="00062477"/>
    <w:rsid w:val="00063275"/>
    <w:rsid w:val="00065C0E"/>
    <w:rsid w:val="00071EF6"/>
    <w:rsid w:val="00072620"/>
    <w:rsid w:val="00076485"/>
    <w:rsid w:val="00081667"/>
    <w:rsid w:val="000817A7"/>
    <w:rsid w:val="000821A9"/>
    <w:rsid w:val="00083607"/>
    <w:rsid w:val="00092164"/>
    <w:rsid w:val="00094140"/>
    <w:rsid w:val="00097833"/>
    <w:rsid w:val="000A0661"/>
    <w:rsid w:val="000A0CF3"/>
    <w:rsid w:val="000A10EB"/>
    <w:rsid w:val="000A2E15"/>
    <w:rsid w:val="000A4456"/>
    <w:rsid w:val="000A4D26"/>
    <w:rsid w:val="000A5B8B"/>
    <w:rsid w:val="000B40E7"/>
    <w:rsid w:val="000B4F06"/>
    <w:rsid w:val="000C4B14"/>
    <w:rsid w:val="000C577A"/>
    <w:rsid w:val="000C5B6F"/>
    <w:rsid w:val="000C7094"/>
    <w:rsid w:val="000C7CC8"/>
    <w:rsid w:val="000D2786"/>
    <w:rsid w:val="000E101D"/>
    <w:rsid w:val="000E12ED"/>
    <w:rsid w:val="000E2574"/>
    <w:rsid w:val="000E3317"/>
    <w:rsid w:val="000E3947"/>
    <w:rsid w:val="000E3A66"/>
    <w:rsid w:val="000E4B92"/>
    <w:rsid w:val="000E58D9"/>
    <w:rsid w:val="000E659C"/>
    <w:rsid w:val="000E6CDE"/>
    <w:rsid w:val="000F0518"/>
    <w:rsid w:val="000F325C"/>
    <w:rsid w:val="000F5185"/>
    <w:rsid w:val="00100102"/>
    <w:rsid w:val="001018FE"/>
    <w:rsid w:val="00101DAE"/>
    <w:rsid w:val="001028A3"/>
    <w:rsid w:val="00103F38"/>
    <w:rsid w:val="00104692"/>
    <w:rsid w:val="00104BEB"/>
    <w:rsid w:val="001068BA"/>
    <w:rsid w:val="00111E5F"/>
    <w:rsid w:val="001121EE"/>
    <w:rsid w:val="001144AB"/>
    <w:rsid w:val="0011711B"/>
    <w:rsid w:val="0011744A"/>
    <w:rsid w:val="00117BEC"/>
    <w:rsid w:val="001218BF"/>
    <w:rsid w:val="00124208"/>
    <w:rsid w:val="00125546"/>
    <w:rsid w:val="00132B8A"/>
    <w:rsid w:val="00134E01"/>
    <w:rsid w:val="00142BDC"/>
    <w:rsid w:val="0014490E"/>
    <w:rsid w:val="00146DEA"/>
    <w:rsid w:val="00150BF6"/>
    <w:rsid w:val="00153001"/>
    <w:rsid w:val="00154229"/>
    <w:rsid w:val="001548BE"/>
    <w:rsid w:val="00154C14"/>
    <w:rsid w:val="001601BC"/>
    <w:rsid w:val="00160988"/>
    <w:rsid w:val="00161221"/>
    <w:rsid w:val="00162B2C"/>
    <w:rsid w:val="0016640C"/>
    <w:rsid w:val="0016726A"/>
    <w:rsid w:val="00167298"/>
    <w:rsid w:val="001740F0"/>
    <w:rsid w:val="00174BB4"/>
    <w:rsid w:val="001752F1"/>
    <w:rsid w:val="001777D8"/>
    <w:rsid w:val="00177EB3"/>
    <w:rsid w:val="0018064E"/>
    <w:rsid w:val="001808CB"/>
    <w:rsid w:val="00192BFF"/>
    <w:rsid w:val="00194D68"/>
    <w:rsid w:val="001952CF"/>
    <w:rsid w:val="00196A31"/>
    <w:rsid w:val="00197240"/>
    <w:rsid w:val="00197B04"/>
    <w:rsid w:val="001A3C19"/>
    <w:rsid w:val="001A6760"/>
    <w:rsid w:val="001B1248"/>
    <w:rsid w:val="001B128E"/>
    <w:rsid w:val="001B23AE"/>
    <w:rsid w:val="001B28E5"/>
    <w:rsid w:val="001B4CBC"/>
    <w:rsid w:val="001B4E8B"/>
    <w:rsid w:val="001B5502"/>
    <w:rsid w:val="001B6B6F"/>
    <w:rsid w:val="001C11EC"/>
    <w:rsid w:val="001C31B6"/>
    <w:rsid w:val="001C600F"/>
    <w:rsid w:val="001C7607"/>
    <w:rsid w:val="001D131C"/>
    <w:rsid w:val="001E0C58"/>
    <w:rsid w:val="001E1EB4"/>
    <w:rsid w:val="001E3618"/>
    <w:rsid w:val="001E5760"/>
    <w:rsid w:val="001E5853"/>
    <w:rsid w:val="001E6F45"/>
    <w:rsid w:val="001E6FA4"/>
    <w:rsid w:val="001F62D8"/>
    <w:rsid w:val="001F6A9B"/>
    <w:rsid w:val="00200388"/>
    <w:rsid w:val="00200773"/>
    <w:rsid w:val="00203B54"/>
    <w:rsid w:val="00215666"/>
    <w:rsid w:val="002172FF"/>
    <w:rsid w:val="00217767"/>
    <w:rsid w:val="00217960"/>
    <w:rsid w:val="00217DEA"/>
    <w:rsid w:val="00221A6C"/>
    <w:rsid w:val="002236D7"/>
    <w:rsid w:val="00223DE5"/>
    <w:rsid w:val="00224EBE"/>
    <w:rsid w:val="002322B8"/>
    <w:rsid w:val="0023554F"/>
    <w:rsid w:val="00241473"/>
    <w:rsid w:val="00241ACF"/>
    <w:rsid w:val="00241B61"/>
    <w:rsid w:val="00243525"/>
    <w:rsid w:val="00244FC1"/>
    <w:rsid w:val="00245B6D"/>
    <w:rsid w:val="00250E4A"/>
    <w:rsid w:val="00252CC1"/>
    <w:rsid w:val="002650D9"/>
    <w:rsid w:val="0026661C"/>
    <w:rsid w:val="002713D5"/>
    <w:rsid w:val="00272685"/>
    <w:rsid w:val="00272CD5"/>
    <w:rsid w:val="0027455E"/>
    <w:rsid w:val="00274C77"/>
    <w:rsid w:val="00276B99"/>
    <w:rsid w:val="00284623"/>
    <w:rsid w:val="00287528"/>
    <w:rsid w:val="00287DE4"/>
    <w:rsid w:val="002905B7"/>
    <w:rsid w:val="00290BAD"/>
    <w:rsid w:val="002932FF"/>
    <w:rsid w:val="00293F60"/>
    <w:rsid w:val="0029536C"/>
    <w:rsid w:val="002B1A32"/>
    <w:rsid w:val="002B2B07"/>
    <w:rsid w:val="002B3F31"/>
    <w:rsid w:val="002B5C95"/>
    <w:rsid w:val="002C1962"/>
    <w:rsid w:val="002C6021"/>
    <w:rsid w:val="002D06C1"/>
    <w:rsid w:val="002D27AD"/>
    <w:rsid w:val="002D7B5F"/>
    <w:rsid w:val="002E2266"/>
    <w:rsid w:val="002E230F"/>
    <w:rsid w:val="002E3F5C"/>
    <w:rsid w:val="002E7B91"/>
    <w:rsid w:val="002F1BBA"/>
    <w:rsid w:val="002F622E"/>
    <w:rsid w:val="002F7F1B"/>
    <w:rsid w:val="0030083F"/>
    <w:rsid w:val="00301F3F"/>
    <w:rsid w:val="003028D6"/>
    <w:rsid w:val="003043CC"/>
    <w:rsid w:val="00305CEF"/>
    <w:rsid w:val="00307824"/>
    <w:rsid w:val="00307E22"/>
    <w:rsid w:val="003141AC"/>
    <w:rsid w:val="003146E0"/>
    <w:rsid w:val="00314AA7"/>
    <w:rsid w:val="00314CEC"/>
    <w:rsid w:val="00320740"/>
    <w:rsid w:val="0032384F"/>
    <w:rsid w:val="00325A63"/>
    <w:rsid w:val="00326A8D"/>
    <w:rsid w:val="00331531"/>
    <w:rsid w:val="0033323C"/>
    <w:rsid w:val="003374FA"/>
    <w:rsid w:val="003420E4"/>
    <w:rsid w:val="0034267B"/>
    <w:rsid w:val="00344168"/>
    <w:rsid w:val="003444CF"/>
    <w:rsid w:val="00345093"/>
    <w:rsid w:val="003455FE"/>
    <w:rsid w:val="00350CE1"/>
    <w:rsid w:val="00353146"/>
    <w:rsid w:val="00353907"/>
    <w:rsid w:val="0035403E"/>
    <w:rsid w:val="00356DB9"/>
    <w:rsid w:val="00357900"/>
    <w:rsid w:val="00360202"/>
    <w:rsid w:val="00361206"/>
    <w:rsid w:val="003616E1"/>
    <w:rsid w:val="0036471C"/>
    <w:rsid w:val="00365877"/>
    <w:rsid w:val="00376AAD"/>
    <w:rsid w:val="00380D32"/>
    <w:rsid w:val="00382E12"/>
    <w:rsid w:val="00384DB2"/>
    <w:rsid w:val="003851F6"/>
    <w:rsid w:val="0038571E"/>
    <w:rsid w:val="00394CD3"/>
    <w:rsid w:val="0039557F"/>
    <w:rsid w:val="003965B9"/>
    <w:rsid w:val="00396D97"/>
    <w:rsid w:val="003A0D53"/>
    <w:rsid w:val="003A7BDE"/>
    <w:rsid w:val="003B052C"/>
    <w:rsid w:val="003B347D"/>
    <w:rsid w:val="003B5946"/>
    <w:rsid w:val="003B6603"/>
    <w:rsid w:val="003B67BC"/>
    <w:rsid w:val="003C0D87"/>
    <w:rsid w:val="003C122F"/>
    <w:rsid w:val="003C1F75"/>
    <w:rsid w:val="003C564F"/>
    <w:rsid w:val="003C5B27"/>
    <w:rsid w:val="003C76A7"/>
    <w:rsid w:val="003D2705"/>
    <w:rsid w:val="003D32F2"/>
    <w:rsid w:val="003D5154"/>
    <w:rsid w:val="003E0257"/>
    <w:rsid w:val="003E2035"/>
    <w:rsid w:val="003F0F52"/>
    <w:rsid w:val="003F3D2D"/>
    <w:rsid w:val="003F55AD"/>
    <w:rsid w:val="003F5B53"/>
    <w:rsid w:val="004002B2"/>
    <w:rsid w:val="00403598"/>
    <w:rsid w:val="00405607"/>
    <w:rsid w:val="00407347"/>
    <w:rsid w:val="004078E8"/>
    <w:rsid w:val="004105D3"/>
    <w:rsid w:val="004111C5"/>
    <w:rsid w:val="00413C9B"/>
    <w:rsid w:val="00415DFE"/>
    <w:rsid w:val="00417212"/>
    <w:rsid w:val="004203E0"/>
    <w:rsid w:val="00422CE4"/>
    <w:rsid w:val="004247B4"/>
    <w:rsid w:val="00425249"/>
    <w:rsid w:val="00430BF6"/>
    <w:rsid w:val="00431F91"/>
    <w:rsid w:val="00434B7A"/>
    <w:rsid w:val="00435EFF"/>
    <w:rsid w:val="00442951"/>
    <w:rsid w:val="004506E2"/>
    <w:rsid w:val="00451D98"/>
    <w:rsid w:val="00455F06"/>
    <w:rsid w:val="0046044B"/>
    <w:rsid w:val="00462BB5"/>
    <w:rsid w:val="004634C5"/>
    <w:rsid w:val="00463839"/>
    <w:rsid w:val="004639BB"/>
    <w:rsid w:val="004673F9"/>
    <w:rsid w:val="00471D22"/>
    <w:rsid w:val="00475196"/>
    <w:rsid w:val="0048093B"/>
    <w:rsid w:val="00480A4E"/>
    <w:rsid w:val="00480F0D"/>
    <w:rsid w:val="004844EF"/>
    <w:rsid w:val="00485D47"/>
    <w:rsid w:val="00486735"/>
    <w:rsid w:val="0049034B"/>
    <w:rsid w:val="004946EF"/>
    <w:rsid w:val="004972CE"/>
    <w:rsid w:val="004A0D04"/>
    <w:rsid w:val="004A2E2E"/>
    <w:rsid w:val="004A3673"/>
    <w:rsid w:val="004A4BA1"/>
    <w:rsid w:val="004A5B8E"/>
    <w:rsid w:val="004A71F6"/>
    <w:rsid w:val="004A7719"/>
    <w:rsid w:val="004A7F45"/>
    <w:rsid w:val="004B0C92"/>
    <w:rsid w:val="004B139D"/>
    <w:rsid w:val="004B20BC"/>
    <w:rsid w:val="004B76BE"/>
    <w:rsid w:val="004B7D43"/>
    <w:rsid w:val="004C234A"/>
    <w:rsid w:val="004C29E1"/>
    <w:rsid w:val="004C2AEA"/>
    <w:rsid w:val="004C60FA"/>
    <w:rsid w:val="004C68B7"/>
    <w:rsid w:val="004C6917"/>
    <w:rsid w:val="004C76F3"/>
    <w:rsid w:val="004D02DC"/>
    <w:rsid w:val="004D159F"/>
    <w:rsid w:val="004E030A"/>
    <w:rsid w:val="004E2F4E"/>
    <w:rsid w:val="004E33A2"/>
    <w:rsid w:val="004E4854"/>
    <w:rsid w:val="004F380C"/>
    <w:rsid w:val="004F3DE0"/>
    <w:rsid w:val="005001B1"/>
    <w:rsid w:val="005010A5"/>
    <w:rsid w:val="00501B97"/>
    <w:rsid w:val="00501EF9"/>
    <w:rsid w:val="00504FE6"/>
    <w:rsid w:val="00506683"/>
    <w:rsid w:val="00507206"/>
    <w:rsid w:val="00510D44"/>
    <w:rsid w:val="005127B2"/>
    <w:rsid w:val="00514A45"/>
    <w:rsid w:val="0051607F"/>
    <w:rsid w:val="00522A20"/>
    <w:rsid w:val="00522D5B"/>
    <w:rsid w:val="00523480"/>
    <w:rsid w:val="005249C6"/>
    <w:rsid w:val="00526C3F"/>
    <w:rsid w:val="005312FD"/>
    <w:rsid w:val="00536BC3"/>
    <w:rsid w:val="0053779E"/>
    <w:rsid w:val="00537FFD"/>
    <w:rsid w:val="00540CAE"/>
    <w:rsid w:val="00543C72"/>
    <w:rsid w:val="00544267"/>
    <w:rsid w:val="0054505B"/>
    <w:rsid w:val="0054642A"/>
    <w:rsid w:val="0054684D"/>
    <w:rsid w:val="00546945"/>
    <w:rsid w:val="00555566"/>
    <w:rsid w:val="00557C05"/>
    <w:rsid w:val="005617AD"/>
    <w:rsid w:val="00562A26"/>
    <w:rsid w:val="005635FE"/>
    <w:rsid w:val="00564F09"/>
    <w:rsid w:val="00571AC9"/>
    <w:rsid w:val="0057749E"/>
    <w:rsid w:val="00577C8B"/>
    <w:rsid w:val="00581772"/>
    <w:rsid w:val="00582213"/>
    <w:rsid w:val="00591EA8"/>
    <w:rsid w:val="005946DB"/>
    <w:rsid w:val="00596988"/>
    <w:rsid w:val="00597BCD"/>
    <w:rsid w:val="005A172B"/>
    <w:rsid w:val="005A217F"/>
    <w:rsid w:val="005A61D4"/>
    <w:rsid w:val="005A712A"/>
    <w:rsid w:val="005A7CCB"/>
    <w:rsid w:val="005B02BB"/>
    <w:rsid w:val="005B02E2"/>
    <w:rsid w:val="005B292D"/>
    <w:rsid w:val="005B2938"/>
    <w:rsid w:val="005B7013"/>
    <w:rsid w:val="005C010E"/>
    <w:rsid w:val="005C1DCF"/>
    <w:rsid w:val="005C1F74"/>
    <w:rsid w:val="005C2E42"/>
    <w:rsid w:val="005C4CBD"/>
    <w:rsid w:val="005C5E8F"/>
    <w:rsid w:val="005C678C"/>
    <w:rsid w:val="005C7A46"/>
    <w:rsid w:val="005D4FDA"/>
    <w:rsid w:val="005D583D"/>
    <w:rsid w:val="005D632F"/>
    <w:rsid w:val="005E1B09"/>
    <w:rsid w:val="005E2903"/>
    <w:rsid w:val="005E5B7E"/>
    <w:rsid w:val="005F296F"/>
    <w:rsid w:val="005F438F"/>
    <w:rsid w:val="005F60FB"/>
    <w:rsid w:val="00602693"/>
    <w:rsid w:val="006047F6"/>
    <w:rsid w:val="00605247"/>
    <w:rsid w:val="00607689"/>
    <w:rsid w:val="006104AE"/>
    <w:rsid w:val="0061059D"/>
    <w:rsid w:val="00610FBC"/>
    <w:rsid w:val="0061164F"/>
    <w:rsid w:val="00614E92"/>
    <w:rsid w:val="006178E4"/>
    <w:rsid w:val="00620372"/>
    <w:rsid w:val="006229A8"/>
    <w:rsid w:val="00625EC1"/>
    <w:rsid w:val="00626D86"/>
    <w:rsid w:val="00627490"/>
    <w:rsid w:val="006305BC"/>
    <w:rsid w:val="006305DF"/>
    <w:rsid w:val="00632495"/>
    <w:rsid w:val="00633888"/>
    <w:rsid w:val="0063441B"/>
    <w:rsid w:val="00636FA2"/>
    <w:rsid w:val="006378D1"/>
    <w:rsid w:val="00640057"/>
    <w:rsid w:val="00642128"/>
    <w:rsid w:val="00642F8A"/>
    <w:rsid w:val="0064466B"/>
    <w:rsid w:val="00646124"/>
    <w:rsid w:val="006461D2"/>
    <w:rsid w:val="00650D00"/>
    <w:rsid w:val="00654471"/>
    <w:rsid w:val="00656506"/>
    <w:rsid w:val="0065762A"/>
    <w:rsid w:val="006603CF"/>
    <w:rsid w:val="006615E4"/>
    <w:rsid w:val="006623DC"/>
    <w:rsid w:val="006707E8"/>
    <w:rsid w:val="00672B4B"/>
    <w:rsid w:val="00680CA7"/>
    <w:rsid w:val="00681DF1"/>
    <w:rsid w:val="00684C18"/>
    <w:rsid w:val="00686826"/>
    <w:rsid w:val="00686D1D"/>
    <w:rsid w:val="00687058"/>
    <w:rsid w:val="006875F6"/>
    <w:rsid w:val="00691256"/>
    <w:rsid w:val="00694421"/>
    <w:rsid w:val="0069581A"/>
    <w:rsid w:val="00696906"/>
    <w:rsid w:val="00696AA3"/>
    <w:rsid w:val="006A5855"/>
    <w:rsid w:val="006A6912"/>
    <w:rsid w:val="006A7A0C"/>
    <w:rsid w:val="006B2CB4"/>
    <w:rsid w:val="006B324D"/>
    <w:rsid w:val="006B4B55"/>
    <w:rsid w:val="006B729C"/>
    <w:rsid w:val="006B74A3"/>
    <w:rsid w:val="006C5B89"/>
    <w:rsid w:val="006D2353"/>
    <w:rsid w:val="006D2512"/>
    <w:rsid w:val="006D39BC"/>
    <w:rsid w:val="006D4773"/>
    <w:rsid w:val="006D5795"/>
    <w:rsid w:val="006E0445"/>
    <w:rsid w:val="006E587E"/>
    <w:rsid w:val="006E6797"/>
    <w:rsid w:val="006F0435"/>
    <w:rsid w:val="006F081A"/>
    <w:rsid w:val="006F08C3"/>
    <w:rsid w:val="006F1192"/>
    <w:rsid w:val="006F19A1"/>
    <w:rsid w:val="006F674B"/>
    <w:rsid w:val="00701784"/>
    <w:rsid w:val="00701F46"/>
    <w:rsid w:val="00705DEB"/>
    <w:rsid w:val="00707BA1"/>
    <w:rsid w:val="00707D5E"/>
    <w:rsid w:val="00710C73"/>
    <w:rsid w:val="007118CF"/>
    <w:rsid w:val="00713A2F"/>
    <w:rsid w:val="00713BA0"/>
    <w:rsid w:val="00714781"/>
    <w:rsid w:val="0071672D"/>
    <w:rsid w:val="007206F3"/>
    <w:rsid w:val="007217CC"/>
    <w:rsid w:val="00721CBB"/>
    <w:rsid w:val="00722373"/>
    <w:rsid w:val="007251B9"/>
    <w:rsid w:val="0073154F"/>
    <w:rsid w:val="00733D9A"/>
    <w:rsid w:val="00735991"/>
    <w:rsid w:val="007367CE"/>
    <w:rsid w:val="007421E9"/>
    <w:rsid w:val="0074419B"/>
    <w:rsid w:val="00744FF3"/>
    <w:rsid w:val="00745289"/>
    <w:rsid w:val="00745958"/>
    <w:rsid w:val="00745F0F"/>
    <w:rsid w:val="007477F6"/>
    <w:rsid w:val="00755BF5"/>
    <w:rsid w:val="007609C6"/>
    <w:rsid w:val="00762694"/>
    <w:rsid w:val="0076273E"/>
    <w:rsid w:val="007654A6"/>
    <w:rsid w:val="00765BF0"/>
    <w:rsid w:val="00767BF4"/>
    <w:rsid w:val="00771541"/>
    <w:rsid w:val="0077186F"/>
    <w:rsid w:val="007741B6"/>
    <w:rsid w:val="00775CE1"/>
    <w:rsid w:val="007847E8"/>
    <w:rsid w:val="00791CD4"/>
    <w:rsid w:val="0079278C"/>
    <w:rsid w:val="007943D3"/>
    <w:rsid w:val="00796E6C"/>
    <w:rsid w:val="007A09A1"/>
    <w:rsid w:val="007A1DC0"/>
    <w:rsid w:val="007A2FD1"/>
    <w:rsid w:val="007A30D9"/>
    <w:rsid w:val="007A37F7"/>
    <w:rsid w:val="007A4144"/>
    <w:rsid w:val="007A740F"/>
    <w:rsid w:val="007B1205"/>
    <w:rsid w:val="007B2257"/>
    <w:rsid w:val="007B530D"/>
    <w:rsid w:val="007B6057"/>
    <w:rsid w:val="007B74A3"/>
    <w:rsid w:val="007B7F73"/>
    <w:rsid w:val="007C4831"/>
    <w:rsid w:val="007C4C27"/>
    <w:rsid w:val="007D1983"/>
    <w:rsid w:val="007D1AD4"/>
    <w:rsid w:val="007D2074"/>
    <w:rsid w:val="007D5EF5"/>
    <w:rsid w:val="007D71FA"/>
    <w:rsid w:val="007E15E9"/>
    <w:rsid w:val="007E165B"/>
    <w:rsid w:val="007E1D08"/>
    <w:rsid w:val="007E1F4C"/>
    <w:rsid w:val="007E1FD5"/>
    <w:rsid w:val="007E5DDC"/>
    <w:rsid w:val="007F548E"/>
    <w:rsid w:val="007F58E3"/>
    <w:rsid w:val="00800525"/>
    <w:rsid w:val="00803561"/>
    <w:rsid w:val="00804CCA"/>
    <w:rsid w:val="00804F40"/>
    <w:rsid w:val="008055D7"/>
    <w:rsid w:val="00805880"/>
    <w:rsid w:val="00806FE4"/>
    <w:rsid w:val="0081052D"/>
    <w:rsid w:val="00813D80"/>
    <w:rsid w:val="008203B6"/>
    <w:rsid w:val="0082099D"/>
    <w:rsid w:val="00821DFA"/>
    <w:rsid w:val="0082459B"/>
    <w:rsid w:val="00825138"/>
    <w:rsid w:val="0083142B"/>
    <w:rsid w:val="008316A1"/>
    <w:rsid w:val="008319AC"/>
    <w:rsid w:val="008335F6"/>
    <w:rsid w:val="008338BC"/>
    <w:rsid w:val="0083548C"/>
    <w:rsid w:val="00840400"/>
    <w:rsid w:val="008435A7"/>
    <w:rsid w:val="008474C2"/>
    <w:rsid w:val="00856FC6"/>
    <w:rsid w:val="0085734C"/>
    <w:rsid w:val="00860448"/>
    <w:rsid w:val="008605D0"/>
    <w:rsid w:val="00860ADD"/>
    <w:rsid w:val="008656D1"/>
    <w:rsid w:val="0086734E"/>
    <w:rsid w:val="00871784"/>
    <w:rsid w:val="00871B6D"/>
    <w:rsid w:val="0087580E"/>
    <w:rsid w:val="00875FC0"/>
    <w:rsid w:val="00881B70"/>
    <w:rsid w:val="008840BB"/>
    <w:rsid w:val="008848A9"/>
    <w:rsid w:val="00884E34"/>
    <w:rsid w:val="0088728C"/>
    <w:rsid w:val="00887FE6"/>
    <w:rsid w:val="00893DE2"/>
    <w:rsid w:val="0089533D"/>
    <w:rsid w:val="00895D2C"/>
    <w:rsid w:val="008A2C51"/>
    <w:rsid w:val="008A3599"/>
    <w:rsid w:val="008A4BC5"/>
    <w:rsid w:val="008A6EA0"/>
    <w:rsid w:val="008A7FC6"/>
    <w:rsid w:val="008B1859"/>
    <w:rsid w:val="008B2B25"/>
    <w:rsid w:val="008B4CD1"/>
    <w:rsid w:val="008B567C"/>
    <w:rsid w:val="008B63F2"/>
    <w:rsid w:val="008B7F9D"/>
    <w:rsid w:val="008C15D4"/>
    <w:rsid w:val="008C5AE0"/>
    <w:rsid w:val="008C67EC"/>
    <w:rsid w:val="008C7102"/>
    <w:rsid w:val="008D1697"/>
    <w:rsid w:val="008D2FC8"/>
    <w:rsid w:val="008D3817"/>
    <w:rsid w:val="008D39B5"/>
    <w:rsid w:val="008D7526"/>
    <w:rsid w:val="008E0C68"/>
    <w:rsid w:val="008E79EE"/>
    <w:rsid w:val="008E7D04"/>
    <w:rsid w:val="008F05BA"/>
    <w:rsid w:val="008F11C2"/>
    <w:rsid w:val="008F2BC8"/>
    <w:rsid w:val="008F34D7"/>
    <w:rsid w:val="008F4333"/>
    <w:rsid w:val="008F4EEB"/>
    <w:rsid w:val="008F604E"/>
    <w:rsid w:val="008F6511"/>
    <w:rsid w:val="00900FA3"/>
    <w:rsid w:val="00902951"/>
    <w:rsid w:val="0090398A"/>
    <w:rsid w:val="00905CDF"/>
    <w:rsid w:val="0091132B"/>
    <w:rsid w:val="009116D3"/>
    <w:rsid w:val="0091281E"/>
    <w:rsid w:val="009132DB"/>
    <w:rsid w:val="00914B64"/>
    <w:rsid w:val="00915102"/>
    <w:rsid w:val="00921416"/>
    <w:rsid w:val="00923D22"/>
    <w:rsid w:val="009256A6"/>
    <w:rsid w:val="0092781E"/>
    <w:rsid w:val="00927BC1"/>
    <w:rsid w:val="009302D7"/>
    <w:rsid w:val="009312E0"/>
    <w:rsid w:val="00931FB7"/>
    <w:rsid w:val="0093346A"/>
    <w:rsid w:val="00934FB1"/>
    <w:rsid w:val="00937245"/>
    <w:rsid w:val="00937F9A"/>
    <w:rsid w:val="00941CE6"/>
    <w:rsid w:val="009439DC"/>
    <w:rsid w:val="009446B8"/>
    <w:rsid w:val="00951DFC"/>
    <w:rsid w:val="00954000"/>
    <w:rsid w:val="0095677A"/>
    <w:rsid w:val="009626AF"/>
    <w:rsid w:val="00964EAC"/>
    <w:rsid w:val="00965BE1"/>
    <w:rsid w:val="00965EE2"/>
    <w:rsid w:val="0097528D"/>
    <w:rsid w:val="00976B4F"/>
    <w:rsid w:val="009813C4"/>
    <w:rsid w:val="00982BCA"/>
    <w:rsid w:val="00984EB1"/>
    <w:rsid w:val="00990A36"/>
    <w:rsid w:val="009917A5"/>
    <w:rsid w:val="009921FF"/>
    <w:rsid w:val="00994C51"/>
    <w:rsid w:val="00996DA5"/>
    <w:rsid w:val="009A08D1"/>
    <w:rsid w:val="009A10D7"/>
    <w:rsid w:val="009A43B4"/>
    <w:rsid w:val="009A6F65"/>
    <w:rsid w:val="009B06D3"/>
    <w:rsid w:val="009B378F"/>
    <w:rsid w:val="009B6A04"/>
    <w:rsid w:val="009C13EF"/>
    <w:rsid w:val="009C2593"/>
    <w:rsid w:val="009C417B"/>
    <w:rsid w:val="009C5ED1"/>
    <w:rsid w:val="009C7DC3"/>
    <w:rsid w:val="009D1BC2"/>
    <w:rsid w:val="009D224D"/>
    <w:rsid w:val="009D2AAC"/>
    <w:rsid w:val="009D4BD3"/>
    <w:rsid w:val="009D503E"/>
    <w:rsid w:val="009D57D3"/>
    <w:rsid w:val="009D70EE"/>
    <w:rsid w:val="009D734D"/>
    <w:rsid w:val="009D7A85"/>
    <w:rsid w:val="009E05FD"/>
    <w:rsid w:val="009E16EC"/>
    <w:rsid w:val="009E2C3D"/>
    <w:rsid w:val="009E5920"/>
    <w:rsid w:val="009F1298"/>
    <w:rsid w:val="009F132D"/>
    <w:rsid w:val="009F43EC"/>
    <w:rsid w:val="009F4529"/>
    <w:rsid w:val="009F7A01"/>
    <w:rsid w:val="00A012E9"/>
    <w:rsid w:val="00A03099"/>
    <w:rsid w:val="00A0395F"/>
    <w:rsid w:val="00A03A8A"/>
    <w:rsid w:val="00A042ED"/>
    <w:rsid w:val="00A06B09"/>
    <w:rsid w:val="00A10D64"/>
    <w:rsid w:val="00A12769"/>
    <w:rsid w:val="00A12DD2"/>
    <w:rsid w:val="00A150B0"/>
    <w:rsid w:val="00A15373"/>
    <w:rsid w:val="00A15851"/>
    <w:rsid w:val="00A17637"/>
    <w:rsid w:val="00A2598C"/>
    <w:rsid w:val="00A31F29"/>
    <w:rsid w:val="00A33D3B"/>
    <w:rsid w:val="00A3625F"/>
    <w:rsid w:val="00A36B8B"/>
    <w:rsid w:val="00A41807"/>
    <w:rsid w:val="00A427FF"/>
    <w:rsid w:val="00A47FF5"/>
    <w:rsid w:val="00A51761"/>
    <w:rsid w:val="00A5380F"/>
    <w:rsid w:val="00A541A0"/>
    <w:rsid w:val="00A55177"/>
    <w:rsid w:val="00A61F61"/>
    <w:rsid w:val="00A6319A"/>
    <w:rsid w:val="00A6482B"/>
    <w:rsid w:val="00A65528"/>
    <w:rsid w:val="00A66A0B"/>
    <w:rsid w:val="00A6748D"/>
    <w:rsid w:val="00A67CFA"/>
    <w:rsid w:val="00A75ACD"/>
    <w:rsid w:val="00A803B2"/>
    <w:rsid w:val="00A80902"/>
    <w:rsid w:val="00A84DBF"/>
    <w:rsid w:val="00A85503"/>
    <w:rsid w:val="00A909D9"/>
    <w:rsid w:val="00A90C30"/>
    <w:rsid w:val="00A92499"/>
    <w:rsid w:val="00AA1AC6"/>
    <w:rsid w:val="00AA240B"/>
    <w:rsid w:val="00AB6E8D"/>
    <w:rsid w:val="00AB7D67"/>
    <w:rsid w:val="00AC06AB"/>
    <w:rsid w:val="00AC4206"/>
    <w:rsid w:val="00AC6D99"/>
    <w:rsid w:val="00AC7A31"/>
    <w:rsid w:val="00AD1DAA"/>
    <w:rsid w:val="00AD2BDB"/>
    <w:rsid w:val="00AD38C2"/>
    <w:rsid w:val="00AD4661"/>
    <w:rsid w:val="00AD4F97"/>
    <w:rsid w:val="00AD7135"/>
    <w:rsid w:val="00AD78B2"/>
    <w:rsid w:val="00AD7BCF"/>
    <w:rsid w:val="00AE248D"/>
    <w:rsid w:val="00AE380E"/>
    <w:rsid w:val="00AE4696"/>
    <w:rsid w:val="00AE5EAE"/>
    <w:rsid w:val="00AE6F2A"/>
    <w:rsid w:val="00AE711F"/>
    <w:rsid w:val="00AF076C"/>
    <w:rsid w:val="00AF0BC0"/>
    <w:rsid w:val="00AF30FE"/>
    <w:rsid w:val="00AF38B8"/>
    <w:rsid w:val="00AF38CA"/>
    <w:rsid w:val="00AF43F4"/>
    <w:rsid w:val="00AF4C57"/>
    <w:rsid w:val="00AF5B5F"/>
    <w:rsid w:val="00AF6CBF"/>
    <w:rsid w:val="00AF7264"/>
    <w:rsid w:val="00B05731"/>
    <w:rsid w:val="00B0724E"/>
    <w:rsid w:val="00B11817"/>
    <w:rsid w:val="00B11FAD"/>
    <w:rsid w:val="00B12503"/>
    <w:rsid w:val="00B12800"/>
    <w:rsid w:val="00B1355B"/>
    <w:rsid w:val="00B1384D"/>
    <w:rsid w:val="00B13EF8"/>
    <w:rsid w:val="00B1486D"/>
    <w:rsid w:val="00B15007"/>
    <w:rsid w:val="00B168F4"/>
    <w:rsid w:val="00B2768A"/>
    <w:rsid w:val="00B30279"/>
    <w:rsid w:val="00B31858"/>
    <w:rsid w:val="00B31B6D"/>
    <w:rsid w:val="00B33AA9"/>
    <w:rsid w:val="00B34C30"/>
    <w:rsid w:val="00B402CA"/>
    <w:rsid w:val="00B40C5A"/>
    <w:rsid w:val="00B42E40"/>
    <w:rsid w:val="00B458D6"/>
    <w:rsid w:val="00B45CF3"/>
    <w:rsid w:val="00B51048"/>
    <w:rsid w:val="00B53AA2"/>
    <w:rsid w:val="00B53B72"/>
    <w:rsid w:val="00B56410"/>
    <w:rsid w:val="00B5676D"/>
    <w:rsid w:val="00B64048"/>
    <w:rsid w:val="00B77303"/>
    <w:rsid w:val="00B77446"/>
    <w:rsid w:val="00B80350"/>
    <w:rsid w:val="00B82BC7"/>
    <w:rsid w:val="00B83C43"/>
    <w:rsid w:val="00B85A0B"/>
    <w:rsid w:val="00B86C51"/>
    <w:rsid w:val="00B948B3"/>
    <w:rsid w:val="00B9604F"/>
    <w:rsid w:val="00B96E6B"/>
    <w:rsid w:val="00BA078F"/>
    <w:rsid w:val="00BA31D3"/>
    <w:rsid w:val="00BA4BCD"/>
    <w:rsid w:val="00BA5D82"/>
    <w:rsid w:val="00BA721B"/>
    <w:rsid w:val="00BB24C5"/>
    <w:rsid w:val="00BB3FBE"/>
    <w:rsid w:val="00BB7B33"/>
    <w:rsid w:val="00BC1C04"/>
    <w:rsid w:val="00BC35CB"/>
    <w:rsid w:val="00BC399A"/>
    <w:rsid w:val="00BC574E"/>
    <w:rsid w:val="00BD3AA0"/>
    <w:rsid w:val="00BD4192"/>
    <w:rsid w:val="00BD43F7"/>
    <w:rsid w:val="00BD5F89"/>
    <w:rsid w:val="00BD6745"/>
    <w:rsid w:val="00BE270B"/>
    <w:rsid w:val="00BE2E43"/>
    <w:rsid w:val="00BE7766"/>
    <w:rsid w:val="00BF0717"/>
    <w:rsid w:val="00BF16E0"/>
    <w:rsid w:val="00BF61C7"/>
    <w:rsid w:val="00C009D6"/>
    <w:rsid w:val="00C01686"/>
    <w:rsid w:val="00C032FB"/>
    <w:rsid w:val="00C0332F"/>
    <w:rsid w:val="00C0428F"/>
    <w:rsid w:val="00C054AA"/>
    <w:rsid w:val="00C13F3F"/>
    <w:rsid w:val="00C16904"/>
    <w:rsid w:val="00C23AF9"/>
    <w:rsid w:val="00C27986"/>
    <w:rsid w:val="00C308DD"/>
    <w:rsid w:val="00C30AD7"/>
    <w:rsid w:val="00C32210"/>
    <w:rsid w:val="00C32693"/>
    <w:rsid w:val="00C344EE"/>
    <w:rsid w:val="00C365F6"/>
    <w:rsid w:val="00C37FD8"/>
    <w:rsid w:val="00C44613"/>
    <w:rsid w:val="00C461D4"/>
    <w:rsid w:val="00C4734F"/>
    <w:rsid w:val="00C47E06"/>
    <w:rsid w:val="00C50367"/>
    <w:rsid w:val="00C50B44"/>
    <w:rsid w:val="00C53B96"/>
    <w:rsid w:val="00C5591C"/>
    <w:rsid w:val="00C5786F"/>
    <w:rsid w:val="00C622D2"/>
    <w:rsid w:val="00C67F9A"/>
    <w:rsid w:val="00C70C83"/>
    <w:rsid w:val="00C73611"/>
    <w:rsid w:val="00C73FD8"/>
    <w:rsid w:val="00C801EF"/>
    <w:rsid w:val="00C80A2D"/>
    <w:rsid w:val="00C80F62"/>
    <w:rsid w:val="00C820F9"/>
    <w:rsid w:val="00C835E3"/>
    <w:rsid w:val="00C846D1"/>
    <w:rsid w:val="00C84A05"/>
    <w:rsid w:val="00C869EE"/>
    <w:rsid w:val="00C86C44"/>
    <w:rsid w:val="00C91885"/>
    <w:rsid w:val="00C93736"/>
    <w:rsid w:val="00C94528"/>
    <w:rsid w:val="00C94563"/>
    <w:rsid w:val="00CA0EA8"/>
    <w:rsid w:val="00CA1CBC"/>
    <w:rsid w:val="00CA303C"/>
    <w:rsid w:val="00CA39B6"/>
    <w:rsid w:val="00CA3B90"/>
    <w:rsid w:val="00CA55F0"/>
    <w:rsid w:val="00CA5D58"/>
    <w:rsid w:val="00CB1ACB"/>
    <w:rsid w:val="00CB73C0"/>
    <w:rsid w:val="00CC1D2B"/>
    <w:rsid w:val="00CC5241"/>
    <w:rsid w:val="00CD0CE1"/>
    <w:rsid w:val="00CD23A0"/>
    <w:rsid w:val="00CD2B9F"/>
    <w:rsid w:val="00CD352B"/>
    <w:rsid w:val="00CD4C8B"/>
    <w:rsid w:val="00CD4E73"/>
    <w:rsid w:val="00CD6039"/>
    <w:rsid w:val="00CE4B49"/>
    <w:rsid w:val="00CE4FE1"/>
    <w:rsid w:val="00CF0271"/>
    <w:rsid w:val="00CF1756"/>
    <w:rsid w:val="00CF3EFF"/>
    <w:rsid w:val="00CF4315"/>
    <w:rsid w:val="00CF4F42"/>
    <w:rsid w:val="00CF503D"/>
    <w:rsid w:val="00D01355"/>
    <w:rsid w:val="00D01EA3"/>
    <w:rsid w:val="00D03089"/>
    <w:rsid w:val="00D046EC"/>
    <w:rsid w:val="00D054CE"/>
    <w:rsid w:val="00D05E72"/>
    <w:rsid w:val="00D079FE"/>
    <w:rsid w:val="00D10E28"/>
    <w:rsid w:val="00D15438"/>
    <w:rsid w:val="00D15833"/>
    <w:rsid w:val="00D17401"/>
    <w:rsid w:val="00D21242"/>
    <w:rsid w:val="00D221F3"/>
    <w:rsid w:val="00D2682C"/>
    <w:rsid w:val="00D27B9F"/>
    <w:rsid w:val="00D30012"/>
    <w:rsid w:val="00D30B97"/>
    <w:rsid w:val="00D3517D"/>
    <w:rsid w:val="00D35DC6"/>
    <w:rsid w:val="00D374C2"/>
    <w:rsid w:val="00D37ACA"/>
    <w:rsid w:val="00D420AF"/>
    <w:rsid w:val="00D46CDD"/>
    <w:rsid w:val="00D50DD2"/>
    <w:rsid w:val="00D54851"/>
    <w:rsid w:val="00D552F0"/>
    <w:rsid w:val="00D55A33"/>
    <w:rsid w:val="00D64B3B"/>
    <w:rsid w:val="00D652D0"/>
    <w:rsid w:val="00D65CD1"/>
    <w:rsid w:val="00D71E02"/>
    <w:rsid w:val="00D772EB"/>
    <w:rsid w:val="00D7753D"/>
    <w:rsid w:val="00D814F3"/>
    <w:rsid w:val="00D823F7"/>
    <w:rsid w:val="00D8457B"/>
    <w:rsid w:val="00D845F6"/>
    <w:rsid w:val="00D85B32"/>
    <w:rsid w:val="00D868C5"/>
    <w:rsid w:val="00D87E04"/>
    <w:rsid w:val="00D90FAF"/>
    <w:rsid w:val="00D91E33"/>
    <w:rsid w:val="00D92503"/>
    <w:rsid w:val="00D92825"/>
    <w:rsid w:val="00D94E79"/>
    <w:rsid w:val="00D96F8C"/>
    <w:rsid w:val="00DA08A9"/>
    <w:rsid w:val="00DA5D16"/>
    <w:rsid w:val="00DA6174"/>
    <w:rsid w:val="00DB1E12"/>
    <w:rsid w:val="00DB3DFE"/>
    <w:rsid w:val="00DB56B1"/>
    <w:rsid w:val="00DC1015"/>
    <w:rsid w:val="00DC296A"/>
    <w:rsid w:val="00DC3822"/>
    <w:rsid w:val="00DC606C"/>
    <w:rsid w:val="00DD0061"/>
    <w:rsid w:val="00DD0E9D"/>
    <w:rsid w:val="00DD2FAE"/>
    <w:rsid w:val="00DD6E9F"/>
    <w:rsid w:val="00DD7D74"/>
    <w:rsid w:val="00DE490B"/>
    <w:rsid w:val="00DE5C69"/>
    <w:rsid w:val="00DF4A9F"/>
    <w:rsid w:val="00DF504F"/>
    <w:rsid w:val="00DF64B3"/>
    <w:rsid w:val="00E014CE"/>
    <w:rsid w:val="00E0175F"/>
    <w:rsid w:val="00E0261E"/>
    <w:rsid w:val="00E032FF"/>
    <w:rsid w:val="00E03C0B"/>
    <w:rsid w:val="00E04E08"/>
    <w:rsid w:val="00E04FD6"/>
    <w:rsid w:val="00E05AD5"/>
    <w:rsid w:val="00E10B02"/>
    <w:rsid w:val="00E146F8"/>
    <w:rsid w:val="00E153A4"/>
    <w:rsid w:val="00E15889"/>
    <w:rsid w:val="00E168F9"/>
    <w:rsid w:val="00E22E84"/>
    <w:rsid w:val="00E35E86"/>
    <w:rsid w:val="00E36A94"/>
    <w:rsid w:val="00E4115C"/>
    <w:rsid w:val="00E41175"/>
    <w:rsid w:val="00E418A6"/>
    <w:rsid w:val="00E45941"/>
    <w:rsid w:val="00E47941"/>
    <w:rsid w:val="00E5133F"/>
    <w:rsid w:val="00E5293A"/>
    <w:rsid w:val="00E55453"/>
    <w:rsid w:val="00E606A4"/>
    <w:rsid w:val="00E612E0"/>
    <w:rsid w:val="00E617BC"/>
    <w:rsid w:val="00E627F1"/>
    <w:rsid w:val="00E634AA"/>
    <w:rsid w:val="00E64909"/>
    <w:rsid w:val="00E64C15"/>
    <w:rsid w:val="00E64F71"/>
    <w:rsid w:val="00E672AD"/>
    <w:rsid w:val="00E7075D"/>
    <w:rsid w:val="00E70A2E"/>
    <w:rsid w:val="00E71C81"/>
    <w:rsid w:val="00E737D6"/>
    <w:rsid w:val="00E76008"/>
    <w:rsid w:val="00E84D20"/>
    <w:rsid w:val="00E86102"/>
    <w:rsid w:val="00E86BD2"/>
    <w:rsid w:val="00E8772E"/>
    <w:rsid w:val="00E905A1"/>
    <w:rsid w:val="00E90E05"/>
    <w:rsid w:val="00E9235D"/>
    <w:rsid w:val="00E93B9F"/>
    <w:rsid w:val="00E93C77"/>
    <w:rsid w:val="00E942E1"/>
    <w:rsid w:val="00E95009"/>
    <w:rsid w:val="00E95230"/>
    <w:rsid w:val="00EA0F56"/>
    <w:rsid w:val="00EA1D57"/>
    <w:rsid w:val="00EA513D"/>
    <w:rsid w:val="00EA7D87"/>
    <w:rsid w:val="00EB2646"/>
    <w:rsid w:val="00EB547D"/>
    <w:rsid w:val="00EB655A"/>
    <w:rsid w:val="00EC170C"/>
    <w:rsid w:val="00EC1D27"/>
    <w:rsid w:val="00EC3B84"/>
    <w:rsid w:val="00EC48D0"/>
    <w:rsid w:val="00EC5B93"/>
    <w:rsid w:val="00EC5F68"/>
    <w:rsid w:val="00ED06FF"/>
    <w:rsid w:val="00ED11C8"/>
    <w:rsid w:val="00ED557F"/>
    <w:rsid w:val="00EE2F11"/>
    <w:rsid w:val="00EE5D07"/>
    <w:rsid w:val="00EF0B52"/>
    <w:rsid w:val="00EF6116"/>
    <w:rsid w:val="00EF644B"/>
    <w:rsid w:val="00EF74D6"/>
    <w:rsid w:val="00F00EC5"/>
    <w:rsid w:val="00F024D6"/>
    <w:rsid w:val="00F03E5E"/>
    <w:rsid w:val="00F04C70"/>
    <w:rsid w:val="00F04E35"/>
    <w:rsid w:val="00F04F31"/>
    <w:rsid w:val="00F072C7"/>
    <w:rsid w:val="00F0739A"/>
    <w:rsid w:val="00F13BA8"/>
    <w:rsid w:val="00F13CFF"/>
    <w:rsid w:val="00F14981"/>
    <w:rsid w:val="00F17E53"/>
    <w:rsid w:val="00F205C2"/>
    <w:rsid w:val="00F225D7"/>
    <w:rsid w:val="00F22E4A"/>
    <w:rsid w:val="00F23D05"/>
    <w:rsid w:val="00F307F7"/>
    <w:rsid w:val="00F30F86"/>
    <w:rsid w:val="00F337F8"/>
    <w:rsid w:val="00F354E1"/>
    <w:rsid w:val="00F35D2D"/>
    <w:rsid w:val="00F40D3E"/>
    <w:rsid w:val="00F40E95"/>
    <w:rsid w:val="00F439E2"/>
    <w:rsid w:val="00F44EEB"/>
    <w:rsid w:val="00F45F76"/>
    <w:rsid w:val="00F5532F"/>
    <w:rsid w:val="00F56B10"/>
    <w:rsid w:val="00F60ACE"/>
    <w:rsid w:val="00F625C9"/>
    <w:rsid w:val="00F6346F"/>
    <w:rsid w:val="00F644AF"/>
    <w:rsid w:val="00F6671C"/>
    <w:rsid w:val="00F66883"/>
    <w:rsid w:val="00F73A4F"/>
    <w:rsid w:val="00F745E9"/>
    <w:rsid w:val="00F75A92"/>
    <w:rsid w:val="00F76C48"/>
    <w:rsid w:val="00F87667"/>
    <w:rsid w:val="00F87721"/>
    <w:rsid w:val="00F9066E"/>
    <w:rsid w:val="00F92A7B"/>
    <w:rsid w:val="00F96F4D"/>
    <w:rsid w:val="00FA7F87"/>
    <w:rsid w:val="00FB086E"/>
    <w:rsid w:val="00FB0D12"/>
    <w:rsid w:val="00FB1A30"/>
    <w:rsid w:val="00FB1C2E"/>
    <w:rsid w:val="00FB29F9"/>
    <w:rsid w:val="00FB4C89"/>
    <w:rsid w:val="00FB68AD"/>
    <w:rsid w:val="00FB6AF6"/>
    <w:rsid w:val="00FC0822"/>
    <w:rsid w:val="00FC0E70"/>
    <w:rsid w:val="00FC352F"/>
    <w:rsid w:val="00FC6AFD"/>
    <w:rsid w:val="00FD1D49"/>
    <w:rsid w:val="00FD6074"/>
    <w:rsid w:val="00FD6219"/>
    <w:rsid w:val="00FD6DE2"/>
    <w:rsid w:val="00FE1519"/>
    <w:rsid w:val="00FE235B"/>
    <w:rsid w:val="00FE5054"/>
    <w:rsid w:val="00FE6226"/>
    <w:rsid w:val="00FF0516"/>
    <w:rsid w:val="00FF0A8B"/>
    <w:rsid w:val="00FF2541"/>
    <w:rsid w:val="00FF48AB"/>
    <w:rsid w:val="00FF4F6F"/>
    <w:rsid w:val="00FF5174"/>
    <w:rsid w:val="00FF5953"/>
    <w:rsid w:val="00FF610A"/>
    <w:rsid w:val="00FF7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C27F1"/>
  <w15:chartTrackingRefBased/>
  <w15:docId w15:val="{1C4FAAFD-49C6-4AE6-9A7C-CED22F16F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A01"/>
    <w:pPr>
      <w:spacing w:line="360" w:lineRule="auto"/>
    </w:pPr>
    <w:rPr>
      <w:rFonts w:ascii="Arial" w:hAnsi="Arial"/>
      <w:kern w:val="0"/>
      <w:sz w:val="20"/>
      <w:szCs w:val="22"/>
      <w14:ligatures w14:val="none"/>
    </w:rPr>
  </w:style>
  <w:style w:type="paragraph" w:styleId="Heading1">
    <w:name w:val="heading 1"/>
    <w:basedOn w:val="Normal"/>
    <w:next w:val="Normal"/>
    <w:link w:val="Heading1Char"/>
    <w:uiPriority w:val="9"/>
    <w:qFormat/>
    <w:rsid w:val="00F00EC5"/>
    <w:pPr>
      <w:outlineLvl w:val="0"/>
    </w:pPr>
    <w:rPr>
      <w:rFonts w:cs="Arial"/>
      <w:b/>
      <w:bCs/>
      <w:szCs w:val="20"/>
    </w:rPr>
  </w:style>
  <w:style w:type="paragraph" w:styleId="Heading2">
    <w:name w:val="heading 2"/>
    <w:basedOn w:val="Normal"/>
    <w:next w:val="Normal"/>
    <w:link w:val="Heading2Char"/>
    <w:uiPriority w:val="9"/>
    <w:unhideWhenUsed/>
    <w:qFormat/>
    <w:rsid w:val="00F00EC5"/>
    <w:pPr>
      <w:outlineLvl w:val="1"/>
    </w:pPr>
    <w:rPr>
      <w:rFonts w:cs="Arial"/>
      <w:i/>
      <w:iCs/>
      <w:szCs w:val="20"/>
    </w:rPr>
  </w:style>
  <w:style w:type="paragraph" w:styleId="Heading3">
    <w:name w:val="heading 3"/>
    <w:basedOn w:val="Normal"/>
    <w:next w:val="Normal"/>
    <w:link w:val="Heading3Char"/>
    <w:uiPriority w:val="9"/>
    <w:unhideWhenUsed/>
    <w:qFormat/>
    <w:rsid w:val="009B6A04"/>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B6A04"/>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9B6A04"/>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9B6A04"/>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9B6A04"/>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9B6A04"/>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9B6A04"/>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EC5"/>
    <w:rPr>
      <w:rFonts w:ascii="Arial" w:hAnsi="Arial" w:cs="Arial"/>
      <w:b/>
      <w:bCs/>
      <w:kern w:val="0"/>
      <w:sz w:val="20"/>
      <w:szCs w:val="20"/>
      <w14:ligatures w14:val="none"/>
    </w:rPr>
  </w:style>
  <w:style w:type="character" w:customStyle="1" w:styleId="Heading2Char">
    <w:name w:val="Heading 2 Char"/>
    <w:basedOn w:val="DefaultParagraphFont"/>
    <w:link w:val="Heading2"/>
    <w:uiPriority w:val="9"/>
    <w:rsid w:val="00F00EC5"/>
    <w:rPr>
      <w:rFonts w:ascii="Arial" w:hAnsi="Arial" w:cs="Arial"/>
      <w:i/>
      <w:iCs/>
      <w:kern w:val="0"/>
      <w:sz w:val="20"/>
      <w:szCs w:val="20"/>
      <w14:ligatures w14:val="none"/>
    </w:rPr>
  </w:style>
  <w:style w:type="character" w:customStyle="1" w:styleId="Heading3Char">
    <w:name w:val="Heading 3 Char"/>
    <w:basedOn w:val="DefaultParagraphFont"/>
    <w:link w:val="Heading3"/>
    <w:uiPriority w:val="9"/>
    <w:rsid w:val="009B6A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6A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6A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6A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6A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6A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6A04"/>
    <w:rPr>
      <w:rFonts w:eastAsiaTheme="majorEastAsia" w:cstheme="majorBidi"/>
      <w:color w:val="272727" w:themeColor="text1" w:themeTint="D8"/>
    </w:rPr>
  </w:style>
  <w:style w:type="paragraph" w:styleId="Title">
    <w:name w:val="Title"/>
    <w:basedOn w:val="Normal"/>
    <w:next w:val="Normal"/>
    <w:link w:val="TitleChar"/>
    <w:uiPriority w:val="10"/>
    <w:qFormat/>
    <w:rsid w:val="009B6A0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B6A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6A04"/>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B6A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6A04"/>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9B6A04"/>
    <w:rPr>
      <w:i/>
      <w:iCs/>
      <w:color w:val="404040" w:themeColor="text1" w:themeTint="BF"/>
    </w:rPr>
  </w:style>
  <w:style w:type="paragraph" w:styleId="ListParagraph">
    <w:name w:val="List Paragraph"/>
    <w:basedOn w:val="Normal"/>
    <w:uiPriority w:val="34"/>
    <w:qFormat/>
    <w:rsid w:val="009B6A04"/>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9B6A04"/>
    <w:rPr>
      <w:i/>
      <w:iCs/>
      <w:color w:val="0F4761" w:themeColor="accent1" w:themeShade="BF"/>
    </w:rPr>
  </w:style>
  <w:style w:type="paragraph" w:styleId="IntenseQuote">
    <w:name w:val="Intense Quote"/>
    <w:basedOn w:val="Normal"/>
    <w:next w:val="Normal"/>
    <w:link w:val="IntenseQuoteChar"/>
    <w:uiPriority w:val="30"/>
    <w:qFormat/>
    <w:rsid w:val="009B6A0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9B6A04"/>
    <w:rPr>
      <w:i/>
      <w:iCs/>
      <w:color w:val="0F4761" w:themeColor="accent1" w:themeShade="BF"/>
    </w:rPr>
  </w:style>
  <w:style w:type="character" w:styleId="IntenseReference">
    <w:name w:val="Intense Reference"/>
    <w:basedOn w:val="DefaultParagraphFont"/>
    <w:uiPriority w:val="32"/>
    <w:qFormat/>
    <w:rsid w:val="009B6A04"/>
    <w:rPr>
      <w:b/>
      <w:bCs/>
      <w:smallCaps/>
      <w:color w:val="0F4761" w:themeColor="accent1" w:themeShade="BF"/>
      <w:spacing w:val="5"/>
    </w:rPr>
  </w:style>
  <w:style w:type="character" w:styleId="CommentReference">
    <w:name w:val="annotation reference"/>
    <w:basedOn w:val="DefaultParagraphFont"/>
    <w:uiPriority w:val="99"/>
    <w:semiHidden/>
    <w:unhideWhenUsed/>
    <w:rsid w:val="00241B61"/>
    <w:rPr>
      <w:sz w:val="16"/>
      <w:szCs w:val="16"/>
    </w:rPr>
  </w:style>
  <w:style w:type="paragraph" w:styleId="CommentText">
    <w:name w:val="annotation text"/>
    <w:basedOn w:val="Normal"/>
    <w:link w:val="CommentTextChar"/>
    <w:uiPriority w:val="99"/>
    <w:unhideWhenUsed/>
    <w:rsid w:val="00241B61"/>
    <w:pPr>
      <w:spacing w:line="240" w:lineRule="auto"/>
    </w:pPr>
    <w:rPr>
      <w:szCs w:val="20"/>
    </w:rPr>
  </w:style>
  <w:style w:type="character" w:customStyle="1" w:styleId="CommentTextChar">
    <w:name w:val="Comment Text Char"/>
    <w:basedOn w:val="DefaultParagraphFont"/>
    <w:link w:val="CommentText"/>
    <w:uiPriority w:val="99"/>
    <w:rsid w:val="00241B61"/>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41B61"/>
    <w:rPr>
      <w:b/>
      <w:bCs/>
    </w:rPr>
  </w:style>
  <w:style w:type="character" w:customStyle="1" w:styleId="CommentSubjectChar">
    <w:name w:val="Comment Subject Char"/>
    <w:basedOn w:val="CommentTextChar"/>
    <w:link w:val="CommentSubject"/>
    <w:uiPriority w:val="99"/>
    <w:semiHidden/>
    <w:rsid w:val="00241B61"/>
    <w:rPr>
      <w:b/>
      <w:bCs/>
      <w:kern w:val="0"/>
      <w:sz w:val="20"/>
      <w:szCs w:val="20"/>
      <w14:ligatures w14:val="none"/>
    </w:rPr>
  </w:style>
  <w:style w:type="paragraph" w:styleId="Bibliography">
    <w:name w:val="Bibliography"/>
    <w:basedOn w:val="Normal"/>
    <w:next w:val="Normal"/>
    <w:uiPriority w:val="37"/>
    <w:unhideWhenUsed/>
    <w:rsid w:val="001808CB"/>
    <w:pPr>
      <w:tabs>
        <w:tab w:val="left" w:pos="384"/>
      </w:tabs>
      <w:spacing w:after="0" w:line="480" w:lineRule="auto"/>
      <w:ind w:left="384" w:hanging="384"/>
    </w:pPr>
  </w:style>
  <w:style w:type="character" w:styleId="LineNumber">
    <w:name w:val="line number"/>
    <w:basedOn w:val="DefaultParagraphFont"/>
    <w:uiPriority w:val="99"/>
    <w:semiHidden/>
    <w:unhideWhenUsed/>
    <w:rsid w:val="00F337F8"/>
  </w:style>
  <w:style w:type="character" w:styleId="Hyperlink">
    <w:name w:val="Hyperlink"/>
    <w:basedOn w:val="DefaultParagraphFont"/>
    <w:uiPriority w:val="99"/>
    <w:unhideWhenUsed/>
    <w:rsid w:val="008335F6"/>
    <w:rPr>
      <w:color w:val="467886" w:themeColor="hyperlink"/>
      <w:u w:val="single"/>
    </w:rPr>
  </w:style>
  <w:style w:type="character" w:styleId="UnresolvedMention">
    <w:name w:val="Unresolved Mention"/>
    <w:basedOn w:val="DefaultParagraphFont"/>
    <w:uiPriority w:val="99"/>
    <w:semiHidden/>
    <w:unhideWhenUsed/>
    <w:rsid w:val="008335F6"/>
    <w:rPr>
      <w:color w:val="605E5C"/>
      <w:shd w:val="clear" w:color="auto" w:fill="E1DFDD"/>
    </w:rPr>
  </w:style>
  <w:style w:type="paragraph" w:styleId="Caption">
    <w:name w:val="caption"/>
    <w:basedOn w:val="Normal"/>
    <w:next w:val="Normal"/>
    <w:uiPriority w:val="35"/>
    <w:unhideWhenUsed/>
    <w:qFormat/>
    <w:rsid w:val="009E5920"/>
    <w:rPr>
      <w:rFonts w:cs="Arial"/>
      <w:szCs w:val="20"/>
    </w:rPr>
  </w:style>
  <w:style w:type="paragraph" w:styleId="Revision">
    <w:name w:val="Revision"/>
    <w:hidden/>
    <w:uiPriority w:val="99"/>
    <w:semiHidden/>
    <w:rsid w:val="00EB2646"/>
    <w:pPr>
      <w:spacing w:after="0" w:line="240" w:lineRule="auto"/>
    </w:pPr>
    <w:rPr>
      <w:rFonts w:ascii="Arial" w:hAnsi="Arial"/>
      <w:kern w:val="0"/>
      <w:sz w:val="2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88864">
      <w:bodyDiv w:val="1"/>
      <w:marLeft w:val="0"/>
      <w:marRight w:val="0"/>
      <w:marTop w:val="0"/>
      <w:marBottom w:val="0"/>
      <w:divBdr>
        <w:top w:val="none" w:sz="0" w:space="0" w:color="auto"/>
        <w:left w:val="none" w:sz="0" w:space="0" w:color="auto"/>
        <w:bottom w:val="none" w:sz="0" w:space="0" w:color="auto"/>
        <w:right w:val="none" w:sz="0" w:space="0" w:color="auto"/>
      </w:divBdr>
    </w:div>
    <w:div w:id="568200304">
      <w:bodyDiv w:val="1"/>
      <w:marLeft w:val="0"/>
      <w:marRight w:val="0"/>
      <w:marTop w:val="0"/>
      <w:marBottom w:val="0"/>
      <w:divBdr>
        <w:top w:val="none" w:sz="0" w:space="0" w:color="auto"/>
        <w:left w:val="none" w:sz="0" w:space="0" w:color="auto"/>
        <w:bottom w:val="none" w:sz="0" w:space="0" w:color="auto"/>
        <w:right w:val="none" w:sz="0" w:space="0" w:color="auto"/>
      </w:divBdr>
    </w:div>
    <w:div w:id="1461609236">
      <w:bodyDiv w:val="1"/>
      <w:marLeft w:val="0"/>
      <w:marRight w:val="0"/>
      <w:marTop w:val="0"/>
      <w:marBottom w:val="0"/>
      <w:divBdr>
        <w:top w:val="none" w:sz="0" w:space="0" w:color="auto"/>
        <w:left w:val="none" w:sz="0" w:space="0" w:color="auto"/>
        <w:bottom w:val="none" w:sz="0" w:space="0" w:color="auto"/>
        <w:right w:val="none" w:sz="0" w:space="0" w:color="auto"/>
      </w:divBdr>
    </w:div>
    <w:div w:id="180978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F9D30-5668-41EB-B4C1-C1B381175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4905</Words>
  <Characters>27960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Zander, Paul David</dc:creator>
  <cp:keywords/>
  <dc:description/>
  <cp:lastModifiedBy>Zander, Paul David</cp:lastModifiedBy>
  <cp:revision>10</cp:revision>
  <cp:lastPrinted>2025-08-01T23:54:00Z</cp:lastPrinted>
  <dcterms:created xsi:type="dcterms:W3CDTF">2025-12-05T18:18:00Z</dcterms:created>
  <dcterms:modified xsi:type="dcterms:W3CDTF">2025-12-11T16:55:00Z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id="7J1drhwo"/&gt;&lt;style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