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1"/>
        <w:tblW w:w="13887" w:type="dxa"/>
        <w:tblLook w:val="04A0" w:firstRow="1" w:lastRow="0" w:firstColumn="1" w:lastColumn="0" w:noHBand="0" w:noVBand="1"/>
      </w:tblPr>
      <w:tblGrid>
        <w:gridCol w:w="988"/>
        <w:gridCol w:w="4394"/>
        <w:gridCol w:w="8505"/>
      </w:tblGrid>
      <w:tr w:rsidR="00211918" w:rsidRPr="005B39E2" w14:paraId="1D51B96C" w14:textId="77777777" w:rsidTr="000B06EC">
        <w:tc>
          <w:tcPr>
            <w:tcW w:w="988" w:type="dxa"/>
          </w:tcPr>
          <w:p w14:paraId="05348648" w14:textId="77777777" w:rsidR="00211918" w:rsidRPr="005B39E2" w:rsidRDefault="00211918" w:rsidP="000B06EC">
            <w:pPr>
              <w:jc w:val="center"/>
              <w:rPr>
                <w:rFonts w:ascii="Times New Roman" w:eastAsia="等线" w:hAnsi="Times New Roman" w:cs="Times New Roman"/>
                <w:sz w:val="20"/>
                <w:szCs w:val="20"/>
              </w:rPr>
            </w:pPr>
            <w:r w:rsidRPr="005B39E2">
              <w:rPr>
                <w:rFonts w:ascii="Times New Roman" w:eastAsia="等线" w:hAnsi="Times New Roman" w:cs="Times New Roman"/>
                <w:sz w:val="20"/>
                <w:szCs w:val="20"/>
              </w:rPr>
              <w:t>CKM stages</w:t>
            </w:r>
          </w:p>
        </w:tc>
        <w:tc>
          <w:tcPr>
            <w:tcW w:w="4394" w:type="dxa"/>
          </w:tcPr>
          <w:p w14:paraId="4B101993" w14:textId="77777777" w:rsidR="00211918" w:rsidRPr="005B39E2" w:rsidRDefault="00211918" w:rsidP="000B06EC">
            <w:pPr>
              <w:jc w:val="center"/>
              <w:rPr>
                <w:rFonts w:ascii="Times New Roman" w:eastAsia="等线" w:hAnsi="Times New Roman" w:cs="Times New Roman"/>
                <w:sz w:val="20"/>
                <w:szCs w:val="20"/>
              </w:rPr>
            </w:pPr>
            <w:r w:rsidRPr="005B39E2">
              <w:rPr>
                <w:rFonts w:ascii="Times New Roman" w:eastAsia="等线" w:hAnsi="Times New Roman" w:cs="Times New Roman"/>
                <w:sz w:val="20"/>
                <w:szCs w:val="20"/>
              </w:rPr>
              <w:t>AHA Definitions of CKM Syndrome Stages</w:t>
            </w:r>
          </w:p>
        </w:tc>
        <w:tc>
          <w:tcPr>
            <w:tcW w:w="8505" w:type="dxa"/>
          </w:tcPr>
          <w:p w14:paraId="43B1F6B1" w14:textId="77777777" w:rsidR="00211918" w:rsidRPr="005B39E2" w:rsidRDefault="00211918" w:rsidP="000B06EC">
            <w:pPr>
              <w:jc w:val="center"/>
              <w:rPr>
                <w:rFonts w:ascii="Times New Roman" w:eastAsia="等线" w:hAnsi="Times New Roman" w:cs="Times New Roman"/>
                <w:sz w:val="20"/>
                <w:szCs w:val="20"/>
              </w:rPr>
            </w:pPr>
            <w:r w:rsidRPr="005B39E2">
              <w:rPr>
                <w:rFonts w:ascii="Times New Roman" w:eastAsia="等线" w:hAnsi="Times New Roman" w:cs="Times New Roman"/>
                <w:sz w:val="20"/>
                <w:szCs w:val="20"/>
              </w:rPr>
              <w:t>Threshold for CKM conditions</w:t>
            </w:r>
          </w:p>
        </w:tc>
      </w:tr>
      <w:tr w:rsidR="00211918" w:rsidRPr="005B39E2" w14:paraId="18F8F53B" w14:textId="77777777" w:rsidTr="000B06EC">
        <w:tc>
          <w:tcPr>
            <w:tcW w:w="988" w:type="dxa"/>
          </w:tcPr>
          <w:p w14:paraId="634324E5" w14:textId="77777777" w:rsidR="00211918" w:rsidRPr="005B39E2" w:rsidRDefault="00211918" w:rsidP="000B06EC">
            <w:pPr>
              <w:jc w:val="center"/>
              <w:rPr>
                <w:rFonts w:ascii="Times New Roman" w:eastAsia="等线" w:hAnsi="Times New Roman" w:cs="Times New Roman"/>
                <w:sz w:val="20"/>
                <w:szCs w:val="20"/>
              </w:rPr>
            </w:pPr>
            <w:r w:rsidRPr="005B39E2">
              <w:rPr>
                <w:rFonts w:ascii="Times New Roman" w:eastAsia="等线" w:hAnsi="Times New Roman" w:cs="Times New Roman"/>
                <w:sz w:val="20"/>
                <w:szCs w:val="20"/>
              </w:rPr>
              <w:t>Stages 0</w:t>
            </w:r>
          </w:p>
        </w:tc>
        <w:tc>
          <w:tcPr>
            <w:tcW w:w="4394" w:type="dxa"/>
          </w:tcPr>
          <w:p w14:paraId="21EB5C08" w14:textId="77777777" w:rsidR="00211918" w:rsidRPr="005B39E2" w:rsidRDefault="00211918" w:rsidP="000B06EC">
            <w:pPr>
              <w:rPr>
                <w:rFonts w:ascii="Times New Roman" w:eastAsia="等线" w:hAnsi="Times New Roman" w:cs="Times New Roman"/>
                <w:sz w:val="20"/>
                <w:szCs w:val="20"/>
              </w:rPr>
            </w:pPr>
            <w:r w:rsidRPr="005B39E2">
              <w:rPr>
                <w:rFonts w:ascii="Times New Roman" w:eastAsia="等线" w:hAnsi="Times New Roman" w:cs="Times New Roman"/>
                <w:sz w:val="20"/>
                <w:szCs w:val="20"/>
              </w:rPr>
              <w:t>Individuals with normal BMI and waist circumference, normoglycemia, normotension, a normal lipid profile, and no evidence of CKD or subclinical or clinical CVD</w:t>
            </w:r>
          </w:p>
        </w:tc>
        <w:tc>
          <w:tcPr>
            <w:tcW w:w="8505" w:type="dxa"/>
          </w:tcPr>
          <w:p w14:paraId="5D365587" w14:textId="77777777" w:rsidR="00211918" w:rsidRPr="005B39E2" w:rsidRDefault="00211918" w:rsidP="000B06EC">
            <w:pPr>
              <w:rPr>
                <w:rFonts w:ascii="Times New Roman" w:eastAsia="等线" w:hAnsi="Times New Roman" w:cs="Times New Roman"/>
                <w:b/>
                <w:bCs/>
                <w:sz w:val="20"/>
                <w:szCs w:val="20"/>
              </w:rPr>
            </w:pPr>
            <w:r w:rsidRPr="005B39E2">
              <w:rPr>
                <w:rFonts w:ascii="Times New Roman" w:eastAsia="等线" w:hAnsi="Times New Roman" w:cs="Times New Roman"/>
                <w:b/>
                <w:bCs/>
                <w:sz w:val="20"/>
                <w:szCs w:val="20"/>
              </w:rPr>
              <w:t>All criteria are met</w:t>
            </w:r>
            <w:r w:rsidRPr="005B39E2">
              <w:rPr>
                <w:rFonts w:ascii="Times New Roman" w:eastAsia="等线" w:hAnsi="Times New Roman" w:cs="Times New Roman"/>
                <w:b/>
                <w:bCs/>
                <w:sz w:val="20"/>
                <w:szCs w:val="20"/>
              </w:rPr>
              <w:t>：</w:t>
            </w:r>
          </w:p>
          <w:p w14:paraId="087C05D8" w14:textId="675C8EAB" w:rsidR="00211918" w:rsidRPr="005B39E2" w:rsidRDefault="00211918" w:rsidP="000B06EC">
            <w:pPr>
              <w:rPr>
                <w:rFonts w:ascii="Times New Roman" w:eastAsia="等线" w:hAnsi="Times New Roman" w:cs="Times New Roman"/>
                <w:sz w:val="20"/>
                <w:szCs w:val="20"/>
              </w:rPr>
            </w:pPr>
            <w:r w:rsidRPr="005B39E2">
              <w:rPr>
                <w:rFonts w:ascii="Times New Roman" w:eastAsia="等线" w:hAnsi="Times New Roman" w:cs="Times New Roman"/>
                <w:sz w:val="20"/>
                <w:szCs w:val="20"/>
              </w:rPr>
              <w:t>1. BMI &lt; 25 kg/m²</w:t>
            </w:r>
            <w:r w:rsidRPr="005B39E2">
              <w:rPr>
                <w:rFonts w:ascii="Times New Roman" w:eastAsia="等线" w:hAnsi="Times New Roman" w:cs="Times New Roman"/>
                <w:sz w:val="20"/>
                <w:szCs w:val="20"/>
              </w:rPr>
              <w:br/>
              <w:t>2. Waist circumference &lt; 88 cm (female) / &lt; 102 cm (male)</w:t>
            </w:r>
            <w:r w:rsidRPr="005B39E2">
              <w:rPr>
                <w:rFonts w:ascii="Times New Roman" w:eastAsia="等线" w:hAnsi="Times New Roman" w:cs="Times New Roman"/>
                <w:sz w:val="20"/>
                <w:szCs w:val="20"/>
              </w:rPr>
              <w:br/>
              <w:t>3. Glucose &lt; 100 mg/dL</w:t>
            </w:r>
            <w:r w:rsidRPr="005B39E2">
              <w:rPr>
                <w:rFonts w:ascii="Times New Roman" w:eastAsia="等线" w:hAnsi="Times New Roman" w:cs="Times New Roman"/>
                <w:sz w:val="20"/>
                <w:szCs w:val="20"/>
              </w:rPr>
              <w:br/>
              <w:t>AND HbA1c &lt; 5.7% (if available)</w:t>
            </w:r>
            <w:r w:rsidRPr="005B39E2">
              <w:rPr>
                <w:rFonts w:ascii="Times New Roman" w:eastAsia="等线" w:hAnsi="Times New Roman" w:cs="Times New Roman"/>
                <w:sz w:val="20"/>
                <w:szCs w:val="20"/>
              </w:rPr>
              <w:br/>
              <w:t>AND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diabetes = 0</w:t>
            </w:r>
            <w:r w:rsidRPr="005B39E2">
              <w:rPr>
                <w:rFonts w:ascii="Times New Roman" w:eastAsia="等线" w:hAnsi="Times New Roman" w:cs="Times New Roman"/>
                <w:sz w:val="20"/>
                <w:szCs w:val="20"/>
              </w:rPr>
              <w:br/>
              <w:t>4.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hypertension = 0</w:t>
            </w:r>
            <w:r w:rsidRPr="005B39E2">
              <w:rPr>
                <w:rFonts w:ascii="Times New Roman" w:eastAsia="等线" w:hAnsi="Times New Roman" w:cs="Times New Roman"/>
                <w:sz w:val="20"/>
                <w:szCs w:val="20"/>
              </w:rPr>
              <w:br/>
              <w:t>5. Triglycerides &lt; 150 mg/dL</w:t>
            </w:r>
            <w:r w:rsidRPr="005B39E2">
              <w:rPr>
                <w:rFonts w:ascii="Times New Roman" w:eastAsia="等线" w:hAnsi="Times New Roman" w:cs="Times New Roman"/>
                <w:sz w:val="20"/>
                <w:szCs w:val="20"/>
              </w:rPr>
              <w:br/>
              <w:t>AND HDL ≥40 mg/dL (male) / ≥ 50 mg/dL (female)</w:t>
            </w:r>
            <w:r w:rsidRPr="005B39E2">
              <w:rPr>
                <w:rFonts w:ascii="Times New Roman" w:eastAsia="等线" w:hAnsi="Times New Roman" w:cs="Times New Roman"/>
                <w:sz w:val="20"/>
                <w:szCs w:val="20"/>
              </w:rPr>
              <w:br/>
              <w:t>6.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ckd = 0</w:t>
            </w:r>
            <w:r w:rsidRPr="005B39E2">
              <w:rPr>
                <w:rFonts w:ascii="Times New Roman" w:eastAsia="等线" w:hAnsi="Times New Roman" w:cs="Times New Roman"/>
                <w:sz w:val="20"/>
                <w:szCs w:val="20"/>
              </w:rPr>
              <w:br/>
              <w:t>AND eGFR ≥ 60 mL/min/1.73 m² (if available)</w:t>
            </w:r>
            <w:r w:rsidRPr="005B39E2">
              <w:rPr>
                <w:rFonts w:ascii="Times New Roman" w:eastAsia="等线" w:hAnsi="Times New Roman" w:cs="Times New Roman"/>
                <w:sz w:val="20"/>
                <w:szCs w:val="20"/>
              </w:rPr>
              <w:br/>
              <w:t>7. Subclinical HF negative:</w:t>
            </w:r>
            <w:r w:rsidRPr="005B39E2">
              <w:rPr>
                <w:rFonts w:ascii="Times New Roman" w:eastAsia="等线" w:hAnsi="Times New Roman" w:cs="Times New Roman"/>
                <w:sz w:val="20"/>
                <w:szCs w:val="20"/>
              </w:rPr>
              <w:br/>
              <w:t xml:space="preserve">  NT-proBNP &lt; 125 pg/mL (if available)</w:t>
            </w:r>
            <w:r w:rsidRPr="005B39E2">
              <w:rPr>
                <w:rFonts w:ascii="Times New Roman" w:eastAsia="等线" w:hAnsi="Times New Roman" w:cs="Times New Roman"/>
                <w:sz w:val="20"/>
                <w:szCs w:val="20"/>
              </w:rPr>
              <w:br/>
              <w:t xml:space="preserve">  troponin T &lt; 0.014 ng/mL (female) / &lt; 0.022 ng/mL (male) (if available)</w:t>
            </w:r>
            <w:r w:rsidRPr="005B39E2">
              <w:rPr>
                <w:rFonts w:ascii="Times New Roman" w:eastAsia="等线" w:hAnsi="Times New Roman" w:cs="Times New Roman"/>
                <w:sz w:val="20"/>
                <w:szCs w:val="20"/>
              </w:rPr>
              <w:br/>
              <w:t xml:space="preserve">  troponin I &lt; 0.010 ng/mL (female) / &lt; 0.012 ng/mL (male) (if available)</w:t>
            </w:r>
            <w:r w:rsidRPr="005B39E2">
              <w:rPr>
                <w:rFonts w:ascii="Times New Roman" w:eastAsia="等线" w:hAnsi="Times New Roman" w:cs="Times New Roman"/>
                <w:sz w:val="20"/>
                <w:szCs w:val="20"/>
              </w:rPr>
              <w:br/>
              <w:t>AND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hf = 0</w:t>
            </w:r>
            <w:r w:rsidRPr="005B39E2">
              <w:rPr>
                <w:rFonts w:ascii="Times New Roman" w:eastAsia="等线" w:hAnsi="Times New Roman" w:cs="Times New Roman"/>
                <w:sz w:val="20"/>
                <w:szCs w:val="20"/>
              </w:rPr>
              <w:br/>
              <w:t>8.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cvd = 0</w:t>
            </w:r>
          </w:p>
        </w:tc>
      </w:tr>
      <w:tr w:rsidR="00211918" w:rsidRPr="005B39E2" w14:paraId="76638C36" w14:textId="77777777" w:rsidTr="000B06EC">
        <w:tc>
          <w:tcPr>
            <w:tcW w:w="988" w:type="dxa"/>
          </w:tcPr>
          <w:p w14:paraId="21E49008" w14:textId="77777777" w:rsidR="00211918" w:rsidRPr="005B39E2" w:rsidRDefault="00211918" w:rsidP="000B06EC">
            <w:pPr>
              <w:jc w:val="center"/>
              <w:rPr>
                <w:rFonts w:ascii="Times New Roman" w:eastAsia="等线" w:hAnsi="Times New Roman" w:cs="Times New Roman"/>
                <w:sz w:val="20"/>
                <w:szCs w:val="20"/>
              </w:rPr>
            </w:pPr>
            <w:r w:rsidRPr="005B39E2">
              <w:rPr>
                <w:rFonts w:ascii="Times New Roman" w:eastAsia="等线" w:hAnsi="Times New Roman" w:cs="Times New Roman"/>
                <w:sz w:val="20"/>
                <w:szCs w:val="20"/>
              </w:rPr>
              <w:t>Stages 1</w:t>
            </w:r>
          </w:p>
        </w:tc>
        <w:tc>
          <w:tcPr>
            <w:tcW w:w="4394" w:type="dxa"/>
          </w:tcPr>
          <w:p w14:paraId="58765434" w14:textId="77777777" w:rsidR="00211918" w:rsidRPr="005B39E2" w:rsidRDefault="00211918" w:rsidP="000B06EC">
            <w:pPr>
              <w:rPr>
                <w:rFonts w:ascii="Times New Roman" w:eastAsia="等线" w:hAnsi="Times New Roman" w:cs="Times New Roman"/>
                <w:sz w:val="20"/>
                <w:szCs w:val="20"/>
              </w:rPr>
            </w:pPr>
            <w:r w:rsidRPr="005B39E2">
              <w:rPr>
                <w:rFonts w:ascii="Times New Roman" w:eastAsia="等线" w:hAnsi="Times New Roman" w:cs="Times New Roman"/>
                <w:sz w:val="20"/>
                <w:szCs w:val="20"/>
              </w:rPr>
              <w:t xml:space="preserve">Individuals with overweight/obesity, abdominal obesity, or dysfunctional adipose tissue, without the presence of other metabolic risk factors or CKD </w:t>
            </w:r>
            <w:r w:rsidRPr="005B39E2">
              <w:rPr>
                <w:rFonts w:ascii="Times New Roman" w:eastAsia="等线" w:hAnsi="Times New Roman" w:cs="Times New Roman"/>
                <w:sz w:val="20"/>
                <w:szCs w:val="20"/>
              </w:rPr>
              <w:br w:type="textWrapping" w:clear="all"/>
              <w:t>BMI ≥25 kg/m2 (or ≥23 kg/m2 if Asian ancestry),</w:t>
            </w:r>
            <w:r w:rsidRPr="005B39E2">
              <w:rPr>
                <w:rFonts w:ascii="Times New Roman" w:eastAsia="等线" w:hAnsi="Times New Roman" w:cs="Times New Roman"/>
                <w:sz w:val="20"/>
                <w:szCs w:val="20"/>
              </w:rPr>
              <w:br w:type="textWrapping" w:clear="all"/>
              <w:t xml:space="preserve">Waist circumference ≥88/102 cm in women/ men (or if Asian ancestry ≥80/90 cm in women/ men), or  </w:t>
            </w:r>
            <w:r w:rsidRPr="005B39E2">
              <w:rPr>
                <w:rFonts w:ascii="Times New Roman" w:eastAsia="等线" w:hAnsi="Times New Roman" w:cs="Times New Roman"/>
                <w:sz w:val="20"/>
                <w:szCs w:val="20"/>
              </w:rPr>
              <w:br w:type="textWrapping" w:clear="all"/>
              <w:t xml:space="preserve">Fasting blood glucose ≥100–124 mg/dL or HbA1c </w:t>
            </w:r>
            <w:r w:rsidRPr="005B39E2">
              <w:rPr>
                <w:rFonts w:ascii="Times New Roman" w:eastAsia="等线" w:hAnsi="Times New Roman" w:cs="Times New Roman"/>
                <w:sz w:val="20"/>
                <w:szCs w:val="20"/>
              </w:rPr>
              <w:lastRenderedPageBreak/>
              <w:t>between 5.7% and 6.4%</w:t>
            </w:r>
          </w:p>
        </w:tc>
        <w:tc>
          <w:tcPr>
            <w:tcW w:w="8505" w:type="dxa"/>
          </w:tcPr>
          <w:p w14:paraId="4E892BCD" w14:textId="77777777" w:rsidR="00211918" w:rsidRPr="005B39E2" w:rsidRDefault="00211918" w:rsidP="000B06EC">
            <w:pPr>
              <w:rPr>
                <w:rFonts w:ascii="Times New Roman" w:eastAsia="等线" w:hAnsi="Times New Roman" w:cs="Times New Roman"/>
                <w:b/>
                <w:bCs/>
                <w:sz w:val="20"/>
                <w:szCs w:val="20"/>
              </w:rPr>
            </w:pPr>
            <w:r w:rsidRPr="005B39E2">
              <w:rPr>
                <w:rFonts w:ascii="Times New Roman" w:eastAsia="等线" w:hAnsi="Times New Roman" w:cs="Times New Roman"/>
                <w:b/>
                <w:bCs/>
                <w:sz w:val="20"/>
                <w:szCs w:val="20"/>
              </w:rPr>
              <w:lastRenderedPageBreak/>
              <w:t>Any of the three criteria is met:</w:t>
            </w:r>
          </w:p>
          <w:p w14:paraId="7F623A4D" w14:textId="6394412B" w:rsidR="00211918" w:rsidRPr="005B39E2" w:rsidRDefault="00211918" w:rsidP="000B06EC">
            <w:pPr>
              <w:rPr>
                <w:rFonts w:ascii="Times New Roman" w:eastAsia="等线" w:hAnsi="Times New Roman" w:cs="Times New Roman"/>
                <w:sz w:val="20"/>
                <w:szCs w:val="20"/>
              </w:rPr>
            </w:pPr>
            <w:r w:rsidRPr="005B39E2">
              <w:rPr>
                <w:rFonts w:ascii="Times New Roman" w:eastAsia="等线" w:hAnsi="Times New Roman" w:cs="Times New Roman"/>
                <w:b/>
                <w:bCs/>
                <w:sz w:val="20"/>
                <w:szCs w:val="20"/>
              </w:rPr>
              <w:t>A. Excess or Dysfunctional Adiposity (any one):</w:t>
            </w:r>
            <w:r w:rsidRPr="005B39E2">
              <w:rPr>
                <w:rFonts w:ascii="Times New Roman" w:eastAsia="等线" w:hAnsi="Times New Roman" w:cs="Times New Roman"/>
                <w:sz w:val="20"/>
                <w:szCs w:val="20"/>
              </w:rPr>
              <w:br/>
              <w:t>1. BMI ≥ 25 kg/m²</w:t>
            </w:r>
            <w:r w:rsidRPr="005B39E2">
              <w:rPr>
                <w:rFonts w:ascii="Times New Roman" w:eastAsia="等线" w:hAnsi="Times New Roman" w:cs="Times New Roman"/>
                <w:sz w:val="20"/>
                <w:szCs w:val="20"/>
              </w:rPr>
              <w:br/>
              <w:t>2. Waist circumference ≥ 88 cm (female) / ≥ 102 cm (male)</w:t>
            </w:r>
            <w:r w:rsidRPr="005B39E2">
              <w:rPr>
                <w:rFonts w:ascii="Times New Roman" w:eastAsia="等线" w:hAnsi="Times New Roman" w:cs="Times New Roman"/>
                <w:sz w:val="20"/>
                <w:szCs w:val="20"/>
              </w:rPr>
              <w:br/>
              <w:t>3. Prediabetes:</w:t>
            </w:r>
            <w:r w:rsidRPr="005B39E2">
              <w:rPr>
                <w:rFonts w:ascii="Times New Roman" w:eastAsia="等线" w:hAnsi="Times New Roman" w:cs="Times New Roman"/>
                <w:sz w:val="20"/>
                <w:szCs w:val="20"/>
              </w:rPr>
              <w:br/>
              <w:t xml:space="preserve"> Glucose ≥ 100 mg/dL and ≤ 124 mg/dL</w:t>
            </w:r>
            <w:r w:rsidRPr="005B39E2">
              <w:rPr>
                <w:rFonts w:ascii="Times New Roman" w:eastAsia="等线" w:hAnsi="Times New Roman" w:cs="Times New Roman"/>
                <w:sz w:val="20"/>
                <w:szCs w:val="20"/>
              </w:rPr>
              <w:br/>
              <w:t xml:space="preserve"> OR hba1c ≥ 5.7 % and ≤ 6.4 % (if available)</w:t>
            </w:r>
            <w:r w:rsidRPr="005B39E2">
              <w:rPr>
                <w:rFonts w:ascii="Times New Roman" w:eastAsia="等线" w:hAnsi="Times New Roman" w:cs="Times New Roman"/>
                <w:sz w:val="20"/>
                <w:szCs w:val="20"/>
              </w:rPr>
              <w:br/>
            </w:r>
            <w:r w:rsidRPr="005B39E2">
              <w:rPr>
                <w:rFonts w:ascii="Times New Roman" w:eastAsia="等线" w:hAnsi="Times New Roman" w:cs="Times New Roman"/>
                <w:b/>
                <w:bCs/>
                <w:sz w:val="20"/>
                <w:szCs w:val="20"/>
              </w:rPr>
              <w:lastRenderedPageBreak/>
              <w:t>B. No other metabolic risk factors or CKD (none of):</w:t>
            </w:r>
            <w:r w:rsidRPr="005B39E2">
              <w:rPr>
                <w:rFonts w:ascii="Times New Roman" w:eastAsia="等线" w:hAnsi="Times New Roman" w:cs="Times New Roman"/>
                <w:sz w:val="20"/>
                <w:szCs w:val="20"/>
              </w:rPr>
              <w:br/>
              <w:t>1.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hypertension = 1</w:t>
            </w:r>
            <w:r w:rsidRPr="005B39E2">
              <w:rPr>
                <w:rFonts w:ascii="Times New Roman" w:eastAsia="等线" w:hAnsi="Times New Roman" w:cs="Times New Roman"/>
                <w:sz w:val="20"/>
                <w:szCs w:val="20"/>
              </w:rPr>
              <w:br/>
              <w:t>2.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diabetes = 1</w:t>
            </w:r>
            <w:r w:rsidRPr="005B39E2">
              <w:rPr>
                <w:rFonts w:ascii="Times New Roman" w:eastAsia="等线" w:hAnsi="Times New Roman" w:cs="Times New Roman"/>
                <w:sz w:val="20"/>
                <w:szCs w:val="20"/>
              </w:rPr>
              <w:br/>
              <w:t>3. Triglycerides ≥ 135 mg/dL</w:t>
            </w:r>
            <w:r w:rsidRPr="005B39E2">
              <w:rPr>
                <w:rFonts w:ascii="Times New Roman" w:eastAsia="等线" w:hAnsi="Times New Roman" w:cs="Times New Roman"/>
                <w:sz w:val="20"/>
                <w:szCs w:val="20"/>
              </w:rPr>
              <w:br/>
              <w:t>4.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mets = 1</w:t>
            </w:r>
            <w:r w:rsidRPr="005B39E2">
              <w:rPr>
                <w:rFonts w:ascii="Times New Roman" w:eastAsia="等线" w:hAnsi="Times New Roman" w:cs="Times New Roman"/>
                <w:sz w:val="20"/>
                <w:szCs w:val="20"/>
              </w:rPr>
              <w:br/>
              <w:t>5.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ckd = 1</w:t>
            </w:r>
          </w:p>
        </w:tc>
      </w:tr>
      <w:tr w:rsidR="00211918" w:rsidRPr="005B39E2" w14:paraId="0558AA5B" w14:textId="77777777" w:rsidTr="000B06EC">
        <w:tc>
          <w:tcPr>
            <w:tcW w:w="988" w:type="dxa"/>
          </w:tcPr>
          <w:p w14:paraId="6406F7B7" w14:textId="77777777" w:rsidR="00211918" w:rsidRPr="005B39E2" w:rsidRDefault="00211918" w:rsidP="000B06EC">
            <w:pPr>
              <w:jc w:val="center"/>
              <w:rPr>
                <w:rFonts w:ascii="Times New Roman" w:eastAsia="等线" w:hAnsi="Times New Roman" w:cs="Times New Roman"/>
                <w:sz w:val="20"/>
                <w:szCs w:val="20"/>
              </w:rPr>
            </w:pPr>
            <w:r w:rsidRPr="005B39E2">
              <w:rPr>
                <w:rFonts w:ascii="Times New Roman" w:eastAsia="等线" w:hAnsi="Times New Roman" w:cs="Times New Roman"/>
                <w:sz w:val="20"/>
                <w:szCs w:val="20"/>
              </w:rPr>
              <w:lastRenderedPageBreak/>
              <w:t>Stages 2</w:t>
            </w:r>
          </w:p>
        </w:tc>
        <w:tc>
          <w:tcPr>
            <w:tcW w:w="4394" w:type="dxa"/>
          </w:tcPr>
          <w:p w14:paraId="7A5A0A4F" w14:textId="77777777" w:rsidR="00211918" w:rsidRPr="005B39E2" w:rsidRDefault="00211918" w:rsidP="000B06EC">
            <w:pPr>
              <w:ind w:left="100" w:hangingChars="50" w:hanging="100"/>
              <w:rPr>
                <w:rFonts w:ascii="Times New Roman" w:eastAsia="等线" w:hAnsi="Times New Roman" w:cs="Times New Roman"/>
                <w:sz w:val="20"/>
                <w:szCs w:val="20"/>
              </w:rPr>
            </w:pPr>
            <w:r w:rsidRPr="005B39E2">
              <w:rPr>
                <w:rFonts w:ascii="Times New Roman" w:eastAsia="等线" w:hAnsi="Times New Roman" w:cs="Times New Roman"/>
                <w:b/>
                <w:bCs/>
                <w:sz w:val="20"/>
                <w:szCs w:val="20"/>
              </w:rPr>
              <w:t>Individuals with metabolic risk factors:</w:t>
            </w:r>
            <w:r w:rsidRPr="005B39E2">
              <w:rPr>
                <w:rFonts w:ascii="Times New Roman" w:eastAsia="等线" w:hAnsi="Times New Roman" w:cs="Times New Roman"/>
                <w:sz w:val="20"/>
                <w:szCs w:val="20"/>
              </w:rPr>
              <w:br w:type="textWrapping" w:clear="all"/>
              <w:t>hypertriglyceridemia[≥135mg/dL]</w:t>
            </w:r>
            <w:r w:rsidRPr="005B39E2">
              <w:rPr>
                <w:rFonts w:ascii="Times New Roman" w:eastAsia="等线" w:hAnsi="Times New Roman" w:cs="Times New Roman"/>
                <w:sz w:val="20"/>
                <w:szCs w:val="20"/>
              </w:rPr>
              <w:br w:type="textWrapping" w:clear="all"/>
              <w:t>hypertension</w:t>
            </w:r>
            <w:r w:rsidRPr="005B39E2">
              <w:rPr>
                <w:rFonts w:ascii="Times New Roman" w:eastAsia="等线" w:hAnsi="Times New Roman" w:cs="Times New Roman"/>
                <w:sz w:val="20"/>
                <w:szCs w:val="20"/>
              </w:rPr>
              <w:br w:type="textWrapping" w:clear="all"/>
              <w:t>MetS</w:t>
            </w:r>
            <w:r w:rsidRPr="005B39E2">
              <w:rPr>
                <w:rFonts w:ascii="Times New Roman" w:eastAsia="等线" w:hAnsi="Times New Roman" w:cs="Times New Roman"/>
                <w:sz w:val="20"/>
                <w:szCs w:val="20"/>
              </w:rPr>
              <w:br w:type="textWrapping" w:clear="all"/>
              <w:t>Diabetes</w:t>
            </w:r>
            <w:r w:rsidRPr="005B39E2">
              <w:rPr>
                <w:rFonts w:ascii="Times New Roman" w:eastAsia="等线" w:hAnsi="Times New Roman" w:cs="Times New Roman"/>
                <w:sz w:val="20"/>
                <w:szCs w:val="20"/>
              </w:rPr>
              <w:br w:type="textWrapping" w:clear="all"/>
              <w:t>CKD</w:t>
            </w:r>
          </w:p>
        </w:tc>
        <w:tc>
          <w:tcPr>
            <w:tcW w:w="8505" w:type="dxa"/>
          </w:tcPr>
          <w:p w14:paraId="6B4A68F1" w14:textId="77777777" w:rsidR="00211918" w:rsidRPr="005B39E2" w:rsidRDefault="00211918" w:rsidP="000B06EC">
            <w:pPr>
              <w:rPr>
                <w:rFonts w:ascii="Times New Roman" w:eastAsia="等线" w:hAnsi="Times New Roman" w:cs="Times New Roman"/>
                <w:b/>
                <w:bCs/>
                <w:sz w:val="20"/>
                <w:szCs w:val="20"/>
              </w:rPr>
            </w:pPr>
            <w:r w:rsidRPr="005B39E2">
              <w:rPr>
                <w:rFonts w:ascii="Times New Roman" w:eastAsia="等线" w:hAnsi="Times New Roman" w:cs="Times New Roman"/>
                <w:b/>
                <w:bCs/>
                <w:sz w:val="20"/>
                <w:szCs w:val="20"/>
              </w:rPr>
              <w:t>Any of the five criteria is met:</w:t>
            </w:r>
          </w:p>
          <w:p w14:paraId="20A8C34A" w14:textId="3B8E7EC3" w:rsidR="00211918" w:rsidRPr="005B39E2" w:rsidRDefault="00211918" w:rsidP="000B06EC">
            <w:pPr>
              <w:rPr>
                <w:rFonts w:ascii="Times New Roman" w:eastAsia="等线" w:hAnsi="Times New Roman" w:cs="Times New Roman"/>
                <w:sz w:val="20"/>
                <w:szCs w:val="20"/>
              </w:rPr>
            </w:pPr>
            <w:r w:rsidRPr="005B39E2">
              <w:rPr>
                <w:rFonts w:ascii="Times New Roman" w:eastAsia="等线" w:hAnsi="Times New Roman" w:cs="Times New Roman"/>
                <w:sz w:val="20"/>
                <w:szCs w:val="20"/>
              </w:rPr>
              <w:t>1.ICD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hypertension = 1</w:t>
            </w:r>
            <w:r w:rsidRPr="005B39E2">
              <w:rPr>
                <w:rFonts w:ascii="Times New Roman" w:eastAsia="等线" w:hAnsi="Times New Roman" w:cs="Times New Roman"/>
                <w:sz w:val="20"/>
                <w:szCs w:val="20"/>
              </w:rPr>
              <w:br w:type="textWrapping" w:clear="all"/>
              <w:t>2.ICD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diabetes = 1</w:t>
            </w:r>
            <w:r w:rsidRPr="005B39E2">
              <w:rPr>
                <w:rFonts w:ascii="Times New Roman" w:eastAsia="等线" w:hAnsi="Times New Roman" w:cs="Times New Roman"/>
                <w:sz w:val="20"/>
                <w:szCs w:val="20"/>
              </w:rPr>
              <w:br w:type="textWrapping" w:clear="all"/>
              <w:t>3. Triglycerides ≥ 135 mg/dL</w:t>
            </w:r>
            <w:r w:rsidRPr="005B39E2">
              <w:rPr>
                <w:rFonts w:ascii="Times New Roman" w:eastAsia="等线" w:hAnsi="Times New Roman" w:cs="Times New Roman"/>
                <w:sz w:val="20"/>
                <w:szCs w:val="20"/>
              </w:rPr>
              <w:br w:type="textWrapping" w:clear="all"/>
              <w:t>4.ICD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mets = 1</w:t>
            </w:r>
            <w:r w:rsidRPr="005B39E2">
              <w:rPr>
                <w:rFonts w:ascii="Times New Roman" w:eastAsia="等线" w:hAnsi="Times New Roman" w:cs="Times New Roman"/>
                <w:sz w:val="20"/>
                <w:szCs w:val="20"/>
              </w:rPr>
              <w:br w:type="textWrapping" w:clear="all"/>
              <w:t>5.ICD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ckd = 1</w:t>
            </w:r>
            <w:r w:rsidRPr="005B39E2">
              <w:rPr>
                <w:rFonts w:ascii="Times New Roman" w:eastAsia="等线" w:hAnsi="Times New Roman" w:cs="Times New Roman"/>
                <w:sz w:val="20"/>
                <w:szCs w:val="20"/>
              </w:rPr>
              <w:br/>
              <w:t>6.ICD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clinical</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cvd = 0</w:t>
            </w:r>
          </w:p>
        </w:tc>
      </w:tr>
      <w:tr w:rsidR="00211918" w:rsidRPr="005B39E2" w14:paraId="3B810316" w14:textId="77777777" w:rsidTr="000B06EC">
        <w:tc>
          <w:tcPr>
            <w:tcW w:w="988" w:type="dxa"/>
          </w:tcPr>
          <w:p w14:paraId="358C0893" w14:textId="77777777" w:rsidR="00211918" w:rsidRPr="005B39E2" w:rsidRDefault="00211918" w:rsidP="000B06EC">
            <w:pPr>
              <w:jc w:val="center"/>
              <w:rPr>
                <w:rFonts w:ascii="Times New Roman" w:eastAsia="等线" w:hAnsi="Times New Roman" w:cs="Times New Roman"/>
                <w:sz w:val="20"/>
                <w:szCs w:val="20"/>
              </w:rPr>
            </w:pPr>
            <w:r w:rsidRPr="005B39E2">
              <w:rPr>
                <w:rFonts w:ascii="Times New Roman" w:eastAsia="等线" w:hAnsi="Times New Roman" w:cs="Times New Roman"/>
                <w:sz w:val="20"/>
                <w:szCs w:val="20"/>
              </w:rPr>
              <w:t>Stages 3</w:t>
            </w:r>
          </w:p>
        </w:tc>
        <w:tc>
          <w:tcPr>
            <w:tcW w:w="4394" w:type="dxa"/>
          </w:tcPr>
          <w:p w14:paraId="5831CCFD" w14:textId="77777777" w:rsidR="00211918" w:rsidRPr="005B39E2" w:rsidRDefault="00211918" w:rsidP="000B06EC">
            <w:pPr>
              <w:rPr>
                <w:rFonts w:ascii="Times New Roman" w:eastAsia="等线" w:hAnsi="Times New Roman" w:cs="Times New Roman"/>
                <w:sz w:val="20"/>
                <w:szCs w:val="20"/>
              </w:rPr>
            </w:pPr>
            <w:r w:rsidRPr="005B39E2">
              <w:rPr>
                <w:rFonts w:ascii="Times New Roman" w:eastAsia="等线" w:hAnsi="Times New Roman" w:cs="Times New Roman"/>
                <w:sz w:val="20"/>
                <w:szCs w:val="20"/>
              </w:rPr>
              <w:t xml:space="preserve">Subclinical ASCVD or subclinical HF among individuals with excess/dysfunctional adiposity, other metabolic risk factors, or CKD </w:t>
            </w:r>
            <w:r w:rsidRPr="005B39E2">
              <w:rPr>
                <w:rFonts w:ascii="Times New Roman" w:eastAsia="等线" w:hAnsi="Times New Roman" w:cs="Times New Roman"/>
                <w:sz w:val="20"/>
                <w:szCs w:val="20"/>
              </w:rPr>
              <w:br w:type="textWrapping" w:clear="all"/>
              <w:t xml:space="preserve">  Subclinical ASCVD to be principally diagnosed by coronary artery calcification (subclinical atherosclerosis by coronary catheterization/CT angiography also meets criteria) </w:t>
            </w:r>
            <w:r w:rsidRPr="005B39E2">
              <w:rPr>
                <w:rFonts w:ascii="Times New Roman" w:eastAsia="等线" w:hAnsi="Times New Roman" w:cs="Times New Roman"/>
                <w:sz w:val="20"/>
                <w:szCs w:val="20"/>
              </w:rPr>
              <w:br w:type="textWrapping" w:clear="all"/>
              <w:t xml:space="preserve">  Subclinical HF diagnosed by elevated cardiac biomarkers (NT-proBNP ≥125 pg/mL, hs-troponin T ≥14 ng/L for women and ≥22 ng/L for men, hstroponin I ≥10 ng/L for women and ≥12 ng/L for men) or by echocardiographic parameters, with a combination of the 2 indicating highest HF risk. </w:t>
            </w:r>
            <w:r w:rsidRPr="005B39E2">
              <w:rPr>
                <w:rFonts w:ascii="Times New Roman" w:eastAsia="等线" w:hAnsi="Times New Roman" w:cs="Times New Roman"/>
                <w:sz w:val="20"/>
                <w:szCs w:val="20"/>
              </w:rPr>
              <w:br w:type="textWrapping" w:clear="all"/>
            </w:r>
            <w:r w:rsidRPr="005B39E2">
              <w:rPr>
                <w:rFonts w:ascii="Times New Roman" w:eastAsia="等线" w:hAnsi="Times New Roman" w:cs="Times New Roman"/>
                <w:sz w:val="20"/>
                <w:szCs w:val="20"/>
              </w:rPr>
              <w:lastRenderedPageBreak/>
              <w:t>Risk equivalents of subclinical CVD</w:t>
            </w:r>
            <w:r w:rsidRPr="005B39E2">
              <w:rPr>
                <w:rFonts w:ascii="Times New Roman" w:eastAsia="等线" w:hAnsi="Times New Roman" w:cs="Times New Roman"/>
                <w:sz w:val="20"/>
                <w:szCs w:val="20"/>
              </w:rPr>
              <w:br w:type="textWrapping" w:clear="all"/>
              <w:t xml:space="preserve"> Very high-risk CKD (stage G4 or G5 CKD or very high risk per    KDIGO classification)</w:t>
            </w:r>
            <w:r w:rsidRPr="005B39E2">
              <w:rPr>
                <w:rFonts w:ascii="Times New Roman" w:eastAsia="等线" w:hAnsi="Times New Roman" w:cs="Times New Roman"/>
                <w:sz w:val="20"/>
                <w:szCs w:val="20"/>
              </w:rPr>
              <w:br w:type="textWrapping" w:clear="all"/>
              <w:t xml:space="preserve">   High predicted 10-y CVD risk</w:t>
            </w:r>
          </w:p>
        </w:tc>
        <w:tc>
          <w:tcPr>
            <w:tcW w:w="8505" w:type="dxa"/>
          </w:tcPr>
          <w:p w14:paraId="0991DABC" w14:textId="6281075F" w:rsidR="00211918" w:rsidRPr="005B39E2" w:rsidRDefault="00211918" w:rsidP="000B06EC">
            <w:pPr>
              <w:rPr>
                <w:rFonts w:ascii="Times New Roman" w:eastAsia="等线" w:hAnsi="Times New Roman" w:cs="Times New Roman"/>
                <w:b/>
                <w:bCs/>
                <w:sz w:val="20"/>
                <w:szCs w:val="20"/>
              </w:rPr>
            </w:pPr>
            <w:r w:rsidRPr="005B39E2">
              <w:rPr>
                <w:rFonts w:ascii="Times New Roman" w:eastAsia="等线" w:hAnsi="Times New Roman" w:cs="Times New Roman"/>
                <w:b/>
                <w:bCs/>
                <w:sz w:val="20"/>
                <w:szCs w:val="20"/>
              </w:rPr>
              <w:lastRenderedPageBreak/>
              <w:t>All of the criteria is met:</w:t>
            </w:r>
            <w:r w:rsidRPr="005B39E2">
              <w:rPr>
                <w:rFonts w:ascii="Times New Roman" w:eastAsia="等线" w:hAnsi="Times New Roman" w:cs="Times New Roman"/>
                <w:sz w:val="20"/>
                <w:szCs w:val="20"/>
              </w:rPr>
              <w:br w:type="textWrapping" w:clear="all"/>
              <w:t>1. Presence of CKM risk background (any one):</w:t>
            </w:r>
            <w:r w:rsidRPr="005B39E2">
              <w:rPr>
                <w:rFonts w:ascii="Times New Roman" w:eastAsia="等线" w:hAnsi="Times New Roman" w:cs="Times New Roman"/>
                <w:sz w:val="20"/>
                <w:szCs w:val="20"/>
              </w:rPr>
              <w:br/>
              <w:t xml:space="preserve"> Stages 1 = 1</w:t>
            </w:r>
            <w:r w:rsidRPr="005B39E2">
              <w:rPr>
                <w:rFonts w:ascii="Times New Roman" w:eastAsia="等线" w:hAnsi="Times New Roman" w:cs="Times New Roman"/>
                <w:sz w:val="20"/>
                <w:szCs w:val="20"/>
              </w:rPr>
              <w:br/>
              <w:t xml:space="preserve"> OR Stages 2 = 1</w:t>
            </w:r>
            <w:r w:rsidRPr="005B39E2">
              <w:rPr>
                <w:rFonts w:ascii="Times New Roman" w:eastAsia="等线" w:hAnsi="Times New Roman" w:cs="Times New Roman"/>
                <w:sz w:val="20"/>
                <w:szCs w:val="20"/>
              </w:rPr>
              <w:br/>
              <w:t xml:space="preserve"> OR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ckd = 1</w:t>
            </w:r>
            <w:r w:rsidRPr="005B39E2">
              <w:rPr>
                <w:rFonts w:ascii="Times New Roman" w:eastAsia="等线" w:hAnsi="Times New Roman" w:cs="Times New Roman"/>
                <w:sz w:val="20"/>
                <w:szCs w:val="20"/>
              </w:rPr>
              <w:br/>
              <w:t>2. Presence of subclinical CVD or risk equivalent (any one):</w:t>
            </w:r>
            <w:r w:rsidRPr="005B39E2">
              <w:rPr>
                <w:rFonts w:ascii="Times New Roman" w:eastAsia="等线" w:hAnsi="Times New Roman" w:cs="Times New Roman"/>
                <w:sz w:val="20"/>
                <w:szCs w:val="20"/>
              </w:rPr>
              <w:br/>
              <w:t>a. Subclinical HF:</w:t>
            </w:r>
            <w:r w:rsidRPr="005B39E2">
              <w:rPr>
                <w:rFonts w:ascii="Times New Roman" w:eastAsia="等线" w:hAnsi="Times New Roman" w:cs="Times New Roman"/>
                <w:sz w:val="20"/>
                <w:szCs w:val="20"/>
              </w:rPr>
              <w:br/>
              <w:t xml:space="preserve">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hf = 0 (no clinical HF)</w:t>
            </w:r>
            <w:r w:rsidRPr="005B39E2">
              <w:rPr>
                <w:rFonts w:ascii="Times New Roman" w:eastAsia="等线" w:hAnsi="Times New Roman" w:cs="Times New Roman"/>
                <w:sz w:val="20"/>
                <w:szCs w:val="20"/>
              </w:rPr>
              <w:br/>
              <w:t xml:space="preserve"> AND one of:</w:t>
            </w:r>
            <w:r w:rsidRPr="005B39E2">
              <w:rPr>
                <w:rFonts w:ascii="Times New Roman" w:eastAsia="等线" w:hAnsi="Times New Roman" w:cs="Times New Roman"/>
                <w:sz w:val="20"/>
                <w:szCs w:val="20"/>
              </w:rPr>
              <w:br/>
              <w:t xml:space="preserve"> NT-proBNP ≥ 125 pg/mL</w:t>
            </w:r>
            <w:r w:rsidRPr="005B39E2">
              <w:rPr>
                <w:rFonts w:ascii="Times New Roman" w:eastAsia="等线" w:hAnsi="Times New Roman" w:cs="Times New Roman"/>
                <w:sz w:val="20"/>
                <w:szCs w:val="20"/>
              </w:rPr>
              <w:br/>
              <w:t xml:space="preserve"> troponin T ≥ 0.014 ng/mL (female) / ≥ 0.022 ng/mL (male) (if available)</w:t>
            </w:r>
            <w:r w:rsidRPr="005B39E2">
              <w:rPr>
                <w:rFonts w:ascii="Times New Roman" w:eastAsia="等线" w:hAnsi="Times New Roman" w:cs="Times New Roman"/>
                <w:sz w:val="20"/>
                <w:szCs w:val="20"/>
              </w:rPr>
              <w:br/>
              <w:t xml:space="preserve"> troponin I≥ 0.010 ng/mL (female) / ≥ 0.012 ng/mL (male) (if available)</w:t>
            </w:r>
            <w:r w:rsidRPr="005B39E2">
              <w:rPr>
                <w:rFonts w:ascii="Times New Roman" w:eastAsia="等线" w:hAnsi="Times New Roman" w:cs="Times New Roman"/>
                <w:sz w:val="20"/>
                <w:szCs w:val="20"/>
              </w:rPr>
              <w:br/>
              <w:t>b. Very high-risk CKD:</w:t>
            </w:r>
            <w:r w:rsidRPr="005B39E2">
              <w:rPr>
                <w:rFonts w:ascii="Times New Roman" w:eastAsia="等线" w:hAnsi="Times New Roman" w:cs="Times New Roman"/>
                <w:sz w:val="20"/>
                <w:szCs w:val="20"/>
              </w:rPr>
              <w:br/>
            </w:r>
            <w:r w:rsidRPr="005B39E2">
              <w:rPr>
                <w:rFonts w:ascii="Times New Roman" w:eastAsia="等线" w:hAnsi="Times New Roman" w:cs="Times New Roman"/>
                <w:sz w:val="20"/>
                <w:szCs w:val="20"/>
              </w:rPr>
              <w:lastRenderedPageBreak/>
              <w:t xml:space="preserve">  very</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high</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risk</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ckd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flag = 1 (KDIGO G4/G5)</w:t>
            </w:r>
            <w:r w:rsidRPr="005B39E2">
              <w:rPr>
                <w:rFonts w:ascii="Times New Roman" w:eastAsia="等线" w:hAnsi="Times New Roman" w:cs="Times New Roman"/>
                <w:sz w:val="20"/>
                <w:szCs w:val="20"/>
              </w:rPr>
              <w:br/>
              <w:t>3. No clinical CVD:</w:t>
            </w:r>
            <w:r w:rsidRPr="005B39E2">
              <w:rPr>
                <w:rFonts w:ascii="Times New Roman" w:eastAsia="等线" w:hAnsi="Times New Roman" w:cs="Times New Roman"/>
                <w:sz w:val="20"/>
                <w:szCs w:val="20"/>
              </w:rPr>
              <w:br/>
              <w:t xml:space="preserve">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clinical</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cvd = 0</w:t>
            </w:r>
          </w:p>
        </w:tc>
      </w:tr>
      <w:tr w:rsidR="00211918" w:rsidRPr="005B39E2" w14:paraId="0F086BE2" w14:textId="77777777" w:rsidTr="000B06EC">
        <w:tc>
          <w:tcPr>
            <w:tcW w:w="988" w:type="dxa"/>
          </w:tcPr>
          <w:p w14:paraId="5F6043F3" w14:textId="77777777" w:rsidR="00211918" w:rsidRPr="005B39E2" w:rsidRDefault="00211918" w:rsidP="000B06EC">
            <w:pPr>
              <w:jc w:val="center"/>
              <w:rPr>
                <w:rFonts w:ascii="Times New Roman" w:eastAsia="等线" w:hAnsi="Times New Roman" w:cs="Times New Roman"/>
                <w:sz w:val="20"/>
                <w:szCs w:val="20"/>
              </w:rPr>
            </w:pPr>
            <w:r w:rsidRPr="005B39E2">
              <w:rPr>
                <w:rFonts w:ascii="Times New Roman" w:eastAsia="等线" w:hAnsi="Times New Roman" w:cs="Times New Roman"/>
                <w:sz w:val="20"/>
                <w:szCs w:val="20"/>
              </w:rPr>
              <w:lastRenderedPageBreak/>
              <w:t>Stages 4</w:t>
            </w:r>
          </w:p>
        </w:tc>
        <w:tc>
          <w:tcPr>
            <w:tcW w:w="4394" w:type="dxa"/>
          </w:tcPr>
          <w:p w14:paraId="0B1B9CC5" w14:textId="77777777" w:rsidR="00211918" w:rsidRPr="005B39E2" w:rsidRDefault="00211918" w:rsidP="000B06EC">
            <w:pPr>
              <w:rPr>
                <w:rFonts w:ascii="Times New Roman" w:eastAsia="等线" w:hAnsi="Times New Roman" w:cs="Times New Roman"/>
                <w:b/>
                <w:bCs/>
                <w:sz w:val="20"/>
                <w:szCs w:val="20"/>
              </w:rPr>
            </w:pPr>
            <w:r w:rsidRPr="005B39E2">
              <w:rPr>
                <w:rFonts w:ascii="Times New Roman" w:eastAsia="等线" w:hAnsi="Times New Roman" w:cs="Times New Roman"/>
                <w:sz w:val="20"/>
                <w:szCs w:val="20"/>
              </w:rPr>
              <w:t>Clinical CVD (coronary heart disease, HF, stroke, peripheral artery disease, atrial fibrillation) among individuals with excess/dysfunctional adiposity, other CKM risk factors, or CKD</w:t>
            </w:r>
            <w:r w:rsidRPr="005B39E2">
              <w:rPr>
                <w:rFonts w:ascii="Times New Roman" w:eastAsia="等线" w:hAnsi="Times New Roman" w:cs="Times New Roman"/>
                <w:sz w:val="20"/>
                <w:szCs w:val="20"/>
              </w:rPr>
              <w:br w:type="textWrapping" w:clear="all"/>
              <w:t xml:space="preserve">  Stage 4a: no kidney failure </w:t>
            </w:r>
            <w:r w:rsidRPr="005B39E2">
              <w:rPr>
                <w:rFonts w:ascii="Times New Roman" w:eastAsia="等线" w:hAnsi="Times New Roman" w:cs="Times New Roman"/>
                <w:sz w:val="20"/>
                <w:szCs w:val="20"/>
              </w:rPr>
              <w:br w:type="textWrapping" w:clear="all"/>
              <w:t xml:space="preserve">  Stage 4b: kidney failure present</w:t>
            </w:r>
          </w:p>
        </w:tc>
        <w:tc>
          <w:tcPr>
            <w:tcW w:w="8505" w:type="dxa"/>
          </w:tcPr>
          <w:p w14:paraId="3D59DCBA" w14:textId="77777777" w:rsidR="00211918" w:rsidRPr="005B39E2" w:rsidRDefault="00211918" w:rsidP="000B06EC">
            <w:pPr>
              <w:rPr>
                <w:rFonts w:ascii="Times New Roman" w:eastAsia="等线" w:hAnsi="Times New Roman" w:cs="Times New Roman"/>
                <w:b/>
                <w:bCs/>
                <w:sz w:val="20"/>
                <w:szCs w:val="20"/>
              </w:rPr>
            </w:pPr>
            <w:r w:rsidRPr="005B39E2">
              <w:rPr>
                <w:rFonts w:ascii="Times New Roman" w:eastAsia="等线" w:hAnsi="Times New Roman" w:cs="Times New Roman"/>
                <w:b/>
                <w:bCs/>
                <w:sz w:val="20"/>
                <w:szCs w:val="20"/>
              </w:rPr>
              <w:t>All of the criteria is met:</w:t>
            </w:r>
          </w:p>
          <w:p w14:paraId="3B759706" w14:textId="77777777" w:rsidR="00211918" w:rsidRPr="005B39E2" w:rsidRDefault="00211918" w:rsidP="000B06EC">
            <w:pPr>
              <w:rPr>
                <w:rFonts w:ascii="Times New Roman" w:eastAsia="等线" w:hAnsi="Times New Roman" w:cs="Times New Roman"/>
                <w:b/>
                <w:bCs/>
                <w:sz w:val="20"/>
                <w:szCs w:val="20"/>
              </w:rPr>
            </w:pPr>
            <w:r w:rsidRPr="005B39E2">
              <w:rPr>
                <w:rFonts w:ascii="Times New Roman" w:eastAsia="等线" w:hAnsi="Times New Roman" w:cs="Times New Roman"/>
                <w:b/>
                <w:bCs/>
                <w:sz w:val="20"/>
                <w:szCs w:val="20"/>
              </w:rPr>
              <w:t>1.Presence of Clinical CVD:</w:t>
            </w:r>
          </w:p>
          <w:p w14:paraId="292F97A6" w14:textId="2C30AE5C" w:rsidR="00211918" w:rsidRPr="005B39E2" w:rsidRDefault="00211918" w:rsidP="000B06EC">
            <w:pPr>
              <w:rPr>
                <w:rFonts w:ascii="Times New Roman" w:eastAsia="等线" w:hAnsi="Times New Roman" w:cs="Times New Roman"/>
                <w:sz w:val="20"/>
                <w:szCs w:val="20"/>
              </w:rPr>
            </w:pPr>
            <w:r w:rsidRPr="005B39E2">
              <w:rPr>
                <w:rFonts w:ascii="Times New Roman" w:eastAsia="等线" w:hAnsi="Times New Roman" w:cs="Times New Roman"/>
                <w:sz w:val="20"/>
                <w:szCs w:val="20"/>
              </w:rPr>
              <w:t>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clinical</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cvd = 1</w:t>
            </w:r>
          </w:p>
          <w:p w14:paraId="21D9864F" w14:textId="77777777" w:rsidR="00211918" w:rsidRPr="005B39E2" w:rsidRDefault="00211918" w:rsidP="000B06EC">
            <w:pPr>
              <w:rPr>
                <w:rFonts w:ascii="Times New Roman" w:eastAsia="等线" w:hAnsi="Times New Roman" w:cs="Times New Roman"/>
                <w:b/>
                <w:bCs/>
                <w:sz w:val="20"/>
                <w:szCs w:val="20"/>
              </w:rPr>
            </w:pPr>
            <w:r w:rsidRPr="005B39E2">
              <w:rPr>
                <w:rFonts w:ascii="Times New Roman" w:eastAsia="等线" w:hAnsi="Times New Roman" w:cs="Times New Roman"/>
                <w:b/>
                <w:bCs/>
                <w:sz w:val="20"/>
                <w:szCs w:val="20"/>
              </w:rPr>
              <w:t>2.Presence of CKM risk background (any one):</w:t>
            </w:r>
          </w:p>
          <w:p w14:paraId="310257B9" w14:textId="77777777" w:rsidR="00211918" w:rsidRPr="005B39E2" w:rsidRDefault="00211918" w:rsidP="000B06EC">
            <w:pPr>
              <w:ind w:firstLineChars="50" w:firstLine="100"/>
              <w:rPr>
                <w:rFonts w:ascii="Times New Roman" w:eastAsia="等线" w:hAnsi="Times New Roman" w:cs="Times New Roman"/>
                <w:sz w:val="20"/>
                <w:szCs w:val="20"/>
              </w:rPr>
            </w:pPr>
            <w:r w:rsidRPr="005B39E2">
              <w:rPr>
                <w:rFonts w:ascii="Times New Roman" w:eastAsia="等线" w:hAnsi="Times New Roman" w:cs="Times New Roman"/>
                <w:sz w:val="20"/>
                <w:szCs w:val="20"/>
              </w:rPr>
              <w:t>is_ckm_stage1_met = 1</w:t>
            </w:r>
          </w:p>
          <w:p w14:paraId="41EC1193" w14:textId="77777777" w:rsidR="00211918" w:rsidRPr="005B39E2" w:rsidRDefault="00211918" w:rsidP="000B06EC">
            <w:pPr>
              <w:ind w:firstLineChars="50" w:firstLine="100"/>
              <w:rPr>
                <w:rFonts w:ascii="Times New Roman" w:eastAsia="等线" w:hAnsi="Times New Roman" w:cs="Times New Roman"/>
                <w:sz w:val="20"/>
                <w:szCs w:val="20"/>
              </w:rPr>
            </w:pPr>
            <w:r w:rsidRPr="005B39E2">
              <w:rPr>
                <w:rFonts w:ascii="Times New Roman" w:eastAsia="等线" w:hAnsi="Times New Roman" w:cs="Times New Roman"/>
                <w:sz w:val="20"/>
                <w:szCs w:val="20"/>
              </w:rPr>
              <w:t>OR is_ckm_stage2_met = 1</w:t>
            </w:r>
          </w:p>
          <w:p w14:paraId="186B052E" w14:textId="5AFE2405" w:rsidR="00211918" w:rsidRPr="005B39E2" w:rsidRDefault="00211918" w:rsidP="000B06EC">
            <w:pPr>
              <w:ind w:firstLineChars="50" w:firstLine="100"/>
              <w:rPr>
                <w:rFonts w:ascii="Times New Roman" w:eastAsia="等线" w:hAnsi="Times New Roman" w:cs="Times New Roman"/>
                <w:sz w:val="20"/>
                <w:szCs w:val="20"/>
              </w:rPr>
            </w:pPr>
            <w:r w:rsidRPr="005B39E2">
              <w:rPr>
                <w:rFonts w:ascii="Times New Roman" w:eastAsia="等线" w:hAnsi="Times New Roman" w:cs="Times New Roman"/>
                <w:sz w:val="20"/>
                <w:szCs w:val="20"/>
              </w:rPr>
              <w:t>OR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hypertension = 1</w:t>
            </w:r>
          </w:p>
          <w:p w14:paraId="5CB261D8" w14:textId="6665C41A" w:rsidR="00211918" w:rsidRPr="005B39E2" w:rsidRDefault="00211918" w:rsidP="000B06EC">
            <w:pPr>
              <w:ind w:firstLineChars="50" w:firstLine="100"/>
              <w:rPr>
                <w:rFonts w:ascii="Times New Roman" w:eastAsia="等线" w:hAnsi="Times New Roman" w:cs="Times New Roman"/>
                <w:sz w:val="20"/>
                <w:szCs w:val="20"/>
              </w:rPr>
            </w:pPr>
            <w:r w:rsidRPr="005B39E2">
              <w:rPr>
                <w:rFonts w:ascii="Times New Roman" w:eastAsia="等线" w:hAnsi="Times New Roman" w:cs="Times New Roman"/>
                <w:sz w:val="20"/>
                <w:szCs w:val="20"/>
              </w:rPr>
              <w:t>OR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diabetes = 1</w:t>
            </w:r>
          </w:p>
          <w:p w14:paraId="426074C9" w14:textId="696E6134" w:rsidR="00211918" w:rsidRPr="005B39E2" w:rsidRDefault="00211918" w:rsidP="000B06EC">
            <w:pPr>
              <w:ind w:firstLineChars="50" w:firstLine="100"/>
              <w:rPr>
                <w:rFonts w:ascii="Times New Roman" w:eastAsia="等线" w:hAnsi="Times New Roman" w:cs="Times New Roman"/>
                <w:sz w:val="20"/>
                <w:szCs w:val="20"/>
              </w:rPr>
            </w:pPr>
            <w:r w:rsidRPr="005B39E2">
              <w:rPr>
                <w:rFonts w:ascii="Times New Roman" w:eastAsia="等线" w:hAnsi="Times New Roman" w:cs="Times New Roman"/>
                <w:sz w:val="20"/>
                <w:szCs w:val="20"/>
              </w:rPr>
              <w:t>OR first</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admission</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triglycerides ≥ 135 mg/dL</w:t>
            </w:r>
          </w:p>
          <w:p w14:paraId="096D0A48" w14:textId="2A1BC882" w:rsidR="00211918" w:rsidRPr="005B39E2" w:rsidRDefault="00211918" w:rsidP="000B06EC">
            <w:pPr>
              <w:ind w:firstLineChars="50" w:firstLine="100"/>
              <w:rPr>
                <w:rFonts w:ascii="Times New Roman" w:eastAsia="等线" w:hAnsi="Times New Roman" w:cs="Times New Roman"/>
                <w:sz w:val="20"/>
                <w:szCs w:val="20"/>
              </w:rPr>
            </w:pPr>
            <w:r w:rsidRPr="005B39E2">
              <w:rPr>
                <w:rFonts w:ascii="Times New Roman" w:eastAsia="等线" w:hAnsi="Times New Roman" w:cs="Times New Roman"/>
                <w:sz w:val="20"/>
                <w:szCs w:val="20"/>
              </w:rPr>
              <w:t>OR mets</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flag = 1</w:t>
            </w:r>
          </w:p>
          <w:p w14:paraId="373015AB" w14:textId="09329166" w:rsidR="00211918" w:rsidRPr="005B39E2" w:rsidRDefault="00211918" w:rsidP="000B06EC">
            <w:pPr>
              <w:ind w:firstLineChars="50" w:firstLine="100"/>
              <w:rPr>
                <w:rFonts w:ascii="Times New Roman" w:eastAsia="等线" w:hAnsi="Times New Roman" w:cs="Times New Roman"/>
                <w:sz w:val="20"/>
                <w:szCs w:val="20"/>
              </w:rPr>
            </w:pPr>
            <w:r w:rsidRPr="005B39E2">
              <w:rPr>
                <w:rFonts w:ascii="Times New Roman" w:eastAsia="等线" w:hAnsi="Times New Roman" w:cs="Times New Roman"/>
                <w:sz w:val="20"/>
                <w:szCs w:val="20"/>
              </w:rPr>
              <w:t>OR ICD</w:t>
            </w:r>
            <w:r w:rsidR="000C1767" w:rsidRPr="005B39E2">
              <w:rPr>
                <w:rFonts w:ascii="Times New Roman" w:eastAsia="等线" w:hAnsi="Times New Roman" w:cs="Times New Roman"/>
                <w:sz w:val="20"/>
                <w:szCs w:val="20"/>
              </w:rPr>
              <w:t xml:space="preserve"> </w:t>
            </w:r>
            <w:r w:rsidRPr="005B39E2">
              <w:rPr>
                <w:rFonts w:ascii="Times New Roman" w:eastAsia="等线" w:hAnsi="Times New Roman" w:cs="Times New Roman"/>
                <w:sz w:val="20"/>
                <w:szCs w:val="20"/>
              </w:rPr>
              <w:t>ckd = 1</w:t>
            </w:r>
          </w:p>
          <w:p w14:paraId="4ABC0CB9" w14:textId="77777777" w:rsidR="00211918" w:rsidRPr="005B39E2" w:rsidRDefault="00211918" w:rsidP="000B06EC">
            <w:pPr>
              <w:ind w:firstLineChars="50" w:firstLine="100"/>
              <w:rPr>
                <w:rFonts w:ascii="Times New Roman" w:eastAsia="等线" w:hAnsi="Times New Roman" w:cs="Times New Roman"/>
                <w:sz w:val="20"/>
                <w:szCs w:val="20"/>
              </w:rPr>
            </w:pPr>
            <w:r w:rsidRPr="005B39E2">
              <w:rPr>
                <w:rFonts w:ascii="Times New Roman" w:eastAsia="等线" w:hAnsi="Times New Roman" w:cs="Times New Roman"/>
                <w:sz w:val="20"/>
                <w:szCs w:val="20"/>
              </w:rPr>
              <w:t>OR is_ckm_stage3_met = 1</w:t>
            </w:r>
          </w:p>
          <w:p w14:paraId="2B40F99D" w14:textId="77777777" w:rsidR="00211918" w:rsidRPr="005B39E2" w:rsidRDefault="00211918" w:rsidP="000B06EC">
            <w:pPr>
              <w:rPr>
                <w:rFonts w:ascii="Times New Roman" w:eastAsia="等线" w:hAnsi="Times New Roman" w:cs="Times New Roman"/>
                <w:sz w:val="20"/>
                <w:szCs w:val="20"/>
              </w:rPr>
            </w:pPr>
            <w:r w:rsidRPr="005B39E2">
              <w:rPr>
                <w:rFonts w:ascii="Times New Roman" w:eastAsia="等线" w:hAnsi="Times New Roman" w:cs="Times New Roman"/>
                <w:b/>
                <w:bCs/>
                <w:sz w:val="20"/>
                <w:szCs w:val="20"/>
              </w:rPr>
              <w:t>3.Kidney failure stratification:</w:t>
            </w:r>
            <w:r w:rsidRPr="005B39E2">
              <w:rPr>
                <w:rFonts w:ascii="Times New Roman" w:eastAsia="等线" w:hAnsi="Times New Roman" w:cs="Times New Roman"/>
                <w:sz w:val="20"/>
                <w:szCs w:val="20"/>
              </w:rPr>
              <w:br/>
              <w:t xml:space="preserve">a. Stage 4a: no kidney failure </w:t>
            </w:r>
          </w:p>
          <w:p w14:paraId="76B4BECB" w14:textId="77777777" w:rsidR="00211918" w:rsidRPr="005B39E2" w:rsidRDefault="00211918" w:rsidP="000B06EC">
            <w:pPr>
              <w:rPr>
                <w:rFonts w:ascii="Times New Roman" w:eastAsia="等线" w:hAnsi="Times New Roman" w:cs="Times New Roman"/>
                <w:b/>
                <w:bCs/>
                <w:sz w:val="20"/>
                <w:szCs w:val="20"/>
              </w:rPr>
            </w:pPr>
            <w:r w:rsidRPr="005B39E2">
              <w:rPr>
                <w:rFonts w:ascii="Times New Roman" w:eastAsia="等线" w:hAnsi="Times New Roman" w:cs="Times New Roman"/>
                <w:sz w:val="20"/>
                <w:szCs w:val="20"/>
              </w:rPr>
              <w:t xml:space="preserve">b. Stage 4b: kidney failure present </w:t>
            </w:r>
          </w:p>
        </w:tc>
      </w:tr>
    </w:tbl>
    <w:p w14:paraId="511F7393" w14:textId="77777777" w:rsidR="00211918" w:rsidRPr="005B39E2" w:rsidRDefault="00211918" w:rsidP="00211918">
      <w:pPr>
        <w:rPr>
          <w:rFonts w:ascii="Times New Roman" w:eastAsia="等线" w:hAnsi="Times New Roman" w:cs="Times New Roman"/>
          <w:sz w:val="20"/>
          <w:szCs w:val="20"/>
        </w:rPr>
        <w:sectPr w:rsidR="00211918" w:rsidRPr="005B39E2" w:rsidSect="00211918">
          <w:pgSz w:w="16838" w:h="11906" w:orient="landscape"/>
          <w:pgMar w:top="1800" w:right="1440" w:bottom="1800" w:left="1440" w:header="851" w:footer="992" w:gutter="0"/>
          <w:cols w:space="425"/>
          <w:docGrid w:type="lines" w:linePitch="312"/>
        </w:sectPr>
      </w:pPr>
    </w:p>
    <w:p w14:paraId="5AD69D41" w14:textId="5B95141A" w:rsidR="00F05F74" w:rsidRPr="005B39E2" w:rsidRDefault="00F05F74" w:rsidP="00211918">
      <w:pPr>
        <w:rPr>
          <w:rFonts w:ascii="Times New Roman" w:hAnsi="Times New Roman" w:cs="Times New Roman"/>
          <w:sz w:val="20"/>
          <w:szCs w:val="20"/>
        </w:rPr>
      </w:pPr>
      <w:r w:rsidRPr="005B39E2">
        <w:rPr>
          <w:rFonts w:ascii="Times New Roman" w:hAnsi="Times New Roman" w:cs="Times New Roman"/>
          <w:b/>
          <w:bCs/>
          <w:sz w:val="20"/>
          <w:szCs w:val="20"/>
        </w:rPr>
        <w:lastRenderedPageBreak/>
        <w:t>Supplementary Table S1.</w:t>
      </w:r>
      <w:r w:rsidRPr="005B39E2">
        <w:rPr>
          <w:rFonts w:ascii="Times New Roman" w:hAnsi="Times New Roman" w:cs="Times New Roman"/>
          <w:sz w:val="20"/>
          <w:szCs w:val="20"/>
        </w:rPr>
        <w:t xml:space="preserve"> Operationalization of the 2023 American Heart Association (AHA) Criteria for Cardiovascular-Kidney-Metabolic (CKM) Syndrome Staging in the MIMIC-IV Database.</w:t>
      </w:r>
    </w:p>
    <w:p w14:paraId="470862AE" w14:textId="22DAE6D7" w:rsidR="00F05F74" w:rsidRPr="005B39E2" w:rsidRDefault="00F05F74" w:rsidP="00211918">
      <w:pPr>
        <w:rPr>
          <w:rFonts w:ascii="Times New Roman" w:hAnsi="Times New Roman" w:cs="Times New Roman"/>
          <w:sz w:val="20"/>
          <w:szCs w:val="20"/>
        </w:rPr>
      </w:pPr>
      <w:r w:rsidRPr="005B39E2">
        <w:rPr>
          <w:rFonts w:ascii="Times New Roman" w:hAnsi="Times New Roman" w:cs="Times New Roman"/>
          <w:sz w:val="20"/>
          <w:szCs w:val="20"/>
        </w:rPr>
        <w:t>This table provides the detailed, rule-based classification protocol used to define and stage CKM syndrome in the MIMIC-IV database. The left column presents the original criteria as outlined in the 2023 AHA scientific statement. The right column details the corresponding operational definitions, including the specific International Classification of Diseases (ICD) codes, laboratory value thresholds, and logical operators (e.g., AND, OR, ANY OF) applied to the MIMIC-IV data.</w:t>
      </w:r>
    </w:p>
    <w:p w14:paraId="2C449CB5" w14:textId="77777777" w:rsidR="00F05F74" w:rsidRPr="005B39E2" w:rsidRDefault="00F05F74" w:rsidP="00F05F74">
      <w:pPr>
        <w:rPr>
          <w:rFonts w:ascii="Times New Roman" w:hAnsi="Times New Roman" w:cs="Times New Roman"/>
          <w:sz w:val="20"/>
          <w:szCs w:val="20"/>
        </w:rPr>
      </w:pPr>
      <w:r w:rsidRPr="005B39E2">
        <w:rPr>
          <w:rFonts w:ascii="Times New Roman" w:hAnsi="Times New Roman" w:cs="Times New Roman"/>
          <w:b/>
          <w:bCs/>
          <w:sz w:val="20"/>
          <w:szCs w:val="20"/>
        </w:rPr>
        <w:t>Notes and Abbreviations:</w:t>
      </w:r>
    </w:p>
    <w:p w14:paraId="5F3C8DB0" w14:textId="77777777" w:rsidR="00F05F74" w:rsidRPr="005B39E2" w:rsidRDefault="00F05F74" w:rsidP="00F05F74">
      <w:pPr>
        <w:rPr>
          <w:rFonts w:ascii="Times New Roman" w:hAnsi="Times New Roman" w:cs="Times New Roman"/>
          <w:sz w:val="20"/>
          <w:szCs w:val="20"/>
        </w:rPr>
      </w:pPr>
      <w:r w:rsidRPr="005B39E2">
        <w:rPr>
          <w:rFonts w:ascii="Times New Roman" w:hAnsi="Times New Roman" w:cs="Times New Roman"/>
          <w:sz w:val="20"/>
          <w:szCs w:val="20"/>
        </w:rPr>
        <w:t>ASCVD, atherosclerotic cardiovascular disease; BMI, body mass index; CKD, chronic kidney disease; CKM, cardiovascular-kidney-metabolic; CT, computed tomography; CVD, cardiovascular disease; HbA1c, hemoglobin A1c; HDL, high-density lipoprotein; HF, heart failure; hs-troponin, high-sensitivity troponin; KDIGO, Kidney Disease Improving Global Outcomes; MetS, metabolic syndrome; NT-proBNP, N-terminal pro-B-type natriuretic peptide.</w:t>
      </w:r>
    </w:p>
    <w:p w14:paraId="31149326" w14:textId="77777777" w:rsidR="00F05F74" w:rsidRPr="005B39E2" w:rsidRDefault="00F05F74" w:rsidP="00F05F74">
      <w:pPr>
        <w:rPr>
          <w:rFonts w:ascii="Times New Roman" w:hAnsi="Times New Roman" w:cs="Times New Roman"/>
          <w:sz w:val="20"/>
          <w:szCs w:val="20"/>
        </w:rPr>
      </w:pPr>
      <w:r w:rsidRPr="005B39E2">
        <w:rPr>
          <w:rFonts w:ascii="Times New Roman" w:hAnsi="Times New Roman" w:cs="Times New Roman"/>
          <w:sz w:val="20"/>
          <w:szCs w:val="20"/>
        </w:rPr>
        <w:t>* Individuals with gestational diabetes should receive intensified screening for impaired glucose tolerance after pregnancy.</w:t>
      </w:r>
    </w:p>
    <w:p w14:paraId="7D5DD618" w14:textId="77777777" w:rsidR="00F05F74" w:rsidRPr="005B39E2" w:rsidRDefault="00F05F74" w:rsidP="00F05F74">
      <w:pPr>
        <w:rPr>
          <w:rFonts w:ascii="Times New Roman" w:hAnsi="Times New Roman" w:cs="Times New Roman"/>
          <w:sz w:val="20"/>
          <w:szCs w:val="20"/>
        </w:rPr>
      </w:pPr>
      <w:r w:rsidRPr="005B39E2">
        <w:rPr>
          <w:rFonts w:ascii="Times New Roman" w:hAnsi="Times New Roman" w:cs="Times New Roman"/>
          <w:sz w:val="20"/>
          <w:szCs w:val="20"/>
        </w:rPr>
        <w:t>† MetS is defined by the presence of 3 or more of the following: (1) waist circumference ≥88 cm for women and ≥102 cm for men (≥80 cm for women and ≥90 cm for men if Asian ancestry); (2) HDL cholesterol &lt;40 mg/dL for men and &lt;50 mg/dL for women; (3) triglycerides ≥150 mg/dL; (4) elevated blood pressure (systolic blood pressure ≥130 mm Hg or diastolic blood pressure ≥80 mm Hg and/or use of antihypertensive medications); and (5) fasting blood glucose ≥100 mg/dL.</w:t>
      </w:r>
    </w:p>
    <w:p w14:paraId="18331865" w14:textId="77777777" w:rsidR="00F05F74" w:rsidRPr="005B39E2" w:rsidRDefault="00F05F74" w:rsidP="00211918">
      <w:pPr>
        <w:rPr>
          <w:rFonts w:ascii="Times New Roman" w:hAnsi="Times New Roman" w:cs="Times New Roman"/>
          <w:sz w:val="20"/>
          <w:szCs w:val="20"/>
        </w:rPr>
      </w:pPr>
    </w:p>
    <w:p w14:paraId="1C1FCFB4" w14:textId="3DBAEE38" w:rsidR="009F4DB9" w:rsidRPr="005B39E2" w:rsidRDefault="009F4DB9">
      <w:pPr>
        <w:widowControl/>
        <w:jc w:val="left"/>
        <w:rPr>
          <w:rFonts w:ascii="Times New Roman" w:hAnsi="Times New Roman" w:cs="Times New Roman"/>
          <w:sz w:val="20"/>
          <w:szCs w:val="20"/>
        </w:rPr>
      </w:pPr>
      <w:r w:rsidRPr="005B39E2">
        <w:rPr>
          <w:rFonts w:ascii="Times New Roman" w:hAnsi="Times New Roman" w:cs="Times New Roman"/>
          <w:sz w:val="20"/>
          <w:szCs w:val="20"/>
        </w:rPr>
        <w:br w:type="page"/>
      </w:r>
    </w:p>
    <w:tbl>
      <w:tblPr>
        <w:tblW w:w="0" w:type="auto"/>
        <w:tblLook w:val="04A0" w:firstRow="1" w:lastRow="0" w:firstColumn="1" w:lastColumn="0" w:noHBand="0" w:noVBand="1"/>
      </w:tblPr>
      <w:tblGrid>
        <w:gridCol w:w="1722"/>
        <w:gridCol w:w="1550"/>
        <w:gridCol w:w="830"/>
        <w:gridCol w:w="1550"/>
        <w:gridCol w:w="830"/>
        <w:gridCol w:w="1550"/>
        <w:gridCol w:w="830"/>
      </w:tblGrid>
      <w:tr w:rsidR="00AC64E7" w:rsidRPr="005B39E2" w14:paraId="50B4EFC3" w14:textId="77777777" w:rsidTr="00AC64E7">
        <w:trPr>
          <w:trHeight w:val="310"/>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55124A50" w14:textId="77777777" w:rsidR="00AC64E7" w:rsidRPr="005B39E2" w:rsidRDefault="00AC64E7" w:rsidP="00AC64E7">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lastRenderedPageBreak/>
              <w:t>Variable</w:t>
            </w:r>
          </w:p>
        </w:tc>
        <w:tc>
          <w:tcPr>
            <w:tcW w:w="0" w:type="auto"/>
            <w:gridSpan w:val="2"/>
            <w:tcBorders>
              <w:top w:val="single" w:sz="4" w:space="0" w:color="auto"/>
              <w:left w:val="nil"/>
              <w:bottom w:val="nil"/>
              <w:right w:val="nil"/>
            </w:tcBorders>
            <w:shd w:val="clear" w:color="auto" w:fill="auto"/>
            <w:noWrap/>
            <w:vAlign w:val="center"/>
            <w:hideMark/>
          </w:tcPr>
          <w:p w14:paraId="39B9CA83" w14:textId="77777777" w:rsidR="00AC64E7" w:rsidRPr="005B39E2" w:rsidRDefault="00AC64E7" w:rsidP="00AC64E7">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Model 1</w:t>
            </w:r>
          </w:p>
        </w:tc>
        <w:tc>
          <w:tcPr>
            <w:tcW w:w="0" w:type="auto"/>
            <w:gridSpan w:val="2"/>
            <w:tcBorders>
              <w:top w:val="single" w:sz="4" w:space="0" w:color="auto"/>
              <w:left w:val="nil"/>
              <w:bottom w:val="nil"/>
              <w:right w:val="nil"/>
            </w:tcBorders>
            <w:shd w:val="clear" w:color="auto" w:fill="auto"/>
            <w:noWrap/>
            <w:vAlign w:val="center"/>
            <w:hideMark/>
          </w:tcPr>
          <w:p w14:paraId="279AC933" w14:textId="77777777" w:rsidR="00AC64E7" w:rsidRPr="005B39E2" w:rsidRDefault="00AC64E7" w:rsidP="00AC64E7">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Model 2</w:t>
            </w:r>
          </w:p>
        </w:tc>
        <w:tc>
          <w:tcPr>
            <w:tcW w:w="0" w:type="auto"/>
            <w:gridSpan w:val="2"/>
            <w:tcBorders>
              <w:top w:val="single" w:sz="4" w:space="0" w:color="auto"/>
              <w:left w:val="nil"/>
              <w:bottom w:val="nil"/>
              <w:right w:val="nil"/>
            </w:tcBorders>
            <w:shd w:val="clear" w:color="auto" w:fill="auto"/>
            <w:noWrap/>
            <w:vAlign w:val="center"/>
            <w:hideMark/>
          </w:tcPr>
          <w:p w14:paraId="7825798C" w14:textId="77777777" w:rsidR="00AC64E7" w:rsidRPr="005B39E2" w:rsidRDefault="00AC64E7" w:rsidP="00AC64E7">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Model 3</w:t>
            </w:r>
          </w:p>
        </w:tc>
      </w:tr>
      <w:tr w:rsidR="00AC64E7" w:rsidRPr="005B39E2" w14:paraId="30302B97" w14:textId="77777777" w:rsidTr="00AC64E7">
        <w:trPr>
          <w:trHeight w:val="310"/>
        </w:trPr>
        <w:tc>
          <w:tcPr>
            <w:tcW w:w="0" w:type="auto"/>
            <w:vMerge/>
            <w:tcBorders>
              <w:top w:val="single" w:sz="4" w:space="0" w:color="auto"/>
              <w:left w:val="nil"/>
              <w:bottom w:val="single" w:sz="4" w:space="0" w:color="000000"/>
              <w:right w:val="nil"/>
            </w:tcBorders>
            <w:vAlign w:val="center"/>
            <w:hideMark/>
          </w:tcPr>
          <w:p w14:paraId="485EE814" w14:textId="77777777" w:rsidR="00AC64E7" w:rsidRPr="005B39E2" w:rsidRDefault="00AC64E7" w:rsidP="00AC64E7">
            <w:pPr>
              <w:widowControl/>
              <w:jc w:val="left"/>
              <w:rPr>
                <w:rFonts w:ascii="Times New Roman" w:eastAsia="等线" w:hAnsi="Times New Roman" w:cs="Times New Roman"/>
                <w:color w:val="000000"/>
                <w:kern w:val="0"/>
                <w:sz w:val="20"/>
                <w:szCs w:val="20"/>
              </w:rPr>
            </w:pPr>
          </w:p>
        </w:tc>
        <w:tc>
          <w:tcPr>
            <w:tcW w:w="0" w:type="auto"/>
            <w:tcBorders>
              <w:top w:val="nil"/>
              <w:left w:val="nil"/>
              <w:bottom w:val="single" w:sz="4" w:space="0" w:color="auto"/>
              <w:right w:val="nil"/>
            </w:tcBorders>
            <w:shd w:val="clear" w:color="auto" w:fill="auto"/>
            <w:noWrap/>
            <w:vAlign w:val="center"/>
            <w:hideMark/>
          </w:tcPr>
          <w:p w14:paraId="7BFA11BE" w14:textId="77777777" w:rsidR="00AC64E7" w:rsidRPr="005B39E2" w:rsidRDefault="00AC64E7" w:rsidP="00AC64E7">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HR (95% CI)</w:t>
            </w:r>
          </w:p>
        </w:tc>
        <w:tc>
          <w:tcPr>
            <w:tcW w:w="0" w:type="auto"/>
            <w:tcBorders>
              <w:top w:val="nil"/>
              <w:left w:val="nil"/>
              <w:bottom w:val="single" w:sz="4" w:space="0" w:color="auto"/>
              <w:right w:val="nil"/>
            </w:tcBorders>
            <w:shd w:val="clear" w:color="auto" w:fill="auto"/>
            <w:noWrap/>
            <w:vAlign w:val="center"/>
            <w:hideMark/>
          </w:tcPr>
          <w:p w14:paraId="438794FE" w14:textId="77777777" w:rsidR="00AC64E7" w:rsidRPr="005B39E2" w:rsidRDefault="00AC64E7" w:rsidP="00AC64E7">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i/>
                <w:iCs/>
                <w:color w:val="000000"/>
                <w:kern w:val="0"/>
                <w:sz w:val="20"/>
                <w:szCs w:val="20"/>
              </w:rPr>
              <w:t>P</w:t>
            </w:r>
            <w:r w:rsidRPr="005B39E2">
              <w:rPr>
                <w:rFonts w:ascii="Times New Roman" w:eastAsia="等线" w:hAnsi="Times New Roman" w:cs="Times New Roman"/>
                <w:color w:val="000000"/>
                <w:kern w:val="0"/>
                <w:sz w:val="20"/>
                <w:szCs w:val="20"/>
              </w:rPr>
              <w:t xml:space="preserve"> value</w:t>
            </w:r>
          </w:p>
        </w:tc>
        <w:tc>
          <w:tcPr>
            <w:tcW w:w="0" w:type="auto"/>
            <w:tcBorders>
              <w:top w:val="nil"/>
              <w:left w:val="nil"/>
              <w:bottom w:val="single" w:sz="4" w:space="0" w:color="auto"/>
              <w:right w:val="nil"/>
            </w:tcBorders>
            <w:shd w:val="clear" w:color="auto" w:fill="auto"/>
            <w:noWrap/>
            <w:vAlign w:val="center"/>
            <w:hideMark/>
          </w:tcPr>
          <w:p w14:paraId="436BAE90" w14:textId="77777777" w:rsidR="00AC64E7" w:rsidRPr="005B39E2" w:rsidRDefault="00AC64E7" w:rsidP="00AC64E7">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HR (95% CI)</w:t>
            </w:r>
          </w:p>
        </w:tc>
        <w:tc>
          <w:tcPr>
            <w:tcW w:w="0" w:type="auto"/>
            <w:tcBorders>
              <w:top w:val="nil"/>
              <w:left w:val="nil"/>
              <w:bottom w:val="single" w:sz="4" w:space="0" w:color="auto"/>
              <w:right w:val="nil"/>
            </w:tcBorders>
            <w:shd w:val="clear" w:color="auto" w:fill="auto"/>
            <w:noWrap/>
            <w:vAlign w:val="center"/>
            <w:hideMark/>
          </w:tcPr>
          <w:p w14:paraId="15149F6F" w14:textId="77777777" w:rsidR="00AC64E7" w:rsidRPr="005B39E2" w:rsidRDefault="00AC64E7" w:rsidP="00AC64E7">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i/>
                <w:iCs/>
                <w:color w:val="000000"/>
                <w:kern w:val="0"/>
                <w:sz w:val="20"/>
                <w:szCs w:val="20"/>
              </w:rPr>
              <w:t>P</w:t>
            </w:r>
            <w:r w:rsidRPr="005B39E2">
              <w:rPr>
                <w:rFonts w:ascii="Times New Roman" w:eastAsia="等线" w:hAnsi="Times New Roman" w:cs="Times New Roman"/>
                <w:color w:val="000000"/>
                <w:kern w:val="0"/>
                <w:sz w:val="20"/>
                <w:szCs w:val="20"/>
              </w:rPr>
              <w:t xml:space="preserve"> value</w:t>
            </w:r>
          </w:p>
        </w:tc>
        <w:tc>
          <w:tcPr>
            <w:tcW w:w="0" w:type="auto"/>
            <w:tcBorders>
              <w:top w:val="nil"/>
              <w:left w:val="nil"/>
              <w:bottom w:val="single" w:sz="4" w:space="0" w:color="auto"/>
              <w:right w:val="nil"/>
            </w:tcBorders>
            <w:shd w:val="clear" w:color="auto" w:fill="auto"/>
            <w:noWrap/>
            <w:vAlign w:val="center"/>
            <w:hideMark/>
          </w:tcPr>
          <w:p w14:paraId="533525FD" w14:textId="77777777" w:rsidR="00AC64E7" w:rsidRPr="005B39E2" w:rsidRDefault="00AC64E7" w:rsidP="00AC64E7">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HR (95% CI)</w:t>
            </w:r>
          </w:p>
        </w:tc>
        <w:tc>
          <w:tcPr>
            <w:tcW w:w="0" w:type="auto"/>
            <w:tcBorders>
              <w:top w:val="nil"/>
              <w:left w:val="nil"/>
              <w:bottom w:val="single" w:sz="4" w:space="0" w:color="auto"/>
              <w:right w:val="nil"/>
            </w:tcBorders>
            <w:shd w:val="clear" w:color="auto" w:fill="auto"/>
            <w:noWrap/>
            <w:vAlign w:val="center"/>
            <w:hideMark/>
          </w:tcPr>
          <w:p w14:paraId="38FF2B62" w14:textId="77777777" w:rsidR="00AC64E7" w:rsidRPr="005B39E2" w:rsidRDefault="00AC64E7" w:rsidP="00AC64E7">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i/>
                <w:iCs/>
                <w:color w:val="000000"/>
                <w:kern w:val="0"/>
                <w:sz w:val="20"/>
                <w:szCs w:val="20"/>
              </w:rPr>
              <w:t>P</w:t>
            </w:r>
            <w:r w:rsidRPr="005B39E2">
              <w:rPr>
                <w:rFonts w:ascii="Times New Roman" w:eastAsia="等线" w:hAnsi="Times New Roman" w:cs="Times New Roman"/>
                <w:color w:val="000000"/>
                <w:kern w:val="0"/>
                <w:sz w:val="20"/>
                <w:szCs w:val="20"/>
              </w:rPr>
              <w:t xml:space="preserve"> value</w:t>
            </w:r>
          </w:p>
        </w:tc>
      </w:tr>
      <w:tr w:rsidR="00AC64E7" w:rsidRPr="005B39E2" w14:paraId="1BFA3F01" w14:textId="77777777" w:rsidTr="00AC64E7">
        <w:trPr>
          <w:trHeight w:val="310"/>
        </w:trPr>
        <w:tc>
          <w:tcPr>
            <w:tcW w:w="0" w:type="auto"/>
            <w:tcBorders>
              <w:top w:val="nil"/>
              <w:left w:val="nil"/>
              <w:bottom w:val="nil"/>
              <w:right w:val="nil"/>
            </w:tcBorders>
            <w:shd w:val="clear" w:color="auto" w:fill="auto"/>
            <w:noWrap/>
            <w:vAlign w:val="center"/>
            <w:hideMark/>
          </w:tcPr>
          <w:p w14:paraId="4305034B"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28-Day Mortality</w:t>
            </w:r>
          </w:p>
        </w:tc>
        <w:tc>
          <w:tcPr>
            <w:tcW w:w="0" w:type="auto"/>
            <w:tcBorders>
              <w:top w:val="nil"/>
              <w:left w:val="nil"/>
              <w:bottom w:val="nil"/>
              <w:right w:val="nil"/>
            </w:tcBorders>
            <w:shd w:val="clear" w:color="auto" w:fill="auto"/>
            <w:noWrap/>
            <w:vAlign w:val="center"/>
            <w:hideMark/>
          </w:tcPr>
          <w:p w14:paraId="325C1A01" w14:textId="77777777" w:rsidR="00AC64E7" w:rsidRPr="005B39E2" w:rsidRDefault="00AC64E7" w:rsidP="00AC64E7">
            <w:pPr>
              <w:widowControl/>
              <w:jc w:val="left"/>
              <w:rPr>
                <w:rFonts w:ascii="Times New Roman" w:eastAsia="等线"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125E7654" w14:textId="77777777" w:rsidR="00AC64E7" w:rsidRPr="005B39E2" w:rsidRDefault="00AC64E7" w:rsidP="00AC64E7">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CEE1F73" w14:textId="77777777" w:rsidR="00AC64E7" w:rsidRPr="005B39E2" w:rsidRDefault="00AC64E7" w:rsidP="00AC64E7">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6395BB0" w14:textId="77777777" w:rsidR="00AC64E7" w:rsidRPr="005B39E2" w:rsidRDefault="00AC64E7" w:rsidP="00AC64E7">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17F51C5" w14:textId="77777777" w:rsidR="00AC64E7" w:rsidRPr="005B39E2" w:rsidRDefault="00AC64E7" w:rsidP="00AC64E7">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C70BC72" w14:textId="77777777" w:rsidR="00AC64E7" w:rsidRPr="005B39E2" w:rsidRDefault="00AC64E7" w:rsidP="00AC64E7">
            <w:pPr>
              <w:widowControl/>
              <w:jc w:val="center"/>
              <w:rPr>
                <w:rFonts w:ascii="Times New Roman" w:eastAsia="Times New Roman" w:hAnsi="Times New Roman" w:cs="Times New Roman"/>
                <w:kern w:val="0"/>
                <w:sz w:val="20"/>
                <w:szCs w:val="20"/>
              </w:rPr>
            </w:pPr>
          </w:p>
        </w:tc>
      </w:tr>
      <w:tr w:rsidR="00AC64E7" w:rsidRPr="005B39E2" w14:paraId="6329A210" w14:textId="77777777" w:rsidTr="00AC64E7">
        <w:trPr>
          <w:trHeight w:val="310"/>
        </w:trPr>
        <w:tc>
          <w:tcPr>
            <w:tcW w:w="0" w:type="auto"/>
            <w:tcBorders>
              <w:top w:val="nil"/>
              <w:left w:val="nil"/>
              <w:bottom w:val="nil"/>
              <w:right w:val="nil"/>
            </w:tcBorders>
            <w:shd w:val="clear" w:color="auto" w:fill="auto"/>
            <w:noWrap/>
            <w:vAlign w:val="center"/>
            <w:hideMark/>
          </w:tcPr>
          <w:p w14:paraId="6A4FB7D1"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T2 vs T1</w:t>
            </w:r>
          </w:p>
        </w:tc>
        <w:tc>
          <w:tcPr>
            <w:tcW w:w="0" w:type="auto"/>
            <w:tcBorders>
              <w:top w:val="nil"/>
              <w:left w:val="nil"/>
              <w:bottom w:val="nil"/>
              <w:right w:val="nil"/>
            </w:tcBorders>
            <w:shd w:val="clear" w:color="auto" w:fill="auto"/>
            <w:noWrap/>
            <w:vAlign w:val="center"/>
            <w:hideMark/>
          </w:tcPr>
          <w:p w14:paraId="0F4BBE72"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1.25 (1.18, 1.34)</w:t>
            </w:r>
          </w:p>
        </w:tc>
        <w:tc>
          <w:tcPr>
            <w:tcW w:w="0" w:type="auto"/>
            <w:tcBorders>
              <w:top w:val="nil"/>
              <w:left w:val="nil"/>
              <w:bottom w:val="nil"/>
              <w:right w:val="nil"/>
            </w:tcBorders>
            <w:shd w:val="clear" w:color="auto" w:fill="auto"/>
            <w:noWrap/>
            <w:vAlign w:val="center"/>
            <w:hideMark/>
          </w:tcPr>
          <w:p w14:paraId="67D5D602" w14:textId="77777777" w:rsidR="00AC64E7" w:rsidRPr="005B39E2" w:rsidRDefault="00AC64E7" w:rsidP="00AC64E7">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nil"/>
              <w:right w:val="nil"/>
            </w:tcBorders>
            <w:shd w:val="clear" w:color="auto" w:fill="auto"/>
            <w:noWrap/>
            <w:vAlign w:val="center"/>
            <w:hideMark/>
          </w:tcPr>
          <w:p w14:paraId="117FE638"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1.22 (1.14, 1.30)</w:t>
            </w:r>
          </w:p>
        </w:tc>
        <w:tc>
          <w:tcPr>
            <w:tcW w:w="0" w:type="auto"/>
            <w:tcBorders>
              <w:top w:val="nil"/>
              <w:left w:val="nil"/>
              <w:bottom w:val="nil"/>
              <w:right w:val="nil"/>
            </w:tcBorders>
            <w:shd w:val="clear" w:color="auto" w:fill="auto"/>
            <w:noWrap/>
            <w:vAlign w:val="center"/>
            <w:hideMark/>
          </w:tcPr>
          <w:p w14:paraId="72AF9D80" w14:textId="77777777" w:rsidR="00AC64E7" w:rsidRPr="005B39E2" w:rsidRDefault="00AC64E7" w:rsidP="00AC64E7">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nil"/>
              <w:right w:val="nil"/>
            </w:tcBorders>
            <w:shd w:val="clear" w:color="auto" w:fill="auto"/>
            <w:noWrap/>
            <w:vAlign w:val="center"/>
            <w:hideMark/>
          </w:tcPr>
          <w:p w14:paraId="563A2951"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1.01 (0.95, 1.08)</w:t>
            </w:r>
          </w:p>
        </w:tc>
        <w:tc>
          <w:tcPr>
            <w:tcW w:w="0" w:type="auto"/>
            <w:tcBorders>
              <w:top w:val="nil"/>
              <w:left w:val="nil"/>
              <w:bottom w:val="nil"/>
              <w:right w:val="nil"/>
            </w:tcBorders>
            <w:shd w:val="clear" w:color="auto" w:fill="auto"/>
            <w:noWrap/>
            <w:vAlign w:val="center"/>
            <w:hideMark/>
          </w:tcPr>
          <w:p w14:paraId="104FDEF9" w14:textId="77777777" w:rsidR="00AC64E7" w:rsidRPr="005B39E2" w:rsidRDefault="00AC64E7" w:rsidP="00AC64E7">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0.677</w:t>
            </w:r>
          </w:p>
        </w:tc>
      </w:tr>
      <w:tr w:rsidR="00AC64E7" w:rsidRPr="005B39E2" w14:paraId="799D0B08" w14:textId="77777777" w:rsidTr="00AC64E7">
        <w:trPr>
          <w:trHeight w:val="310"/>
        </w:trPr>
        <w:tc>
          <w:tcPr>
            <w:tcW w:w="0" w:type="auto"/>
            <w:tcBorders>
              <w:top w:val="nil"/>
              <w:left w:val="nil"/>
              <w:bottom w:val="nil"/>
              <w:right w:val="nil"/>
            </w:tcBorders>
            <w:shd w:val="clear" w:color="auto" w:fill="auto"/>
            <w:noWrap/>
            <w:vAlign w:val="center"/>
            <w:hideMark/>
          </w:tcPr>
          <w:p w14:paraId="4F3B3513"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T3 vs T1</w:t>
            </w:r>
          </w:p>
        </w:tc>
        <w:tc>
          <w:tcPr>
            <w:tcW w:w="0" w:type="auto"/>
            <w:tcBorders>
              <w:top w:val="nil"/>
              <w:left w:val="nil"/>
              <w:bottom w:val="nil"/>
              <w:right w:val="nil"/>
            </w:tcBorders>
            <w:shd w:val="clear" w:color="auto" w:fill="auto"/>
            <w:noWrap/>
            <w:vAlign w:val="center"/>
            <w:hideMark/>
          </w:tcPr>
          <w:p w14:paraId="2D6FFE02"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1.89 (1.78, 2.00)</w:t>
            </w:r>
          </w:p>
        </w:tc>
        <w:tc>
          <w:tcPr>
            <w:tcW w:w="0" w:type="auto"/>
            <w:tcBorders>
              <w:top w:val="nil"/>
              <w:left w:val="nil"/>
              <w:bottom w:val="nil"/>
              <w:right w:val="nil"/>
            </w:tcBorders>
            <w:shd w:val="clear" w:color="auto" w:fill="auto"/>
            <w:noWrap/>
            <w:vAlign w:val="center"/>
            <w:hideMark/>
          </w:tcPr>
          <w:p w14:paraId="3C705FFA" w14:textId="77777777" w:rsidR="00AC64E7" w:rsidRPr="005B39E2" w:rsidRDefault="00AC64E7" w:rsidP="00AC64E7">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nil"/>
              <w:right w:val="nil"/>
            </w:tcBorders>
            <w:shd w:val="clear" w:color="auto" w:fill="auto"/>
            <w:noWrap/>
            <w:vAlign w:val="center"/>
            <w:hideMark/>
          </w:tcPr>
          <w:p w14:paraId="3E1EDE13"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1.86 (1.75, 1.97)</w:t>
            </w:r>
          </w:p>
        </w:tc>
        <w:tc>
          <w:tcPr>
            <w:tcW w:w="0" w:type="auto"/>
            <w:tcBorders>
              <w:top w:val="nil"/>
              <w:left w:val="nil"/>
              <w:bottom w:val="nil"/>
              <w:right w:val="nil"/>
            </w:tcBorders>
            <w:shd w:val="clear" w:color="auto" w:fill="auto"/>
            <w:noWrap/>
            <w:vAlign w:val="center"/>
            <w:hideMark/>
          </w:tcPr>
          <w:p w14:paraId="413A5A17" w14:textId="77777777" w:rsidR="00AC64E7" w:rsidRPr="005B39E2" w:rsidRDefault="00AC64E7" w:rsidP="00AC64E7">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nil"/>
              <w:right w:val="nil"/>
            </w:tcBorders>
            <w:shd w:val="clear" w:color="auto" w:fill="auto"/>
            <w:noWrap/>
            <w:vAlign w:val="center"/>
            <w:hideMark/>
          </w:tcPr>
          <w:p w14:paraId="769F005D"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1.21 (1.13, 1.29)</w:t>
            </w:r>
          </w:p>
        </w:tc>
        <w:tc>
          <w:tcPr>
            <w:tcW w:w="0" w:type="auto"/>
            <w:tcBorders>
              <w:top w:val="nil"/>
              <w:left w:val="nil"/>
              <w:bottom w:val="nil"/>
              <w:right w:val="nil"/>
            </w:tcBorders>
            <w:shd w:val="clear" w:color="auto" w:fill="auto"/>
            <w:noWrap/>
            <w:vAlign w:val="center"/>
            <w:hideMark/>
          </w:tcPr>
          <w:p w14:paraId="4CDDF216" w14:textId="77777777" w:rsidR="00AC64E7" w:rsidRPr="005B39E2" w:rsidRDefault="00AC64E7" w:rsidP="00AC64E7">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r>
      <w:tr w:rsidR="00AC64E7" w:rsidRPr="005B39E2" w14:paraId="1A2A7EA2" w14:textId="77777777" w:rsidTr="00AC64E7">
        <w:trPr>
          <w:trHeight w:val="310"/>
        </w:trPr>
        <w:tc>
          <w:tcPr>
            <w:tcW w:w="0" w:type="auto"/>
            <w:tcBorders>
              <w:top w:val="nil"/>
              <w:left w:val="nil"/>
              <w:bottom w:val="nil"/>
              <w:right w:val="nil"/>
            </w:tcBorders>
            <w:shd w:val="clear" w:color="auto" w:fill="auto"/>
            <w:noWrap/>
            <w:vAlign w:val="center"/>
            <w:hideMark/>
          </w:tcPr>
          <w:p w14:paraId="18BD3855"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180-Day Mortality</w:t>
            </w:r>
          </w:p>
        </w:tc>
        <w:tc>
          <w:tcPr>
            <w:tcW w:w="0" w:type="auto"/>
            <w:tcBorders>
              <w:top w:val="nil"/>
              <w:left w:val="nil"/>
              <w:bottom w:val="nil"/>
              <w:right w:val="nil"/>
            </w:tcBorders>
            <w:shd w:val="clear" w:color="auto" w:fill="auto"/>
            <w:noWrap/>
            <w:vAlign w:val="center"/>
            <w:hideMark/>
          </w:tcPr>
          <w:p w14:paraId="2E26C343" w14:textId="77777777" w:rsidR="00AC64E7" w:rsidRPr="005B39E2" w:rsidRDefault="00AC64E7" w:rsidP="00AC64E7">
            <w:pPr>
              <w:widowControl/>
              <w:jc w:val="left"/>
              <w:rPr>
                <w:rFonts w:ascii="Times New Roman" w:eastAsia="等线"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201DA587" w14:textId="77777777" w:rsidR="00AC64E7" w:rsidRPr="005B39E2" w:rsidRDefault="00AC64E7" w:rsidP="00AC64E7">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C63EAC2" w14:textId="77777777" w:rsidR="00AC64E7" w:rsidRPr="005B39E2" w:rsidRDefault="00AC64E7" w:rsidP="00AC64E7">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1031EF98" w14:textId="77777777" w:rsidR="00AC64E7" w:rsidRPr="005B39E2" w:rsidRDefault="00AC64E7" w:rsidP="00AC64E7">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6C148E6" w14:textId="77777777" w:rsidR="00AC64E7" w:rsidRPr="005B39E2" w:rsidRDefault="00AC64E7" w:rsidP="00AC64E7">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0167F9D" w14:textId="77777777" w:rsidR="00AC64E7" w:rsidRPr="005B39E2" w:rsidRDefault="00AC64E7" w:rsidP="00AC64E7">
            <w:pPr>
              <w:widowControl/>
              <w:jc w:val="left"/>
              <w:rPr>
                <w:rFonts w:ascii="Times New Roman" w:eastAsia="Times New Roman" w:hAnsi="Times New Roman" w:cs="Times New Roman"/>
                <w:kern w:val="0"/>
                <w:sz w:val="20"/>
                <w:szCs w:val="20"/>
              </w:rPr>
            </w:pPr>
          </w:p>
        </w:tc>
      </w:tr>
      <w:tr w:rsidR="00AC64E7" w:rsidRPr="005B39E2" w14:paraId="59EC215B" w14:textId="77777777" w:rsidTr="00AC64E7">
        <w:trPr>
          <w:trHeight w:val="310"/>
        </w:trPr>
        <w:tc>
          <w:tcPr>
            <w:tcW w:w="0" w:type="auto"/>
            <w:tcBorders>
              <w:top w:val="nil"/>
              <w:left w:val="nil"/>
              <w:bottom w:val="nil"/>
              <w:right w:val="nil"/>
            </w:tcBorders>
            <w:shd w:val="clear" w:color="auto" w:fill="auto"/>
            <w:noWrap/>
            <w:vAlign w:val="center"/>
            <w:hideMark/>
          </w:tcPr>
          <w:p w14:paraId="6B48C319"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T2 vs T1</w:t>
            </w:r>
          </w:p>
        </w:tc>
        <w:tc>
          <w:tcPr>
            <w:tcW w:w="0" w:type="auto"/>
            <w:tcBorders>
              <w:top w:val="nil"/>
              <w:left w:val="nil"/>
              <w:bottom w:val="nil"/>
              <w:right w:val="nil"/>
            </w:tcBorders>
            <w:shd w:val="clear" w:color="auto" w:fill="auto"/>
            <w:noWrap/>
            <w:vAlign w:val="center"/>
            <w:hideMark/>
          </w:tcPr>
          <w:p w14:paraId="61718367"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1.23 (1.17, 1.29)</w:t>
            </w:r>
          </w:p>
        </w:tc>
        <w:tc>
          <w:tcPr>
            <w:tcW w:w="0" w:type="auto"/>
            <w:tcBorders>
              <w:top w:val="nil"/>
              <w:left w:val="nil"/>
              <w:bottom w:val="nil"/>
              <w:right w:val="nil"/>
            </w:tcBorders>
            <w:shd w:val="clear" w:color="auto" w:fill="auto"/>
            <w:noWrap/>
            <w:vAlign w:val="center"/>
            <w:hideMark/>
          </w:tcPr>
          <w:p w14:paraId="5ACAE0DB" w14:textId="77777777" w:rsidR="00AC64E7" w:rsidRPr="005B39E2" w:rsidRDefault="00AC64E7" w:rsidP="00AC64E7">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nil"/>
              <w:right w:val="nil"/>
            </w:tcBorders>
            <w:shd w:val="clear" w:color="auto" w:fill="auto"/>
            <w:noWrap/>
            <w:vAlign w:val="center"/>
            <w:hideMark/>
          </w:tcPr>
          <w:p w14:paraId="3421149D"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1.19 (1.14, 1.25)</w:t>
            </w:r>
          </w:p>
        </w:tc>
        <w:tc>
          <w:tcPr>
            <w:tcW w:w="0" w:type="auto"/>
            <w:tcBorders>
              <w:top w:val="nil"/>
              <w:left w:val="nil"/>
              <w:bottom w:val="nil"/>
              <w:right w:val="nil"/>
            </w:tcBorders>
            <w:shd w:val="clear" w:color="auto" w:fill="auto"/>
            <w:noWrap/>
            <w:vAlign w:val="center"/>
            <w:hideMark/>
          </w:tcPr>
          <w:p w14:paraId="7420A9D1" w14:textId="77777777" w:rsidR="00AC64E7" w:rsidRPr="005B39E2" w:rsidRDefault="00AC64E7" w:rsidP="00AC64E7">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nil"/>
              <w:right w:val="nil"/>
            </w:tcBorders>
            <w:shd w:val="clear" w:color="auto" w:fill="auto"/>
            <w:noWrap/>
            <w:vAlign w:val="center"/>
            <w:hideMark/>
          </w:tcPr>
          <w:p w14:paraId="241FAE83"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1.07 (1.02, 1.12)</w:t>
            </w:r>
          </w:p>
        </w:tc>
        <w:tc>
          <w:tcPr>
            <w:tcW w:w="0" w:type="auto"/>
            <w:tcBorders>
              <w:top w:val="nil"/>
              <w:left w:val="nil"/>
              <w:bottom w:val="nil"/>
              <w:right w:val="nil"/>
            </w:tcBorders>
            <w:shd w:val="clear" w:color="auto" w:fill="auto"/>
            <w:noWrap/>
            <w:vAlign w:val="center"/>
            <w:hideMark/>
          </w:tcPr>
          <w:p w14:paraId="6E76AD88" w14:textId="77777777" w:rsidR="00AC64E7" w:rsidRPr="005B39E2" w:rsidRDefault="00AC64E7" w:rsidP="00AC64E7">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0.006</w:t>
            </w:r>
          </w:p>
        </w:tc>
      </w:tr>
      <w:tr w:rsidR="00AC64E7" w:rsidRPr="005B39E2" w14:paraId="1BC0EFE2" w14:textId="77777777" w:rsidTr="00AC64E7">
        <w:trPr>
          <w:trHeight w:val="310"/>
        </w:trPr>
        <w:tc>
          <w:tcPr>
            <w:tcW w:w="0" w:type="auto"/>
            <w:tcBorders>
              <w:top w:val="nil"/>
              <w:left w:val="nil"/>
              <w:bottom w:val="single" w:sz="4" w:space="0" w:color="auto"/>
              <w:right w:val="nil"/>
            </w:tcBorders>
            <w:shd w:val="clear" w:color="auto" w:fill="auto"/>
            <w:noWrap/>
            <w:vAlign w:val="center"/>
            <w:hideMark/>
          </w:tcPr>
          <w:p w14:paraId="52C89013"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T3 vs T1</w:t>
            </w:r>
          </w:p>
        </w:tc>
        <w:tc>
          <w:tcPr>
            <w:tcW w:w="0" w:type="auto"/>
            <w:tcBorders>
              <w:top w:val="nil"/>
              <w:left w:val="nil"/>
              <w:bottom w:val="single" w:sz="4" w:space="0" w:color="auto"/>
              <w:right w:val="nil"/>
            </w:tcBorders>
            <w:shd w:val="clear" w:color="auto" w:fill="auto"/>
            <w:noWrap/>
            <w:vAlign w:val="center"/>
            <w:hideMark/>
          </w:tcPr>
          <w:p w14:paraId="734C17F1"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1.82 (1.75, 1.91)</w:t>
            </w:r>
          </w:p>
        </w:tc>
        <w:tc>
          <w:tcPr>
            <w:tcW w:w="0" w:type="auto"/>
            <w:tcBorders>
              <w:top w:val="nil"/>
              <w:left w:val="nil"/>
              <w:bottom w:val="single" w:sz="4" w:space="0" w:color="auto"/>
              <w:right w:val="nil"/>
            </w:tcBorders>
            <w:shd w:val="clear" w:color="auto" w:fill="auto"/>
            <w:noWrap/>
            <w:vAlign w:val="center"/>
            <w:hideMark/>
          </w:tcPr>
          <w:p w14:paraId="493F8019" w14:textId="77777777" w:rsidR="00AC64E7" w:rsidRPr="005B39E2" w:rsidRDefault="00AC64E7" w:rsidP="00AC64E7">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single" w:sz="4" w:space="0" w:color="auto"/>
              <w:right w:val="nil"/>
            </w:tcBorders>
            <w:shd w:val="clear" w:color="auto" w:fill="auto"/>
            <w:noWrap/>
            <w:vAlign w:val="center"/>
            <w:hideMark/>
          </w:tcPr>
          <w:p w14:paraId="24220930"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1.79 (1.71, 1.87)</w:t>
            </w:r>
          </w:p>
        </w:tc>
        <w:tc>
          <w:tcPr>
            <w:tcW w:w="0" w:type="auto"/>
            <w:tcBorders>
              <w:top w:val="nil"/>
              <w:left w:val="nil"/>
              <w:bottom w:val="single" w:sz="4" w:space="0" w:color="auto"/>
              <w:right w:val="nil"/>
            </w:tcBorders>
            <w:shd w:val="clear" w:color="auto" w:fill="auto"/>
            <w:noWrap/>
            <w:vAlign w:val="center"/>
            <w:hideMark/>
          </w:tcPr>
          <w:p w14:paraId="48C74290" w14:textId="77777777" w:rsidR="00AC64E7" w:rsidRPr="005B39E2" w:rsidRDefault="00AC64E7" w:rsidP="00AC64E7">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single" w:sz="4" w:space="0" w:color="auto"/>
              <w:right w:val="nil"/>
            </w:tcBorders>
            <w:shd w:val="clear" w:color="auto" w:fill="auto"/>
            <w:noWrap/>
            <w:vAlign w:val="center"/>
            <w:hideMark/>
          </w:tcPr>
          <w:p w14:paraId="1F517D22" w14:textId="77777777" w:rsidR="00AC64E7" w:rsidRPr="005B39E2" w:rsidRDefault="00AC64E7" w:rsidP="00AC64E7">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1.28 (1.22, 1.35)</w:t>
            </w:r>
          </w:p>
        </w:tc>
        <w:tc>
          <w:tcPr>
            <w:tcW w:w="0" w:type="auto"/>
            <w:tcBorders>
              <w:top w:val="nil"/>
              <w:left w:val="nil"/>
              <w:bottom w:val="single" w:sz="4" w:space="0" w:color="auto"/>
              <w:right w:val="nil"/>
            </w:tcBorders>
            <w:shd w:val="clear" w:color="auto" w:fill="auto"/>
            <w:noWrap/>
            <w:vAlign w:val="center"/>
            <w:hideMark/>
          </w:tcPr>
          <w:p w14:paraId="143A4DA2" w14:textId="77777777" w:rsidR="00AC64E7" w:rsidRPr="005B39E2" w:rsidRDefault="00AC64E7" w:rsidP="00AC64E7">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r>
    </w:tbl>
    <w:p w14:paraId="411F7415" w14:textId="30903312" w:rsidR="00B66E80" w:rsidRPr="005B39E2" w:rsidRDefault="003C1364" w:rsidP="005950B6">
      <w:pPr>
        <w:rPr>
          <w:rFonts w:ascii="Times New Roman" w:hAnsi="Times New Roman" w:cs="Times New Roman"/>
          <w:sz w:val="20"/>
          <w:szCs w:val="20"/>
        </w:rPr>
      </w:pPr>
      <w:r w:rsidRPr="005B39E2">
        <w:rPr>
          <w:rFonts w:ascii="Times New Roman" w:hAnsi="Times New Roman" w:cs="Times New Roman"/>
          <w:b/>
          <w:bCs/>
          <w:sz w:val="20"/>
          <w:szCs w:val="20"/>
        </w:rPr>
        <w:t xml:space="preserve">Supplementary </w:t>
      </w:r>
      <w:r w:rsidR="005950B6" w:rsidRPr="005B39E2">
        <w:rPr>
          <w:rFonts w:ascii="Times New Roman" w:hAnsi="Times New Roman" w:cs="Times New Roman"/>
          <w:b/>
          <w:bCs/>
          <w:sz w:val="20"/>
          <w:szCs w:val="20"/>
        </w:rPr>
        <w:t>Table S</w:t>
      </w:r>
      <w:r w:rsidR="00B66E80" w:rsidRPr="005B39E2">
        <w:rPr>
          <w:rFonts w:ascii="Times New Roman" w:hAnsi="Times New Roman" w:cs="Times New Roman"/>
          <w:b/>
          <w:bCs/>
          <w:sz w:val="20"/>
          <w:szCs w:val="20"/>
        </w:rPr>
        <w:t>2</w:t>
      </w:r>
      <w:r w:rsidR="005950B6" w:rsidRPr="005B39E2">
        <w:rPr>
          <w:rFonts w:ascii="Times New Roman" w:hAnsi="Times New Roman" w:cs="Times New Roman"/>
          <w:b/>
          <w:bCs/>
          <w:sz w:val="20"/>
          <w:szCs w:val="20"/>
        </w:rPr>
        <w:t xml:space="preserve">. </w:t>
      </w:r>
      <w:r w:rsidR="005950B6" w:rsidRPr="005B39E2">
        <w:rPr>
          <w:rFonts w:ascii="Times New Roman" w:hAnsi="Times New Roman" w:cs="Times New Roman"/>
          <w:sz w:val="20"/>
          <w:szCs w:val="20"/>
        </w:rPr>
        <w:t>Sensitivity Analysis: Association between Glycemic Variability and Mortality using a Random Forest-Imputed Dataset.</w:t>
      </w:r>
    </w:p>
    <w:p w14:paraId="0F873F9B" w14:textId="6CCAF4D5" w:rsidR="005950B6" w:rsidRPr="005B39E2" w:rsidRDefault="00B66E80" w:rsidP="005950B6">
      <w:pPr>
        <w:rPr>
          <w:rFonts w:ascii="Times New Roman" w:hAnsi="Times New Roman" w:cs="Times New Roman"/>
          <w:sz w:val="20"/>
          <w:szCs w:val="20"/>
        </w:rPr>
      </w:pPr>
      <w:r w:rsidRPr="005B39E2">
        <w:rPr>
          <w:rFonts w:ascii="Times New Roman" w:hAnsi="Times New Roman" w:cs="Times New Roman"/>
          <w:sz w:val="20"/>
          <w:szCs w:val="20"/>
        </w:rPr>
        <w:t>Model 1: Unadjusted.</w:t>
      </w:r>
      <w:r w:rsidRPr="005B39E2">
        <w:rPr>
          <w:rFonts w:ascii="Times New Roman" w:hAnsi="Times New Roman" w:cs="Times New Roman"/>
          <w:sz w:val="20"/>
          <w:szCs w:val="20"/>
        </w:rPr>
        <w:br/>
        <w:t>Model 2: Adjusted for age, gender, and race.</w:t>
      </w:r>
      <w:r w:rsidRPr="005B39E2">
        <w:rPr>
          <w:rFonts w:ascii="Times New Roman" w:hAnsi="Times New Roman" w:cs="Times New Roman"/>
          <w:sz w:val="20"/>
          <w:szCs w:val="20"/>
        </w:rPr>
        <w:br/>
        <w:t>Model 3: Fully adjusted for age, gender, and race (from Model 2), plus the following baseline covariates: Severity of illness scores (Sequential Organ Failure Assessment [SOFA], Oxford Acute Severity of Illness Score [OASIS], Glasgow Coma Scale [GCS], Charlson Comorbidity Index); Comorbidities (hypertension, diabetes, chronic obstructive pulmonary disease, heart failure, stroke, sepsis); Vital signs (minimum mean arterial pressure, maximum heart rate, maximum respiratory rate, maximum temperature); Laboratory values (first measurement of hemoglobin, white blood cell count, platelets, creatinine, lactate, PO2, PCO2, potassium, sodium, chloride, calcium, pH); and Interventions (use of insulin, mechanical ventilation, renal replacement therapy, and vasopressors).</w:t>
      </w:r>
      <w:r w:rsidR="005950B6" w:rsidRPr="005B39E2">
        <w:rPr>
          <w:rFonts w:ascii="Times New Roman" w:hAnsi="Times New Roman" w:cs="Times New Roman"/>
          <w:sz w:val="20"/>
          <w:szCs w:val="20"/>
        </w:rPr>
        <w:br/>
      </w:r>
      <w:r w:rsidR="005950B6" w:rsidRPr="005B39E2">
        <w:rPr>
          <w:rFonts w:ascii="Times New Roman" w:hAnsi="Times New Roman" w:cs="Times New Roman"/>
          <w:i/>
          <w:iCs/>
          <w:sz w:val="20"/>
          <w:szCs w:val="20"/>
        </w:rPr>
        <w:t>Abbreviations:</w:t>
      </w:r>
      <w:r w:rsidR="005950B6" w:rsidRPr="005B39E2">
        <w:rPr>
          <w:rFonts w:ascii="Times New Roman" w:hAnsi="Times New Roman" w:cs="Times New Roman"/>
          <w:sz w:val="20"/>
          <w:szCs w:val="20"/>
        </w:rPr>
        <w:t xml:space="preserve"> CI, confidence interval; HR, hazard ratio.</w:t>
      </w:r>
    </w:p>
    <w:p w14:paraId="545F9977" w14:textId="3C2771BF" w:rsidR="007B4928" w:rsidRPr="005B39E2" w:rsidRDefault="007B4928">
      <w:pPr>
        <w:widowControl/>
        <w:jc w:val="left"/>
        <w:rPr>
          <w:rFonts w:ascii="Times New Roman" w:hAnsi="Times New Roman" w:cs="Times New Roman"/>
          <w:b/>
          <w:bCs/>
          <w:sz w:val="20"/>
          <w:szCs w:val="20"/>
        </w:rPr>
      </w:pPr>
      <w:r w:rsidRPr="005B39E2">
        <w:rPr>
          <w:rFonts w:ascii="Times New Roman" w:hAnsi="Times New Roman" w:cs="Times New Roman"/>
          <w:b/>
          <w:bCs/>
          <w:sz w:val="20"/>
          <w:szCs w:val="20"/>
        </w:rPr>
        <w:br w:type="page"/>
      </w:r>
    </w:p>
    <w:tbl>
      <w:tblPr>
        <w:tblW w:w="0" w:type="auto"/>
        <w:tblLook w:val="04A0" w:firstRow="1" w:lastRow="0" w:firstColumn="1" w:lastColumn="0" w:noHBand="0" w:noVBand="1"/>
      </w:tblPr>
      <w:tblGrid>
        <w:gridCol w:w="1722"/>
        <w:gridCol w:w="1550"/>
        <w:gridCol w:w="830"/>
        <w:gridCol w:w="1550"/>
        <w:gridCol w:w="830"/>
        <w:gridCol w:w="1550"/>
        <w:gridCol w:w="830"/>
      </w:tblGrid>
      <w:tr w:rsidR="007624E2" w:rsidRPr="005B39E2" w14:paraId="25C901C2" w14:textId="77777777" w:rsidTr="007624E2">
        <w:trPr>
          <w:trHeight w:val="310"/>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4D5365F0" w14:textId="77777777" w:rsidR="007624E2" w:rsidRPr="005B39E2" w:rsidRDefault="007624E2" w:rsidP="007624E2">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lastRenderedPageBreak/>
              <w:t>Variable</w:t>
            </w:r>
          </w:p>
        </w:tc>
        <w:tc>
          <w:tcPr>
            <w:tcW w:w="0" w:type="auto"/>
            <w:gridSpan w:val="2"/>
            <w:tcBorders>
              <w:top w:val="single" w:sz="4" w:space="0" w:color="auto"/>
              <w:left w:val="nil"/>
              <w:bottom w:val="nil"/>
              <w:right w:val="nil"/>
            </w:tcBorders>
            <w:shd w:val="clear" w:color="auto" w:fill="auto"/>
            <w:noWrap/>
            <w:vAlign w:val="center"/>
            <w:hideMark/>
          </w:tcPr>
          <w:p w14:paraId="137A77B1" w14:textId="77777777" w:rsidR="007624E2" w:rsidRPr="005B39E2" w:rsidRDefault="007624E2" w:rsidP="007624E2">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Model 1</w:t>
            </w:r>
          </w:p>
        </w:tc>
        <w:tc>
          <w:tcPr>
            <w:tcW w:w="0" w:type="auto"/>
            <w:gridSpan w:val="2"/>
            <w:tcBorders>
              <w:top w:val="single" w:sz="4" w:space="0" w:color="auto"/>
              <w:left w:val="nil"/>
              <w:bottom w:val="nil"/>
              <w:right w:val="nil"/>
            </w:tcBorders>
            <w:shd w:val="clear" w:color="auto" w:fill="auto"/>
            <w:noWrap/>
            <w:vAlign w:val="center"/>
            <w:hideMark/>
          </w:tcPr>
          <w:p w14:paraId="5C4E6A0F" w14:textId="77777777" w:rsidR="007624E2" w:rsidRPr="005B39E2" w:rsidRDefault="007624E2" w:rsidP="007624E2">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Model 2</w:t>
            </w:r>
          </w:p>
        </w:tc>
        <w:tc>
          <w:tcPr>
            <w:tcW w:w="0" w:type="auto"/>
            <w:gridSpan w:val="2"/>
            <w:tcBorders>
              <w:top w:val="single" w:sz="4" w:space="0" w:color="auto"/>
              <w:left w:val="nil"/>
              <w:bottom w:val="nil"/>
              <w:right w:val="nil"/>
            </w:tcBorders>
            <w:shd w:val="clear" w:color="auto" w:fill="auto"/>
            <w:noWrap/>
            <w:vAlign w:val="center"/>
            <w:hideMark/>
          </w:tcPr>
          <w:p w14:paraId="4747BA75" w14:textId="77777777" w:rsidR="007624E2" w:rsidRPr="005B39E2" w:rsidRDefault="007624E2" w:rsidP="007624E2">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Model 3</w:t>
            </w:r>
          </w:p>
        </w:tc>
      </w:tr>
      <w:tr w:rsidR="007624E2" w:rsidRPr="005B39E2" w14:paraId="4653E89A" w14:textId="77777777" w:rsidTr="007624E2">
        <w:trPr>
          <w:trHeight w:val="310"/>
        </w:trPr>
        <w:tc>
          <w:tcPr>
            <w:tcW w:w="0" w:type="auto"/>
            <w:vMerge/>
            <w:tcBorders>
              <w:top w:val="single" w:sz="4" w:space="0" w:color="auto"/>
              <w:left w:val="nil"/>
              <w:bottom w:val="single" w:sz="4" w:space="0" w:color="000000"/>
              <w:right w:val="nil"/>
            </w:tcBorders>
            <w:vAlign w:val="center"/>
            <w:hideMark/>
          </w:tcPr>
          <w:p w14:paraId="2B552E7E" w14:textId="77777777" w:rsidR="007624E2" w:rsidRPr="005B39E2" w:rsidRDefault="007624E2" w:rsidP="007624E2">
            <w:pPr>
              <w:widowControl/>
              <w:jc w:val="left"/>
              <w:rPr>
                <w:rFonts w:ascii="Times New Roman" w:eastAsia="等线" w:hAnsi="Times New Roman" w:cs="Times New Roman"/>
                <w:color w:val="000000"/>
                <w:kern w:val="0"/>
                <w:sz w:val="20"/>
                <w:szCs w:val="20"/>
              </w:rPr>
            </w:pPr>
          </w:p>
        </w:tc>
        <w:tc>
          <w:tcPr>
            <w:tcW w:w="0" w:type="auto"/>
            <w:tcBorders>
              <w:top w:val="nil"/>
              <w:left w:val="nil"/>
              <w:bottom w:val="single" w:sz="4" w:space="0" w:color="auto"/>
              <w:right w:val="nil"/>
            </w:tcBorders>
            <w:shd w:val="clear" w:color="auto" w:fill="auto"/>
            <w:noWrap/>
            <w:vAlign w:val="center"/>
            <w:hideMark/>
          </w:tcPr>
          <w:p w14:paraId="7DE56865" w14:textId="77777777" w:rsidR="007624E2" w:rsidRPr="005B39E2" w:rsidRDefault="007624E2" w:rsidP="007624E2">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HR (95% CI)</w:t>
            </w:r>
          </w:p>
        </w:tc>
        <w:tc>
          <w:tcPr>
            <w:tcW w:w="0" w:type="auto"/>
            <w:tcBorders>
              <w:top w:val="nil"/>
              <w:left w:val="nil"/>
              <w:bottom w:val="single" w:sz="4" w:space="0" w:color="auto"/>
              <w:right w:val="nil"/>
            </w:tcBorders>
            <w:shd w:val="clear" w:color="auto" w:fill="auto"/>
            <w:noWrap/>
            <w:vAlign w:val="center"/>
            <w:hideMark/>
          </w:tcPr>
          <w:p w14:paraId="64E2D59D" w14:textId="77777777" w:rsidR="007624E2" w:rsidRPr="005B39E2" w:rsidRDefault="007624E2" w:rsidP="007624E2">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i/>
                <w:iCs/>
                <w:color w:val="000000"/>
                <w:kern w:val="0"/>
                <w:sz w:val="20"/>
                <w:szCs w:val="20"/>
              </w:rPr>
              <w:t>P</w:t>
            </w:r>
            <w:r w:rsidRPr="005B39E2">
              <w:rPr>
                <w:rFonts w:ascii="Times New Roman" w:eastAsia="等线" w:hAnsi="Times New Roman" w:cs="Times New Roman"/>
                <w:color w:val="000000"/>
                <w:kern w:val="0"/>
                <w:sz w:val="20"/>
                <w:szCs w:val="20"/>
              </w:rPr>
              <w:t xml:space="preserve"> value</w:t>
            </w:r>
          </w:p>
        </w:tc>
        <w:tc>
          <w:tcPr>
            <w:tcW w:w="0" w:type="auto"/>
            <w:tcBorders>
              <w:top w:val="nil"/>
              <w:left w:val="nil"/>
              <w:bottom w:val="single" w:sz="4" w:space="0" w:color="auto"/>
              <w:right w:val="nil"/>
            </w:tcBorders>
            <w:shd w:val="clear" w:color="auto" w:fill="auto"/>
            <w:noWrap/>
            <w:vAlign w:val="center"/>
            <w:hideMark/>
          </w:tcPr>
          <w:p w14:paraId="6D29C9AA" w14:textId="77777777" w:rsidR="007624E2" w:rsidRPr="005B39E2" w:rsidRDefault="007624E2" w:rsidP="007624E2">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HR (95% CI)</w:t>
            </w:r>
          </w:p>
        </w:tc>
        <w:tc>
          <w:tcPr>
            <w:tcW w:w="0" w:type="auto"/>
            <w:tcBorders>
              <w:top w:val="nil"/>
              <w:left w:val="nil"/>
              <w:bottom w:val="single" w:sz="4" w:space="0" w:color="auto"/>
              <w:right w:val="nil"/>
            </w:tcBorders>
            <w:shd w:val="clear" w:color="auto" w:fill="auto"/>
            <w:noWrap/>
            <w:vAlign w:val="center"/>
            <w:hideMark/>
          </w:tcPr>
          <w:p w14:paraId="772A7298" w14:textId="77777777" w:rsidR="007624E2" w:rsidRPr="005B39E2" w:rsidRDefault="007624E2" w:rsidP="007624E2">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i/>
                <w:iCs/>
                <w:color w:val="000000"/>
                <w:kern w:val="0"/>
                <w:sz w:val="20"/>
                <w:szCs w:val="20"/>
              </w:rPr>
              <w:t>P</w:t>
            </w:r>
            <w:r w:rsidRPr="005B39E2">
              <w:rPr>
                <w:rFonts w:ascii="Times New Roman" w:eastAsia="等线" w:hAnsi="Times New Roman" w:cs="Times New Roman"/>
                <w:color w:val="000000"/>
                <w:kern w:val="0"/>
                <w:sz w:val="20"/>
                <w:szCs w:val="20"/>
              </w:rPr>
              <w:t xml:space="preserve"> value</w:t>
            </w:r>
          </w:p>
        </w:tc>
        <w:tc>
          <w:tcPr>
            <w:tcW w:w="0" w:type="auto"/>
            <w:tcBorders>
              <w:top w:val="nil"/>
              <w:left w:val="nil"/>
              <w:bottom w:val="single" w:sz="4" w:space="0" w:color="auto"/>
              <w:right w:val="nil"/>
            </w:tcBorders>
            <w:shd w:val="clear" w:color="auto" w:fill="auto"/>
            <w:noWrap/>
            <w:vAlign w:val="center"/>
            <w:hideMark/>
          </w:tcPr>
          <w:p w14:paraId="327B2A87" w14:textId="77777777" w:rsidR="007624E2" w:rsidRPr="005B39E2" w:rsidRDefault="007624E2" w:rsidP="007624E2">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HR (95% CI)</w:t>
            </w:r>
          </w:p>
        </w:tc>
        <w:tc>
          <w:tcPr>
            <w:tcW w:w="0" w:type="auto"/>
            <w:tcBorders>
              <w:top w:val="nil"/>
              <w:left w:val="nil"/>
              <w:bottom w:val="single" w:sz="4" w:space="0" w:color="auto"/>
              <w:right w:val="nil"/>
            </w:tcBorders>
            <w:shd w:val="clear" w:color="auto" w:fill="auto"/>
            <w:noWrap/>
            <w:vAlign w:val="center"/>
            <w:hideMark/>
          </w:tcPr>
          <w:p w14:paraId="3A1B59E1" w14:textId="77777777" w:rsidR="007624E2" w:rsidRPr="005B39E2" w:rsidRDefault="007624E2" w:rsidP="007624E2">
            <w:pPr>
              <w:widowControl/>
              <w:jc w:val="center"/>
              <w:rPr>
                <w:rFonts w:ascii="Times New Roman" w:eastAsia="等线" w:hAnsi="Times New Roman" w:cs="Times New Roman"/>
                <w:color w:val="000000"/>
                <w:kern w:val="0"/>
                <w:sz w:val="20"/>
                <w:szCs w:val="20"/>
              </w:rPr>
            </w:pPr>
            <w:r w:rsidRPr="005B39E2">
              <w:rPr>
                <w:rFonts w:ascii="Times New Roman" w:eastAsia="等线" w:hAnsi="Times New Roman" w:cs="Times New Roman"/>
                <w:i/>
                <w:iCs/>
                <w:color w:val="000000"/>
                <w:kern w:val="0"/>
                <w:sz w:val="20"/>
                <w:szCs w:val="20"/>
              </w:rPr>
              <w:t>P</w:t>
            </w:r>
            <w:r w:rsidRPr="005B39E2">
              <w:rPr>
                <w:rFonts w:ascii="Times New Roman" w:eastAsia="等线" w:hAnsi="Times New Roman" w:cs="Times New Roman"/>
                <w:color w:val="000000"/>
                <w:kern w:val="0"/>
                <w:sz w:val="20"/>
                <w:szCs w:val="20"/>
              </w:rPr>
              <w:t xml:space="preserve"> value</w:t>
            </w:r>
          </w:p>
        </w:tc>
      </w:tr>
      <w:tr w:rsidR="007624E2" w:rsidRPr="005B39E2" w14:paraId="08E24DF0" w14:textId="77777777" w:rsidTr="007624E2">
        <w:trPr>
          <w:trHeight w:val="310"/>
        </w:trPr>
        <w:tc>
          <w:tcPr>
            <w:tcW w:w="0" w:type="auto"/>
            <w:tcBorders>
              <w:top w:val="nil"/>
              <w:left w:val="nil"/>
              <w:bottom w:val="nil"/>
              <w:right w:val="nil"/>
            </w:tcBorders>
            <w:shd w:val="clear" w:color="auto" w:fill="auto"/>
            <w:noWrap/>
            <w:vAlign w:val="center"/>
            <w:hideMark/>
          </w:tcPr>
          <w:p w14:paraId="1C0F29F3"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90-Day Mortality</w:t>
            </w:r>
          </w:p>
        </w:tc>
        <w:tc>
          <w:tcPr>
            <w:tcW w:w="0" w:type="auto"/>
            <w:tcBorders>
              <w:top w:val="nil"/>
              <w:left w:val="nil"/>
              <w:bottom w:val="nil"/>
              <w:right w:val="nil"/>
            </w:tcBorders>
            <w:shd w:val="clear" w:color="auto" w:fill="auto"/>
            <w:noWrap/>
            <w:vAlign w:val="center"/>
            <w:hideMark/>
          </w:tcPr>
          <w:p w14:paraId="0CC90621" w14:textId="77777777" w:rsidR="007624E2" w:rsidRPr="005B39E2" w:rsidRDefault="007624E2" w:rsidP="007624E2">
            <w:pPr>
              <w:widowControl/>
              <w:jc w:val="left"/>
              <w:rPr>
                <w:rFonts w:ascii="Times New Roman" w:eastAsia="等线"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16FCD1F8" w14:textId="77777777" w:rsidR="007624E2" w:rsidRPr="005B39E2" w:rsidRDefault="007624E2" w:rsidP="007624E2">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7C0FD07C" w14:textId="77777777" w:rsidR="007624E2" w:rsidRPr="005B39E2" w:rsidRDefault="007624E2" w:rsidP="007624E2">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05BE2A80" w14:textId="77777777" w:rsidR="007624E2" w:rsidRPr="005B39E2" w:rsidRDefault="007624E2" w:rsidP="007624E2">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B7110F1" w14:textId="77777777" w:rsidR="007624E2" w:rsidRPr="005B39E2" w:rsidRDefault="007624E2" w:rsidP="007624E2">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6BA3E057" w14:textId="77777777" w:rsidR="007624E2" w:rsidRPr="005B39E2" w:rsidRDefault="007624E2" w:rsidP="007624E2">
            <w:pPr>
              <w:widowControl/>
              <w:jc w:val="center"/>
              <w:rPr>
                <w:rFonts w:ascii="Times New Roman" w:eastAsia="Times New Roman" w:hAnsi="Times New Roman" w:cs="Times New Roman"/>
                <w:kern w:val="0"/>
                <w:sz w:val="20"/>
                <w:szCs w:val="20"/>
              </w:rPr>
            </w:pPr>
          </w:p>
        </w:tc>
      </w:tr>
      <w:tr w:rsidR="007624E2" w:rsidRPr="005B39E2" w14:paraId="6323DDF5" w14:textId="77777777" w:rsidTr="007624E2">
        <w:trPr>
          <w:trHeight w:val="310"/>
        </w:trPr>
        <w:tc>
          <w:tcPr>
            <w:tcW w:w="0" w:type="auto"/>
            <w:tcBorders>
              <w:top w:val="nil"/>
              <w:left w:val="nil"/>
              <w:bottom w:val="nil"/>
              <w:right w:val="nil"/>
            </w:tcBorders>
            <w:shd w:val="clear" w:color="auto" w:fill="auto"/>
            <w:noWrap/>
            <w:vAlign w:val="center"/>
            <w:hideMark/>
          </w:tcPr>
          <w:p w14:paraId="6CD4AC0E"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T2 vs T1</w:t>
            </w:r>
          </w:p>
        </w:tc>
        <w:tc>
          <w:tcPr>
            <w:tcW w:w="0" w:type="auto"/>
            <w:tcBorders>
              <w:top w:val="nil"/>
              <w:left w:val="nil"/>
              <w:bottom w:val="nil"/>
              <w:right w:val="nil"/>
            </w:tcBorders>
            <w:shd w:val="clear" w:color="auto" w:fill="auto"/>
            <w:noWrap/>
            <w:vAlign w:val="center"/>
            <w:hideMark/>
          </w:tcPr>
          <w:p w14:paraId="35D973F2"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1.27 (1.20, 1.33)</w:t>
            </w:r>
          </w:p>
        </w:tc>
        <w:tc>
          <w:tcPr>
            <w:tcW w:w="0" w:type="auto"/>
            <w:tcBorders>
              <w:top w:val="nil"/>
              <w:left w:val="nil"/>
              <w:bottom w:val="nil"/>
              <w:right w:val="nil"/>
            </w:tcBorders>
            <w:shd w:val="clear" w:color="auto" w:fill="auto"/>
            <w:noWrap/>
            <w:vAlign w:val="center"/>
            <w:hideMark/>
          </w:tcPr>
          <w:p w14:paraId="7241E340" w14:textId="77777777" w:rsidR="007624E2" w:rsidRPr="005B39E2" w:rsidRDefault="007624E2" w:rsidP="007624E2">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nil"/>
              <w:right w:val="nil"/>
            </w:tcBorders>
            <w:shd w:val="clear" w:color="auto" w:fill="auto"/>
            <w:noWrap/>
            <w:vAlign w:val="center"/>
            <w:hideMark/>
          </w:tcPr>
          <w:p w14:paraId="64B8145F"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1.23 (1.17, 1.30)</w:t>
            </w:r>
          </w:p>
        </w:tc>
        <w:tc>
          <w:tcPr>
            <w:tcW w:w="0" w:type="auto"/>
            <w:tcBorders>
              <w:top w:val="nil"/>
              <w:left w:val="nil"/>
              <w:bottom w:val="nil"/>
              <w:right w:val="nil"/>
            </w:tcBorders>
            <w:shd w:val="clear" w:color="auto" w:fill="auto"/>
            <w:noWrap/>
            <w:vAlign w:val="center"/>
            <w:hideMark/>
          </w:tcPr>
          <w:p w14:paraId="04F25FC0" w14:textId="77777777" w:rsidR="007624E2" w:rsidRPr="005B39E2" w:rsidRDefault="007624E2" w:rsidP="007624E2">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nil"/>
              <w:right w:val="nil"/>
            </w:tcBorders>
            <w:shd w:val="clear" w:color="auto" w:fill="auto"/>
            <w:noWrap/>
            <w:vAlign w:val="center"/>
            <w:hideMark/>
          </w:tcPr>
          <w:p w14:paraId="614FF70E"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1.09 (1.03, 1.15)</w:t>
            </w:r>
          </w:p>
        </w:tc>
        <w:tc>
          <w:tcPr>
            <w:tcW w:w="0" w:type="auto"/>
            <w:tcBorders>
              <w:top w:val="nil"/>
              <w:left w:val="nil"/>
              <w:bottom w:val="nil"/>
              <w:right w:val="nil"/>
            </w:tcBorders>
            <w:shd w:val="clear" w:color="auto" w:fill="auto"/>
            <w:noWrap/>
            <w:vAlign w:val="center"/>
            <w:hideMark/>
          </w:tcPr>
          <w:p w14:paraId="53C5B7AA" w14:textId="77777777" w:rsidR="007624E2" w:rsidRPr="005B39E2" w:rsidRDefault="007624E2" w:rsidP="007624E2">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0.002</w:t>
            </w:r>
          </w:p>
        </w:tc>
      </w:tr>
      <w:tr w:rsidR="007624E2" w:rsidRPr="005B39E2" w14:paraId="6B425503" w14:textId="77777777" w:rsidTr="007624E2">
        <w:trPr>
          <w:trHeight w:val="310"/>
        </w:trPr>
        <w:tc>
          <w:tcPr>
            <w:tcW w:w="0" w:type="auto"/>
            <w:tcBorders>
              <w:top w:val="nil"/>
              <w:left w:val="nil"/>
              <w:bottom w:val="nil"/>
              <w:right w:val="nil"/>
            </w:tcBorders>
            <w:shd w:val="clear" w:color="auto" w:fill="auto"/>
            <w:noWrap/>
            <w:vAlign w:val="center"/>
            <w:hideMark/>
          </w:tcPr>
          <w:p w14:paraId="7206DABD"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T3 vs T1</w:t>
            </w:r>
          </w:p>
        </w:tc>
        <w:tc>
          <w:tcPr>
            <w:tcW w:w="0" w:type="auto"/>
            <w:tcBorders>
              <w:top w:val="nil"/>
              <w:left w:val="nil"/>
              <w:bottom w:val="nil"/>
              <w:right w:val="nil"/>
            </w:tcBorders>
            <w:shd w:val="clear" w:color="auto" w:fill="auto"/>
            <w:noWrap/>
            <w:vAlign w:val="center"/>
            <w:hideMark/>
          </w:tcPr>
          <w:p w14:paraId="0C028398"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1.89 (1.80, 1.98)</w:t>
            </w:r>
          </w:p>
        </w:tc>
        <w:tc>
          <w:tcPr>
            <w:tcW w:w="0" w:type="auto"/>
            <w:tcBorders>
              <w:top w:val="nil"/>
              <w:left w:val="nil"/>
              <w:bottom w:val="nil"/>
              <w:right w:val="nil"/>
            </w:tcBorders>
            <w:shd w:val="clear" w:color="auto" w:fill="auto"/>
            <w:noWrap/>
            <w:vAlign w:val="center"/>
            <w:hideMark/>
          </w:tcPr>
          <w:p w14:paraId="577F064E" w14:textId="77777777" w:rsidR="007624E2" w:rsidRPr="005B39E2" w:rsidRDefault="007624E2" w:rsidP="007624E2">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nil"/>
              <w:right w:val="nil"/>
            </w:tcBorders>
            <w:shd w:val="clear" w:color="auto" w:fill="auto"/>
            <w:noWrap/>
            <w:vAlign w:val="center"/>
            <w:hideMark/>
          </w:tcPr>
          <w:p w14:paraId="3F21BEFE"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1.86 (1.77, 1.95)</w:t>
            </w:r>
          </w:p>
        </w:tc>
        <w:tc>
          <w:tcPr>
            <w:tcW w:w="0" w:type="auto"/>
            <w:tcBorders>
              <w:top w:val="nil"/>
              <w:left w:val="nil"/>
              <w:bottom w:val="nil"/>
              <w:right w:val="nil"/>
            </w:tcBorders>
            <w:shd w:val="clear" w:color="auto" w:fill="auto"/>
            <w:noWrap/>
            <w:vAlign w:val="center"/>
            <w:hideMark/>
          </w:tcPr>
          <w:p w14:paraId="0CA8FC41" w14:textId="77777777" w:rsidR="007624E2" w:rsidRPr="005B39E2" w:rsidRDefault="007624E2" w:rsidP="007624E2">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nil"/>
              <w:right w:val="nil"/>
            </w:tcBorders>
            <w:shd w:val="clear" w:color="auto" w:fill="auto"/>
            <w:noWrap/>
            <w:vAlign w:val="center"/>
            <w:hideMark/>
          </w:tcPr>
          <w:p w14:paraId="49E20542"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1.32 (1.25, 1.39)</w:t>
            </w:r>
          </w:p>
        </w:tc>
        <w:tc>
          <w:tcPr>
            <w:tcW w:w="0" w:type="auto"/>
            <w:tcBorders>
              <w:top w:val="nil"/>
              <w:left w:val="nil"/>
              <w:bottom w:val="nil"/>
              <w:right w:val="nil"/>
            </w:tcBorders>
            <w:shd w:val="clear" w:color="auto" w:fill="auto"/>
            <w:noWrap/>
            <w:vAlign w:val="center"/>
            <w:hideMark/>
          </w:tcPr>
          <w:p w14:paraId="7EF07EED" w14:textId="77777777" w:rsidR="007624E2" w:rsidRPr="005B39E2" w:rsidRDefault="007624E2" w:rsidP="007624E2">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r>
      <w:tr w:rsidR="007624E2" w:rsidRPr="005B39E2" w14:paraId="6EB030D8" w14:textId="77777777" w:rsidTr="007624E2">
        <w:trPr>
          <w:trHeight w:val="310"/>
        </w:trPr>
        <w:tc>
          <w:tcPr>
            <w:tcW w:w="0" w:type="auto"/>
            <w:tcBorders>
              <w:top w:val="nil"/>
              <w:left w:val="nil"/>
              <w:bottom w:val="nil"/>
              <w:right w:val="nil"/>
            </w:tcBorders>
            <w:shd w:val="clear" w:color="auto" w:fill="auto"/>
            <w:noWrap/>
            <w:vAlign w:val="center"/>
            <w:hideMark/>
          </w:tcPr>
          <w:p w14:paraId="6AC44B4C"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365-Day Mortality</w:t>
            </w:r>
          </w:p>
        </w:tc>
        <w:tc>
          <w:tcPr>
            <w:tcW w:w="0" w:type="auto"/>
            <w:tcBorders>
              <w:top w:val="nil"/>
              <w:left w:val="nil"/>
              <w:bottom w:val="nil"/>
              <w:right w:val="nil"/>
            </w:tcBorders>
            <w:shd w:val="clear" w:color="auto" w:fill="auto"/>
            <w:noWrap/>
            <w:vAlign w:val="center"/>
            <w:hideMark/>
          </w:tcPr>
          <w:p w14:paraId="0789A284" w14:textId="77777777" w:rsidR="007624E2" w:rsidRPr="005B39E2" w:rsidRDefault="007624E2" w:rsidP="007624E2">
            <w:pPr>
              <w:widowControl/>
              <w:jc w:val="left"/>
              <w:rPr>
                <w:rFonts w:ascii="Times New Roman" w:eastAsia="等线" w:hAnsi="Times New Roman" w:cs="Times New Roman"/>
                <w:color w:val="000000"/>
                <w:kern w:val="0"/>
                <w:sz w:val="20"/>
                <w:szCs w:val="20"/>
              </w:rPr>
            </w:pPr>
          </w:p>
        </w:tc>
        <w:tc>
          <w:tcPr>
            <w:tcW w:w="0" w:type="auto"/>
            <w:tcBorders>
              <w:top w:val="nil"/>
              <w:left w:val="nil"/>
              <w:bottom w:val="nil"/>
              <w:right w:val="nil"/>
            </w:tcBorders>
            <w:shd w:val="clear" w:color="auto" w:fill="auto"/>
            <w:noWrap/>
            <w:vAlign w:val="center"/>
            <w:hideMark/>
          </w:tcPr>
          <w:p w14:paraId="462C57D4" w14:textId="77777777" w:rsidR="007624E2" w:rsidRPr="005B39E2" w:rsidRDefault="007624E2" w:rsidP="007624E2">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2E322A7F" w14:textId="77777777" w:rsidR="007624E2" w:rsidRPr="005B39E2" w:rsidRDefault="007624E2" w:rsidP="007624E2">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59512BE" w14:textId="77777777" w:rsidR="007624E2" w:rsidRPr="005B39E2" w:rsidRDefault="007624E2" w:rsidP="007624E2">
            <w:pPr>
              <w:widowControl/>
              <w:jc w:val="left"/>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52FCDD3C" w14:textId="77777777" w:rsidR="007624E2" w:rsidRPr="005B39E2" w:rsidRDefault="007624E2" w:rsidP="007624E2">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14:paraId="49C03B4F" w14:textId="77777777" w:rsidR="007624E2" w:rsidRPr="005B39E2" w:rsidRDefault="007624E2" w:rsidP="007624E2">
            <w:pPr>
              <w:widowControl/>
              <w:jc w:val="left"/>
              <w:rPr>
                <w:rFonts w:ascii="Times New Roman" w:eastAsia="Times New Roman" w:hAnsi="Times New Roman" w:cs="Times New Roman"/>
                <w:kern w:val="0"/>
                <w:sz w:val="20"/>
                <w:szCs w:val="20"/>
              </w:rPr>
            </w:pPr>
          </w:p>
        </w:tc>
      </w:tr>
      <w:tr w:rsidR="007624E2" w:rsidRPr="005B39E2" w14:paraId="031E7463" w14:textId="77777777" w:rsidTr="007624E2">
        <w:trPr>
          <w:trHeight w:val="310"/>
        </w:trPr>
        <w:tc>
          <w:tcPr>
            <w:tcW w:w="0" w:type="auto"/>
            <w:tcBorders>
              <w:top w:val="nil"/>
              <w:left w:val="nil"/>
              <w:bottom w:val="nil"/>
              <w:right w:val="nil"/>
            </w:tcBorders>
            <w:shd w:val="clear" w:color="auto" w:fill="auto"/>
            <w:noWrap/>
            <w:vAlign w:val="center"/>
            <w:hideMark/>
          </w:tcPr>
          <w:p w14:paraId="784EC4ED"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T2 vs T1</w:t>
            </w:r>
          </w:p>
        </w:tc>
        <w:tc>
          <w:tcPr>
            <w:tcW w:w="0" w:type="auto"/>
            <w:tcBorders>
              <w:top w:val="nil"/>
              <w:left w:val="nil"/>
              <w:bottom w:val="nil"/>
              <w:right w:val="nil"/>
            </w:tcBorders>
            <w:shd w:val="clear" w:color="auto" w:fill="auto"/>
            <w:noWrap/>
            <w:vAlign w:val="center"/>
            <w:hideMark/>
          </w:tcPr>
          <w:p w14:paraId="00E5BF0C"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1.20 (1.15, 1.26)</w:t>
            </w:r>
          </w:p>
        </w:tc>
        <w:tc>
          <w:tcPr>
            <w:tcW w:w="0" w:type="auto"/>
            <w:tcBorders>
              <w:top w:val="nil"/>
              <w:left w:val="nil"/>
              <w:bottom w:val="nil"/>
              <w:right w:val="nil"/>
            </w:tcBorders>
            <w:shd w:val="clear" w:color="auto" w:fill="auto"/>
            <w:noWrap/>
            <w:vAlign w:val="center"/>
            <w:hideMark/>
          </w:tcPr>
          <w:p w14:paraId="08DEE815" w14:textId="77777777" w:rsidR="007624E2" w:rsidRPr="005B39E2" w:rsidRDefault="007624E2" w:rsidP="007624E2">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nil"/>
              <w:right w:val="nil"/>
            </w:tcBorders>
            <w:shd w:val="clear" w:color="auto" w:fill="auto"/>
            <w:noWrap/>
            <w:vAlign w:val="center"/>
            <w:hideMark/>
          </w:tcPr>
          <w:p w14:paraId="6A7A345C"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1.17 (1.12, 1.22)</w:t>
            </w:r>
          </w:p>
        </w:tc>
        <w:tc>
          <w:tcPr>
            <w:tcW w:w="0" w:type="auto"/>
            <w:tcBorders>
              <w:top w:val="nil"/>
              <w:left w:val="nil"/>
              <w:bottom w:val="nil"/>
              <w:right w:val="nil"/>
            </w:tcBorders>
            <w:shd w:val="clear" w:color="auto" w:fill="auto"/>
            <w:noWrap/>
            <w:vAlign w:val="center"/>
            <w:hideMark/>
          </w:tcPr>
          <w:p w14:paraId="6D37A4BE" w14:textId="77777777" w:rsidR="007624E2" w:rsidRPr="005B39E2" w:rsidRDefault="007624E2" w:rsidP="007624E2">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nil"/>
              <w:right w:val="nil"/>
            </w:tcBorders>
            <w:shd w:val="clear" w:color="auto" w:fill="auto"/>
            <w:noWrap/>
            <w:vAlign w:val="center"/>
            <w:hideMark/>
          </w:tcPr>
          <w:p w14:paraId="0AB8042A"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1.07 (1.03, 1.12)</w:t>
            </w:r>
          </w:p>
        </w:tc>
        <w:tc>
          <w:tcPr>
            <w:tcW w:w="0" w:type="auto"/>
            <w:tcBorders>
              <w:top w:val="nil"/>
              <w:left w:val="nil"/>
              <w:bottom w:val="nil"/>
              <w:right w:val="nil"/>
            </w:tcBorders>
            <w:shd w:val="clear" w:color="auto" w:fill="auto"/>
            <w:noWrap/>
            <w:vAlign w:val="center"/>
            <w:hideMark/>
          </w:tcPr>
          <w:p w14:paraId="50846B8A" w14:textId="77777777" w:rsidR="007624E2" w:rsidRPr="005B39E2" w:rsidRDefault="007624E2" w:rsidP="007624E2">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0.001</w:t>
            </w:r>
          </w:p>
        </w:tc>
      </w:tr>
      <w:tr w:rsidR="007624E2" w:rsidRPr="005B39E2" w14:paraId="5D7FD950" w14:textId="77777777" w:rsidTr="007624E2">
        <w:trPr>
          <w:trHeight w:val="310"/>
        </w:trPr>
        <w:tc>
          <w:tcPr>
            <w:tcW w:w="0" w:type="auto"/>
            <w:tcBorders>
              <w:top w:val="nil"/>
              <w:left w:val="nil"/>
              <w:bottom w:val="single" w:sz="4" w:space="0" w:color="auto"/>
              <w:right w:val="nil"/>
            </w:tcBorders>
            <w:shd w:val="clear" w:color="auto" w:fill="auto"/>
            <w:noWrap/>
            <w:vAlign w:val="center"/>
            <w:hideMark/>
          </w:tcPr>
          <w:p w14:paraId="4263B8FB"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T3 vs T1</w:t>
            </w:r>
          </w:p>
        </w:tc>
        <w:tc>
          <w:tcPr>
            <w:tcW w:w="0" w:type="auto"/>
            <w:tcBorders>
              <w:top w:val="nil"/>
              <w:left w:val="nil"/>
              <w:bottom w:val="single" w:sz="4" w:space="0" w:color="auto"/>
              <w:right w:val="nil"/>
            </w:tcBorders>
            <w:shd w:val="clear" w:color="auto" w:fill="auto"/>
            <w:noWrap/>
            <w:vAlign w:val="center"/>
            <w:hideMark/>
          </w:tcPr>
          <w:p w14:paraId="06BC45D0"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1.78 (1.70, 1.85)</w:t>
            </w:r>
          </w:p>
        </w:tc>
        <w:tc>
          <w:tcPr>
            <w:tcW w:w="0" w:type="auto"/>
            <w:tcBorders>
              <w:top w:val="nil"/>
              <w:left w:val="nil"/>
              <w:bottom w:val="single" w:sz="4" w:space="0" w:color="auto"/>
              <w:right w:val="nil"/>
            </w:tcBorders>
            <w:shd w:val="clear" w:color="auto" w:fill="auto"/>
            <w:noWrap/>
            <w:vAlign w:val="center"/>
            <w:hideMark/>
          </w:tcPr>
          <w:p w14:paraId="7FCEF1C2" w14:textId="77777777" w:rsidR="007624E2" w:rsidRPr="005B39E2" w:rsidRDefault="007624E2" w:rsidP="007624E2">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single" w:sz="4" w:space="0" w:color="auto"/>
              <w:right w:val="nil"/>
            </w:tcBorders>
            <w:shd w:val="clear" w:color="auto" w:fill="auto"/>
            <w:noWrap/>
            <w:vAlign w:val="center"/>
            <w:hideMark/>
          </w:tcPr>
          <w:p w14:paraId="411D9E55"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1.74 (1.67, 1.82)</w:t>
            </w:r>
          </w:p>
        </w:tc>
        <w:tc>
          <w:tcPr>
            <w:tcW w:w="0" w:type="auto"/>
            <w:tcBorders>
              <w:top w:val="nil"/>
              <w:left w:val="nil"/>
              <w:bottom w:val="single" w:sz="4" w:space="0" w:color="auto"/>
              <w:right w:val="nil"/>
            </w:tcBorders>
            <w:shd w:val="clear" w:color="auto" w:fill="auto"/>
            <w:noWrap/>
            <w:vAlign w:val="center"/>
            <w:hideMark/>
          </w:tcPr>
          <w:p w14:paraId="284FEA4A" w14:textId="77777777" w:rsidR="007624E2" w:rsidRPr="005B39E2" w:rsidRDefault="007624E2" w:rsidP="007624E2">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c>
          <w:tcPr>
            <w:tcW w:w="0" w:type="auto"/>
            <w:tcBorders>
              <w:top w:val="nil"/>
              <w:left w:val="nil"/>
              <w:bottom w:val="single" w:sz="4" w:space="0" w:color="auto"/>
              <w:right w:val="nil"/>
            </w:tcBorders>
            <w:shd w:val="clear" w:color="auto" w:fill="auto"/>
            <w:noWrap/>
            <w:vAlign w:val="center"/>
            <w:hideMark/>
          </w:tcPr>
          <w:p w14:paraId="1CDBD055" w14:textId="77777777" w:rsidR="007624E2" w:rsidRPr="005B39E2" w:rsidRDefault="007624E2" w:rsidP="007624E2">
            <w:pPr>
              <w:widowControl/>
              <w:jc w:val="left"/>
              <w:rPr>
                <w:rFonts w:ascii="Times New Roman" w:eastAsia="等线" w:hAnsi="Times New Roman" w:cs="Times New Roman"/>
                <w:color w:val="000000"/>
                <w:kern w:val="0"/>
                <w:sz w:val="20"/>
                <w:szCs w:val="20"/>
              </w:rPr>
            </w:pPr>
            <w:r w:rsidRPr="005B39E2">
              <w:rPr>
                <w:rFonts w:ascii="Times New Roman" w:eastAsia="等线" w:hAnsi="Times New Roman" w:cs="Times New Roman"/>
                <w:color w:val="000000"/>
                <w:kern w:val="0"/>
                <w:sz w:val="20"/>
                <w:szCs w:val="20"/>
              </w:rPr>
              <w:t>1.29 (1.24, 1.35)</w:t>
            </w:r>
          </w:p>
        </w:tc>
        <w:tc>
          <w:tcPr>
            <w:tcW w:w="0" w:type="auto"/>
            <w:tcBorders>
              <w:top w:val="nil"/>
              <w:left w:val="nil"/>
              <w:bottom w:val="single" w:sz="4" w:space="0" w:color="auto"/>
              <w:right w:val="nil"/>
            </w:tcBorders>
            <w:shd w:val="clear" w:color="auto" w:fill="auto"/>
            <w:noWrap/>
            <w:vAlign w:val="center"/>
            <w:hideMark/>
          </w:tcPr>
          <w:p w14:paraId="37D4103E" w14:textId="77777777" w:rsidR="007624E2" w:rsidRPr="005B39E2" w:rsidRDefault="007624E2" w:rsidP="007624E2">
            <w:pPr>
              <w:widowControl/>
              <w:jc w:val="center"/>
              <w:rPr>
                <w:rFonts w:ascii="Times New Roman" w:eastAsia="等线" w:hAnsi="Times New Roman" w:cs="Times New Roman"/>
                <w:b/>
                <w:bCs/>
                <w:color w:val="000000"/>
                <w:kern w:val="0"/>
                <w:sz w:val="20"/>
                <w:szCs w:val="20"/>
              </w:rPr>
            </w:pPr>
            <w:r w:rsidRPr="005B39E2">
              <w:rPr>
                <w:rFonts w:ascii="Times New Roman" w:eastAsia="等线" w:hAnsi="Times New Roman" w:cs="Times New Roman"/>
                <w:b/>
                <w:bCs/>
                <w:color w:val="000000"/>
                <w:kern w:val="0"/>
                <w:sz w:val="20"/>
                <w:szCs w:val="20"/>
              </w:rPr>
              <w:t>&lt; 0.001</w:t>
            </w:r>
          </w:p>
        </w:tc>
      </w:tr>
    </w:tbl>
    <w:p w14:paraId="470CD550" w14:textId="31BEA93E" w:rsidR="005950B6" w:rsidRPr="005B39E2" w:rsidRDefault="003C1364">
      <w:pPr>
        <w:rPr>
          <w:rFonts w:ascii="Times New Roman" w:hAnsi="Times New Roman" w:cs="Times New Roman"/>
          <w:sz w:val="20"/>
          <w:szCs w:val="20"/>
        </w:rPr>
      </w:pPr>
      <w:r w:rsidRPr="005B39E2">
        <w:rPr>
          <w:rFonts w:ascii="Times New Roman" w:hAnsi="Times New Roman" w:cs="Times New Roman"/>
          <w:b/>
          <w:bCs/>
          <w:sz w:val="20"/>
          <w:szCs w:val="20"/>
        </w:rPr>
        <w:t xml:space="preserve">Supplementary </w:t>
      </w:r>
      <w:r w:rsidR="005950B6" w:rsidRPr="005B39E2">
        <w:rPr>
          <w:rFonts w:ascii="Times New Roman" w:hAnsi="Times New Roman" w:cs="Times New Roman"/>
          <w:b/>
          <w:bCs/>
          <w:sz w:val="20"/>
          <w:szCs w:val="20"/>
        </w:rPr>
        <w:t>Table S</w:t>
      </w:r>
      <w:r w:rsidR="0000502F" w:rsidRPr="005B39E2">
        <w:rPr>
          <w:rFonts w:ascii="Times New Roman" w:hAnsi="Times New Roman" w:cs="Times New Roman"/>
          <w:b/>
          <w:bCs/>
          <w:sz w:val="20"/>
          <w:szCs w:val="20"/>
        </w:rPr>
        <w:t>3</w:t>
      </w:r>
      <w:r w:rsidR="005950B6" w:rsidRPr="005B39E2">
        <w:rPr>
          <w:rFonts w:ascii="Times New Roman" w:hAnsi="Times New Roman" w:cs="Times New Roman"/>
          <w:b/>
          <w:bCs/>
          <w:sz w:val="20"/>
          <w:szCs w:val="20"/>
        </w:rPr>
        <w:t xml:space="preserve">. </w:t>
      </w:r>
      <w:r w:rsidR="005950B6" w:rsidRPr="005B39E2">
        <w:rPr>
          <w:rFonts w:ascii="Times New Roman" w:hAnsi="Times New Roman" w:cs="Times New Roman"/>
          <w:sz w:val="20"/>
          <w:szCs w:val="20"/>
        </w:rPr>
        <w:t>Sensitivity Analysis: Association of Glycemic Variability Tertiles with 90-day and 365-day Mortality.</w:t>
      </w:r>
      <w:r w:rsidR="005950B6" w:rsidRPr="005B39E2">
        <w:rPr>
          <w:rFonts w:ascii="Times New Roman" w:hAnsi="Times New Roman" w:cs="Times New Roman"/>
          <w:sz w:val="20"/>
          <w:szCs w:val="20"/>
        </w:rPr>
        <w:br/>
      </w:r>
      <w:r w:rsidR="0000502F" w:rsidRPr="005B39E2">
        <w:rPr>
          <w:rFonts w:ascii="Times New Roman" w:hAnsi="Times New Roman" w:cs="Times New Roman"/>
          <w:sz w:val="20"/>
          <w:szCs w:val="20"/>
        </w:rPr>
        <w:t>Model 1: Unadjusted.</w:t>
      </w:r>
      <w:r w:rsidR="0000502F" w:rsidRPr="005B39E2">
        <w:rPr>
          <w:rFonts w:ascii="Times New Roman" w:hAnsi="Times New Roman" w:cs="Times New Roman"/>
          <w:sz w:val="20"/>
          <w:szCs w:val="20"/>
        </w:rPr>
        <w:br/>
        <w:t>Model 2: Adjusted for age, gender, and race.</w:t>
      </w:r>
      <w:r w:rsidR="0000502F" w:rsidRPr="005B39E2">
        <w:rPr>
          <w:rFonts w:ascii="Times New Roman" w:hAnsi="Times New Roman" w:cs="Times New Roman"/>
          <w:sz w:val="20"/>
          <w:szCs w:val="20"/>
        </w:rPr>
        <w:br/>
        <w:t>Model 3: Fully adjusted for age, gender, and race (from Model 2), plus the following baseline covariates: Severity of illness scores (Sequential Organ Failure Assessment [SOFA], Oxford Acute Severity of Illness Score [OASIS], Glasgow Coma Scale [GCS], Charlson Comorbidity Index); Comorbidities (hypertension, diabetes, chronic obstructive pulmonary disease, heart failure, stroke, sepsis); Vital signs (minimum mean arterial pressure, maximum heart rate, maximum respiratory rate, maximum temperature); Laboratory values (first measurement of hemoglobin, white blood cell count, platelets, creatinine, lactate, PO2, PCO2, potassium, sodium, chloride, calcium, pH); and Interventions (use of insulin, mechanical ventilation, renal replacement therapy, and vasopressors).</w:t>
      </w:r>
      <w:r w:rsidR="0000502F" w:rsidRPr="005B39E2">
        <w:rPr>
          <w:rFonts w:ascii="Times New Roman" w:hAnsi="Times New Roman" w:cs="Times New Roman"/>
          <w:sz w:val="20"/>
          <w:szCs w:val="20"/>
        </w:rPr>
        <w:br/>
      </w:r>
      <w:r w:rsidR="005950B6" w:rsidRPr="005B39E2">
        <w:rPr>
          <w:rFonts w:ascii="Times New Roman" w:hAnsi="Times New Roman" w:cs="Times New Roman"/>
          <w:i/>
          <w:iCs/>
          <w:sz w:val="20"/>
          <w:szCs w:val="20"/>
        </w:rPr>
        <w:t xml:space="preserve">Abbreviations: </w:t>
      </w:r>
      <w:r w:rsidR="005950B6" w:rsidRPr="005B39E2">
        <w:rPr>
          <w:rFonts w:ascii="Times New Roman" w:hAnsi="Times New Roman" w:cs="Times New Roman"/>
          <w:sz w:val="20"/>
          <w:szCs w:val="20"/>
        </w:rPr>
        <w:t>CI, confidence interval; HR, hazard ratio.</w:t>
      </w:r>
    </w:p>
    <w:sectPr w:rsidR="005950B6" w:rsidRPr="005B39E2" w:rsidSect="0021191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66947E" w14:textId="77777777" w:rsidR="005942D2" w:rsidRDefault="005942D2" w:rsidP="00211918">
      <w:r>
        <w:separator/>
      </w:r>
    </w:p>
  </w:endnote>
  <w:endnote w:type="continuationSeparator" w:id="0">
    <w:p w14:paraId="65DD4E03" w14:textId="77777777" w:rsidR="005942D2" w:rsidRDefault="005942D2" w:rsidP="0021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0239F" w14:textId="77777777" w:rsidR="005942D2" w:rsidRDefault="005942D2" w:rsidP="00211918">
      <w:r>
        <w:separator/>
      </w:r>
    </w:p>
  </w:footnote>
  <w:footnote w:type="continuationSeparator" w:id="0">
    <w:p w14:paraId="7EEE02AB" w14:textId="77777777" w:rsidR="005942D2" w:rsidRDefault="005942D2" w:rsidP="002119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3"/>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8E"/>
    <w:rsid w:val="0000502F"/>
    <w:rsid w:val="00070DA7"/>
    <w:rsid w:val="00093E1F"/>
    <w:rsid w:val="000C1767"/>
    <w:rsid w:val="000C6C00"/>
    <w:rsid w:val="00150ACB"/>
    <w:rsid w:val="001A7029"/>
    <w:rsid w:val="00211918"/>
    <w:rsid w:val="00265341"/>
    <w:rsid w:val="00287E44"/>
    <w:rsid w:val="002B1D65"/>
    <w:rsid w:val="003123B6"/>
    <w:rsid w:val="00340944"/>
    <w:rsid w:val="003C0E06"/>
    <w:rsid w:val="003C1364"/>
    <w:rsid w:val="0049052F"/>
    <w:rsid w:val="005942D2"/>
    <w:rsid w:val="005950B6"/>
    <w:rsid w:val="005A3032"/>
    <w:rsid w:val="005B39E2"/>
    <w:rsid w:val="006217D5"/>
    <w:rsid w:val="006C7A58"/>
    <w:rsid w:val="006E3306"/>
    <w:rsid w:val="006F608E"/>
    <w:rsid w:val="007624E2"/>
    <w:rsid w:val="007B4928"/>
    <w:rsid w:val="00810C18"/>
    <w:rsid w:val="008F4CA1"/>
    <w:rsid w:val="00972065"/>
    <w:rsid w:val="009862E6"/>
    <w:rsid w:val="009A17E9"/>
    <w:rsid w:val="009D23E8"/>
    <w:rsid w:val="009F4392"/>
    <w:rsid w:val="009F4DB9"/>
    <w:rsid w:val="00A55AF2"/>
    <w:rsid w:val="00AA44B9"/>
    <w:rsid w:val="00AC64E7"/>
    <w:rsid w:val="00B43430"/>
    <w:rsid w:val="00B66E80"/>
    <w:rsid w:val="00C33AB5"/>
    <w:rsid w:val="00C7374A"/>
    <w:rsid w:val="00C85C53"/>
    <w:rsid w:val="00C92420"/>
    <w:rsid w:val="00CC36A5"/>
    <w:rsid w:val="00DB28D7"/>
    <w:rsid w:val="00DE408B"/>
    <w:rsid w:val="00E46F47"/>
    <w:rsid w:val="00E5164B"/>
    <w:rsid w:val="00E643ED"/>
    <w:rsid w:val="00E67665"/>
    <w:rsid w:val="00EE282E"/>
    <w:rsid w:val="00F05F74"/>
    <w:rsid w:val="00FA3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21DD23"/>
  <w15:chartTrackingRefBased/>
  <w15:docId w15:val="{6E254AE9-5954-4950-B886-9B2714AA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19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1918"/>
    <w:pPr>
      <w:tabs>
        <w:tab w:val="center" w:pos="4153"/>
        <w:tab w:val="right" w:pos="8306"/>
      </w:tabs>
      <w:snapToGrid w:val="0"/>
      <w:jc w:val="center"/>
    </w:pPr>
    <w:rPr>
      <w:sz w:val="18"/>
      <w:szCs w:val="18"/>
    </w:rPr>
  </w:style>
  <w:style w:type="character" w:customStyle="1" w:styleId="a4">
    <w:name w:val="页眉 字符"/>
    <w:basedOn w:val="a0"/>
    <w:link w:val="a3"/>
    <w:uiPriority w:val="99"/>
    <w:rsid w:val="00211918"/>
    <w:rPr>
      <w:sz w:val="18"/>
      <w:szCs w:val="18"/>
    </w:rPr>
  </w:style>
  <w:style w:type="paragraph" w:styleId="a5">
    <w:name w:val="footer"/>
    <w:basedOn w:val="a"/>
    <w:link w:val="a6"/>
    <w:uiPriority w:val="99"/>
    <w:unhideWhenUsed/>
    <w:rsid w:val="00211918"/>
    <w:pPr>
      <w:tabs>
        <w:tab w:val="center" w:pos="4153"/>
        <w:tab w:val="right" w:pos="8306"/>
      </w:tabs>
      <w:snapToGrid w:val="0"/>
      <w:jc w:val="left"/>
    </w:pPr>
    <w:rPr>
      <w:sz w:val="18"/>
      <w:szCs w:val="18"/>
    </w:rPr>
  </w:style>
  <w:style w:type="character" w:customStyle="1" w:styleId="a6">
    <w:name w:val="页脚 字符"/>
    <w:basedOn w:val="a0"/>
    <w:link w:val="a5"/>
    <w:uiPriority w:val="99"/>
    <w:rsid w:val="00211918"/>
    <w:rPr>
      <w:sz w:val="18"/>
      <w:szCs w:val="18"/>
    </w:rPr>
  </w:style>
  <w:style w:type="table" w:customStyle="1" w:styleId="1">
    <w:name w:val="网格型1"/>
    <w:basedOn w:val="a1"/>
    <w:next w:val="a7"/>
    <w:uiPriority w:val="39"/>
    <w:rsid w:val="00211918"/>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211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0"/>
    <w:rsid w:val="009F4DB9"/>
    <w:rPr>
      <w:rFonts w:ascii="Times New Roman" w:hAnsi="Times New Roman" w:cs="Times New Roman" w:hint="default"/>
      <w:b/>
      <w:bCs/>
      <w:i w:val="0"/>
      <w:iCs w:val="0"/>
      <w:strike w:val="0"/>
      <w:dstrike w:val="0"/>
      <w:color w:val="000000"/>
      <w:sz w:val="22"/>
      <w:szCs w:val="22"/>
      <w:u w:val="none"/>
      <w:effect w:val="none"/>
    </w:rPr>
  </w:style>
  <w:style w:type="character" w:customStyle="1" w:styleId="font21">
    <w:name w:val="font21"/>
    <w:basedOn w:val="a0"/>
    <w:rsid w:val="009F4DB9"/>
    <w:rPr>
      <w:rFonts w:ascii="Times New Roman" w:hAnsi="Times New Roman" w:cs="Times New Roman"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464252">
      <w:bodyDiv w:val="1"/>
      <w:marLeft w:val="0"/>
      <w:marRight w:val="0"/>
      <w:marTop w:val="0"/>
      <w:marBottom w:val="0"/>
      <w:divBdr>
        <w:top w:val="none" w:sz="0" w:space="0" w:color="auto"/>
        <w:left w:val="none" w:sz="0" w:space="0" w:color="auto"/>
        <w:bottom w:val="none" w:sz="0" w:space="0" w:color="auto"/>
        <w:right w:val="none" w:sz="0" w:space="0" w:color="auto"/>
      </w:divBdr>
    </w:div>
    <w:div w:id="505024671">
      <w:bodyDiv w:val="1"/>
      <w:marLeft w:val="0"/>
      <w:marRight w:val="0"/>
      <w:marTop w:val="0"/>
      <w:marBottom w:val="0"/>
      <w:divBdr>
        <w:top w:val="none" w:sz="0" w:space="0" w:color="auto"/>
        <w:left w:val="none" w:sz="0" w:space="0" w:color="auto"/>
        <w:bottom w:val="none" w:sz="0" w:space="0" w:color="auto"/>
        <w:right w:val="none" w:sz="0" w:space="0" w:color="auto"/>
      </w:divBdr>
    </w:div>
    <w:div w:id="623657238">
      <w:bodyDiv w:val="1"/>
      <w:marLeft w:val="0"/>
      <w:marRight w:val="0"/>
      <w:marTop w:val="0"/>
      <w:marBottom w:val="0"/>
      <w:divBdr>
        <w:top w:val="none" w:sz="0" w:space="0" w:color="auto"/>
        <w:left w:val="none" w:sz="0" w:space="0" w:color="auto"/>
        <w:bottom w:val="none" w:sz="0" w:space="0" w:color="auto"/>
        <w:right w:val="none" w:sz="0" w:space="0" w:color="auto"/>
      </w:divBdr>
    </w:div>
    <w:div w:id="1357806982">
      <w:bodyDiv w:val="1"/>
      <w:marLeft w:val="0"/>
      <w:marRight w:val="0"/>
      <w:marTop w:val="0"/>
      <w:marBottom w:val="0"/>
      <w:divBdr>
        <w:top w:val="none" w:sz="0" w:space="0" w:color="auto"/>
        <w:left w:val="none" w:sz="0" w:space="0" w:color="auto"/>
        <w:bottom w:val="none" w:sz="0" w:space="0" w:color="auto"/>
        <w:right w:val="none" w:sz="0" w:space="0" w:color="auto"/>
      </w:divBdr>
    </w:div>
    <w:div w:id="1443261948">
      <w:bodyDiv w:val="1"/>
      <w:marLeft w:val="0"/>
      <w:marRight w:val="0"/>
      <w:marTop w:val="0"/>
      <w:marBottom w:val="0"/>
      <w:divBdr>
        <w:top w:val="none" w:sz="0" w:space="0" w:color="auto"/>
        <w:left w:val="none" w:sz="0" w:space="0" w:color="auto"/>
        <w:bottom w:val="none" w:sz="0" w:space="0" w:color="auto"/>
        <w:right w:val="none" w:sz="0" w:space="0" w:color="auto"/>
      </w:divBdr>
    </w:div>
    <w:div w:id="1500198406">
      <w:bodyDiv w:val="1"/>
      <w:marLeft w:val="0"/>
      <w:marRight w:val="0"/>
      <w:marTop w:val="0"/>
      <w:marBottom w:val="0"/>
      <w:divBdr>
        <w:top w:val="none" w:sz="0" w:space="0" w:color="auto"/>
        <w:left w:val="none" w:sz="0" w:space="0" w:color="auto"/>
        <w:bottom w:val="none" w:sz="0" w:space="0" w:color="auto"/>
        <w:right w:val="none" w:sz="0" w:space="0" w:color="auto"/>
      </w:divBdr>
    </w:div>
    <w:div w:id="1597321303">
      <w:bodyDiv w:val="1"/>
      <w:marLeft w:val="0"/>
      <w:marRight w:val="0"/>
      <w:marTop w:val="0"/>
      <w:marBottom w:val="0"/>
      <w:divBdr>
        <w:top w:val="none" w:sz="0" w:space="0" w:color="auto"/>
        <w:left w:val="none" w:sz="0" w:space="0" w:color="auto"/>
        <w:bottom w:val="none" w:sz="0" w:space="0" w:color="auto"/>
        <w:right w:val="none" w:sz="0" w:space="0" w:color="auto"/>
      </w:divBdr>
    </w:div>
    <w:div w:id="1833789028">
      <w:bodyDiv w:val="1"/>
      <w:marLeft w:val="0"/>
      <w:marRight w:val="0"/>
      <w:marTop w:val="0"/>
      <w:marBottom w:val="0"/>
      <w:divBdr>
        <w:top w:val="none" w:sz="0" w:space="0" w:color="auto"/>
        <w:left w:val="none" w:sz="0" w:space="0" w:color="auto"/>
        <w:bottom w:val="none" w:sz="0" w:space="0" w:color="auto"/>
        <w:right w:val="none" w:sz="0" w:space="0" w:color="auto"/>
      </w:divBdr>
    </w:div>
    <w:div w:id="1862626354">
      <w:bodyDiv w:val="1"/>
      <w:marLeft w:val="0"/>
      <w:marRight w:val="0"/>
      <w:marTop w:val="0"/>
      <w:marBottom w:val="0"/>
      <w:divBdr>
        <w:top w:val="none" w:sz="0" w:space="0" w:color="auto"/>
        <w:left w:val="none" w:sz="0" w:space="0" w:color="auto"/>
        <w:bottom w:val="none" w:sz="0" w:space="0" w:color="auto"/>
        <w:right w:val="none" w:sz="0" w:space="0" w:color="auto"/>
      </w:divBdr>
    </w:div>
    <w:div w:id="194781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1282</Words>
  <Characters>7309</Characters>
  <Application>Microsoft Office Word</Application>
  <DocSecurity>0</DocSecurity>
  <Lines>60</Lines>
  <Paragraphs>17</Paragraphs>
  <ScaleCrop>false</ScaleCrop>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康兴 王</dc:creator>
  <cp:keywords/>
  <dc:description/>
  <cp:lastModifiedBy>康兴 王</cp:lastModifiedBy>
  <cp:revision>16</cp:revision>
  <dcterms:created xsi:type="dcterms:W3CDTF">2025-09-23T13:34:00Z</dcterms:created>
  <dcterms:modified xsi:type="dcterms:W3CDTF">2025-11-20T13:44:00Z</dcterms:modified>
</cp:coreProperties>
</file>