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E7" w:rsidRPr="00937407" w:rsidRDefault="002F47E7" w:rsidP="002F47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table. </w:t>
      </w:r>
      <w:r w:rsidRPr="00937407">
        <w:rPr>
          <w:rFonts w:ascii="Times New Roman" w:hAnsi="Times New Roman" w:cs="Times New Roman"/>
          <w:b/>
          <w:sz w:val="24"/>
          <w:szCs w:val="24"/>
        </w:rPr>
        <w:t xml:space="preserve">Baselines characteristics of </w:t>
      </w:r>
      <w:r w:rsidRPr="00937407">
        <w:rPr>
          <w:rFonts w:ascii="Times New Roman" w:hAnsi="Times New Roman" w:cs="Times New Roman" w:hint="eastAsia"/>
          <w:b/>
          <w:sz w:val="24"/>
          <w:szCs w:val="24"/>
        </w:rPr>
        <w:t xml:space="preserve">all </w:t>
      </w:r>
      <w:r w:rsidRPr="00937407">
        <w:rPr>
          <w:rFonts w:ascii="Times New Roman" w:hAnsi="Times New Roman" w:cs="Times New Roman"/>
          <w:b/>
          <w:sz w:val="24"/>
          <w:szCs w:val="24"/>
        </w:rPr>
        <w:t>patients</w:t>
      </w: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176"/>
        <w:gridCol w:w="2336"/>
        <w:gridCol w:w="2342"/>
        <w:gridCol w:w="1226"/>
      </w:tblGrid>
      <w:tr w:rsidR="002F47E7" w:rsidRPr="00937407" w:rsidTr="00426404">
        <w:trPr>
          <w:trHeight w:val="640"/>
          <w:jc w:val="center"/>
        </w:trPr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Characteristics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4"/>
            <w:proofErr w:type="spellStart"/>
            <w:r w:rsidRPr="00937407"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 w:rsidRPr="00937407">
              <w:rPr>
                <w:rFonts w:ascii="Times New Roman" w:hAnsi="Times New Roman" w:cs="Times New Roman"/>
                <w:sz w:val="24"/>
                <w:szCs w:val="24"/>
              </w:rPr>
              <w:t>edaquiline</w:t>
            </w:r>
            <w:bookmarkEnd w:id="0"/>
            <w:proofErr w:type="spellEnd"/>
            <w:r w:rsidRPr="0093740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group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(n=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102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1" w:name="OLE_LINK6"/>
            <w:bookmarkStart w:id="2" w:name="OLE_LINK7"/>
            <w:r w:rsidRPr="00937407">
              <w:rPr>
                <w:rFonts w:ascii="Times New Roman" w:hAnsi="Times New Roman" w:cs="Times New Roman" w:hint="eastAsia"/>
                <w:sz w:val="24"/>
              </w:rPr>
              <w:t>Non-</w:t>
            </w:r>
            <w:proofErr w:type="spellStart"/>
            <w:r w:rsidRPr="00937407">
              <w:rPr>
                <w:rFonts w:ascii="Times New Roman" w:hAnsi="Times New Roman" w:cs="Times New Roman"/>
                <w:sz w:val="24"/>
              </w:rPr>
              <w:t>bedaquiline</w:t>
            </w:r>
            <w:bookmarkEnd w:id="1"/>
            <w:bookmarkEnd w:id="2"/>
            <w:proofErr w:type="spellEnd"/>
            <w:r w:rsidRPr="00937407">
              <w:rPr>
                <w:rFonts w:ascii="Times New Roman" w:hAnsi="Times New Roman" w:cs="Times New Roman" w:hint="eastAsia"/>
                <w:sz w:val="24"/>
              </w:rPr>
              <w:t xml:space="preserve"> group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(n=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i/>
                <w:kern w:val="0"/>
                <w:sz w:val="24"/>
                <w:szCs w:val="24"/>
              </w:rPr>
              <w:t>p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Age (years, </w:t>
            </w:r>
            <w:r w:rsidRPr="00937407">
              <w:rPr>
                <w:rFonts w:ascii="Times New Roman" w:hAnsi="Times New Roman" w:cs="Times New Roman"/>
                <w:sz w:val="24"/>
              </w:rPr>
              <w:t>median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937407">
              <w:rPr>
                <w:rFonts w:ascii="Times New Roman" w:hAnsi="Times New Roman" w:cs="Times New Roman"/>
                <w:sz w:val="24"/>
              </w:rPr>
              <w:t>IQR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37.0 (28.0-52.0)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43.5 (29.0-54.0)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0.080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Gender </w:t>
            </w:r>
            <w:bookmarkStart w:id="3" w:name="OLE_LINK12"/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(n, %)</w:t>
            </w:r>
            <w:bookmarkEnd w:id="3"/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male/female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78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76.5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)/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23.5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71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71.0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)/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0.766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Cavitary</w:t>
            </w:r>
            <w:proofErr w:type="spellEnd"/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disease at baseline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n, %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71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73.2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73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73.0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0.650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Concomitant extra-pulmonary TB (n, 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 (1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9.6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(1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387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Concomitant 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d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iabetes (n, 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(15.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(1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586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37407">
              <w:rPr>
                <w:rFonts w:ascii="Times New Roman" w:hAnsi="Times New Roman" w:cs="Times New Roman"/>
                <w:sz w:val="24"/>
              </w:rPr>
              <w:t>History of TB treatment (n, 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0.850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ind w:leftChars="135" w:left="28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B428EE">
              <w:rPr>
                <w:rFonts w:ascii="Times New Roman" w:hAnsi="Times New Roman" w:cs="Times New Roman"/>
                <w:sz w:val="24"/>
                <w:szCs w:val="24"/>
              </w:rPr>
              <w:t>ew cases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8.8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8.1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ind w:leftChars="135" w:left="283"/>
              <w:jc w:val="left"/>
              <w:rPr>
                <w:rFonts w:ascii="Times New Roman" w:hAnsi="Times New Roman" w:cs="Times New Roman"/>
                <w:sz w:val="24"/>
              </w:rPr>
            </w:pPr>
            <w:r w:rsidRPr="00937407">
              <w:rPr>
                <w:rFonts w:ascii="Times New Roman" w:hAnsi="Times New Roman" w:cs="Times New Roman"/>
                <w:sz w:val="24"/>
              </w:rPr>
              <w:t>Previously treated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cases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93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91.2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91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91.9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37407">
              <w:rPr>
                <w:rFonts w:ascii="Times New Roman" w:hAnsi="Times New Roman" w:cs="Times New Roman"/>
                <w:sz w:val="24"/>
              </w:rPr>
              <w:t>Type of drug resistance (n, 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0.667</w:t>
            </w: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ind w:leftChars="135" w:left="283"/>
              <w:jc w:val="left"/>
              <w:rPr>
                <w:rFonts w:ascii="Times New Roman" w:hAnsi="Times New Roman" w:cs="Times New Roman"/>
                <w:sz w:val="24"/>
              </w:rPr>
            </w:pPr>
            <w:r w:rsidRPr="00937407">
              <w:rPr>
                <w:rFonts w:ascii="Times New Roman" w:hAnsi="Times New Roman" w:cs="Times New Roman"/>
                <w:sz w:val="24"/>
              </w:rPr>
              <w:t>RR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2.9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ind w:leftChars="135" w:left="283"/>
              <w:jc w:val="left"/>
              <w:rPr>
                <w:rFonts w:ascii="Times New Roman" w:hAnsi="Times New Roman" w:cs="Times New Roman"/>
                <w:sz w:val="24"/>
              </w:rPr>
            </w:pPr>
            <w:r w:rsidRPr="00937407">
              <w:rPr>
                <w:rFonts w:ascii="Times New Roman" w:hAnsi="Times New Roman" w:cs="Times New Roman"/>
                <w:sz w:val="24"/>
              </w:rPr>
              <w:t>MDR</w:t>
            </w:r>
          </w:p>
        </w:tc>
        <w:tc>
          <w:tcPr>
            <w:tcW w:w="233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74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72.5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68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68.0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2F47E7" w:rsidRPr="00937407" w:rsidTr="00426404">
        <w:trPr>
          <w:trHeight w:val="503"/>
          <w:jc w:val="center"/>
        </w:trPr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7E7" w:rsidRPr="00937407" w:rsidRDefault="002F47E7" w:rsidP="00426404">
            <w:pPr>
              <w:spacing w:line="480" w:lineRule="auto"/>
              <w:ind w:leftChars="135" w:left="283"/>
              <w:jc w:val="left"/>
              <w:rPr>
                <w:rFonts w:ascii="Times New Roman" w:hAnsi="Times New Roman" w:cs="Times New Roman"/>
                <w:sz w:val="24"/>
              </w:rPr>
            </w:pPr>
            <w:r w:rsidRPr="00937407">
              <w:rPr>
                <w:rFonts w:ascii="Times New Roman" w:hAnsi="Times New Roman" w:cs="Times New Roman"/>
                <w:sz w:val="24"/>
              </w:rPr>
              <w:t>XDR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24.5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27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3740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27.0</w:t>
            </w:r>
            <w:r w:rsidRPr="0093740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F47E7" w:rsidRPr="00937407" w:rsidRDefault="002F47E7" w:rsidP="00426404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46962" w:rsidRDefault="002F47E7">
      <w:r w:rsidRPr="00937407">
        <w:rPr>
          <w:rFonts w:ascii="Times New Roman" w:hAnsi="Times New Roman" w:cs="Times New Roman"/>
          <w:sz w:val="24"/>
        </w:rPr>
        <w:t>IQR</w:t>
      </w:r>
      <w:r w:rsidRPr="00937407">
        <w:rPr>
          <w:rFonts w:ascii="Times New Roman" w:hAnsi="Times New Roman" w:cs="Times New Roman" w:hint="eastAsia"/>
          <w:sz w:val="24"/>
        </w:rPr>
        <w:t>,</w:t>
      </w:r>
      <w:r w:rsidRPr="00937407">
        <w:rPr>
          <w:rFonts w:ascii="Times New Roman" w:hAnsi="Times New Roman" w:cs="Times New Roman"/>
          <w:sz w:val="24"/>
        </w:rPr>
        <w:t xml:space="preserve"> interquartile range</w:t>
      </w:r>
      <w:r w:rsidRPr="00937407">
        <w:rPr>
          <w:rFonts w:ascii="Times New Roman" w:hAnsi="Times New Roman" w:cs="Times New Roman" w:hint="eastAsia"/>
          <w:sz w:val="24"/>
        </w:rPr>
        <w:t>;</w:t>
      </w:r>
      <w:r w:rsidRPr="00937407">
        <w:rPr>
          <w:rFonts w:ascii="Times New Roman" w:hAnsi="Times New Roman" w:cs="Times New Roman"/>
          <w:sz w:val="24"/>
        </w:rPr>
        <w:t xml:space="preserve"> M, male; F, female; n, number;</w:t>
      </w:r>
      <w:r w:rsidRPr="00937407">
        <w:rPr>
          <w:rFonts w:ascii="Times New Roman" w:hAnsi="Times New Roman" w:cs="Times New Roman" w:hint="eastAsia"/>
          <w:sz w:val="24"/>
        </w:rPr>
        <w:t xml:space="preserve"> </w:t>
      </w:r>
      <w:r w:rsidRPr="00937407">
        <w:rPr>
          <w:rFonts w:ascii="Times New Roman" w:hAnsi="Times New Roman" w:cs="Times New Roman"/>
          <w:sz w:val="24"/>
        </w:rPr>
        <w:t>TB</w:t>
      </w:r>
      <w:r w:rsidRPr="00937407">
        <w:rPr>
          <w:rFonts w:ascii="Times New Roman" w:hAnsi="Times New Roman" w:cs="Times New Roman" w:hint="eastAsia"/>
          <w:sz w:val="24"/>
        </w:rPr>
        <w:t xml:space="preserve">, </w:t>
      </w:r>
      <w:r w:rsidRPr="00937407">
        <w:rPr>
          <w:rFonts w:ascii="Times New Roman" w:hAnsi="Times New Roman" w:cs="Times New Roman"/>
          <w:sz w:val="24"/>
        </w:rPr>
        <w:t>tuberculosis</w:t>
      </w:r>
      <w:r w:rsidRPr="00937407">
        <w:rPr>
          <w:rFonts w:ascii="Times New Roman" w:hAnsi="Times New Roman" w:cs="Times New Roman" w:hint="eastAsia"/>
          <w:sz w:val="24"/>
        </w:rPr>
        <w:t xml:space="preserve">; RR, </w:t>
      </w:r>
      <w:r w:rsidRPr="00937407">
        <w:rPr>
          <w:rFonts w:ascii="Times New Roman" w:hAnsi="Times New Roman" w:cs="Times New Roman"/>
          <w:sz w:val="24"/>
        </w:rPr>
        <w:t>rifampicin-resistant</w:t>
      </w:r>
      <w:r w:rsidRPr="00937407">
        <w:rPr>
          <w:rFonts w:ascii="Times New Roman" w:hAnsi="Times New Roman" w:cs="Times New Roman" w:hint="eastAsia"/>
          <w:sz w:val="24"/>
        </w:rPr>
        <w:t xml:space="preserve">; MDR, </w:t>
      </w:r>
      <w:r w:rsidRPr="00937407">
        <w:rPr>
          <w:rFonts w:ascii="Times New Roman" w:hAnsi="Times New Roman" w:cs="Times New Roman"/>
          <w:sz w:val="24"/>
        </w:rPr>
        <w:t>multidrug-resistant</w:t>
      </w:r>
      <w:r w:rsidRPr="00937407">
        <w:rPr>
          <w:rFonts w:ascii="Times New Roman" w:hAnsi="Times New Roman" w:cs="Times New Roman" w:hint="eastAsia"/>
          <w:sz w:val="24"/>
        </w:rPr>
        <w:t>; XDR, e</w:t>
      </w:r>
      <w:r w:rsidRPr="00937407">
        <w:rPr>
          <w:rFonts w:ascii="Times New Roman" w:hAnsi="Times New Roman" w:cs="Times New Roman"/>
          <w:sz w:val="24"/>
        </w:rPr>
        <w:t>xtensively drug-resistant</w:t>
      </w:r>
      <w:bookmarkStart w:id="4" w:name="_GoBack"/>
      <w:bookmarkEnd w:id="4"/>
    </w:p>
    <w:sectPr w:rsidR="0014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E7"/>
    <w:rsid w:val="00146962"/>
    <w:rsid w:val="002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9DB1C-F208-45E7-920D-33EE5763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2021-08-18T14:01:00Z</dcterms:created>
  <dcterms:modified xsi:type="dcterms:W3CDTF">2021-08-18T14:02:00Z</dcterms:modified>
</cp:coreProperties>
</file>