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bidi w:val="0"/>
        <w:jc w:val="both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Generation of genetic variability data</w:t>
      </w:r>
    </w:p>
    <w:p>
      <w:pPr>
        <w:pStyle w:val="Corpsdetexte"/>
        <w:bidi w:val="0"/>
        <w:jc w:val="both"/>
        <w:rPr/>
      </w:pPr>
      <w:r>
        <w:rPr>
          <w:rFonts w:ascii="Calibri" w:hAnsi="Calibri"/>
          <w:sz w:val="24"/>
          <w:szCs w:val="24"/>
        </w:rPr>
        <w:t>Genetic variability d</w:t>
      </w:r>
      <w:r>
        <w:rPr>
          <w:rFonts w:ascii="Calibri" w:hAnsi="Calibri"/>
          <w:sz w:val="24"/>
          <w:szCs w:val="24"/>
        </w:rPr>
        <w:t xml:space="preserve">ata </w:t>
      </w:r>
      <w:r>
        <w:rPr>
          <w:rFonts w:ascii="Calibri" w:hAnsi="Calibri"/>
          <w:sz w:val="24"/>
          <w:szCs w:val="24"/>
        </w:rPr>
        <w:t>were</w:t>
      </w:r>
      <w:r>
        <w:rPr>
          <w:rFonts w:ascii="Calibri" w:hAnsi="Calibri"/>
          <w:sz w:val="24"/>
          <w:szCs w:val="24"/>
        </w:rPr>
        <w:t xml:space="preserve"> not available for </w:t>
      </w:r>
      <w:r>
        <w:rPr>
          <w:rFonts w:ascii="Calibri" w:hAnsi="Calibri"/>
          <w:i/>
          <w:iCs/>
          <w:sz w:val="24"/>
          <w:szCs w:val="24"/>
        </w:rPr>
        <w:t>N. peltata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i/>
          <w:iCs/>
          <w:sz w:val="24"/>
          <w:szCs w:val="24"/>
        </w:rPr>
        <w:t>P. oceanica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i/>
          <w:iCs/>
          <w:sz w:val="24"/>
          <w:szCs w:val="24"/>
        </w:rPr>
        <w:t>R. bungei</w:t>
      </w:r>
      <w:r>
        <w:rPr>
          <w:rFonts w:ascii="Calibri" w:hAnsi="Calibri"/>
          <w:sz w:val="24"/>
          <w:szCs w:val="24"/>
        </w:rPr>
        <w:t xml:space="preserve"> and </w:t>
      </w:r>
      <w:r>
        <w:rPr>
          <w:rFonts w:ascii="Calibri" w:hAnsi="Calibri"/>
          <w:i/>
          <w:iCs/>
          <w:sz w:val="24"/>
          <w:szCs w:val="24"/>
        </w:rPr>
        <w:t xml:space="preserve">P. crassipes. </w:t>
      </w:r>
      <w:r>
        <w:rPr>
          <w:rFonts w:ascii="Calibri" w:hAnsi="Calibri"/>
          <w:sz w:val="24"/>
          <w:szCs w:val="24"/>
        </w:rPr>
        <w:t xml:space="preserve">To generate these data, </w:t>
      </w:r>
      <w:r>
        <w:rPr>
          <w:rFonts w:ascii="Calibri" w:hAnsi="Calibri"/>
          <w:sz w:val="24"/>
          <w:szCs w:val="24"/>
        </w:rPr>
        <w:t>quality control</w:t>
      </w:r>
      <w:r>
        <w:rPr>
          <w:rFonts w:ascii="Calibri" w:hAnsi="Calibri"/>
          <w:sz w:val="24"/>
          <w:szCs w:val="24"/>
        </w:rPr>
        <w:t xml:space="preserve"> was performed on the sequencing data using MultiQC, and adapter sequences as well as bases with sequencing quality lower than 30 were removed using Cutadapt </w:t>
      </w:r>
      <w:r>
        <w:rPr>
          <w:rFonts w:ascii="Calibri" w:hAnsi="Calibri"/>
          <w:sz w:val="24"/>
          <w:szCs w:val="24"/>
        </w:rPr>
        <w:t>(f</w:t>
      </w: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</w:rPr>
        <w:t>or version and references of all the bioinformatics tools used, see Table S7</w:t>
      </w:r>
      <w:r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. The mapping was carried out using HiSat2 with the </w:t>
        <w:noBreakHyphen/>
        <w:noBreakHyphen/>
        <w:t>very</w:t>
        <w:noBreakHyphen/>
        <w:t xml:space="preserve">sensitive option. Finally, variant calling was done using the BCFtools suite, keeping only variations with a quality greater than 30, a missing data frequency </w:t>
      </w:r>
      <w:r>
        <w:rPr>
          <w:rFonts w:ascii="Calibri" w:hAnsi="Calibri"/>
          <w:sz w:val="24"/>
          <w:szCs w:val="24"/>
        </w:rPr>
        <w:t>lower</w:t>
      </w:r>
      <w:r>
        <w:rPr>
          <w:rFonts w:ascii="Calibri" w:hAnsi="Calibri"/>
          <w:sz w:val="24"/>
          <w:szCs w:val="24"/>
        </w:rPr>
        <w:t xml:space="preserve"> than 50%, and a minimum depth of 5. In the end, </w:t>
      </w:r>
      <w:r>
        <w:rPr>
          <w:rFonts w:ascii="Calibri" w:hAnsi="Calibri"/>
          <w:sz w:val="24"/>
          <w:szCs w:val="24"/>
          <w:shd w:fill="auto" w:val="clear"/>
        </w:rPr>
        <w:t>genetic variability data were based on 1135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A. thaliana</w:t>
      </w:r>
      <w:r>
        <w:rPr>
          <w:rFonts w:ascii="Calibri" w:hAnsi="Calibri"/>
          <w:sz w:val="24"/>
          <w:szCs w:val="24"/>
          <w:shd w:fill="auto" w:val="clear"/>
        </w:rPr>
        <w:t>), 53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B. distachyon</w:t>
      </w:r>
      <w:r>
        <w:rPr>
          <w:rFonts w:ascii="Calibri" w:hAnsi="Calibri"/>
          <w:sz w:val="24"/>
          <w:szCs w:val="24"/>
          <w:shd w:fill="auto" w:val="clear"/>
        </w:rPr>
        <w:t>), 26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L. minor</w:t>
      </w:r>
      <w:r>
        <w:rPr>
          <w:rFonts w:ascii="Calibri" w:hAnsi="Calibri"/>
          <w:sz w:val="24"/>
          <w:szCs w:val="24"/>
          <w:shd w:fill="auto" w:val="clear"/>
        </w:rPr>
        <w:t>), 133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M. polymorpha</w:t>
      </w:r>
      <w:r>
        <w:rPr>
          <w:rFonts w:ascii="Calibri" w:hAnsi="Calibri"/>
          <w:sz w:val="24"/>
          <w:szCs w:val="24"/>
          <w:shd w:fill="auto" w:val="clear"/>
        </w:rPr>
        <w:t>),  286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M. truncatula</w:t>
      </w:r>
      <w:r>
        <w:rPr>
          <w:rFonts w:ascii="Calibri" w:hAnsi="Calibri"/>
          <w:sz w:val="24"/>
          <w:szCs w:val="24"/>
          <w:shd w:fill="auto" w:val="clear"/>
        </w:rPr>
        <w:t>), 69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N. nucifera</w:t>
      </w:r>
      <w:r>
        <w:rPr>
          <w:rFonts w:ascii="Calibri" w:hAnsi="Calibri"/>
          <w:sz w:val="24"/>
          <w:szCs w:val="24"/>
          <w:shd w:fill="auto" w:val="clear"/>
        </w:rPr>
        <w:t>), 164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N. peltata</w:t>
      </w:r>
      <w:r>
        <w:rPr>
          <w:rFonts w:ascii="Calibri" w:hAnsi="Calibri"/>
          <w:sz w:val="24"/>
          <w:szCs w:val="24"/>
          <w:shd w:fill="auto" w:val="clear"/>
        </w:rPr>
        <w:t>), 154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P. crassipes</w:t>
      </w:r>
      <w:r>
        <w:rPr>
          <w:rFonts w:ascii="Calibri" w:hAnsi="Calibri"/>
          <w:sz w:val="24"/>
          <w:szCs w:val="24"/>
          <w:shd w:fill="auto" w:val="clear"/>
        </w:rPr>
        <w:t>), 89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P. oceanica</w:t>
      </w:r>
      <w:r>
        <w:rPr>
          <w:rFonts w:ascii="Calibri" w:hAnsi="Calibri"/>
          <w:sz w:val="24"/>
          <w:szCs w:val="24"/>
          <w:shd w:fill="auto" w:val="clear"/>
        </w:rPr>
        <w:t>),  95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R. bungei</w:t>
      </w:r>
      <w:r>
        <w:rPr>
          <w:rFonts w:ascii="Calibri" w:hAnsi="Calibri"/>
          <w:sz w:val="24"/>
          <w:szCs w:val="24"/>
          <w:shd w:fill="auto" w:val="clear"/>
        </w:rPr>
        <w:t>), 173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S. stoloniferum</w:t>
      </w:r>
      <w:r>
        <w:rPr>
          <w:rFonts w:ascii="Calibri" w:hAnsi="Calibri"/>
          <w:sz w:val="24"/>
          <w:szCs w:val="24"/>
          <w:shd w:fill="auto" w:val="clear"/>
        </w:rPr>
        <w:t>) and 24 individuals (</w:t>
      </w:r>
      <w:r>
        <w:rPr>
          <w:rFonts w:ascii="Calibri" w:hAnsi="Calibri"/>
          <w:i/>
          <w:iCs/>
          <w:sz w:val="24"/>
          <w:szCs w:val="24"/>
          <w:shd w:fill="auto" w:val="clear"/>
        </w:rPr>
        <w:t>Z. marina</w:t>
      </w:r>
      <w:r>
        <w:rPr>
          <w:rFonts w:ascii="Calibri" w:hAnsi="Calibri"/>
          <w:sz w:val="24"/>
          <w:szCs w:val="24"/>
          <w:shd w:fill="auto" w:val="clear"/>
        </w:rPr>
        <w:t>).</w:t>
      </w:r>
    </w:p>
    <w:p>
      <w:pPr>
        <w:pStyle w:val="Corpsdetexte"/>
        <w:bidi w:val="0"/>
        <w:jc w:val="both"/>
        <w:rPr/>
      </w:pPr>
      <w:r>
        <w:rPr>
          <w:rFonts w:ascii="Calibri" w:hAnsi="Calibri"/>
          <w:sz w:val="24"/>
          <w:szCs w:val="24"/>
        </w:rPr>
        <w:t xml:space="preserve">To calculate Zeng's E and Way and Fu's H, the inference of ancestral alleles was performed by multiple whole genome alignment of different </w:t>
      </w:r>
      <w:r>
        <w:rPr>
          <w:rFonts w:ascii="Calibri" w:hAnsi="Calibri"/>
          <w:i/>
          <w:iCs/>
          <w:sz w:val="24"/>
          <w:szCs w:val="24"/>
        </w:rPr>
        <w:t>Arabidopsis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i/>
          <w:iCs/>
          <w:sz w:val="24"/>
          <w:szCs w:val="24"/>
        </w:rPr>
        <w:t>Brachypodium</w:t>
      </w:r>
      <w:r>
        <w:rPr>
          <w:rFonts w:ascii="Calibri" w:hAnsi="Calibri"/>
          <w:sz w:val="24"/>
          <w:szCs w:val="24"/>
        </w:rPr>
        <w:t xml:space="preserve"> and </w:t>
      </w:r>
      <w:r>
        <w:rPr>
          <w:rFonts w:ascii="Calibri" w:hAnsi="Calibri"/>
          <w:i/>
          <w:iCs/>
          <w:sz w:val="24"/>
          <w:szCs w:val="24"/>
        </w:rPr>
        <w:t>Medicago</w:t>
      </w:r>
      <w:r>
        <w:rPr>
          <w:rFonts w:ascii="Calibri" w:hAnsi="Calibri"/>
          <w:sz w:val="24"/>
          <w:szCs w:val="24"/>
        </w:rPr>
        <w:t xml:space="preserve"> genomes on the reference genomes with progressiveMauve (see Table S5 for all references to the different sequencing data used). An allele was considered fixed within a species if the major allele frequency was greater than 0.95. An allele was then considered ancestral if it was identical in at least 95% of species within a genus. Note that for aquatic plants, few genomes or sequencing data from species within the same genus are available, and therefore these statistics could not be calculated precisely</w:t>
      </w:r>
      <w:r>
        <w:rPr>
          <w:rFonts w:ascii="Calibri" w:hAnsi="Calibri"/>
          <w:i w:val="false"/>
          <w:iCs w:val="false"/>
          <w:sz w:val="24"/>
          <w:szCs w:val="24"/>
        </w:rPr>
        <w:t xml:space="preserve">. </w:t>
      </w:r>
    </w:p>
    <w:p>
      <w:pPr>
        <w:pStyle w:val="Corpsdetexte"/>
        <w:bidi w:val="0"/>
        <w:jc w:val="both"/>
        <w:rPr>
          <w:rFonts w:ascii="Calibri" w:hAnsi="Calibri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Calibri" w:hAnsi="Calibri"/>
          <w:b/>
          <w:bCs/>
          <w:i w:val="false"/>
          <w:iCs w:val="false"/>
          <w:sz w:val="24"/>
          <w:szCs w:val="24"/>
        </w:rPr>
        <w:t>Expansion and contraction</w:t>
      </w:r>
    </w:p>
    <w:p>
      <w:pPr>
        <w:pStyle w:val="Corpsdetexte"/>
        <w:bidi w:val="0"/>
        <w:spacing w:before="0" w:after="140"/>
        <w:jc w:val="both"/>
        <w:rPr/>
      </w:pPr>
      <w:r>
        <w:rPr>
          <w:rFonts w:ascii="Calibri" w:hAnsi="Calibri"/>
          <w:sz w:val="24"/>
          <w:szCs w:val="24"/>
        </w:rPr>
        <w:t>Expansion and contraction analysis were carried on a</w:t>
      </w:r>
      <w:r>
        <w:rPr>
          <w:rFonts w:ascii="Calibri" w:hAnsi="Calibri"/>
          <w:sz w:val="24"/>
          <w:szCs w:val="24"/>
        </w:rPr>
        <w:t xml:space="preserve"> set of 19 aquatic angiosperms and 32 terrestrial angiosperms (Table S6). Orthogroups were inferred </w:t>
      </w:r>
      <w:r>
        <w:rPr>
          <w:rFonts w:ascii="Calibri" w:hAnsi="Calibri"/>
          <w:sz w:val="24"/>
          <w:szCs w:val="24"/>
        </w:rPr>
        <w:t>as for population genetic analyses</w:t>
      </w:r>
      <w:r>
        <w:rPr>
          <w:rFonts w:ascii="Calibri" w:hAnsi="Calibri"/>
          <w:sz w:val="24"/>
          <w:szCs w:val="24"/>
        </w:rPr>
        <w:t>, with protein sequences also generated when these were not available. All protein sequences were functionally annotated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 xml:space="preserve"> with InterProScan</w:t>
      </w:r>
      <w:r>
        <w:rPr>
          <w:rFonts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. </w:t>
      </w:r>
      <w:r>
        <w:rPr>
          <w:rFonts w:ascii="Calibri" w:hAnsi="Calibri"/>
          <w:i w:val="false"/>
          <w:iCs w:val="false"/>
          <w:sz w:val="24"/>
          <w:szCs w:val="24"/>
        </w:rPr>
        <w:t>The number of paralogs was counted for each species within each orthogroup and these data were used as input to an sPLS</w:t>
        <w:noBreakHyphen/>
        <w:t xml:space="preserve">DA, </w:t>
      </w:r>
      <w:r>
        <w:rPr>
          <w:rFonts w:ascii="Calibri" w:hAnsi="Calibri"/>
          <w:i w:val="false"/>
          <w:iCs w:val="false"/>
          <w:sz w:val="24"/>
          <w:szCs w:val="24"/>
        </w:rPr>
        <w:t>keeping onl</w:t>
      </w:r>
      <w:r>
        <w:rPr>
          <w:rFonts w:ascii="Calibri" w:hAnsi="Calibri"/>
          <w:i w:val="false"/>
          <w:iCs w:val="false"/>
          <w:sz w:val="24"/>
          <w:szCs w:val="24"/>
        </w:rPr>
        <w:t>y</w:t>
      </w:r>
      <w:r>
        <w:rPr>
          <w:rFonts w:ascii="Calibri" w:hAnsi="Calibri"/>
          <w:i w:val="false"/>
          <w:iCs w:val="false"/>
          <w:sz w:val="24"/>
          <w:szCs w:val="24"/>
        </w:rPr>
        <w:t xml:space="preserve"> the 100 more discriminant variables (</w:t>
      </w:r>
      <w:r>
        <w:rPr>
          <w:rFonts w:ascii="Calibri" w:hAnsi="Calibri"/>
          <w:i w:val="false"/>
          <w:iCs w:val="false"/>
          <w:sz w:val="24"/>
          <w:szCs w:val="24"/>
        </w:rPr>
        <w:t xml:space="preserve">with </w:t>
      </w:r>
      <w:r>
        <w:rPr>
          <w:rFonts w:ascii="Calibri" w:hAnsi="Calibri"/>
          <w:i w:val="false"/>
          <w:iCs w:val="false"/>
          <w:sz w:val="24"/>
          <w:szCs w:val="24"/>
        </w:rPr>
        <w:t>parameter keepX = c(100,100)</w:t>
      </w:r>
      <w:r>
        <w:rPr>
          <w:rFonts w:ascii="Calibri" w:hAnsi="Calibri"/>
          <w:i w:val="false"/>
          <w:iCs w:val="false"/>
          <w:sz w:val="24"/>
          <w:szCs w:val="24"/>
        </w:rPr>
        <w:t>)</w:t>
      </w:r>
      <w:r>
        <w:rPr>
          <w:rFonts w:ascii="Calibri" w:hAnsi="Calibri"/>
          <w:i w:val="false"/>
          <w:iCs w:val="false"/>
          <w:sz w:val="24"/>
          <w:szCs w:val="24"/>
        </w:rPr>
        <w:t xml:space="preserve">. </w:t>
      </w:r>
      <w:r>
        <w:rPr>
          <w:rFonts w:ascii="Calibri" w:hAnsi="Calibri"/>
          <w:i w:val="false"/>
          <w:iCs w:val="false"/>
          <w:sz w:val="24"/>
          <w:szCs w:val="24"/>
        </w:rPr>
        <w:t>E</w:t>
      </w:r>
      <w:r>
        <w:rPr>
          <w:rFonts w:ascii="Calibri" w:hAnsi="Calibri"/>
          <w:i w:val="false"/>
          <w:iCs w:val="false"/>
          <w:sz w:val="24"/>
          <w:szCs w:val="24"/>
        </w:rPr>
        <w:t>nrichment was performed on the genes selected by the sPLS</w:t>
        <w:noBreakHyphen/>
        <w:t>DA for each species using the R library topGO. Frequencies of enriched GO terms were then computed.</w:t>
      </w:r>
    </w:p>
    <w:sectPr>
      <w:type w:val="nextPage"/>
      <w:pgSz w:w="12240" w:h="15840"/>
      <w:pgMar w:left="1134" w:right="1134" w:header="0" w:top="1134" w:footer="0" w:bottom="1134" w:gutter="0"/>
      <w:lnNumType w:countBy="1" w:restart="continuous" w:distance="22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Numrotationdelignes">
    <w:name w:val="Numérotation de lignes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Entte">
    <w:name w:val="Header"/>
    <w:basedOn w:val="En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LibreOffice/7.0.4.2$Windows_X86_64 LibreOffice_project/dcf040e67528d9187c66b2379df5ea4407429775</Application>
  <AppVersion>15.0000</AppVersion>
  <Pages>1</Pages>
  <Words>382</Words>
  <Characters>2126</Characters>
  <CharactersWithSpaces>2506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2025-09-23T13:49:51Z</dcterms:created>
  <dc:creator/>
  <dc:description/>
  <dc:language>fr-FR</dc:language>
  <cp:lastModifiedBy>Catherine Mathé</cp:lastModifiedBy>
  <dcterms:modified xsi:type="dcterms:W3CDTF">2025-11-27T16:25:04Z</dcterms:modified>
  <cp:revision>6</cp:revision>
  <dc:subject/>
  <dc:title/>
</cp:coreProperties>
</file>