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F58886" w14:textId="77777777" w:rsidR="00095DCB" w:rsidRDefault="00095DCB" w:rsidP="00095DCB">
      <w:pPr>
        <w:jc w:val="center"/>
        <w:rPr>
          <w:b/>
          <w:bCs/>
          <w:sz w:val="36"/>
          <w:szCs w:val="36"/>
        </w:rPr>
      </w:pPr>
      <w:r w:rsidRPr="00B866D7">
        <w:rPr>
          <w:b/>
          <w:bCs/>
          <w:sz w:val="36"/>
          <w:szCs w:val="36"/>
        </w:rPr>
        <w:t>Supporting Information</w:t>
      </w:r>
    </w:p>
    <w:p w14:paraId="64780EB7" w14:textId="77777777" w:rsidR="00095DCB" w:rsidRDefault="00095DCB" w:rsidP="00095DCB">
      <w:pPr>
        <w:rPr>
          <w:b/>
          <w:bCs/>
          <w:sz w:val="36"/>
          <w:szCs w:val="36"/>
        </w:rPr>
      </w:pPr>
    </w:p>
    <w:p w14:paraId="7C8C94AD" w14:textId="77777777" w:rsidR="00B50706" w:rsidRPr="00562CF5" w:rsidRDefault="00B50706" w:rsidP="00B50706">
      <w:pPr>
        <w:spacing w:afterLines="100" w:after="360" w:line="480" w:lineRule="auto"/>
        <w:ind w:firstLine="0"/>
        <w:rPr>
          <w:rFonts w:cs="Times New Roman"/>
          <w:b/>
          <w:bCs/>
          <w:color w:val="1F2329"/>
          <w:sz w:val="28"/>
          <w:szCs w:val="28"/>
          <w:shd w:val="clear" w:color="auto" w:fill="FFFFFF"/>
        </w:rPr>
      </w:pPr>
      <w:bookmarkStart w:id="0" w:name="_Hlk216254404"/>
      <w:r w:rsidRPr="00562CF5">
        <w:rPr>
          <w:rFonts w:cs="Times New Roman"/>
          <w:b/>
          <w:bCs/>
          <w:color w:val="1F2329"/>
          <w:sz w:val="28"/>
          <w:szCs w:val="28"/>
          <w:shd w:val="clear" w:color="auto" w:fill="FFFFFF"/>
        </w:rPr>
        <w:t xml:space="preserve">Interfacial Microenvironment Engineering in Pickering Emulsion Electrocatalytic System for Selective Hydrogenation of </w:t>
      </w:r>
      <w:bookmarkStart w:id="1" w:name="_Hlk216254442"/>
      <w:r w:rsidRPr="00046B7F">
        <w:rPr>
          <w:rFonts w:cs="Times New Roman"/>
          <w:b/>
          <w:bCs/>
          <w:color w:val="1F2329"/>
          <w:sz w:val="28"/>
          <w:szCs w:val="28"/>
          <w:shd w:val="clear" w:color="auto" w:fill="FFFFFF"/>
        </w:rPr>
        <w:t>4</w:t>
      </w:r>
      <w:r>
        <w:rPr>
          <w:rFonts w:cs="Times New Roman" w:hint="eastAsia"/>
          <w:b/>
          <w:bCs/>
          <w:color w:val="1F2329"/>
          <w:sz w:val="28"/>
          <w:szCs w:val="28"/>
          <w:shd w:val="clear" w:color="auto" w:fill="FFFFFF"/>
        </w:rPr>
        <w:t>-N</w:t>
      </w:r>
      <w:r w:rsidRPr="00046B7F">
        <w:rPr>
          <w:rFonts w:cs="Times New Roman"/>
          <w:b/>
          <w:bCs/>
          <w:color w:val="1F2329"/>
          <w:sz w:val="28"/>
          <w:szCs w:val="28"/>
          <w:shd w:val="clear" w:color="auto" w:fill="FFFFFF"/>
        </w:rPr>
        <w:t>itrostyrene</w:t>
      </w:r>
      <w:bookmarkEnd w:id="1"/>
    </w:p>
    <w:bookmarkEnd w:id="0"/>
    <w:p w14:paraId="3A2C608C" w14:textId="7D0E6804" w:rsidR="00095DCB" w:rsidRPr="00095DCB" w:rsidRDefault="00095DCB" w:rsidP="00095DCB">
      <w:pPr>
        <w:pStyle w:val="BBAuthorName"/>
        <w:jc w:val="both"/>
        <w:rPr>
          <w:rFonts w:cs="Times"/>
          <w:i w:val="0"/>
          <w:iCs/>
        </w:rPr>
      </w:pPr>
      <w:r w:rsidRPr="00095DCB">
        <w:rPr>
          <w:rFonts w:cs="Times"/>
          <w:i w:val="0"/>
          <w:iCs/>
        </w:rPr>
        <w:t>Yifan Wang</w:t>
      </w:r>
      <w:r w:rsidRPr="00095DCB">
        <w:rPr>
          <w:rFonts w:cs="Times"/>
          <w:i w:val="0"/>
          <w:iCs/>
          <w:vertAlign w:val="superscript"/>
        </w:rPr>
        <w:t>1</w:t>
      </w:r>
      <w:r w:rsidRPr="00095DCB">
        <w:rPr>
          <w:rFonts w:cs="Times"/>
          <w:i w:val="0"/>
          <w:iCs/>
        </w:rPr>
        <w:t>, Lijun Li</w:t>
      </w:r>
      <w:r w:rsidRPr="00095DCB">
        <w:rPr>
          <w:rFonts w:cs="Times"/>
          <w:i w:val="0"/>
          <w:iCs/>
          <w:vertAlign w:val="superscript"/>
        </w:rPr>
        <w:t>1</w:t>
      </w:r>
      <w:r w:rsidRPr="00095DCB">
        <w:rPr>
          <w:rFonts w:cs="Times"/>
          <w:i w:val="0"/>
          <w:iCs/>
        </w:rPr>
        <w:t>, Yuliang Gao</w:t>
      </w:r>
      <w:r w:rsidRPr="00095DCB">
        <w:rPr>
          <w:rFonts w:cs="Times"/>
          <w:i w:val="0"/>
          <w:iCs/>
          <w:vertAlign w:val="superscript"/>
        </w:rPr>
        <w:t>1</w:t>
      </w:r>
      <w:r w:rsidRPr="00095DCB">
        <w:rPr>
          <w:rFonts w:cs="Times"/>
          <w:i w:val="0"/>
          <w:iCs/>
        </w:rPr>
        <w:t>, Xuzhuang Yang</w:t>
      </w:r>
      <w:r w:rsidRPr="00095DCB">
        <w:rPr>
          <w:rFonts w:cs="Times"/>
          <w:i w:val="0"/>
          <w:iCs/>
          <w:vertAlign w:val="superscript"/>
        </w:rPr>
        <w:t>1</w:t>
      </w:r>
      <w:r w:rsidRPr="00095DCB">
        <w:rPr>
          <w:rFonts w:cs="Times"/>
          <w:i w:val="0"/>
          <w:iCs/>
        </w:rPr>
        <w:t>, and Chenhui Han</w:t>
      </w:r>
      <w:r w:rsidRPr="00095DCB">
        <w:rPr>
          <w:rFonts w:cs="Times"/>
          <w:i w:val="0"/>
          <w:iCs/>
          <w:vertAlign w:val="superscript"/>
        </w:rPr>
        <w:t>1*</w:t>
      </w:r>
    </w:p>
    <w:p w14:paraId="184560CF" w14:textId="77777777" w:rsidR="00095DCB" w:rsidRDefault="00095DCB" w:rsidP="00095DCB">
      <w:pPr>
        <w:pStyle w:val="BCAuthorAddress"/>
        <w:jc w:val="both"/>
        <w:rPr>
          <w:rFonts w:cs="Times"/>
        </w:rPr>
      </w:pPr>
      <w:r w:rsidRPr="00095DCB">
        <w:rPr>
          <w:rFonts w:cs="Times"/>
          <w:vertAlign w:val="superscript"/>
        </w:rPr>
        <w:t>1</w:t>
      </w:r>
      <w:r w:rsidRPr="00095DCB">
        <w:rPr>
          <w:rFonts w:cs="Times"/>
        </w:rPr>
        <w:t>School of Chemistry and Chemical Engineering, Inner Mongolia University, Hohhot, P. R. China.</w:t>
      </w:r>
    </w:p>
    <w:p w14:paraId="3D3042CB" w14:textId="2EE5E42C" w:rsidR="00095DCB" w:rsidRDefault="00095DCB" w:rsidP="00095DCB">
      <w:pPr>
        <w:ind w:firstLine="0"/>
      </w:pPr>
      <w:r w:rsidRPr="00B866D7">
        <w:rPr>
          <w:rFonts w:cs="Times New Roman"/>
          <w:szCs w:val="24"/>
        </w:rPr>
        <w:t>Email:</w:t>
      </w:r>
      <w:r w:rsidRPr="00B866D7">
        <w:rPr>
          <w:rFonts w:cs="Times New Roman"/>
          <w:szCs w:val="24"/>
          <w:lang w:eastAsia="en-US"/>
        </w:rPr>
        <w:t xml:space="preserve"> </w:t>
      </w:r>
      <w:hyperlink r:id="rId8" w:history="1">
        <w:r w:rsidR="00B50706" w:rsidRPr="00CF7C02">
          <w:rPr>
            <w:rStyle w:val="ad"/>
            <w:rFonts w:cs="Times New Roman"/>
            <w:sz w:val="22"/>
            <w:shd w:val="clear" w:color="auto" w:fill="FFFFFF"/>
          </w:rPr>
          <w:t>hanchenhui@imu.edu.cn</w:t>
        </w:r>
      </w:hyperlink>
    </w:p>
    <w:p w14:paraId="681193FF" w14:textId="77777777" w:rsidR="00B50706" w:rsidRDefault="00B50706" w:rsidP="00095DCB">
      <w:pPr>
        <w:ind w:firstLine="0"/>
      </w:pPr>
    </w:p>
    <w:p w14:paraId="7CF7B660" w14:textId="77777777" w:rsidR="00B50706" w:rsidRPr="00B866D7" w:rsidRDefault="00B50706" w:rsidP="00095DCB">
      <w:pPr>
        <w:ind w:firstLine="0"/>
        <w:rPr>
          <w:rFonts w:cs="Times New Roman"/>
          <w:szCs w:val="28"/>
        </w:rPr>
      </w:pPr>
    </w:p>
    <w:p w14:paraId="078EBC94" w14:textId="77777777" w:rsidR="00095DCB" w:rsidRPr="00095DCB" w:rsidRDefault="00095DCB" w:rsidP="00095DCB">
      <w:pPr>
        <w:ind w:firstLine="0"/>
      </w:pPr>
    </w:p>
    <w:p w14:paraId="4E367CE9" w14:textId="77777777" w:rsidR="00095DCB" w:rsidRPr="00095DCB" w:rsidRDefault="00095DCB" w:rsidP="00095DCB">
      <w:pPr>
        <w:ind w:firstLine="0"/>
      </w:pPr>
    </w:p>
    <w:p w14:paraId="43B7FC78" w14:textId="77777777" w:rsidR="00095DCB" w:rsidRDefault="00095DCB">
      <w:pPr>
        <w:widowControl/>
        <w:spacing w:line="240" w:lineRule="auto"/>
        <w:ind w:firstLine="0"/>
        <w:jc w:val="left"/>
      </w:pPr>
    </w:p>
    <w:p w14:paraId="0E75453B" w14:textId="77777777" w:rsidR="00095DCB" w:rsidRDefault="00095DCB">
      <w:pPr>
        <w:widowControl/>
        <w:spacing w:line="240" w:lineRule="auto"/>
        <w:ind w:firstLine="0"/>
        <w:jc w:val="left"/>
      </w:pPr>
      <w:r>
        <w:br w:type="page"/>
      </w:r>
    </w:p>
    <w:p w14:paraId="0EBC5D39" w14:textId="77777777" w:rsidR="00095DCB" w:rsidRPr="000F553B" w:rsidRDefault="00095DCB" w:rsidP="00095DCB">
      <w:pPr>
        <w:ind w:firstLine="0"/>
        <w:rPr>
          <w:rFonts w:cs="Times New Roman"/>
          <w:sz w:val="28"/>
          <w:szCs w:val="28"/>
        </w:rPr>
      </w:pPr>
      <w:r w:rsidRPr="000F553B">
        <w:rPr>
          <w:rFonts w:cs="Times New Roman" w:hint="eastAsia"/>
          <w:sz w:val="28"/>
          <w:szCs w:val="28"/>
        </w:rPr>
        <w:lastRenderedPageBreak/>
        <w:t xml:space="preserve">Supplementary Methods </w:t>
      </w:r>
    </w:p>
    <w:p w14:paraId="5EDDCCB9" w14:textId="53126258" w:rsidR="00095DCB" w:rsidRPr="000F553B" w:rsidRDefault="00095DCB" w:rsidP="00095DCB">
      <w:pPr>
        <w:ind w:firstLine="0"/>
        <w:rPr>
          <w:rFonts w:cs="Times New Roman"/>
          <w:sz w:val="28"/>
          <w:szCs w:val="28"/>
        </w:rPr>
      </w:pPr>
      <w:r w:rsidRPr="000F553B">
        <w:rPr>
          <w:rFonts w:cs="Times New Roman" w:hint="eastAsia"/>
          <w:sz w:val="28"/>
          <w:szCs w:val="28"/>
        </w:rPr>
        <w:t xml:space="preserve">Supplementary Figures </w:t>
      </w:r>
      <w:r w:rsidR="00B344E2" w:rsidRPr="000F553B">
        <w:rPr>
          <w:rFonts w:cs="Times New Roman"/>
          <w:sz w:val="28"/>
          <w:szCs w:val="28"/>
        </w:rPr>
        <w:t>and Tables</w:t>
      </w:r>
    </w:p>
    <w:p w14:paraId="7E03CF56" w14:textId="77777777" w:rsidR="00095DCB" w:rsidRPr="000F553B" w:rsidRDefault="00095DCB" w:rsidP="00095DCB">
      <w:pPr>
        <w:ind w:firstLine="0"/>
        <w:rPr>
          <w:rFonts w:cs="Times New Roman"/>
          <w:b/>
          <w:bCs/>
          <w:sz w:val="32"/>
          <w:szCs w:val="32"/>
        </w:rPr>
      </w:pPr>
      <w:r w:rsidRPr="000F553B">
        <w:rPr>
          <w:rFonts w:cs="Times New Roman" w:hint="eastAsia"/>
          <w:sz w:val="28"/>
          <w:szCs w:val="28"/>
        </w:rPr>
        <w:t>Supplementary References</w:t>
      </w:r>
      <w:r w:rsidRPr="000F553B">
        <w:rPr>
          <w:rFonts w:cs="Times New Roman" w:hint="eastAsia"/>
          <w:b/>
          <w:bCs/>
          <w:sz w:val="32"/>
          <w:szCs w:val="32"/>
        </w:rPr>
        <w:t xml:space="preserve"> </w:t>
      </w:r>
    </w:p>
    <w:p w14:paraId="2CB8B604" w14:textId="045D6841" w:rsidR="00095DCB" w:rsidRPr="000F553B" w:rsidRDefault="00095DCB" w:rsidP="00095DCB">
      <w:pPr>
        <w:widowControl/>
        <w:spacing w:line="240" w:lineRule="auto"/>
        <w:ind w:firstLine="0"/>
        <w:rPr>
          <w:rFonts w:eastAsiaTheme="majorEastAsia" w:cstheme="majorBidi"/>
          <w:b/>
          <w:sz w:val="32"/>
          <w:szCs w:val="44"/>
        </w:rPr>
      </w:pPr>
      <w:r w:rsidRPr="000F553B">
        <w:rPr>
          <w:sz w:val="28"/>
          <w:szCs w:val="24"/>
        </w:rPr>
        <w:br w:type="page"/>
      </w:r>
    </w:p>
    <w:p w14:paraId="43288BE9" w14:textId="35CDA17B" w:rsidR="003D6B78" w:rsidRPr="00F150DB" w:rsidRDefault="00000000" w:rsidP="00F150DB">
      <w:pPr>
        <w:pStyle w:val="1"/>
      </w:pPr>
      <w:r w:rsidRPr="00F150DB">
        <w:lastRenderedPageBreak/>
        <w:t xml:space="preserve">Supplementary Methods </w:t>
      </w:r>
    </w:p>
    <w:p w14:paraId="15DEE86E" w14:textId="77777777" w:rsidR="00F150DB" w:rsidRDefault="00000000" w:rsidP="00F150DB">
      <w:pPr>
        <w:pStyle w:val="2"/>
        <w:spacing w:before="360" w:after="360"/>
      </w:pPr>
      <w:r w:rsidRPr="00F150DB">
        <w:t>Materials</w:t>
      </w:r>
    </w:p>
    <w:p w14:paraId="7241EF7D" w14:textId="4CDEAEA6" w:rsidR="003D6B78" w:rsidRPr="00F150DB" w:rsidRDefault="00EB58F3" w:rsidP="00FB2C71">
      <w:pPr>
        <w:ind w:firstLine="0"/>
        <w:rPr>
          <w:b/>
          <w:bCs/>
        </w:rPr>
      </w:pPr>
      <w:r w:rsidRPr="00C760A6">
        <w:t>Multi-walled carbon nanotubes (MWCNTs) were purchased from Shandong Dazhan Nano Materials Co., Ltd. Thionyl chloride (99%, Meryer), 1,8-diazabicyclo[5.4.0]undec-7-ene (DBU, 99%, Aladdin), octylamine (99%, Macklin), octadecylamine (97%, Aladdin), platinum bis(acetylacetonate) (99%, Macklin), oleylamine (70%, ACMEC), oleic acid (AR, Macklin), 1-octadecene (90%, Macklin), borane triethylamine complex (97%, Aladdin), p-nitrostyrene (97%, Macklin), silver foil (0.1 mm thick, 99.998%, Taizhou Sante Mstar Technology Co., Ltd.), anhydrous ethanol, anhydrous N,N-dimethylformamide (DMF, 99.8%), cyclohexane (99.5%, Meryer), toluene (AR), ethyl acetate (AR), diethyl ether (AR), n-hexane (98%), deuterium oxide (D₂O, 99.9%, J&amp;K), deuterosulfuric acid (D₂SO₄, 99.5%, Aladdin), 4-vinylaniline (95%, Macklin), 4-nitroethylbenzene (99%, Aladdin), 4-ethylaniline (95%, Macklin), Cy5-NH₂ (Shanghai Yuanyang Biotechnology Co., Ltd.), and Cy3-NH₂ (95%, Macklin) were used as received without further purification. Ultrapure water (18.2 MΩ·cm) used in all experiments was obtained from a Synergy UV Water Purification System.</w:t>
      </w:r>
    </w:p>
    <w:p w14:paraId="668D9534" w14:textId="77777777" w:rsidR="003D6B78" w:rsidRPr="00F150DB" w:rsidRDefault="00000000" w:rsidP="00F150DB">
      <w:pPr>
        <w:pStyle w:val="2"/>
        <w:spacing w:before="360" w:after="360"/>
      </w:pPr>
      <w:r w:rsidRPr="00F150DB">
        <w:t>Synthesis of Monodisperse Pt Nanoparticles</w:t>
      </w:r>
    </w:p>
    <w:p w14:paraId="60A1E366" w14:textId="39A2ECEB" w:rsidR="003D6B78" w:rsidRPr="00C760A6" w:rsidRDefault="00000000" w:rsidP="00FB2C71">
      <w:pPr>
        <w:ind w:firstLine="0"/>
      </w:pPr>
      <w:r w:rsidRPr="00C760A6">
        <w:t xml:space="preserve">Monodisperse Pt nanoparticles were synthesized by first mixing 10 mL of oleylamine with 10 mL of 1-octadecene in a glass vessel, followed by the addition of 0.5 mL of oleic acid. The mixture was stirred and heated at 120°C for 20 minutes to remove residual moisture and oxygen, resulting in a </w:t>
      </w:r>
      <w:r w:rsidR="008C275E" w:rsidRPr="00C760A6">
        <w:t>pale-yellow</w:t>
      </w:r>
      <w:r w:rsidRPr="00C760A6">
        <w:t xml:space="preserve"> solution. The solution was then heated to 300°C, upon which 5 mL of an oleylamine solution containing 20 mg of </w:t>
      </w:r>
      <w:proofErr w:type="gramStart"/>
      <w:r w:rsidRPr="00C760A6">
        <w:t>platinum(</w:t>
      </w:r>
      <w:proofErr w:type="gramEnd"/>
      <w:r w:rsidRPr="00C760A6">
        <w:t xml:space="preserve">II) acetylacetonate and 120 mg of triethylamine borane was rapidly injected. </w:t>
      </w:r>
      <w:r w:rsidRPr="00C760A6">
        <w:lastRenderedPageBreak/>
        <w:t>The vessel was immediately sealed and purged with argon to maintain an inert atmosphere, and the reaction was allowed to proceed with vigorous stirring at 300°C for 1 hour. After cooling to room temperature, 40 mL of acetone was added to precipitate the nanoparticles. The black solid product was collected by centrifugation, yielding monodisperse Pt nanoparticles. The nanoparticles were further purified with an acetone-n-hexane mixture and ultimately dispersed in n-hexane for storage.</w:t>
      </w:r>
    </w:p>
    <w:p w14:paraId="3D9DB565" w14:textId="77777777" w:rsidR="003D6B78" w:rsidRPr="00C760A6" w:rsidRDefault="00000000" w:rsidP="00F150DB">
      <w:pPr>
        <w:pStyle w:val="2"/>
        <w:spacing w:before="360" w:after="360"/>
      </w:pPr>
      <w:r w:rsidRPr="00C760A6">
        <w:t>Preparation of CNT</w:t>
      </w:r>
      <w:r w:rsidRPr="00672193">
        <w:t>s</w:t>
      </w:r>
      <w:r w:rsidRPr="00C760A6">
        <w:t>-AT</w:t>
      </w:r>
    </w:p>
    <w:p w14:paraId="6644A866" w14:textId="474A3C25" w:rsidR="003D6B78" w:rsidRPr="00C760A6" w:rsidRDefault="00000000" w:rsidP="00FB2C71">
      <w:pPr>
        <w:ind w:firstLine="0"/>
      </w:pPr>
      <w:r w:rsidRPr="00C760A6">
        <w:t>The synthesis of the CNTs-AT support followed a previously reported procedure</w:t>
      </w:r>
      <w:r w:rsidR="00857376" w:rsidRPr="00857376">
        <w:rPr>
          <w:rFonts w:cs="Times New Roman"/>
          <w:kern w:val="0"/>
          <w:vertAlign w:val="superscript"/>
        </w:rPr>
        <w:t>1</w:t>
      </w:r>
      <w:r w:rsidRPr="00C760A6">
        <w:t>. Briefly, 5 g of pristine CNTs were treated with 500 mL of a mixed acid solution (comprising 65% nitric acid and 98% sulfuric acid in a 1:1 ratio) to remove metallic impurities and introduce oxygen-containing functional groups onto the CNT surfaces. The mixture was heated at 105°C for 4 hours. The resulting solid product was thoroughly washed with ultrapure water several times. The final dried material was denoted as CNTs-AT.</w:t>
      </w:r>
    </w:p>
    <w:p w14:paraId="72FD408C" w14:textId="77777777" w:rsidR="003D6B78" w:rsidRPr="00C760A6" w:rsidRDefault="00000000" w:rsidP="00F150DB">
      <w:pPr>
        <w:pStyle w:val="2"/>
        <w:spacing w:before="360" w:after="360"/>
      </w:pPr>
      <w:r w:rsidRPr="00C760A6">
        <w:t>Preparation of CNT</w:t>
      </w:r>
      <w:r w:rsidRPr="00672193">
        <w:t>s</w:t>
      </w:r>
      <w:r w:rsidRPr="00C760A6">
        <w:t>-C18</w:t>
      </w:r>
    </w:p>
    <w:p w14:paraId="78A21F7C" w14:textId="01FE1639" w:rsidR="003D6B78" w:rsidRPr="00C760A6" w:rsidRDefault="00000000" w:rsidP="00FB2C71">
      <w:pPr>
        <w:ind w:firstLine="0"/>
      </w:pPr>
      <w:r w:rsidRPr="00C760A6">
        <w:t xml:space="preserve">The hydrophobic modification of CNTs-AT was conducted under an argon atmosphere. In a typical procedure, 100 mg of CNTs-AT was placed in a glass container, followed by the addition of 2 mL of thionyl chloride. The mixture was stirred at 30°C for 2 hours. After removing thionyl chloride under reduced pressure, 10 mL of octadecylamine solution was added, and the reaction was continued at 120°C for 3 hours with stirring. The resulting solid product was purified through repeated washing with acetone and centrifugation. After drying, the final product </w:t>
      </w:r>
      <w:r w:rsidR="008C275E" w:rsidRPr="00C760A6">
        <w:t xml:space="preserve">CNTs-C18 </w:t>
      </w:r>
      <w:r w:rsidRPr="00C760A6">
        <w:t>was obtained.</w:t>
      </w:r>
    </w:p>
    <w:p w14:paraId="7E9ED626" w14:textId="77777777" w:rsidR="003D6B78" w:rsidRPr="00C760A6" w:rsidRDefault="00000000" w:rsidP="00F150DB">
      <w:pPr>
        <w:pStyle w:val="2"/>
        <w:spacing w:before="360" w:after="360"/>
      </w:pPr>
      <w:r w:rsidRPr="00C760A6">
        <w:lastRenderedPageBreak/>
        <w:t>Preparation of CNT</w:t>
      </w:r>
      <w:r w:rsidRPr="00672193">
        <w:t>s</w:t>
      </w:r>
      <w:r w:rsidRPr="00C760A6">
        <w:t>-C8</w:t>
      </w:r>
    </w:p>
    <w:p w14:paraId="2E8A649F" w14:textId="21646BE1" w:rsidR="003D6B78" w:rsidRPr="00C760A6" w:rsidRDefault="00000000" w:rsidP="00FB2C71">
      <w:pPr>
        <w:ind w:firstLine="0"/>
      </w:pPr>
      <w:r w:rsidRPr="00C760A6">
        <w:t xml:space="preserve">The synthesis of CNTs-C8 followed a procedure analogous to that of CNTs-C18. Under an argon atmosphere, 100 mg of CNTs-AT was placed in a glass vessel and treated with 2 mL of thionyl chloride, followed by stirring at 30°C for 2 hours. After removing thionyl chloride under reduced pressure, 10 mL of n-octylamine solution was added, and the reaction mixture was stirred at 120°C for 3 hours. The resulting solid was </w:t>
      </w:r>
      <w:r w:rsidR="00BE4005" w:rsidRPr="00C760A6">
        <w:t>washed</w:t>
      </w:r>
      <w:r w:rsidRPr="00C760A6">
        <w:t xml:space="preserve"> with acetone</w:t>
      </w:r>
      <w:r w:rsidR="00BE4005" w:rsidRPr="00C760A6">
        <w:t xml:space="preserve"> and dried. </w:t>
      </w:r>
      <w:r w:rsidRPr="00C760A6">
        <w:t xml:space="preserve"> </w:t>
      </w:r>
    </w:p>
    <w:p w14:paraId="0E42E222" w14:textId="77777777" w:rsidR="003D6B78" w:rsidRPr="00C760A6" w:rsidRDefault="00000000" w:rsidP="00F150DB">
      <w:pPr>
        <w:pStyle w:val="2"/>
        <w:spacing w:before="360" w:after="360"/>
      </w:pPr>
      <w:r w:rsidRPr="00C760A6">
        <w:t>Deposition of monodisperse Pt nanoparticles on CNT</w:t>
      </w:r>
      <w:r w:rsidRPr="00672193">
        <w:t>s</w:t>
      </w:r>
    </w:p>
    <w:p w14:paraId="36E9F8EF" w14:textId="4DBB8091" w:rsidR="003D6B78" w:rsidRPr="00C760A6" w:rsidRDefault="00000000" w:rsidP="00FB2C71">
      <w:pPr>
        <w:ind w:firstLine="0"/>
      </w:pPr>
      <w:r w:rsidRPr="00C760A6">
        <w:t>Pt nanoparticles</w:t>
      </w:r>
      <w:r w:rsidR="00B34ED7" w:rsidRPr="00C760A6">
        <w:t xml:space="preserve"> </w:t>
      </w:r>
      <w:r w:rsidRPr="00C760A6">
        <w:t xml:space="preserve">were deposited onto CNTs, CNTs-AT, CNTs-C8, and CNTs-C18 with a controlled loading of 5 wt%. Using CNTs-AT as a representative example, 100 mg of CNTs-AT was first ultrasonically dispersed in a mixed solvent of isopropanol and hexane (4:1 v/v). A hexane solution containing the pre-synthesized Pt NPs (equivalent to 5 mg Pt) was diluted to 5 mL with hexane and then injected into the CNTs-AT dispersion. The mixture was subjected to ultrasonication for 1 hour, after which the solid product was collected by centrifugation. The collected material was subsequently treated with acetic acid at elevated temperature for 2 hours, followed by washing with hexane </w:t>
      </w:r>
      <w:r w:rsidR="00B34ED7" w:rsidRPr="00C760A6">
        <w:t xml:space="preserve">and </w:t>
      </w:r>
      <w:r w:rsidRPr="00C760A6">
        <w:t>drying</w:t>
      </w:r>
      <w:r w:rsidR="00B34ED7" w:rsidRPr="00C760A6">
        <w:t xml:space="preserve"> to obtain the</w:t>
      </w:r>
      <w:r w:rsidRPr="00C760A6">
        <w:t xml:space="preserve"> final electrocatalyst.</w:t>
      </w:r>
    </w:p>
    <w:p w14:paraId="48FFC6B6" w14:textId="77777777" w:rsidR="003D6B78" w:rsidRPr="00C760A6" w:rsidRDefault="00000000" w:rsidP="00F150DB">
      <w:pPr>
        <w:pStyle w:val="2"/>
        <w:spacing w:before="360" w:after="360"/>
      </w:pPr>
      <w:r w:rsidRPr="00C760A6">
        <w:t>Labeling CNT</w:t>
      </w:r>
      <w:r w:rsidRPr="00672193">
        <w:t>s</w:t>
      </w:r>
      <w:r w:rsidRPr="00C760A6">
        <w:t>-AT with Cy3-NH₂</w:t>
      </w:r>
    </w:p>
    <w:p w14:paraId="1776FE73" w14:textId="051859B6" w:rsidR="003D6B78" w:rsidRPr="00C760A6" w:rsidRDefault="00000000" w:rsidP="00FB2C71">
      <w:pPr>
        <w:ind w:firstLine="0"/>
      </w:pPr>
      <w:r w:rsidRPr="00C760A6">
        <w:t xml:space="preserve">CNTs-AT (30 mg) and N-hydroxysuccinimide (NHS, 15 mg) were dispersed in 15 mL of </w:t>
      </w:r>
      <w:proofErr w:type="gramStart"/>
      <w:r w:rsidRPr="00C760A6">
        <w:t>N,N</w:t>
      </w:r>
      <w:proofErr w:type="gramEnd"/>
      <w:r w:rsidRPr="00C760A6">
        <w:t xml:space="preserve">-dimethylformamide (DMF) via ultrasonication to form a homogeneous suspension. Subsequently, 3 mL of Cy3-NH₂ solution (1×10⁻⁴ M) was added, and the reaction mixture was stirred at room temperature under dark conditions for 20 hours. The solid product was isolated by centrifugation and washed with an acetone-water </w:t>
      </w:r>
      <w:r w:rsidRPr="00C760A6">
        <w:lastRenderedPageBreak/>
        <w:t xml:space="preserve">mixture. </w:t>
      </w:r>
    </w:p>
    <w:p w14:paraId="4B0C3C72" w14:textId="77777777" w:rsidR="003D6B78" w:rsidRPr="00C760A6" w:rsidRDefault="00000000" w:rsidP="00F150DB">
      <w:pPr>
        <w:pStyle w:val="2"/>
        <w:spacing w:before="360" w:after="360"/>
      </w:pPr>
      <w:r w:rsidRPr="00C760A6">
        <w:t>Labeling CNT</w:t>
      </w:r>
      <w:r w:rsidRPr="00672193">
        <w:t>s</w:t>
      </w:r>
      <w:r w:rsidRPr="00C760A6">
        <w:t>-C1</w:t>
      </w:r>
      <w:r w:rsidRPr="00672193">
        <w:t>8</w:t>
      </w:r>
      <w:r w:rsidRPr="00C760A6">
        <w:t xml:space="preserve"> with Cy5-NH₂</w:t>
      </w:r>
      <w:r w:rsidRPr="00672193">
        <w:rPr>
          <w:szCs w:val="24"/>
        </w:rPr>
        <w:t xml:space="preserve"> </w:t>
      </w:r>
    </w:p>
    <w:p w14:paraId="2F77C3DF" w14:textId="4D6531E0" w:rsidR="003D6B78" w:rsidRPr="00C760A6" w:rsidRDefault="00000000" w:rsidP="00FB2C71">
      <w:pPr>
        <w:ind w:firstLine="0"/>
      </w:pPr>
      <w:r w:rsidRPr="00C760A6">
        <w:t>Following a procedure analogous to the Cy3-NH₂ labeling of CNTs-AT, 20 mg of CNTs-C18 was dispersed in 10 mL of toluene via ultrasonication. Subsequently, 10 mg of NHS and 2 mL of Cy5-NH₂ solution (1×10⁻⁴ M) were added to the dispersion. The reaction mixture was stirred at room temperature under dark conditions for 24 hours. The solid product was collected and washed with an acetone-water mixture</w:t>
      </w:r>
      <w:r w:rsidR="00C16E76" w:rsidRPr="00C760A6">
        <w:t>.</w:t>
      </w:r>
      <w:r w:rsidRPr="00C760A6">
        <w:t xml:space="preserve"> </w:t>
      </w:r>
    </w:p>
    <w:p w14:paraId="20A20F6A" w14:textId="6A6975D3" w:rsidR="003D6B78" w:rsidRPr="00C760A6" w:rsidRDefault="00000000" w:rsidP="00F150DB">
      <w:pPr>
        <w:pStyle w:val="2"/>
        <w:spacing w:before="360" w:after="360"/>
      </w:pPr>
      <w:r w:rsidRPr="00C760A6">
        <w:t>Electrochemical Testing</w:t>
      </w:r>
      <w:r w:rsidR="004C5C6F" w:rsidRPr="00672193">
        <w:t xml:space="preserve"> in </w:t>
      </w:r>
      <w:r w:rsidRPr="00C760A6">
        <w:t xml:space="preserve">PEES </w:t>
      </w:r>
    </w:p>
    <w:p w14:paraId="2BA9B330" w14:textId="64E7EBAC" w:rsidR="003D6B78" w:rsidRPr="00C760A6" w:rsidRDefault="00011C51" w:rsidP="00FB2C71">
      <w:pPr>
        <w:ind w:firstLine="0"/>
      </w:pPr>
      <w:r w:rsidRPr="00C760A6">
        <w:t xml:space="preserve">6.5 mg of electrocatalyst was </w:t>
      </w:r>
      <w:r w:rsidR="004C5C6F" w:rsidRPr="00C760A6">
        <w:t>dispersed in</w:t>
      </w:r>
      <w:r w:rsidRPr="00C760A6">
        <w:t xml:space="preserve"> 8 mL of 0.5 M H₂SO₄ in a 20 mL vial</w:t>
      </w:r>
      <w:r w:rsidR="00FA14A4" w:rsidRPr="00C760A6">
        <w:t>, and a</w:t>
      </w:r>
      <w:r w:rsidRPr="00C760A6">
        <w:t xml:space="preserve">n equal mass of CNTs-AT was added to facilitate emulsification. In </w:t>
      </w:r>
      <w:r w:rsidR="00FA14A4" w:rsidRPr="00C760A6">
        <w:t>another</w:t>
      </w:r>
      <w:r w:rsidRPr="00C760A6">
        <w:t xml:space="preserve"> 20 mL vial, 0.2 mmol of </w:t>
      </w:r>
      <w:r w:rsidR="00FA14A4" w:rsidRPr="00C760A6">
        <w:t>4</w:t>
      </w:r>
      <w:r w:rsidRPr="00C760A6">
        <w:t xml:space="preserve">-nitrostyrene was dissolved in 6.5 mL of cyclohexane. The anode compartment of the electrochemical reactor was filled with 80 mL of 0.5 M H₂SO₄ solution. The Pt/CNTs-AT dispersion and the </w:t>
      </w:r>
      <w:r w:rsidR="00FA14A4" w:rsidRPr="00C760A6">
        <w:t>4</w:t>
      </w:r>
      <w:r w:rsidRPr="00C760A6">
        <w:t>-nitrostyrene cyclohexane solution were transferred to the cathode compartment, which was separated from the anode by a Nafion 117 proton exchange membrane. The mixture in the cathode compartment was emulsified using a homogenizer operated at 10,000 rpm for 2 minutes to form a stable Pickering emulsion. The cathode headspace was purged with argon at a flow rate of 30 mL/min for 10 minutes, and all ports were subsequently sealed. An Ag/AgCl electrode (3 M KCl) served as the reference electrode, and a platinum wire was employed as the counter electrode. Constant potential electrolysis was performed at room temperature at -0.4 V</w:t>
      </w:r>
      <w:r w:rsidRPr="003B5953">
        <w:rPr>
          <w:vertAlign w:val="subscript"/>
        </w:rPr>
        <w:t>RH</w:t>
      </w:r>
      <w:r w:rsidRPr="00F150DB">
        <w:rPr>
          <w:vertAlign w:val="subscript"/>
        </w:rPr>
        <w:t>E</w:t>
      </w:r>
      <w:r w:rsidRPr="00C760A6">
        <w:t xml:space="preserve"> with 70% iR compensation, continuing until the charge consumption reached 6 F/mol. </w:t>
      </w:r>
      <w:r w:rsidR="00FA14A4" w:rsidRPr="00C760A6">
        <w:t>After the reaction, the contents of the cathode compartment were extracted and neutralized to pH 7 with an aqueous KOH solution for gas chromatographic (GC) yield analysis.</w:t>
      </w:r>
      <w:r w:rsidRPr="00C760A6">
        <w:t xml:space="preserve"> </w:t>
      </w:r>
    </w:p>
    <w:p w14:paraId="75C0735A" w14:textId="777E78EB" w:rsidR="003D6B78" w:rsidRPr="00C760A6" w:rsidRDefault="00000000" w:rsidP="00F150DB">
      <w:pPr>
        <w:pStyle w:val="2"/>
        <w:spacing w:before="360" w:after="360"/>
      </w:pPr>
      <w:r w:rsidRPr="00C760A6">
        <w:lastRenderedPageBreak/>
        <w:t>Electrochemical Testing</w:t>
      </w:r>
      <w:r w:rsidR="004C5C6F" w:rsidRPr="00672193">
        <w:t xml:space="preserve"> in </w:t>
      </w:r>
      <w:r w:rsidRPr="00672193">
        <w:t>H-Cell</w:t>
      </w:r>
      <w:r w:rsidRPr="00C760A6">
        <w:t xml:space="preserve"> </w:t>
      </w:r>
    </w:p>
    <w:p w14:paraId="731646E4" w14:textId="1DE590D9" w:rsidR="003D6B78" w:rsidRPr="00C760A6" w:rsidRDefault="00000000" w:rsidP="00F150DB">
      <w:pPr>
        <w:pStyle w:val="2"/>
        <w:spacing w:before="360" w:after="360"/>
      </w:pPr>
      <w:r w:rsidRPr="00C760A6">
        <w:t xml:space="preserve">Preparation of Pt/CNT </w:t>
      </w:r>
      <w:r w:rsidR="00C66999" w:rsidRPr="00672193">
        <w:t>E</w:t>
      </w:r>
      <w:r w:rsidRPr="00C760A6">
        <w:t>lectrodes</w:t>
      </w:r>
    </w:p>
    <w:p w14:paraId="38AA9B21" w14:textId="216BFA4E" w:rsidR="003D6B78" w:rsidRPr="00C760A6" w:rsidRDefault="00000000" w:rsidP="00FB2C71">
      <w:pPr>
        <w:ind w:firstLine="0"/>
      </w:pPr>
      <w:r w:rsidRPr="00C760A6">
        <w:t>Using Pt/CNTs-AT as a representative example, the catalyst ink was prepared by thoroughly mixing 5 mg of Pt/CNTs-AT powder with 1 mL of isopropanol and 50 μL of Nafion dispersion. The mixture was subjected to ultrasonication for 1 hour to achieve a homogeneous suspension. A carbon paper (CP) electrode (1 × 1.5 cm² geometric area) was prepared with 1 cm² exposed surface area. The well-dispersed catalyst ink was then drop-coated onto the exposed CP surface to ensure uniform catalyst distribution. Pt/CNTs-C8, Pt/CNTs, and Pt/CNTs-C18 electrodes were fabricated following this procedure.</w:t>
      </w:r>
    </w:p>
    <w:p w14:paraId="040E1609" w14:textId="50A47414" w:rsidR="003D6B78" w:rsidRPr="00C760A6" w:rsidRDefault="00000000" w:rsidP="00F150DB">
      <w:pPr>
        <w:pStyle w:val="2"/>
        <w:spacing w:before="360" w:after="360"/>
      </w:pPr>
      <w:r w:rsidRPr="00C760A6">
        <w:t xml:space="preserve">Electrochemical Performance Evaluation in H-cell </w:t>
      </w:r>
    </w:p>
    <w:p w14:paraId="2B7010F7" w14:textId="6E271290" w:rsidR="003D6B78" w:rsidRPr="00C760A6" w:rsidRDefault="00C66999" w:rsidP="00FB2C71">
      <w:pPr>
        <w:ind w:firstLine="0"/>
      </w:pPr>
      <w:r w:rsidRPr="00C760A6">
        <w:t>The catholyte was prepared by mixing 0.5 M H₂SO₄ aqueous solution with methanol in a 1:1 volume ratio. The system was purged with argon for 30 minutes prior to reaction initiation to remove dissolved oxygen. The cathode compartment contain</w:t>
      </w:r>
      <w:r w:rsidR="00C704BD" w:rsidRPr="00C760A6">
        <w:t>s</w:t>
      </w:r>
      <w:r w:rsidRPr="00C760A6">
        <w:t xml:space="preserve"> 0.2 mmol of 4-NS, while the anode compartment was filled with 0.5 M H₂SO₄ solution, with the two chambers separated by a Nafion 117 proton exchange membrane. A standard three-electrode configuration was employed, with the prepared Pt/CNT electrode (1.0 cm × 1.0 cm effective area) as the working electrode, a platinum wire as the counter electrode, and an Ag/AgCl electrode (3 M KCl) as the reference electrode. Prior to catalytic testing, the working electrode was preconditioned by electrochemical reduction at -0.6 V</w:t>
      </w:r>
      <w:r w:rsidRPr="00F150DB">
        <w:rPr>
          <w:vertAlign w:val="subscript"/>
        </w:rPr>
        <w:t>RHE</w:t>
      </w:r>
      <w:r w:rsidRPr="00C760A6">
        <w:t xml:space="preserve"> in 0.05 M H₂SO₄ for 5 minutes to remove surface impurities and oxides. The ECH process required electron inputs of 6 F/mol and 2 F/mol for Pt/CNTs-AT and Pt/CNTs-C18 catalysts, respectively. Upon reaction completion, the catholyte was neutralized to pH 7 using KOH solution, and the products were extracted with 6.5 mL of cyclohexane for </w:t>
      </w:r>
      <w:r w:rsidRPr="00C760A6">
        <w:lastRenderedPageBreak/>
        <w:t>subsequent gas chromatographic analysis.</w:t>
      </w:r>
    </w:p>
    <w:p w14:paraId="0547A854" w14:textId="77777777" w:rsidR="003D6B78" w:rsidRPr="00C760A6" w:rsidRDefault="00000000" w:rsidP="00F150DB">
      <w:pPr>
        <w:pStyle w:val="2"/>
        <w:spacing w:before="360" w:after="360"/>
      </w:pPr>
      <w:r w:rsidRPr="00C760A6">
        <w:t>Electrochemical Testing Methods</w:t>
      </w:r>
    </w:p>
    <w:p w14:paraId="291154C4" w14:textId="77777777" w:rsidR="003D6B78" w:rsidRPr="00C760A6" w:rsidRDefault="00000000" w:rsidP="00FB2C71">
      <w:pPr>
        <w:ind w:firstLine="0"/>
      </w:pPr>
      <w:r w:rsidRPr="00C760A6">
        <w:t xml:space="preserve">The measured potentials were converted to the reversible hydrogen electrode (RHE) scale using the Nernst equation. </w:t>
      </w:r>
    </w:p>
    <w:p w14:paraId="18EDAA2A" w14:textId="4A714E2F" w:rsidR="003D6B78" w:rsidRPr="00C760A6" w:rsidRDefault="00000000" w:rsidP="00FB2C71">
      <w:pPr>
        <w:spacing w:afterLines="100" w:after="360"/>
        <w:ind w:firstLine="0"/>
        <w:jc w:val="center"/>
      </w:pPr>
      <w:r w:rsidRPr="00672193">
        <w:t>E</w:t>
      </w:r>
      <w:r w:rsidR="00B344E2">
        <w:rPr>
          <w:rFonts w:hint="eastAsia"/>
          <w:vertAlign w:val="subscript"/>
        </w:rPr>
        <w:t>RHE</w:t>
      </w:r>
      <w:r w:rsidRPr="00672193">
        <w:t xml:space="preserve"> = E</w:t>
      </w:r>
      <w:r w:rsidR="00B344E2">
        <w:rPr>
          <w:rFonts w:hint="eastAsia"/>
          <w:vertAlign w:val="subscript"/>
        </w:rPr>
        <w:t>Ag/AgCl</w:t>
      </w:r>
      <w:r w:rsidRPr="00672193">
        <w:t xml:space="preserve"> + </w:t>
      </w:r>
      <w:r w:rsidR="00B344E2">
        <w:rPr>
          <w:rFonts w:hint="eastAsia"/>
        </w:rPr>
        <w:t>(</w:t>
      </w:r>
      <w:r w:rsidRPr="00672193">
        <w:t>0.19</w:t>
      </w:r>
      <w:r w:rsidR="00B344E2">
        <w:rPr>
          <w:rFonts w:hint="eastAsia"/>
        </w:rPr>
        <w:t>8</w:t>
      </w:r>
      <w:r w:rsidRPr="00672193">
        <w:t xml:space="preserve"> </w:t>
      </w:r>
      <w:proofErr w:type="gramStart"/>
      <w:r w:rsidR="00B344E2">
        <w:rPr>
          <w:rFonts w:hint="eastAsia"/>
        </w:rPr>
        <w:t>V)</w:t>
      </w:r>
      <w:r w:rsidRPr="00672193">
        <w:t>+</w:t>
      </w:r>
      <w:proofErr w:type="gramEnd"/>
      <w:r w:rsidRPr="00672193">
        <w:t xml:space="preserve"> </w:t>
      </w:r>
      <w:r w:rsidR="00B344E2">
        <w:rPr>
          <w:rFonts w:hint="eastAsia"/>
        </w:rPr>
        <w:t>(</w:t>
      </w:r>
      <w:r w:rsidRPr="00672193">
        <w:t>0.059</w:t>
      </w:r>
      <w:r w:rsidR="00B344E2">
        <w:rPr>
          <w:rFonts w:hint="eastAsia"/>
        </w:rPr>
        <w:t>7 V)</w:t>
      </w:r>
      <w:r w:rsidRPr="00672193">
        <w:t xml:space="preserve"> × pH</w:t>
      </w:r>
      <w:r w:rsidR="00B344E2">
        <w:rPr>
          <w:rFonts w:hint="eastAsia"/>
        </w:rPr>
        <w:t>.</w:t>
      </w:r>
    </w:p>
    <w:p w14:paraId="70A5C141" w14:textId="77777777" w:rsidR="003D6B78" w:rsidRPr="00C760A6" w:rsidRDefault="00000000" w:rsidP="00FB2C71">
      <w:pPr>
        <w:spacing w:afterLines="100" w:after="360"/>
        <w:ind w:firstLine="0"/>
      </w:pPr>
      <w:r w:rsidRPr="00C760A6">
        <w:t>Unless otherwise stated, all potentials reported in this work are referenced against the reversible hydrogen electrode (RHE). All linear sweep voltammetry (LSV) measurements were performed at a scan rate of 20 mV/s with 90% iR compensation applied.</w:t>
      </w:r>
    </w:p>
    <w:p w14:paraId="21F3DD11" w14:textId="0044548C" w:rsidR="003D6B78" w:rsidRPr="00C760A6" w:rsidRDefault="00000000" w:rsidP="00FB2C71">
      <w:pPr>
        <w:ind w:firstLine="0"/>
      </w:pPr>
      <w:r w:rsidRPr="00C760A6">
        <w:t xml:space="preserve">Electrochemical impedance spectroscopy (EIS) measurements were carried out in the </w:t>
      </w:r>
      <w:r w:rsidR="00EA4EA1" w:rsidRPr="00660F80">
        <w:t>PEES</w:t>
      </w:r>
      <w:r w:rsidRPr="00C760A6">
        <w:t>, using 0.05 M H₂SO₄ (pH = 1) as the electrolyte. The measurements were conducted over a frequency range of 10</w:t>
      </w:r>
      <w:r w:rsidR="00F150DB" w:rsidRPr="00F150DB">
        <w:rPr>
          <w:rFonts w:hint="eastAsia"/>
          <w:vertAlign w:val="superscript"/>
        </w:rPr>
        <w:t>5</w:t>
      </w:r>
      <w:r w:rsidRPr="00C760A6">
        <w:t xml:space="preserve"> to 0.1 Hz with an AC amplitude of 5 mV, scanning the potential from −0.05 V</w:t>
      </w:r>
      <w:r w:rsidR="00F150DB">
        <w:rPr>
          <w:rFonts w:hint="eastAsia"/>
          <w:vertAlign w:val="subscript"/>
        </w:rPr>
        <w:t>RHE</w:t>
      </w:r>
      <w:r w:rsidRPr="00C760A6">
        <w:t xml:space="preserve"> to −0.30 </w:t>
      </w:r>
      <w:r w:rsidR="00F150DB">
        <w:rPr>
          <w:rFonts w:hint="eastAsia"/>
        </w:rPr>
        <w:t>V</w:t>
      </w:r>
      <w:r w:rsidR="00F150DB">
        <w:rPr>
          <w:rFonts w:hint="eastAsia"/>
          <w:vertAlign w:val="subscript"/>
        </w:rPr>
        <w:t xml:space="preserve">RHE </w:t>
      </w:r>
      <w:r w:rsidR="00F150DB">
        <w:rPr>
          <w:rFonts w:hint="eastAsia"/>
        </w:rPr>
        <w:t>at</w:t>
      </w:r>
      <w:r w:rsidRPr="00C760A6">
        <w:t xml:space="preserve"> 50 mV intervals. The key parameters extracted include the charge transfer resistance (R</w:t>
      </w:r>
      <w:r w:rsidRPr="00C760A6">
        <w:rPr>
          <w:vertAlign w:val="subscript"/>
        </w:rPr>
        <w:t>ct</w:t>
      </w:r>
      <w:r w:rsidRPr="00C760A6">
        <w:t>), differential capacitance (C</w:t>
      </w:r>
      <w:r w:rsidRPr="00C760A6">
        <w:rPr>
          <w:vertAlign w:val="subscript"/>
        </w:rPr>
        <w:t>dl</w:t>
      </w:r>
      <w:r w:rsidRPr="00C760A6">
        <w:t>), and solution resistance (R</w:t>
      </w:r>
      <w:r w:rsidRPr="00C760A6">
        <w:rPr>
          <w:vertAlign w:val="subscript"/>
        </w:rPr>
        <w:t>s</w:t>
      </w:r>
      <w:r w:rsidRPr="00C760A6">
        <w:t xml:space="preserve">). The collected EIS data were fitted with the equivalent circuit model presented in </w:t>
      </w:r>
      <w:r w:rsidRPr="00095DCB">
        <w:rPr>
          <w:color w:val="000000" w:themeColor="text1"/>
        </w:rPr>
        <w:t>Figure S2</w:t>
      </w:r>
      <w:r w:rsidR="001A22A3">
        <w:rPr>
          <w:rFonts w:hint="eastAsia"/>
          <w:color w:val="000000" w:themeColor="text1"/>
        </w:rPr>
        <w:t>4</w:t>
      </w:r>
      <w:r w:rsidRPr="00C760A6">
        <w:t>. The double-layer capacitance was quantified using Equation (1)</w:t>
      </w:r>
      <w:r w:rsidR="00857376" w:rsidRPr="00857376">
        <w:rPr>
          <w:rFonts w:cs="Times New Roman"/>
          <w:kern w:val="0"/>
          <w:vertAlign w:val="superscript"/>
        </w:rPr>
        <w:t>2</w:t>
      </w:r>
      <w:r w:rsidRPr="00C760A6">
        <w:t xml:space="preserve">, where CPE denotes the constant-phase element and </w:t>
      </w:r>
      <w:r w:rsidRPr="00C760A6">
        <w:rPr>
          <w:i/>
          <w:iCs/>
        </w:rPr>
        <w:t>n</w:t>
      </w:r>
      <w:r w:rsidRPr="00C760A6">
        <w:t xml:space="preserve"> represents the corresponding fitting parameter derived from the Nyquist plot fitting.</w:t>
      </w:r>
    </w:p>
    <w:p w14:paraId="237491CB" w14:textId="7DEE3C01" w:rsidR="003D6B78" w:rsidRPr="00C760A6" w:rsidRDefault="00F150DB" w:rsidP="00095DCB">
      <w:pPr>
        <w:pStyle w:val="af3"/>
        <w:rPr>
          <w:szCs w:val="24"/>
        </w:rPr>
      </w:pPr>
      <w:r>
        <w:rPr>
          <w:rFonts w:eastAsiaTheme="minorEastAsia" w:cstheme="minorBidi"/>
        </w:rPr>
        <w:tab/>
      </w:r>
      <m:oMath>
        <m:sSub>
          <m:sSubPr>
            <m:ctrlPr>
              <w:rPr>
                <w:rFonts w:ascii="Cambria Math" w:hAnsi="Cambria Math"/>
              </w:rPr>
            </m:ctrlPr>
          </m:sSubPr>
          <m:e>
            <m:bar>
              <m:barPr>
                <m:pos m:val="top"/>
                <m:ctrlPr>
                  <w:rPr>
                    <w:rFonts w:ascii="Cambria Math" w:hAnsi="Cambria Math"/>
                  </w:rPr>
                </m:ctrlPr>
              </m:barPr>
              <m:e>
                <m:r>
                  <w:rPr>
                    <w:rFonts w:ascii="Cambria Math" w:hAnsi="Cambria Math"/>
                  </w:rPr>
                  <m:t>C</m:t>
                </m:r>
              </m:e>
            </m:bar>
          </m:e>
          <m:sub>
            <m:r>
              <w:rPr>
                <w:rFonts w:ascii="Cambria Math" w:hAnsi="Cambria Math"/>
              </w:rPr>
              <m:t>dl</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(CPE∙</m:t>
                </m:r>
                <m:sSub>
                  <m:sSubPr>
                    <m:ctrlPr>
                      <w:rPr>
                        <w:rFonts w:ascii="Cambria Math" w:hAnsi="Cambria Math"/>
                      </w:rPr>
                    </m:ctrlPr>
                  </m:sSubPr>
                  <m:e>
                    <m:r>
                      <w:rPr>
                        <w:rFonts w:ascii="Cambria Math" w:hAnsi="Cambria Math"/>
                      </w:rPr>
                      <m:t>R</m:t>
                    </m:r>
                  </m:e>
                  <m:sub>
                    <m:r>
                      <w:rPr>
                        <w:rFonts w:ascii="Cambria Math" w:hAnsi="Cambria Math"/>
                      </w:rPr>
                      <m:t>ct</m:t>
                    </m:r>
                  </m:sub>
                </m:sSub>
                <m:r>
                  <m:rPr>
                    <m:sty m:val="p"/>
                  </m:rPr>
                  <w:rPr>
                    <w:rFonts w:ascii="Cambria Math" w:hAnsi="Cambria Math"/>
                  </w:rPr>
                  <m:t>)</m:t>
                </m:r>
              </m:e>
              <m:sup>
                <m:r>
                  <m:rPr>
                    <m:sty m:val="p"/>
                  </m:rPr>
                  <w:rPr>
                    <w:rFonts w:ascii="Cambria Math" w:hAnsi="Cambria Math"/>
                  </w:rPr>
                  <m:t>1/</m:t>
                </m:r>
                <m:r>
                  <w:rPr>
                    <w:rFonts w:ascii="Cambria Math" w:hAnsi="Cambria Math"/>
                  </w:rPr>
                  <m:t>n</m:t>
                </m:r>
              </m:sup>
            </m:sSup>
          </m:num>
          <m:den>
            <m:sSub>
              <m:sSubPr>
                <m:ctrlPr>
                  <w:rPr>
                    <w:rFonts w:ascii="Cambria Math" w:hAnsi="Cambria Math"/>
                    <w:iCs/>
                  </w:rPr>
                </m:ctrlPr>
              </m:sSubPr>
              <m:e>
                <m:r>
                  <w:rPr>
                    <w:rFonts w:ascii="Cambria Math" w:hAnsi="Cambria Math"/>
                  </w:rPr>
                  <m:t>R</m:t>
                </m:r>
              </m:e>
              <m:sub>
                <m:r>
                  <w:rPr>
                    <w:rFonts w:ascii="Cambria Math" w:hAnsi="Cambria Math"/>
                  </w:rPr>
                  <m:t>ct</m:t>
                </m:r>
              </m:sub>
            </m:sSub>
          </m:den>
        </m:f>
      </m:oMath>
      <w:r w:rsidR="00B344E2">
        <w:rPr>
          <w:rFonts w:eastAsiaTheme="minorEastAsia" w:cstheme="minorBidi" w:hint="eastAsia"/>
        </w:rPr>
        <w:t xml:space="preserve"> </w:t>
      </w:r>
      <w:r w:rsidR="00B344E2">
        <w:rPr>
          <w:rFonts w:eastAsiaTheme="minorEastAsia" w:cstheme="minorBidi"/>
        </w:rPr>
        <w:tab/>
      </w:r>
      <w:r w:rsidR="00B344E2">
        <w:rPr>
          <w:rFonts w:eastAsiaTheme="minorEastAsia" w:cstheme="minorBidi" w:hint="eastAsia"/>
        </w:rPr>
        <w:t>(1)</w:t>
      </w:r>
    </w:p>
    <w:p w14:paraId="4A09F090" w14:textId="77777777" w:rsidR="003D6B78" w:rsidRPr="00F150DB" w:rsidRDefault="00000000" w:rsidP="00095DCB">
      <w:pPr>
        <w:pStyle w:val="2"/>
        <w:spacing w:before="360" w:after="360"/>
        <w:rPr>
          <w:szCs w:val="24"/>
        </w:rPr>
      </w:pPr>
      <w:bookmarkStart w:id="2" w:name="_Hlk212995273"/>
      <w:r w:rsidRPr="00F150DB">
        <w:t>Characterization and analysis</w:t>
      </w:r>
      <w:r w:rsidRPr="00F150DB">
        <w:rPr>
          <w:szCs w:val="24"/>
        </w:rPr>
        <w:t xml:space="preserve"> </w:t>
      </w:r>
    </w:p>
    <w:bookmarkEnd w:id="2"/>
    <w:p w14:paraId="7A5E99A7" w14:textId="45782917" w:rsidR="003D6B78" w:rsidRPr="00C760A6" w:rsidRDefault="00000000" w:rsidP="00FB2C71">
      <w:pPr>
        <w:ind w:firstLine="0"/>
        <w:rPr>
          <w:szCs w:val="24"/>
        </w:rPr>
      </w:pPr>
      <w:r w:rsidRPr="00C760A6">
        <w:rPr>
          <w:szCs w:val="24"/>
        </w:rPr>
        <w:t xml:space="preserve">ICP-OES analysis was performed using an Agilent 5100 (OES) atomic emission spectrometer in axial detector mode. Scanning electron microscopy (SEM) images were </w:t>
      </w:r>
      <w:r w:rsidRPr="00C760A6">
        <w:rPr>
          <w:szCs w:val="24"/>
        </w:rPr>
        <w:lastRenderedPageBreak/>
        <w:t>acquired on an S-4800 field emission scanning electron microscope. Transmission electron microscopy (TEM) images were obtained on a JEM-F200 FEI Tecnai G2 F20 FEI Talos F200s field emission transmission electron microscope at an acceleration voltage of 200 kV. Raman spectra were collected using a confocal Raman microscope (Horiba LabRAM HR Evolution) with 532 nm laser excitation. X-ray photoelectron spectroscopy (XPS) was performed using a Thermo Escalab 250 spectrometer (equipped with a Cu Kα X-ray source). All binding energies were calibrated relative to the C 1s peak at 284.8 eV. Electrochemical experiments were performed using a BioLogic SAS SP-300 potentiostat. Liquid samples were analyzed using an Agilent 8860 gas chromatograph equipped with an FID detector and HP-5 column. Confocal laser scanning microscopy (CLSM) and Z-stack 3D CLSM images were acquired using a Nikon A1R laser confocal microscope. The excitation wavelengths were 550 nm for Cy3-NH₂, 650 nm for Cy5, 488 nm for FITC, and 552 nm for Nile Red.</w:t>
      </w:r>
    </w:p>
    <w:p w14:paraId="1A39979A" w14:textId="77777777" w:rsidR="003D6B78" w:rsidRPr="00C760A6" w:rsidRDefault="00000000" w:rsidP="00F150DB">
      <w:pPr>
        <w:pStyle w:val="2"/>
        <w:spacing w:before="360" w:after="360"/>
      </w:pPr>
      <w:r w:rsidRPr="00C760A6">
        <w:t>Products analysis</w:t>
      </w:r>
    </w:p>
    <w:p w14:paraId="2E79B335" w14:textId="527103B2" w:rsidR="003D6B78" w:rsidRPr="00C760A6" w:rsidRDefault="001A22A3" w:rsidP="00FB2C71">
      <w:pPr>
        <w:ind w:firstLine="0"/>
      </w:pPr>
      <w:r w:rsidRPr="00C760A6">
        <w:rPr>
          <w:szCs w:val="24"/>
        </w:rPr>
        <w:t>Product identification was accomplished via gas chromatography-mass spectrometry (GC-MS) using a Shimadzu QP2020 NX (</w:t>
      </w:r>
      <w:r>
        <w:rPr>
          <w:rFonts w:hint="eastAsia"/>
          <w:szCs w:val="24"/>
        </w:rPr>
        <w:t>Figure S25-28</w:t>
      </w:r>
      <w:r w:rsidRPr="00C760A6">
        <w:rPr>
          <w:szCs w:val="24"/>
        </w:rPr>
        <w:t>).</w:t>
      </w:r>
      <w:r>
        <w:rPr>
          <w:rFonts w:hint="eastAsia"/>
          <w:szCs w:val="24"/>
        </w:rPr>
        <w:t xml:space="preserve"> </w:t>
      </w:r>
      <w:r>
        <w:rPr>
          <w:rFonts w:hint="eastAsia"/>
        </w:rPr>
        <w:t>At the end of</w:t>
      </w:r>
      <w:r w:rsidRPr="00C760A6">
        <w:t xml:space="preserve"> the reaction, the organic phase was isolated by filtering 1 mL of emulsion</w:t>
      </w:r>
      <w:r w:rsidR="00EA4EA1" w:rsidRPr="00C760A6">
        <w:t>s</w:t>
      </w:r>
      <w:r w:rsidRPr="00C760A6">
        <w:t xml:space="preserve">, and the filtrate was subjected to analysis by </w:t>
      </w:r>
      <w:r w:rsidR="00EA4EA1" w:rsidRPr="00C760A6">
        <w:t>a GC-</w:t>
      </w:r>
      <w:r w:rsidRPr="00C760A6">
        <w:t>FID. Quantification of all reactants and products was accomplished using the external standard method. Calibration curves were established using authentic standards of 4-nitrostyrene, 4-nitroethylbenzene, 4-aminostyrene, and 4-aminoethylbenzene</w:t>
      </w:r>
      <w:r>
        <w:rPr>
          <w:rFonts w:hint="eastAsia"/>
        </w:rPr>
        <w:t xml:space="preserve"> (Figure S29)</w:t>
      </w:r>
      <w:r w:rsidRPr="00C760A6">
        <w:t>. The concentration of each compound was determined from the respective chromatographic peak area using the corresponding calibration curve.</w:t>
      </w:r>
    </w:p>
    <w:p w14:paraId="0DDCBDF1" w14:textId="77777777" w:rsidR="003D6B78" w:rsidRPr="00C760A6" w:rsidRDefault="00000000" w:rsidP="00095DCB">
      <w:pPr>
        <w:pStyle w:val="2"/>
        <w:spacing w:before="360" w:after="360"/>
      </w:pPr>
      <w:r w:rsidRPr="00C760A6">
        <w:lastRenderedPageBreak/>
        <w:t>Calculation</w:t>
      </w:r>
    </w:p>
    <w:p w14:paraId="686F772D" w14:textId="4DAE9344" w:rsidR="003D6B78" w:rsidRPr="00C760A6" w:rsidRDefault="00000000" w:rsidP="00FB2C71">
      <w:pPr>
        <w:ind w:firstLine="0"/>
      </w:pPr>
      <w:r w:rsidRPr="00C760A6">
        <w:t>Faraday efficiency (FE) and selectivity for a specific product</w:t>
      </w:r>
      <w:r w:rsidR="00EA4EA1" w:rsidRPr="00660F80">
        <w:t xml:space="preserve"> </w:t>
      </w:r>
      <w:r w:rsidRPr="00C760A6">
        <w:t xml:space="preserve">are calculated using the following equations: </w:t>
      </w:r>
    </w:p>
    <w:p w14:paraId="173BF522" w14:textId="13DFC07E" w:rsidR="003D6B78" w:rsidRPr="00C760A6" w:rsidRDefault="00F150DB" w:rsidP="00F150DB">
      <w:pPr>
        <w:pStyle w:val="af3"/>
      </w:pPr>
      <w:r>
        <w:rPr>
          <w:rFonts w:eastAsiaTheme="minorEastAsia" w:cstheme="minorBidi"/>
          <w:iCs/>
        </w:rPr>
        <w:tab/>
      </w:r>
      <m:oMath>
        <m:r>
          <w:rPr>
            <w:rFonts w:ascii="Cambria Math" w:hAnsi="Cambria Math"/>
          </w:rPr>
          <m:t>FE</m:t>
        </m:r>
        <m:r>
          <m:rPr>
            <m:sty m:val="p"/>
          </m:rPr>
          <w:rPr>
            <w:rFonts w:ascii="Cambria Math" w:hAnsi="Cambria Math"/>
          </w:rPr>
          <m:t xml:space="preserve"> </m:t>
        </m:r>
        <m:d>
          <m:dPr>
            <m:ctrlPr>
              <w:rPr>
                <w:rFonts w:ascii="Cambria Math" w:hAnsi="Cambria Math"/>
                <w:iCs/>
              </w:rPr>
            </m:ctrlPr>
          </m:dPr>
          <m:e>
            <m:r>
              <m:rPr>
                <m:sty m:val="p"/>
              </m:rPr>
              <w:rPr>
                <w:rFonts w:ascii="Cambria Math" w:hAnsi="Cambria Math"/>
              </w:rPr>
              <m:t>%</m:t>
            </m:r>
          </m:e>
        </m:d>
        <m:r>
          <m:rPr>
            <m:sty m:val="p"/>
          </m:rPr>
          <w:rPr>
            <w:rFonts w:ascii="Cambria Math" w:hAnsi="Cambria Math"/>
          </w:rPr>
          <m:t>=</m:t>
        </m:r>
        <m:f>
          <m:fPr>
            <m:ctrlPr>
              <w:rPr>
                <w:rFonts w:ascii="Cambria Math" w:hAnsi="Cambria Math"/>
                <w:iCs/>
              </w:rPr>
            </m:ctrlPr>
          </m:fPr>
          <m:num>
            <m:r>
              <m:rPr>
                <m:sty m:val="p"/>
              </m:rPr>
              <w:rPr>
                <w:rFonts w:ascii="Cambria Math" w:hAnsi="Cambria Math"/>
              </w:rPr>
              <m:t>（</m:t>
            </m:r>
            <m:r>
              <w:rPr>
                <w:rFonts w:ascii="Cambria Math" w:hAnsi="Cambria Math"/>
              </w:rPr>
              <m:t>Mole</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produced</m:t>
            </m:r>
            <m:r>
              <m:rPr>
                <m:sty m:val="p"/>
              </m:rPr>
              <w:rPr>
                <w:rFonts w:ascii="Cambria Math" w:hAnsi="Cambria Math"/>
              </w:rPr>
              <m:t xml:space="preserve"> </m:t>
            </m:r>
            <m:r>
              <w:rPr>
                <w:rFonts w:ascii="Cambria Math" w:hAnsi="Cambria Math"/>
              </w:rPr>
              <m:t>product</m:t>
            </m:r>
            <m:r>
              <m:rPr>
                <m:sty m:val="p"/>
              </m:rPr>
              <w:rPr>
                <w:rFonts w:ascii="Cambria Math" w:hAnsi="Cambria Math"/>
              </w:rPr>
              <m:t>）</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eastAsiaTheme="majorEastAsia" w:hAnsi="Cambria Math"/>
              </w:rPr>
              <m:t>F</m:t>
            </m:r>
          </m:num>
          <m:den>
            <m:r>
              <w:rPr>
                <w:rFonts w:ascii="Cambria Math" w:hAnsi="Cambria Math"/>
              </w:rPr>
              <m:t>Total</m:t>
            </m:r>
            <m:r>
              <m:rPr>
                <m:sty m:val="p"/>
              </m:rPr>
              <w:rPr>
                <w:rFonts w:ascii="Cambria Math" w:hAnsi="Cambria Math"/>
              </w:rPr>
              <m:t xml:space="preserve"> </m:t>
            </m:r>
            <m:r>
              <w:rPr>
                <w:rFonts w:ascii="Cambria Math" w:hAnsi="Cambria Math"/>
              </w:rPr>
              <m:t>charged</m:t>
            </m:r>
            <m:r>
              <m:rPr>
                <m:sty m:val="p"/>
              </m:rPr>
              <w:rPr>
                <w:rFonts w:ascii="Cambria Math" w:hAnsi="Cambria Math"/>
              </w:rPr>
              <m:t xml:space="preserve"> </m:t>
            </m:r>
            <m:r>
              <w:rPr>
                <w:rFonts w:ascii="Cambria Math" w:hAnsi="Cambria Math"/>
              </w:rPr>
              <m:t>passed</m:t>
            </m:r>
          </m:den>
        </m:f>
        <m:r>
          <m:rPr>
            <m:sty m:val="p"/>
          </m:rPr>
          <w:rPr>
            <w:rFonts w:ascii="Cambria Math" w:hAnsi="Cambria Math"/>
          </w:rPr>
          <m:t>×100%</m:t>
        </m:r>
      </m:oMath>
      <w:r w:rsidRPr="00C760A6">
        <w:tab/>
      </w:r>
      <w:r w:rsidRPr="00672193">
        <w:t>(1)</w:t>
      </w:r>
    </w:p>
    <w:p w14:paraId="7237CF86" w14:textId="5A29AA2D" w:rsidR="003D6B78" w:rsidRPr="00C760A6" w:rsidRDefault="00F150DB" w:rsidP="00F150DB">
      <w:pPr>
        <w:pStyle w:val="af3"/>
      </w:pPr>
      <w:r>
        <w:rPr>
          <w:iCs/>
        </w:rPr>
        <w:tab/>
      </w:r>
      <m:oMath>
        <m:r>
          <w:rPr>
            <w:rFonts w:ascii="Cambria Math" w:hAnsi="Cambria Math"/>
          </w:rPr>
          <m:t>Selectivity</m:t>
        </m:r>
        <m:r>
          <m:rPr>
            <m:sty m:val="p"/>
          </m:rPr>
          <w:rPr>
            <w:rFonts w:ascii="Cambria Math" w:hAnsi="Cambria Math"/>
          </w:rPr>
          <m:t xml:space="preserve"> </m:t>
        </m:r>
        <m:d>
          <m:dPr>
            <m:ctrlPr>
              <w:rPr>
                <w:rFonts w:ascii="Cambria Math" w:hAnsi="Cambria Math"/>
                <w:iCs/>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r>
              <w:rPr>
                <w:rFonts w:ascii="Cambria Math" w:hAnsi="Cambria Math"/>
              </w:rPr>
              <m:t>Mole</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certain</m:t>
            </m:r>
            <m:r>
              <m:rPr>
                <m:sty m:val="p"/>
              </m:rPr>
              <w:rPr>
                <w:rFonts w:ascii="Cambria Math" w:hAnsi="Cambria Math"/>
              </w:rPr>
              <m:t xml:space="preserve"> </m:t>
            </m:r>
            <m:r>
              <w:rPr>
                <w:rFonts w:ascii="Cambria Math" w:hAnsi="Cambria Math"/>
              </w:rPr>
              <m:t>product</m:t>
            </m:r>
          </m:num>
          <m:den>
            <m:r>
              <w:rPr>
                <w:rFonts w:ascii="Cambria Math" w:hAnsi="Cambria Math"/>
              </w:rPr>
              <m:t>Mole</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all</m:t>
            </m:r>
            <m:r>
              <m:rPr>
                <m:sty m:val="p"/>
              </m:rPr>
              <w:rPr>
                <w:rFonts w:ascii="Cambria Math" w:hAnsi="Cambria Math"/>
              </w:rPr>
              <m:t xml:space="preserve"> </m:t>
            </m:r>
            <m:r>
              <w:rPr>
                <w:rFonts w:ascii="Cambria Math" w:hAnsi="Cambria Math"/>
              </w:rPr>
              <m:t>the</m:t>
            </m:r>
            <m:r>
              <m:rPr>
                <m:sty m:val="p"/>
              </m:rPr>
              <w:rPr>
                <w:rFonts w:ascii="Cambria Math" w:hAnsi="Cambria Math"/>
              </w:rPr>
              <m:t xml:space="preserve"> </m:t>
            </m:r>
            <m:r>
              <w:rPr>
                <w:rFonts w:ascii="Cambria Math" w:hAnsi="Cambria Math"/>
              </w:rPr>
              <m:t>detected</m:t>
            </m:r>
            <m:r>
              <m:rPr>
                <m:sty m:val="p"/>
              </m:rPr>
              <w:rPr>
                <w:rFonts w:ascii="Cambria Math" w:hAnsi="Cambria Math"/>
              </w:rPr>
              <m:t xml:space="preserve"> </m:t>
            </m:r>
            <m:r>
              <w:rPr>
                <w:rFonts w:ascii="Cambria Math" w:hAnsi="Cambria Math"/>
              </w:rPr>
              <m:t>products</m:t>
            </m:r>
          </m:den>
        </m:f>
        <m:r>
          <m:rPr>
            <m:sty m:val="p"/>
          </m:rPr>
          <w:rPr>
            <w:rFonts w:ascii="Cambria Math" w:hAnsi="Cambria Math"/>
          </w:rPr>
          <m:t>×100%</m:t>
        </m:r>
      </m:oMath>
      <w:r w:rsidRPr="00C760A6">
        <w:tab/>
      </w:r>
      <w:r w:rsidRPr="00672193">
        <w:t>(2)</w:t>
      </w:r>
    </w:p>
    <w:p w14:paraId="14BC1CC8" w14:textId="74E9D470" w:rsidR="00B344E2" w:rsidRDefault="00000000" w:rsidP="00FB2C71">
      <w:pPr>
        <w:ind w:firstLine="0"/>
      </w:pPr>
      <w:r w:rsidRPr="00C760A6">
        <w:t xml:space="preserve">Where </w:t>
      </w:r>
      <w:r w:rsidRPr="00C760A6">
        <w:rPr>
          <w:i/>
          <w:iCs/>
        </w:rPr>
        <w:t>n</w:t>
      </w:r>
      <w:r w:rsidR="00EA4EA1" w:rsidRPr="00C760A6">
        <w:t> denotes the number of electrons transferred for the formation of each product, while </w:t>
      </w:r>
      <w:r w:rsidR="00EA4EA1" w:rsidRPr="00F150DB">
        <w:rPr>
          <w:i/>
          <w:iCs/>
        </w:rPr>
        <w:t>F</w:t>
      </w:r>
      <w:r w:rsidR="00EA4EA1" w:rsidRPr="00C760A6">
        <w:t> represents the Faraday constant (96485 C·mol⁻¹).</w:t>
      </w:r>
    </w:p>
    <w:p w14:paraId="5AC34A2B" w14:textId="011A9C46" w:rsidR="00B344E2" w:rsidRPr="00B344E2" w:rsidRDefault="00000000" w:rsidP="00B344E2">
      <w:pPr>
        <w:pStyle w:val="2"/>
        <w:spacing w:before="360" w:after="360"/>
      </w:pPr>
      <w:r w:rsidRPr="00672193">
        <w:t>MD</w:t>
      </w:r>
      <w:r w:rsidRPr="00C760A6">
        <w:t xml:space="preserve"> simulation</w:t>
      </w:r>
    </w:p>
    <w:p w14:paraId="62C6E2C8" w14:textId="77777777" w:rsidR="003D6B78" w:rsidRPr="00C760A6" w:rsidRDefault="00000000" w:rsidP="00FB2C71">
      <w:pPr>
        <w:spacing w:afterLines="100" w:after="360"/>
        <w:ind w:firstLine="0"/>
      </w:pPr>
      <w:r w:rsidRPr="00C760A6">
        <w:t>Classical molecular dynamics (MD) simulations were employed to investigate the structural and dynamic properties of the mixed solution at the solid-liquid interface with atomic-level resolution. A confined simulation system was constructed to accurately model the interfacial environment.</w:t>
      </w:r>
    </w:p>
    <w:p w14:paraId="02F6F0D8" w14:textId="0BA8C809" w:rsidR="003D6B78" w:rsidRPr="00C760A6" w:rsidRDefault="00887FE5" w:rsidP="00FB2C71">
      <w:pPr>
        <w:spacing w:afterLines="100" w:after="360"/>
        <w:ind w:firstLine="0"/>
      </w:pPr>
      <w:r w:rsidRPr="00C760A6">
        <w:t>The simulation model was composed of 25 ion pairs of </w:t>
      </w:r>
      <w:r w:rsidRPr="00660F80">
        <w:t>(H</w:t>
      </w:r>
      <w:r w:rsidRPr="00F150DB">
        <w:rPr>
          <w:vertAlign w:val="subscript"/>
        </w:rPr>
        <w:t>3</w:t>
      </w:r>
      <w:r w:rsidRPr="00660F80">
        <w:t>O)</w:t>
      </w:r>
      <w:r w:rsidRPr="00F150DB">
        <w:rPr>
          <w:vertAlign w:val="subscript"/>
        </w:rPr>
        <w:t>2</w:t>
      </w:r>
      <w:r w:rsidRPr="00660F80">
        <w:t>SO</w:t>
      </w:r>
      <w:r w:rsidRPr="00F150DB">
        <w:rPr>
          <w:vertAlign w:val="subscript"/>
        </w:rPr>
        <w:t>4</w:t>
      </w:r>
      <w:r w:rsidRPr="00C760A6">
        <w:t>, 300 cyclohexane molecules, 3600 water molecules, and two functionalized substrates. Specifically, the bottom substrate was constructed by grafting octadecylamine molecules onto its surface via amide linkages, whereas the top substrate was modified with carboxylic acid groups. The initial system configuration was generated using PACKMOL software</w:t>
      </w:r>
      <w:r w:rsidR="00857376" w:rsidRPr="00857376">
        <w:rPr>
          <w:rFonts w:cs="Times New Roman"/>
          <w:kern w:val="0"/>
          <w:vertAlign w:val="superscript"/>
        </w:rPr>
        <w:t>3</w:t>
      </w:r>
      <w:r w:rsidRPr="00C760A6">
        <w:t>.</w:t>
      </w:r>
      <w:r w:rsidRPr="00C760A6">
        <w:rPr>
          <w:rFonts w:eastAsia="Times New Roman"/>
          <w:kern w:val="0"/>
        </w:rPr>
        <w:t xml:space="preserve"> </w:t>
      </w:r>
      <w:r w:rsidRPr="00C760A6">
        <w:t>The initial configuration is shown in Figure S</w:t>
      </w:r>
      <w:r w:rsidR="001A22A3">
        <w:rPr>
          <w:rFonts w:hint="eastAsia"/>
        </w:rPr>
        <w:t>30-31</w:t>
      </w:r>
      <w:r w:rsidRPr="00C760A6">
        <w:t>.</w:t>
      </w:r>
    </w:p>
    <w:p w14:paraId="56824E4E" w14:textId="57BDB257" w:rsidR="003D6B78" w:rsidRPr="00C760A6" w:rsidRDefault="00000000" w:rsidP="00FB2C71">
      <w:pPr>
        <w:spacing w:afterLines="100" w:after="360"/>
        <w:ind w:firstLine="0"/>
      </w:pPr>
      <w:r w:rsidRPr="00C760A6">
        <w:t>All molecules were described using the OPLS-AA (Optimized Potentials for Liquid Simulations - All Atom) force field</w:t>
      </w:r>
      <w:r w:rsidR="00857376" w:rsidRPr="00857376">
        <w:rPr>
          <w:rFonts w:cs="Times New Roman"/>
          <w:kern w:val="0"/>
          <w:vertAlign w:val="superscript"/>
        </w:rPr>
        <w:t>4</w:t>
      </w:r>
      <w:r w:rsidRPr="00C760A6">
        <w:t>. The water model was specifically adapted for compatibility with the OPLS-AA framework. Atomic charges were assigned using the CM5 charge model implemented in the AuToFF network server</w:t>
      </w:r>
      <w:r w:rsidR="00857376" w:rsidRPr="00857376">
        <w:rPr>
          <w:rFonts w:cs="Times New Roman"/>
          <w:kern w:val="0"/>
          <w:vertAlign w:val="superscript"/>
        </w:rPr>
        <w:t>5</w:t>
      </w:r>
      <w:r w:rsidRPr="00C760A6">
        <w:t>.</w:t>
      </w:r>
    </w:p>
    <w:p w14:paraId="6002FD3F" w14:textId="77777777" w:rsidR="003D6B78" w:rsidRPr="00C760A6" w:rsidRDefault="00000000" w:rsidP="00FB2C71">
      <w:pPr>
        <w:ind w:firstLine="0"/>
      </w:pPr>
      <w:r w:rsidRPr="00C760A6">
        <w:lastRenderedPageBreak/>
        <w:t>The molecular force field encompasses both non-bonded and bonded interactions. Non-bonded interactions include van der Waals (vdW) forces and electrostatic interactions, which are described by Equation 1 and Equation 2, respectively.</w:t>
      </w:r>
    </w:p>
    <w:p w14:paraId="6DBA54D7" w14:textId="0A61BA60" w:rsidR="003D6B78" w:rsidRPr="00C760A6" w:rsidRDefault="00F150DB" w:rsidP="00095DCB">
      <w:pPr>
        <w:pStyle w:val="af3"/>
        <w:rPr>
          <w:szCs w:val="24"/>
        </w:rPr>
      </w:pPr>
      <w:r>
        <w:rPr>
          <w:rFonts w:eastAsiaTheme="minorEastAsia" w:cstheme="minorBidi"/>
        </w:rPr>
        <w:tab/>
      </w:r>
      <m:oMath>
        <m:sSub>
          <m:sSubPr>
            <m:ctrlPr>
              <w:rPr>
                <w:rFonts w:ascii="Cambria Math" w:hAnsi="Cambria Math"/>
              </w:rPr>
            </m:ctrlPr>
          </m:sSubPr>
          <m:e>
            <m:r>
              <w:rPr>
                <w:rFonts w:ascii="Cambria Math" w:hAnsi="Cambria Math"/>
              </w:rPr>
              <m:t>E</m:t>
            </m:r>
          </m:e>
          <m:sub>
            <m:r>
              <w:rPr>
                <w:rFonts w:ascii="Cambria Math" w:hAnsi="Cambria Math"/>
              </w:rPr>
              <m:t>LJ</m:t>
            </m:r>
          </m:sub>
        </m:sSub>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ij</m:t>
                </m:r>
              </m:sub>
            </m:sSub>
          </m:e>
        </m:d>
        <m:r>
          <m:rPr>
            <m:sty m:val="p"/>
          </m:rPr>
          <w:rPr>
            <w:rFonts w:ascii="Cambria Math" w:hAnsi="Cambria Math"/>
          </w:rPr>
          <m:t>=4</m:t>
        </m:r>
        <m:sSub>
          <m:sSubPr>
            <m:ctrlPr>
              <w:rPr>
                <w:rFonts w:ascii="Cambria Math" w:hAnsi="Cambria Math"/>
              </w:rPr>
            </m:ctrlPr>
          </m:sSubPr>
          <m:e>
            <m:r>
              <w:rPr>
                <w:rFonts w:ascii="Cambria Math" w:hAnsi="Cambria Math"/>
              </w:rPr>
              <m:t>ε</m:t>
            </m:r>
          </m:e>
          <m:sub>
            <m:r>
              <w:rPr>
                <w:rFonts w:ascii="Cambria Math" w:hAnsi="Cambria Math"/>
              </w:rPr>
              <m:t>ij</m:t>
            </m:r>
          </m:sub>
        </m:sSub>
        <m:d>
          <m:dPr>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nor/>
                              </m:rPr>
                              <m:t>σ</m:t>
                            </m:r>
                          </m:e>
                          <m:sub>
                            <m:r>
                              <w:rPr>
                                <w:rFonts w:ascii="Cambria Math" w:hAnsi="Cambria Math"/>
                              </w:rPr>
                              <m:t>ij</m:t>
                            </m:r>
                          </m:sub>
                        </m:sSub>
                      </m:num>
                      <m:den>
                        <m:sSub>
                          <m:sSubPr>
                            <m:ctrlPr>
                              <w:rPr>
                                <w:rFonts w:ascii="Cambria Math" w:hAnsi="Cambria Math"/>
                              </w:rPr>
                            </m:ctrlPr>
                          </m:sSubPr>
                          <m:e>
                            <m:r>
                              <w:rPr>
                                <w:rFonts w:ascii="Cambria Math" w:hAnsi="Cambria Math"/>
                              </w:rPr>
                              <m:t>r</m:t>
                            </m:r>
                          </m:e>
                          <m:sub>
                            <m:r>
                              <w:rPr>
                                <w:rFonts w:ascii="Cambria Math" w:hAnsi="Cambria Math"/>
                              </w:rPr>
                              <m:t>ij</m:t>
                            </m:r>
                          </m:sub>
                        </m:sSub>
                      </m:den>
                    </m:f>
                  </m:e>
                </m:d>
              </m:e>
              <m:sup>
                <m:r>
                  <m:rPr>
                    <m:sty m:val="p"/>
                  </m:rPr>
                  <w:rPr>
                    <w:rFonts w:ascii="Cambria Math" w:hAnsi="Cambria Math"/>
                  </w:rPr>
                  <m:t>12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nor/>
                              </m:rPr>
                              <m:t>σ</m:t>
                            </m:r>
                          </m:e>
                          <m:sub>
                            <m:r>
                              <w:rPr>
                                <w:rFonts w:ascii="Cambria Math" w:hAnsi="Cambria Math"/>
                              </w:rPr>
                              <m:t>ij</m:t>
                            </m:r>
                          </m:sub>
                        </m:sSub>
                      </m:num>
                      <m:den>
                        <m:sSub>
                          <m:sSubPr>
                            <m:ctrlPr>
                              <w:rPr>
                                <w:rFonts w:ascii="Cambria Math" w:hAnsi="Cambria Math"/>
                              </w:rPr>
                            </m:ctrlPr>
                          </m:sSubPr>
                          <m:e>
                            <m:r>
                              <w:rPr>
                                <w:rFonts w:ascii="Cambria Math" w:hAnsi="Cambria Math"/>
                              </w:rPr>
                              <m:t>r</m:t>
                            </m:r>
                          </m:e>
                          <m:sub>
                            <m:r>
                              <w:rPr>
                                <w:rFonts w:ascii="Cambria Math" w:hAnsi="Cambria Math"/>
                              </w:rPr>
                              <m:t>ij</m:t>
                            </m:r>
                          </m:sub>
                        </m:sSub>
                      </m:den>
                    </m:f>
                  </m:e>
                </m:d>
              </m:e>
              <m:sup>
                <m:r>
                  <m:rPr>
                    <m:sty m:val="p"/>
                  </m:rPr>
                  <w:rPr>
                    <w:rFonts w:ascii="Cambria Math" w:hAnsi="Cambria Math"/>
                  </w:rPr>
                  <m:t>6</m:t>
                </m:r>
              </m:sup>
            </m:sSup>
          </m:e>
        </m:d>
      </m:oMath>
      <w:r w:rsidRPr="00C760A6">
        <w:tab/>
      </w:r>
      <w:r w:rsidRPr="00672193">
        <w:t>(1)</w:t>
      </w:r>
    </w:p>
    <w:p w14:paraId="2055BF15" w14:textId="096286E7" w:rsidR="003D6B78" w:rsidRPr="00C760A6" w:rsidRDefault="00F150DB" w:rsidP="00095DCB">
      <w:pPr>
        <w:pStyle w:val="af3"/>
      </w:pPr>
      <w:r>
        <w:tab/>
      </w:r>
      <m:oMath>
        <m:sSub>
          <m:sSubPr>
            <m:ctrlPr>
              <w:rPr>
                <w:rFonts w:ascii="Cambria Math" w:hAnsi="Cambria Math"/>
              </w:rPr>
            </m:ctrlPr>
          </m:sSubPr>
          <m:e>
            <m:r>
              <w:rPr>
                <w:rFonts w:ascii="Cambria Math" w:hAnsi="Cambria Math"/>
              </w:rPr>
              <m:t>E</m:t>
            </m:r>
          </m:e>
          <m:sub>
            <m:r>
              <w:rPr>
                <w:rFonts w:ascii="Cambria Math" w:hAnsi="Cambria Math"/>
              </w:rPr>
              <m:t>c</m:t>
            </m:r>
          </m:sub>
        </m:sSub>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ij</m:t>
                </m:r>
              </m:sub>
            </m:sSub>
          </m:e>
        </m:d>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w:rPr>
                    <w:rFonts w:ascii="Cambria Math" w:hAnsi="Cambria Math"/>
                  </w:rPr>
                  <m:t>i</m:t>
                </m:r>
              </m:sub>
            </m:sSub>
            <m:sSub>
              <m:sSubPr>
                <m:ctrlPr>
                  <w:rPr>
                    <w:rFonts w:ascii="Cambria Math" w:hAnsi="Cambria Math"/>
                  </w:rPr>
                </m:ctrlPr>
              </m:sSubPr>
              <m:e>
                <m:r>
                  <w:rPr>
                    <w:rFonts w:ascii="Cambria Math" w:hAnsi="Cambria Math"/>
                  </w:rPr>
                  <m:t>q</m:t>
                </m:r>
              </m:e>
              <m:sub>
                <m:r>
                  <w:rPr>
                    <w:rFonts w:ascii="Cambria Math" w:hAnsi="Cambria Math"/>
                  </w:rPr>
                  <m:t>j</m:t>
                </m:r>
              </m:sub>
            </m:sSub>
          </m:num>
          <m:den>
            <m:r>
              <m:rPr>
                <m:sty m:val="p"/>
              </m:rPr>
              <w:rPr>
                <w:rFonts w:ascii="Cambria Math" w:hAnsi="Cambria Math"/>
              </w:rPr>
              <m:t>4</m:t>
            </m:r>
            <m:r>
              <w:rPr>
                <w:rFonts w:ascii="Cambria Math" w:hAnsi="Cambria Math"/>
              </w:rPr>
              <m:t>π</m:t>
            </m:r>
            <m:sSub>
              <m:sSubPr>
                <m:ctrlPr>
                  <w:rPr>
                    <w:rFonts w:ascii="Cambria Math" w:hAnsi="Cambria Math"/>
                  </w:rPr>
                </m:ctrlPr>
              </m:sSubPr>
              <m:e>
                <m:r>
                  <w:rPr>
                    <w:rFonts w:ascii="Cambria Math" w:hAnsi="Cambria Math"/>
                  </w:rPr>
                  <m:t>ε</m:t>
                </m:r>
              </m:e>
              <m:sub>
                <m:r>
                  <w:rPr>
                    <w:rFonts w:ascii="Cambria Math" w:hAnsi="Cambria Math"/>
                  </w:rPr>
                  <m:t>o</m:t>
                </m:r>
              </m:sub>
            </m:sSub>
            <m:sSub>
              <m:sSubPr>
                <m:ctrlPr>
                  <w:rPr>
                    <w:rFonts w:ascii="Cambria Math" w:hAnsi="Cambria Math"/>
                  </w:rPr>
                </m:ctrlPr>
              </m:sSubPr>
              <m:e>
                <m:r>
                  <w:rPr>
                    <w:rFonts w:ascii="Cambria Math" w:hAnsi="Cambria Math"/>
                  </w:rPr>
                  <m:t>ε</m:t>
                </m:r>
              </m:e>
              <m:sub>
                <m:r>
                  <w:rPr>
                    <w:rFonts w:ascii="Cambria Math" w:hAnsi="Cambria Math"/>
                  </w:rPr>
                  <m:t>r</m:t>
                </m:r>
              </m:sub>
            </m:sSub>
            <m:sSub>
              <m:sSubPr>
                <m:ctrlPr>
                  <w:rPr>
                    <w:rFonts w:ascii="Cambria Math" w:hAnsi="Cambria Math"/>
                  </w:rPr>
                </m:ctrlPr>
              </m:sSubPr>
              <m:e>
                <m:r>
                  <w:rPr>
                    <w:rFonts w:ascii="Cambria Math" w:hAnsi="Cambria Math"/>
                  </w:rPr>
                  <m:t>r</m:t>
                </m:r>
              </m:e>
              <m:sub>
                <m:r>
                  <w:rPr>
                    <w:rFonts w:ascii="Cambria Math" w:hAnsi="Cambria Math"/>
                  </w:rPr>
                  <m:t>ij</m:t>
                </m:r>
              </m:sub>
            </m:sSub>
          </m:den>
        </m:f>
      </m:oMath>
      <w:r w:rsidRPr="00C760A6">
        <w:tab/>
      </w:r>
      <w:r w:rsidRPr="00672193">
        <w:t>(2)</w:t>
      </w:r>
    </w:p>
    <w:p w14:paraId="14904F97" w14:textId="77777777" w:rsidR="003D6B78" w:rsidRPr="00C760A6" w:rsidRDefault="00000000" w:rsidP="00FB2C71">
      <w:pPr>
        <w:spacing w:afterLines="100" w:after="360"/>
        <w:ind w:firstLine="0"/>
      </w:pPr>
      <w:r w:rsidRPr="00C760A6">
        <w:t xml:space="preserve">In the equation, </w:t>
      </w:r>
      <m:oMath>
        <m:sSub>
          <m:sSubPr>
            <m:ctrlPr>
              <w:rPr>
                <w:rFonts w:ascii="Cambria Math" w:hAnsi="Cambria Math"/>
                <w:szCs w:val="28"/>
              </w:rPr>
            </m:ctrlPr>
          </m:sSubPr>
          <m:e>
            <m:r>
              <w:rPr>
                <w:rFonts w:ascii="Cambria Math" w:hAnsi="Cambria Math"/>
                <w:szCs w:val="28"/>
              </w:rPr>
              <m:t>q</m:t>
            </m:r>
          </m:e>
          <m:sub>
            <m:r>
              <w:rPr>
                <w:rFonts w:ascii="Cambria Math" w:hAnsi="Cambria Math"/>
                <w:szCs w:val="28"/>
              </w:rPr>
              <m:t>i</m:t>
            </m:r>
          </m:sub>
        </m:sSub>
      </m:oMath>
      <w:r w:rsidRPr="00C760A6">
        <w:rPr>
          <w:szCs w:val="28"/>
        </w:rPr>
        <w:t>、</w:t>
      </w:r>
      <m:oMath>
        <m:sSub>
          <m:sSubPr>
            <m:ctrlPr>
              <w:rPr>
                <w:rFonts w:ascii="Cambria Math" w:hAnsi="Cambria Math"/>
                <w:szCs w:val="28"/>
              </w:rPr>
            </m:ctrlPr>
          </m:sSubPr>
          <m:e>
            <m:r>
              <w:rPr>
                <w:rFonts w:ascii="Cambria Math" w:hAnsi="Cambria Math"/>
                <w:szCs w:val="28"/>
              </w:rPr>
              <m:t>q</m:t>
            </m:r>
          </m:e>
          <m:sub>
            <m:r>
              <w:rPr>
                <w:rFonts w:ascii="Cambria Math" w:hAnsi="Cambria Math"/>
                <w:szCs w:val="28"/>
              </w:rPr>
              <m:t>j</m:t>
            </m:r>
          </m:sub>
        </m:sSub>
      </m:oMath>
      <w:r w:rsidRPr="00C760A6">
        <w:t xml:space="preserve"> </w:t>
      </w:r>
      <w:r w:rsidRPr="00660F80">
        <w:t>are</w:t>
      </w:r>
      <w:r w:rsidRPr="00C760A6">
        <w:t xml:space="preserve"> atomic charge, </w:t>
      </w:r>
      <m:oMath>
        <m:sSub>
          <m:sSubPr>
            <m:ctrlPr>
              <w:rPr>
                <w:rFonts w:ascii="Cambria Math" w:hAnsi="Cambria Math"/>
                <w:szCs w:val="28"/>
              </w:rPr>
            </m:ctrlPr>
          </m:sSubPr>
          <m:e>
            <m:r>
              <w:rPr>
                <w:rFonts w:ascii="Cambria Math" w:hAnsi="Cambria Math"/>
                <w:szCs w:val="28"/>
              </w:rPr>
              <m:t>r</m:t>
            </m:r>
          </m:e>
          <m:sub>
            <m:r>
              <w:rPr>
                <w:rFonts w:ascii="Cambria Math" w:hAnsi="Cambria Math"/>
                <w:szCs w:val="28"/>
              </w:rPr>
              <m:t>ij</m:t>
            </m:r>
          </m:sub>
        </m:sSub>
        <m:r>
          <m:rPr>
            <m:sty m:val="p"/>
          </m:rPr>
          <w:rPr>
            <w:rFonts w:ascii="Cambria Math" w:hAnsi="Cambria Math"/>
            <w:szCs w:val="28"/>
          </w:rPr>
          <m:t xml:space="preserve"> </m:t>
        </m:r>
      </m:oMath>
      <w:r w:rsidRPr="00C760A6">
        <w:t xml:space="preserve">is the distance between atoms, </w:t>
      </w:r>
      <m:oMath>
        <m:r>
          <m:rPr>
            <m:nor/>
          </m:rPr>
          <w:rPr>
            <w:szCs w:val="28"/>
          </w:rPr>
          <m:t>σ</m:t>
        </m:r>
      </m:oMath>
      <w:r w:rsidRPr="00C760A6">
        <w:t xml:space="preserve"> is the atomic diameter, </w:t>
      </w:r>
      <m:oMath>
        <m:r>
          <w:rPr>
            <w:rFonts w:ascii="Cambria Math" w:hAnsi="Cambria Math"/>
            <w:szCs w:val="28"/>
          </w:rPr>
          <m:t>ε</m:t>
        </m:r>
      </m:oMath>
      <w:r w:rsidRPr="00C760A6">
        <w:t xml:space="preserve"> is the atomic energy parameter.</w:t>
      </w:r>
    </w:p>
    <w:p w14:paraId="7F4A07DA" w14:textId="77777777" w:rsidR="003D6B78" w:rsidRPr="00C760A6" w:rsidRDefault="00000000" w:rsidP="00FB2C71">
      <w:pPr>
        <w:ind w:firstLine="0"/>
      </w:pPr>
      <w:r w:rsidRPr="00C760A6">
        <w:t xml:space="preserve">For van der Waals (vdW) interactions between different atom types, the geometric mixing rule was employed as defined in Equation 3. The cutoff distance for both </w:t>
      </w:r>
      <w:proofErr w:type="gramStart"/>
      <w:r w:rsidRPr="00C760A6">
        <w:t>van</w:t>
      </w:r>
      <w:proofErr w:type="gramEnd"/>
      <w:r w:rsidRPr="00C760A6">
        <w:t xml:space="preserve"> der Waals and electrostatic interactions was set to 1.5 nm.</w:t>
      </w:r>
    </w:p>
    <w:p w14:paraId="561C38A5" w14:textId="5252F117" w:rsidR="003D6B78" w:rsidRPr="00C760A6" w:rsidRDefault="00F150DB" w:rsidP="00F150DB">
      <w:pPr>
        <w:pStyle w:val="af3"/>
      </w:pPr>
      <w:r>
        <w:rPr>
          <w:rFonts w:eastAsiaTheme="minorEastAsia" w:cstheme="minorBidi"/>
        </w:rPr>
        <w:tab/>
      </w:r>
      <m:oMath>
        <m:sSub>
          <m:sSubPr>
            <m:ctrlPr>
              <w:rPr>
                <w:rFonts w:ascii="Cambria Math" w:hAnsi="Cambria Math"/>
              </w:rPr>
            </m:ctrlPr>
          </m:sSubPr>
          <m:e>
            <m:r>
              <w:rPr>
                <w:rFonts w:ascii="Cambria Math" w:hAnsi="Cambria Math"/>
              </w:rPr>
              <m:t>σ</m:t>
            </m:r>
          </m:e>
          <m:sub>
            <m:r>
              <w:rPr>
                <w:rFonts w:ascii="Cambria Math" w:hAnsi="Cambria Math"/>
              </w:rPr>
              <m:t>ij</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σ</m:t>
                    </m:r>
                  </m:e>
                  <m:sub>
                    <m:r>
                      <w:rPr>
                        <w:rFonts w:ascii="Cambria Math" w:hAnsi="Cambria Math"/>
                      </w:rPr>
                      <m:t>ii</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jj</m:t>
                    </m:r>
                  </m:sub>
                </m:sSub>
              </m:e>
            </m:d>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r>
          <m:rPr>
            <m:sty m:val="p"/>
          </m:rPr>
          <w:rPr>
            <w:rFonts w:ascii="Cambria Math" w:hAnsi="Cambria Math"/>
          </w:rPr>
          <m:t>;</m:t>
        </m:r>
        <m:sSub>
          <m:sSubPr>
            <m:ctrlPr>
              <w:rPr>
                <w:rFonts w:ascii="Cambria Math" w:hAnsi="Cambria Math"/>
              </w:rPr>
            </m:ctrlPr>
          </m:sSubPr>
          <m:e>
            <m:r>
              <w:rPr>
                <w:rFonts w:ascii="Cambria Math" w:hAnsi="Cambria Math"/>
              </w:rPr>
              <m:t>ε</m:t>
            </m:r>
          </m:e>
          <m:sub>
            <m:r>
              <w:rPr>
                <w:rFonts w:ascii="Cambria Math" w:hAnsi="Cambria Math"/>
              </w:rPr>
              <m:t>ij</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ε</m:t>
                    </m:r>
                  </m:e>
                  <m:sub>
                    <m:r>
                      <w:rPr>
                        <w:rFonts w:ascii="Cambria Math" w:hAnsi="Cambria Math"/>
                      </w:rPr>
                      <m:t>ii</m:t>
                    </m:r>
                  </m:sub>
                </m:sSub>
                <m:r>
                  <m:rPr>
                    <m:sty m:val="p"/>
                  </m:rPr>
                  <w:rPr>
                    <w:rFonts w:ascii="Cambria Math" w:hAnsi="Cambria Math"/>
                  </w:rPr>
                  <m:t>*</m:t>
                </m:r>
                <m:sSub>
                  <m:sSubPr>
                    <m:ctrlPr>
                      <w:rPr>
                        <w:rFonts w:ascii="Cambria Math" w:hAnsi="Cambria Math"/>
                      </w:rPr>
                    </m:ctrlPr>
                  </m:sSubPr>
                  <m:e>
                    <m:r>
                      <w:rPr>
                        <w:rFonts w:ascii="Cambria Math" w:hAnsi="Cambria Math"/>
                      </w:rPr>
                      <m:t>ε</m:t>
                    </m:r>
                  </m:e>
                  <m:sub>
                    <m:r>
                      <w:rPr>
                        <w:rFonts w:ascii="Cambria Math" w:hAnsi="Cambria Math"/>
                      </w:rPr>
                      <m:t>jj</m:t>
                    </m:r>
                  </m:sub>
                </m:sSub>
              </m:e>
            </m:d>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oMath>
      <w:r w:rsidRPr="00C760A6">
        <w:tab/>
      </w:r>
      <w:r w:rsidRPr="00672193">
        <w:t>(3)</w:t>
      </w:r>
    </w:p>
    <w:p w14:paraId="13B5F4ED" w14:textId="02DCCD62" w:rsidR="003D6B78" w:rsidRPr="00C760A6" w:rsidRDefault="00000000" w:rsidP="00FB2C71">
      <w:pPr>
        <w:spacing w:beforeLines="100" w:before="360" w:afterLines="100" w:after="360"/>
        <w:ind w:firstLine="0"/>
      </w:pPr>
      <w:r w:rsidRPr="00C760A6">
        <w:t>The simulations were conducted in the canonical (NVT) ensemble. The system initially underwent energy minimization to eliminate unfavorable atomic contacts. Subsequently, equilibration was performed using a 1.0 fs time step at 298.15 K, with temperature control maintained by a Nosé-Hoover thermostat. The equilibration phase spanned 10.0 nanoseconds, followed by a 1.0-nanosecond production run using a 1.0 fs time step for trajectory collection. Atomic coordinates were recorded every 1.0 ps for subsequent analysis</w:t>
      </w:r>
      <w:r w:rsidR="001A22A3">
        <w:rPr>
          <w:rFonts w:hint="eastAsia"/>
        </w:rPr>
        <w:t xml:space="preserve"> (Figure S32)</w:t>
      </w:r>
      <w:r w:rsidRPr="00C760A6">
        <w:t>.</w:t>
      </w:r>
    </w:p>
    <w:p w14:paraId="4681D98D" w14:textId="145A5C11" w:rsidR="003D6B78" w:rsidRPr="00C760A6" w:rsidRDefault="00000000" w:rsidP="00FB2C71">
      <w:pPr>
        <w:ind w:firstLine="0"/>
      </w:pPr>
      <w:r w:rsidRPr="00C760A6">
        <w:t>Throughout all molecular dynamic simulations, atomic motions were governed by classical Newtonian equations of motion, which were numerically integrated using the velocity-Verlet algorithm. All simulations were executed with the GROMACS 2022.2</w:t>
      </w:r>
      <w:r w:rsidR="00857376" w:rsidRPr="00857376">
        <w:rPr>
          <w:rFonts w:cs="Times New Roman"/>
          <w:kern w:val="0"/>
          <w:vertAlign w:val="superscript"/>
        </w:rPr>
        <w:t>6</w:t>
      </w:r>
      <w:r w:rsidRPr="00C760A6">
        <w:t xml:space="preserve"> software package. Result visualization and analysis were conducted using the OVITO software platform</w:t>
      </w:r>
      <w:r w:rsidR="00857376" w:rsidRPr="00857376">
        <w:rPr>
          <w:rFonts w:cs="Times New Roman"/>
          <w:kern w:val="0"/>
          <w:vertAlign w:val="superscript"/>
        </w:rPr>
        <w:t>7</w:t>
      </w:r>
      <w:r w:rsidRPr="00C760A6">
        <w:t>.</w:t>
      </w:r>
    </w:p>
    <w:p w14:paraId="7E83CB90" w14:textId="5C0AD627" w:rsidR="003D6B78" w:rsidRPr="009D7247" w:rsidRDefault="00C760A6" w:rsidP="009D7247">
      <w:pPr>
        <w:pStyle w:val="2"/>
        <w:spacing w:before="360" w:after="360"/>
      </w:pPr>
      <w:r w:rsidRPr="009D7247">
        <w:lastRenderedPageBreak/>
        <w:t>Derivation and Assumptions for the Relationship Between Interfacial Tension and Surface Excess</w:t>
      </w:r>
      <w:r w:rsidR="00857376" w:rsidRPr="00857376">
        <w:rPr>
          <w:rFonts w:cs="Times New Roman"/>
          <w:kern w:val="0"/>
          <w:vertAlign w:val="superscript"/>
        </w:rPr>
        <w:t>8</w:t>
      </w:r>
    </w:p>
    <w:p w14:paraId="21254F3F" w14:textId="47F86AE1" w:rsidR="003D6B78" w:rsidRPr="00C760A6" w:rsidRDefault="00000000" w:rsidP="00FB2C71">
      <w:pPr>
        <w:ind w:firstLine="0"/>
      </w:pPr>
      <w:r w:rsidRPr="00C760A6">
        <w:t xml:space="preserve">According to the Gibbs interfacial model, the surface excess (Γ) is defined as the difference, per unit area, between the amount of solute actually present in the interfacial region and the amount that would be present if the bulk phase concentrations extended uniformly up to the dividing surface. </w:t>
      </w:r>
      <w:r w:rsidR="00C760A6" w:rsidRPr="00C760A6">
        <w:t xml:space="preserve">It is postulated that a thin interfacial layer (on the order of several molecular diameters) exists at the </w:t>
      </w:r>
      <w:bookmarkStart w:id="3" w:name="OLE_LINK3"/>
      <w:r w:rsidR="00C760A6" w:rsidRPr="00C760A6">
        <w:t>liquid</w:t>
      </w:r>
      <w:bookmarkEnd w:id="3"/>
      <w:r w:rsidR="00C760A6" w:rsidRPr="00C760A6">
        <w:t>–liquid interface, where the solute concentration differs markedly from that in the adjacent bulk phases.</w:t>
      </w:r>
      <w:r w:rsidRPr="00C760A6">
        <w:t xml:space="preserve"> This region is designated as the surface phase (</w:t>
      </w:r>
      <w:r w:rsidRPr="00660F80">
        <w:rPr>
          <w:rFonts w:hint="eastAsia"/>
        </w:rPr>
        <w:t>σ</w:t>
      </w:r>
      <w:r w:rsidRPr="00C760A6">
        <w:t>). A Gibbs dividing surface (ss</w:t>
      </w:r>
      <w:r w:rsidRPr="00660F80">
        <w:rPr>
          <w:rFonts w:hint="eastAsia"/>
        </w:rPr>
        <w:t>′</w:t>
      </w:r>
      <w:r w:rsidRPr="00C760A6">
        <w:t xml:space="preserve">) is defined within this surface phase. The concentration in phase </w:t>
      </w:r>
      <w:r w:rsidRPr="00660F80">
        <w:rPr>
          <w:rFonts w:hint="eastAsia"/>
        </w:rPr>
        <w:t>α</w:t>
      </w:r>
      <w:r w:rsidRPr="00C760A6">
        <w:t xml:space="preserve"> below this surface (or phase </w:t>
      </w:r>
      <w:r w:rsidRPr="00660F80">
        <w:rPr>
          <w:rFonts w:hint="eastAsia"/>
        </w:rPr>
        <w:t>β</w:t>
      </w:r>
      <w:r w:rsidRPr="00C760A6">
        <w:t xml:space="preserve"> above it) is assumed to be homogeneous and equal to the respective bulk phase concentration.</w:t>
      </w:r>
    </w:p>
    <w:p w14:paraId="2F5DE826" w14:textId="526B641E" w:rsidR="003D6B78" w:rsidRPr="00C760A6" w:rsidRDefault="00F150DB" w:rsidP="00F150DB">
      <w:pPr>
        <w:pStyle w:val="af3"/>
      </w:pPr>
      <w:r>
        <w:rPr>
          <w:rFonts w:eastAsiaTheme="minorEastAsia" w:cstheme="minorBidi"/>
        </w:rPr>
        <w:tab/>
      </w:r>
      <m:oMath>
        <m:eqArr>
          <m:eqArrPr>
            <m:ctrlPr>
              <w:rPr>
                <w:rFonts w:ascii="Cambria Math" w:hAnsi="Cambria Math"/>
              </w:rPr>
            </m:ctrlPr>
          </m:eqArrPr>
          <m:e>
            <m:sSup>
              <m:sSupPr>
                <m:ctrlPr>
                  <w:rPr>
                    <w:rFonts w:ascii="Cambria Math" w:hAnsi="Cambria Math"/>
                  </w:rPr>
                </m:ctrlPr>
              </m:sSupPr>
              <m:e>
                <m:r>
                  <w:rPr>
                    <w:rFonts w:ascii="Cambria Math" w:hAnsi="Cambria Math"/>
                  </w:rPr>
                  <m:t>n</m:t>
                </m:r>
              </m:e>
              <m:sup>
                <m:r>
                  <w:rPr>
                    <w:rFonts w:ascii="Cambria Math" w:hAnsi="Cambria Math"/>
                  </w:rPr>
                  <m:t>α</m:t>
                </m:r>
              </m:sup>
            </m:sSup>
            <m:r>
              <m:rPr>
                <m:sty m:val="p"/>
              </m:rPr>
              <w:rPr>
                <w:rFonts w:ascii="Cambria Math" w:hAnsi="Cambria Math"/>
              </w:rPr>
              <m:t>=</m:t>
            </m:r>
            <m:sSup>
              <m:sSupPr>
                <m:ctrlPr>
                  <w:rPr>
                    <w:rFonts w:ascii="Cambria Math" w:hAnsi="Cambria Math"/>
                  </w:rPr>
                </m:ctrlPr>
              </m:sSupPr>
              <m:e>
                <m:r>
                  <w:rPr>
                    <w:rFonts w:ascii="Cambria Math" w:hAnsi="Cambria Math"/>
                  </w:rPr>
                  <m:t>V</m:t>
                </m:r>
              </m:e>
              <m:sup>
                <m:r>
                  <w:rPr>
                    <w:rFonts w:ascii="Cambria Math" w:hAnsi="Cambria Math"/>
                  </w:rPr>
                  <m:t>α</m:t>
                </m:r>
              </m:sup>
            </m:sSup>
            <m:sSup>
              <m:sSupPr>
                <m:ctrlPr>
                  <w:rPr>
                    <w:rFonts w:ascii="Cambria Math" w:hAnsi="Cambria Math"/>
                  </w:rPr>
                </m:ctrlPr>
              </m:sSupPr>
              <m:e>
                <m:r>
                  <w:rPr>
                    <w:rFonts w:ascii="Cambria Math" w:hAnsi="Cambria Math"/>
                  </w:rPr>
                  <m:t>c</m:t>
                </m:r>
              </m:e>
              <m:sup>
                <m:r>
                  <w:rPr>
                    <w:rFonts w:ascii="Cambria Math" w:hAnsi="Cambria Math"/>
                  </w:rPr>
                  <m:t>α</m:t>
                </m:r>
              </m:sup>
            </m:sSup>
          </m:e>
          <m:e>
            <m:sSup>
              <m:sSupPr>
                <m:ctrlPr>
                  <w:rPr>
                    <w:rFonts w:ascii="Cambria Math" w:hAnsi="Cambria Math"/>
                  </w:rPr>
                </m:ctrlPr>
              </m:sSupPr>
              <m:e>
                <m:r>
                  <w:rPr>
                    <w:rFonts w:ascii="Cambria Math" w:hAnsi="Cambria Math"/>
                  </w:rPr>
                  <m:t>n</m:t>
                </m:r>
              </m:e>
              <m:sup>
                <m:r>
                  <w:rPr>
                    <w:rFonts w:ascii="Cambria Math" w:hAnsi="Cambria Math"/>
                  </w:rPr>
                  <m:t>β</m:t>
                </m:r>
              </m:sup>
            </m:sSup>
            <m:r>
              <m:rPr>
                <m:sty m:val="p"/>
              </m:rPr>
              <w:rPr>
                <w:rFonts w:ascii="Cambria Math" w:hAnsi="Cambria Math"/>
              </w:rPr>
              <m:t>=</m:t>
            </m:r>
            <m:sSup>
              <m:sSupPr>
                <m:ctrlPr>
                  <w:rPr>
                    <w:rFonts w:ascii="Cambria Math" w:hAnsi="Cambria Math"/>
                  </w:rPr>
                </m:ctrlPr>
              </m:sSupPr>
              <m:e>
                <m:r>
                  <w:rPr>
                    <w:rFonts w:ascii="Cambria Math" w:hAnsi="Cambria Math"/>
                  </w:rPr>
                  <m:t>V</m:t>
                </m:r>
              </m:e>
              <m:sup>
                <m:r>
                  <w:rPr>
                    <w:rFonts w:ascii="Cambria Math" w:hAnsi="Cambria Math"/>
                  </w:rPr>
                  <m:t>β</m:t>
                </m:r>
              </m:sup>
            </m:sSup>
            <m:sSup>
              <m:sSupPr>
                <m:ctrlPr>
                  <w:rPr>
                    <w:rFonts w:ascii="Cambria Math" w:hAnsi="Cambria Math"/>
                  </w:rPr>
                </m:ctrlPr>
              </m:sSupPr>
              <m:e>
                <m:r>
                  <w:rPr>
                    <w:rFonts w:ascii="Cambria Math" w:hAnsi="Cambria Math"/>
                  </w:rPr>
                  <m:t>c</m:t>
                </m:r>
              </m:e>
              <m:sup>
                <m:r>
                  <w:rPr>
                    <w:rFonts w:ascii="Cambria Math" w:hAnsi="Cambria Math"/>
                  </w:rPr>
                  <m:t>β</m:t>
                </m:r>
              </m:sup>
            </m:sSup>
          </m:e>
        </m:eqArr>
      </m:oMath>
      <w:r w:rsidRPr="00C760A6">
        <w:tab/>
      </w:r>
      <w:r w:rsidRPr="00672193">
        <w:t>(1)</w:t>
      </w:r>
    </w:p>
    <w:p w14:paraId="409FBF7D" w14:textId="3A447670" w:rsidR="003D6B78" w:rsidRPr="00C760A6" w:rsidRDefault="00F150DB" w:rsidP="00F150DB">
      <w:pPr>
        <w:pStyle w:val="af3"/>
      </w:pPr>
      <w:r>
        <w:tab/>
      </w:r>
      <m:oMath>
        <m:r>
          <m:rPr>
            <m:sty m:val="p"/>
          </m:rPr>
          <w:rPr>
            <w:rFonts w:ascii="Cambria Math" w:hAnsi="Cambria Math"/>
          </w:rPr>
          <m:t>Γ=</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r>
                  <w:rPr>
                    <w:rFonts w:ascii="Cambria Math" w:hAnsi="Cambria Math"/>
                  </w:rPr>
                  <m:t>n</m:t>
                </m:r>
              </m:e>
              <m:sup>
                <m:r>
                  <w:rPr>
                    <w:rFonts w:ascii="Cambria Math" w:hAnsi="Cambria Math"/>
                  </w:rPr>
                  <m:t>α</m:t>
                </m:r>
              </m:sup>
            </m:sSup>
            <m:r>
              <m:rPr>
                <m:sty m:val="p"/>
              </m:rPr>
              <w:rPr>
                <w:rFonts w:ascii="Cambria Math" w:hAnsi="Cambria Math"/>
              </w:rPr>
              <m:t>+</m:t>
            </m:r>
            <m:sSup>
              <m:sSupPr>
                <m:ctrlPr>
                  <w:rPr>
                    <w:rFonts w:ascii="Cambria Math" w:hAnsi="Cambria Math"/>
                  </w:rPr>
                </m:ctrlPr>
              </m:sSupPr>
              <m:e>
                <m:r>
                  <w:rPr>
                    <w:rFonts w:ascii="Cambria Math" w:hAnsi="Cambria Math"/>
                  </w:rPr>
                  <m:t>n</m:t>
                </m:r>
              </m:e>
              <m:sup>
                <m:r>
                  <w:rPr>
                    <w:rFonts w:ascii="Cambria Math" w:hAnsi="Cambria Math"/>
                  </w:rPr>
                  <m:t>β</m:t>
                </m:r>
              </m:sup>
            </m:sSup>
            <m:r>
              <m:rPr>
                <m:sty m:val="p"/>
              </m:rPr>
              <w:rPr>
                <w:rFonts w:ascii="Cambria Math" w:hAnsi="Cambria Math"/>
              </w:rPr>
              <m:t>)</m:t>
            </m:r>
          </m:num>
          <m:den>
            <m:sSub>
              <m:sSubPr>
                <m:ctrlPr>
                  <w:rPr>
                    <w:rFonts w:ascii="Cambria Math" w:hAnsi="Cambria Math"/>
                  </w:rPr>
                </m:ctrlPr>
              </m:sSubPr>
              <m:e>
                <m:r>
                  <w:rPr>
                    <w:rFonts w:ascii="Cambria Math" w:hAnsi="Cambria Math"/>
                  </w:rPr>
                  <m:t>A</m:t>
                </m:r>
              </m:e>
              <m:sub>
                <m:r>
                  <m:rPr>
                    <m:sty m:val="p"/>
                  </m:rPr>
                  <w:rPr>
                    <w:rFonts w:ascii="Cambria Math" w:hAnsi="Cambria Math"/>
                  </w:rPr>
                  <m:t>s</m:t>
                </m:r>
              </m:sub>
            </m:sSub>
          </m:den>
        </m:f>
      </m:oMath>
      <w:r w:rsidRPr="00C760A6">
        <w:tab/>
      </w:r>
      <w:r w:rsidRPr="00672193">
        <w:t>(2)</w:t>
      </w:r>
    </w:p>
    <w:p w14:paraId="4B81F567" w14:textId="77777777" w:rsidR="003D6B78" w:rsidRPr="00C760A6" w:rsidRDefault="00000000" w:rsidP="00FB2C71">
      <w:pPr>
        <w:ind w:firstLine="0"/>
      </w:pPr>
      <w:r w:rsidRPr="00C760A6">
        <w:t xml:space="preserve">Where Γ is the surface excess, </w:t>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oMath>
      <w:r w:rsidRPr="00C760A6">
        <w:t xml:space="preserve"> is the total molar quantity of the substance, and </w:t>
      </w:r>
      <m:oMath>
        <m:sSub>
          <m:sSubPr>
            <m:ctrlPr>
              <w:rPr>
                <w:rFonts w:ascii="Cambria Math" w:hAnsi="Cambria Math"/>
              </w:rPr>
            </m:ctrlPr>
          </m:sSubPr>
          <m:e>
            <m:r>
              <w:rPr>
                <w:rFonts w:ascii="Cambria Math" w:hAnsi="Cambria Math"/>
              </w:rPr>
              <m:t>A</m:t>
            </m:r>
          </m:e>
          <m:sub>
            <m:r>
              <m:rPr>
                <m:sty m:val="p"/>
              </m:rPr>
              <w:rPr>
                <w:rFonts w:ascii="Cambria Math" w:hAnsi="Cambria Math"/>
              </w:rPr>
              <m:t>s</m:t>
            </m:r>
          </m:sub>
        </m:sSub>
      </m:oMath>
      <w:r w:rsidRPr="00C760A6">
        <w:t xml:space="preserve"> is the phase interface area.</w:t>
      </w:r>
    </w:p>
    <w:p w14:paraId="53B045D6" w14:textId="77777777" w:rsidR="003D6B78" w:rsidRPr="00F150DB" w:rsidRDefault="00000000" w:rsidP="00F150DB">
      <w:pPr>
        <w:pStyle w:val="2"/>
        <w:spacing w:before="360" w:after="360"/>
      </w:pPr>
      <w:r w:rsidRPr="00F150DB">
        <w:rPr>
          <w:rStyle w:val="20"/>
          <w:b/>
        </w:rPr>
        <w:t>Derivation of the Gibbs Adsorption Equation for Surface Adsorption:</w:t>
      </w:r>
      <w:r w:rsidRPr="00F150DB">
        <w:t xml:space="preserve"> </w:t>
      </w:r>
    </w:p>
    <w:p w14:paraId="2C73FF48" w14:textId="77777777" w:rsidR="003D6B78" w:rsidRPr="00C760A6" w:rsidRDefault="00000000" w:rsidP="00FB2C71">
      <w:pPr>
        <w:ind w:firstLine="0"/>
      </w:pPr>
      <w:r w:rsidRPr="00C760A6">
        <w:t>For a binary system at constant temperature and pressure, we have</w:t>
      </w:r>
    </w:p>
    <w:p w14:paraId="79152D24" w14:textId="72E1E286" w:rsidR="003D6B78" w:rsidRPr="00C760A6" w:rsidRDefault="005F7368" w:rsidP="005F7368">
      <w:pPr>
        <w:pStyle w:val="af3"/>
      </w:pPr>
      <w:r>
        <w:rPr>
          <w:rFonts w:eastAsiaTheme="minorEastAsia" w:cstheme="minorBidi"/>
          <w:iCs/>
        </w:rPr>
        <w:tab/>
      </w:r>
      <m:oMath>
        <m:r>
          <w:rPr>
            <w:rFonts w:ascii="Cambria Math" w:hAnsi="Cambria Math"/>
          </w:rPr>
          <m:t>d</m:t>
        </m:r>
        <m:sSup>
          <m:sSupPr>
            <m:ctrlPr>
              <w:rPr>
                <w:rFonts w:ascii="Cambria Math" w:hAnsi="Cambria Math"/>
              </w:rPr>
            </m:ctrlPr>
          </m:sSupPr>
          <m:e>
            <m:r>
              <w:rPr>
                <w:rFonts w:ascii="Cambria Math" w:hAnsi="Cambria Math"/>
              </w:rPr>
              <m:t>G</m:t>
            </m:r>
          </m:e>
          <m:sup>
            <m:r>
              <w:rPr>
                <w:rFonts w:ascii="Cambria Math" w:hAnsi="Cambria Math"/>
              </w:rPr>
              <m:t>σ</m:t>
            </m:r>
          </m:sup>
        </m:sSup>
        <m:r>
          <m:rPr>
            <m:sty m:val="p"/>
          </m:rPr>
          <w:rPr>
            <w:rFonts w:ascii="Cambria Math" w:hAnsi="Cambria Math"/>
          </w:rPr>
          <m:t>=</m:t>
        </m:r>
        <m:r>
          <w:rPr>
            <w:rFonts w:ascii="Cambria Math" w:hAnsi="Cambria Math"/>
          </w:rPr>
          <m:t>γ</m:t>
        </m:r>
        <m:r>
          <m:rPr>
            <m:sty m:val="p"/>
          </m:rPr>
          <w:rPr>
            <w:rFonts w:ascii="Cambria Math" w:hAnsi="Cambria Math"/>
          </w:rPr>
          <m:t>d</m:t>
        </m:r>
        <m:sSub>
          <m:sSubPr>
            <m:ctrlPr>
              <w:rPr>
                <w:rFonts w:ascii="Cambria Math" w:hAnsi="Cambria Math"/>
              </w:rPr>
            </m:ctrlPr>
          </m:sSubPr>
          <m:e>
            <m:r>
              <w:rPr>
                <w:rFonts w:ascii="Cambria Math" w:hAnsi="Cambria Math"/>
              </w:rPr>
              <m:t>A</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m:rPr>
                <m:sty m:val="p"/>
              </m:rPr>
              <w:rPr>
                <w:rFonts w:ascii="Cambria Math" w:hAnsi="Cambria Math"/>
              </w:rPr>
              <m:t>1</m:t>
            </m:r>
          </m:sub>
        </m:sSub>
        <m:r>
          <w:rPr>
            <w:rFonts w:ascii="Cambria Math" w:hAnsi="Cambria Math"/>
          </w:rPr>
          <m:t>d</m:t>
        </m:r>
        <m:sSubSup>
          <m:sSubSupPr>
            <m:ctrlPr>
              <w:rPr>
                <w:rFonts w:ascii="Cambria Math" w:hAnsi="Cambria Math"/>
              </w:rPr>
            </m:ctrlPr>
          </m:sSubSupPr>
          <m:e>
            <m:r>
              <w:rPr>
                <w:rFonts w:ascii="Cambria Math" w:hAnsi="Cambria Math"/>
              </w:rPr>
              <m:t>n</m:t>
            </m:r>
          </m:e>
          <m:sub>
            <m:r>
              <m:rPr>
                <m:sty m:val="p"/>
              </m:rPr>
              <w:rPr>
                <w:rFonts w:ascii="Cambria Math" w:hAnsi="Cambria Math"/>
              </w:rPr>
              <m:t>1</m:t>
            </m:r>
          </m:sub>
          <m:sup>
            <m:r>
              <w:rPr>
                <w:rFonts w:ascii="Cambria Math" w:hAnsi="Cambria Math"/>
              </w:rPr>
              <m:t>σ</m:t>
            </m:r>
          </m:sup>
        </m:sSubSup>
        <m:r>
          <m:rPr>
            <m:sty m:val="p"/>
          </m:rPr>
          <w:rPr>
            <w:rFonts w:ascii="Cambria Math" w:hAnsi="Cambria Math"/>
          </w:rPr>
          <m:t>+</m:t>
        </m:r>
        <m:sSub>
          <m:sSubPr>
            <m:ctrlPr>
              <w:rPr>
                <w:rFonts w:ascii="Cambria Math" w:hAnsi="Cambria Math"/>
              </w:rPr>
            </m:ctrlPr>
          </m:sSubPr>
          <m:e>
            <m:r>
              <w:rPr>
                <w:rFonts w:ascii="Cambria Math" w:hAnsi="Cambria Math"/>
              </w:rPr>
              <m:t>μ</m:t>
            </m:r>
          </m:e>
          <m:sub>
            <m:r>
              <m:rPr>
                <m:sty m:val="p"/>
              </m:rPr>
              <w:rPr>
                <w:rFonts w:ascii="Cambria Math" w:hAnsi="Cambria Math"/>
              </w:rPr>
              <m:t>2</m:t>
            </m:r>
          </m:sub>
        </m:sSub>
        <m:r>
          <w:rPr>
            <w:rFonts w:ascii="Cambria Math" w:hAnsi="Cambria Math"/>
          </w:rPr>
          <m:t>d</m:t>
        </m:r>
        <m:sSubSup>
          <m:sSubSupPr>
            <m:ctrlPr>
              <w:rPr>
                <w:rFonts w:ascii="Cambria Math" w:hAnsi="Cambria Math"/>
              </w:rPr>
            </m:ctrlPr>
          </m:sSubSupPr>
          <m:e>
            <m:r>
              <w:rPr>
                <w:rFonts w:ascii="Cambria Math" w:hAnsi="Cambria Math"/>
              </w:rPr>
              <m:t>n</m:t>
            </m:r>
          </m:e>
          <m:sub>
            <m:r>
              <m:rPr>
                <m:sty m:val="p"/>
              </m:rPr>
              <w:rPr>
                <w:rFonts w:ascii="Cambria Math" w:hAnsi="Cambria Math"/>
              </w:rPr>
              <m:t>2</m:t>
            </m:r>
          </m:sub>
          <m:sup>
            <m:r>
              <w:rPr>
                <w:rFonts w:ascii="Cambria Math" w:hAnsi="Cambria Math"/>
              </w:rPr>
              <m:t>σ</m:t>
            </m:r>
          </m:sup>
        </m:sSubSup>
      </m:oMath>
      <w:r w:rsidRPr="00C760A6">
        <w:tab/>
      </w:r>
      <w:r w:rsidRPr="00672193">
        <w:t>(3)</w:t>
      </w:r>
    </w:p>
    <w:p w14:paraId="3C71C2ED" w14:textId="77777777" w:rsidR="003D6B78" w:rsidRPr="00C760A6" w:rsidRDefault="00000000" w:rsidP="00FB2C71">
      <w:pPr>
        <w:ind w:firstLine="0"/>
      </w:pPr>
      <w:r w:rsidRPr="00C760A6">
        <w:t>Where μ</w:t>
      </w:r>
      <w:r w:rsidRPr="00C760A6">
        <w:rPr>
          <w:vertAlign w:val="subscript"/>
        </w:rPr>
        <w:t>1</w:t>
      </w:r>
      <w:r w:rsidRPr="00C760A6">
        <w:t xml:space="preserve"> and μ</w:t>
      </w:r>
      <w:r w:rsidRPr="00C760A6">
        <w:rPr>
          <w:vertAlign w:val="subscript"/>
        </w:rPr>
        <w:t>2</w:t>
      </w:r>
      <w:r w:rsidRPr="00C760A6">
        <w:t xml:space="preserve"> represent the chemical potentials of the solvent and solute in the surface phase, respectively; </w:t>
      </w:r>
      <m:oMath>
        <m:sSubSup>
          <m:sSubSupPr>
            <m:ctrlPr>
              <w:rPr>
                <w:rFonts w:ascii="Cambria Math" w:hAnsi="Cambria Math"/>
                <w:i/>
              </w:rPr>
            </m:ctrlPr>
          </m:sSubSupPr>
          <m:e>
            <m:r>
              <w:rPr>
                <w:rFonts w:ascii="Cambria Math" w:hAnsi="Cambria Math"/>
              </w:rPr>
              <m:t>n</m:t>
            </m:r>
          </m:e>
          <m:sub>
            <m:r>
              <w:rPr>
                <w:rFonts w:ascii="Cambria Math" w:hAnsi="Cambria Math"/>
              </w:rPr>
              <m:t>1</m:t>
            </m:r>
          </m:sub>
          <m:sup>
            <m:r>
              <m:rPr>
                <m:sty m:val="p"/>
              </m:rPr>
              <w:rPr>
                <w:rFonts w:ascii="Cambria Math" w:hAnsi="Cambria Math"/>
              </w:rPr>
              <m:t>σ</m:t>
            </m:r>
          </m:sup>
        </m:sSubSup>
      </m:oMath>
      <w:r w:rsidRPr="00C760A6">
        <w:t xml:space="preserve"> and </w:t>
      </w:r>
      <m:oMath>
        <m:sSubSup>
          <m:sSubSupPr>
            <m:ctrlPr>
              <w:rPr>
                <w:rFonts w:ascii="Cambria Math" w:hAnsi="Cambria Math"/>
                <w:i/>
              </w:rPr>
            </m:ctrlPr>
          </m:sSubSupPr>
          <m:e>
            <m:r>
              <w:rPr>
                <w:rFonts w:ascii="Cambria Math" w:hAnsi="Cambria Math"/>
              </w:rPr>
              <m:t>n</m:t>
            </m:r>
          </m:e>
          <m:sub>
            <m:r>
              <w:rPr>
                <w:rFonts w:ascii="Cambria Math" w:hAnsi="Cambria Math"/>
              </w:rPr>
              <m:t>2</m:t>
            </m:r>
          </m:sub>
          <m:sup>
            <m:r>
              <m:rPr>
                <m:sty m:val="p"/>
              </m:rPr>
              <w:rPr>
                <w:rFonts w:ascii="Cambria Math" w:hAnsi="Cambria Math"/>
              </w:rPr>
              <m:t>σ</m:t>
            </m:r>
          </m:sup>
        </m:sSubSup>
      </m:oMath>
      <w:r w:rsidRPr="00C760A6">
        <w:t xml:space="preserve"> denote the excess amounts of the solvent and solute, respectively.</w:t>
      </w:r>
    </w:p>
    <w:p w14:paraId="734FD9E2" w14:textId="7987E308" w:rsidR="003D6B78" w:rsidRPr="00C760A6" w:rsidRDefault="005F7368" w:rsidP="005F7368">
      <w:pPr>
        <w:pStyle w:val="af3"/>
      </w:pPr>
      <w:r>
        <w:rPr>
          <w:rFonts w:eastAsiaTheme="minorEastAsia" w:cstheme="minorBidi"/>
        </w:rPr>
        <w:tab/>
      </w:r>
      <m:oMath>
        <m:r>
          <w:rPr>
            <w:rFonts w:ascii="Cambria Math" w:hAnsi="Cambria Math"/>
          </w:rPr>
          <m:t>d</m:t>
        </m:r>
        <m:sSup>
          <m:sSupPr>
            <m:ctrlPr>
              <w:rPr>
                <w:rFonts w:ascii="Cambria Math" w:hAnsi="Cambria Math"/>
              </w:rPr>
            </m:ctrlPr>
          </m:sSupPr>
          <m:e>
            <m:r>
              <w:rPr>
                <w:rFonts w:ascii="Cambria Math" w:hAnsi="Cambria Math"/>
              </w:rPr>
              <m:t>G</m:t>
            </m:r>
          </m:e>
          <m:sup>
            <m:r>
              <w:rPr>
                <w:rFonts w:ascii="Cambria Math" w:hAnsi="Cambria Math"/>
              </w:rPr>
              <m:t>σ</m:t>
            </m:r>
          </m:sup>
        </m:sSup>
        <m:r>
          <m:rPr>
            <m:sty m:val="p"/>
          </m:rPr>
          <w:rPr>
            <w:rFonts w:ascii="Cambria Math" w:hAnsi="Cambria Math"/>
          </w:rPr>
          <m:t>=</m:t>
        </m:r>
        <m:r>
          <w:rPr>
            <w:rFonts w:ascii="Cambria Math" w:hAnsi="Cambria Math"/>
          </w:rPr>
          <m:t>γ</m:t>
        </m:r>
        <m:r>
          <m:rPr>
            <m:sty m:val="p"/>
          </m:rPr>
          <w:rPr>
            <w:rFonts w:ascii="Cambria Math" w:hAnsi="Cambria Math"/>
          </w:rPr>
          <m:t>d</m:t>
        </m:r>
        <m:sSub>
          <m:sSubPr>
            <m:ctrlPr>
              <w:rPr>
                <w:rFonts w:ascii="Cambria Math" w:hAnsi="Cambria Math"/>
              </w:rPr>
            </m:ctrlPr>
          </m:sSubPr>
          <m:e>
            <m:r>
              <w:rPr>
                <w:rFonts w:ascii="Cambria Math" w:hAnsi="Cambria Math"/>
              </w:rPr>
              <m:t>A</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s</m:t>
            </m:r>
          </m:sub>
        </m:sSub>
        <m:r>
          <w:rPr>
            <w:rFonts w:ascii="Cambria Math" w:hAnsi="Cambria Math"/>
          </w:rPr>
          <m:t>dγ</m:t>
        </m:r>
        <m:r>
          <m:rPr>
            <m:sty m:val="p"/>
          </m:rPr>
          <w:rPr>
            <w:rFonts w:ascii="Cambria Math" w:hAnsi="Cambria Math"/>
          </w:rPr>
          <m:t>+</m:t>
        </m:r>
        <m:sSub>
          <m:sSubPr>
            <m:ctrlPr>
              <w:rPr>
                <w:rFonts w:ascii="Cambria Math" w:hAnsi="Cambria Math"/>
              </w:rPr>
            </m:ctrlPr>
          </m:sSubPr>
          <m:e>
            <m:r>
              <w:rPr>
                <w:rFonts w:ascii="Cambria Math" w:hAnsi="Cambria Math"/>
              </w:rPr>
              <m:t>μ</m:t>
            </m:r>
          </m:e>
          <m:sub>
            <m:r>
              <m:rPr>
                <m:sty m:val="p"/>
              </m:rPr>
              <w:rPr>
                <w:rFonts w:ascii="Cambria Math" w:hAnsi="Cambria Math"/>
              </w:rPr>
              <m:t>1</m:t>
            </m:r>
          </m:sub>
        </m:sSub>
        <m:r>
          <w:rPr>
            <w:rFonts w:ascii="Cambria Math" w:hAnsi="Cambria Math"/>
          </w:rPr>
          <m:t>d</m:t>
        </m:r>
        <m:sSubSup>
          <m:sSubSupPr>
            <m:ctrlPr>
              <w:rPr>
                <w:rFonts w:ascii="Cambria Math" w:hAnsi="Cambria Math"/>
              </w:rPr>
            </m:ctrlPr>
          </m:sSubSupPr>
          <m:e>
            <m:r>
              <w:rPr>
                <w:rFonts w:ascii="Cambria Math" w:hAnsi="Cambria Math"/>
              </w:rPr>
              <m:t>n</m:t>
            </m:r>
          </m:e>
          <m:sub>
            <m:r>
              <m:rPr>
                <m:sty m:val="p"/>
              </m:rPr>
              <w:rPr>
                <w:rFonts w:ascii="Cambria Math" w:hAnsi="Cambria Math"/>
              </w:rPr>
              <m:t>1</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n</m:t>
            </m:r>
          </m:e>
          <m:sub>
            <m:r>
              <m:rPr>
                <m:sty m:val="p"/>
              </m:rPr>
              <w:rPr>
                <w:rFonts w:ascii="Cambria Math" w:hAnsi="Cambria Math"/>
              </w:rPr>
              <m:t>1</m:t>
            </m:r>
          </m:sub>
          <m:sup>
            <m:r>
              <w:rPr>
                <w:rFonts w:ascii="Cambria Math" w:hAnsi="Cambria Math"/>
              </w:rPr>
              <m:t>σ</m:t>
            </m:r>
          </m:sup>
        </m:sSubSup>
        <m:r>
          <w:rPr>
            <w:rFonts w:ascii="Cambria Math" w:hAnsi="Cambria Math"/>
          </w:rPr>
          <m:t>d</m:t>
        </m:r>
        <m:sSub>
          <m:sSubPr>
            <m:ctrlPr>
              <w:rPr>
                <w:rFonts w:ascii="Cambria Math" w:hAnsi="Cambria Math"/>
              </w:rPr>
            </m:ctrlPr>
          </m:sSubPr>
          <m:e>
            <m:r>
              <w:rPr>
                <w:rFonts w:ascii="Cambria Math" w:hAnsi="Cambria Math"/>
              </w:rPr>
              <m:t>μ</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m:rPr>
                <m:sty m:val="p"/>
              </m:rPr>
              <w:rPr>
                <w:rFonts w:ascii="Cambria Math" w:hAnsi="Cambria Math"/>
              </w:rPr>
              <m:t>2</m:t>
            </m:r>
          </m:sub>
        </m:sSub>
        <m:r>
          <w:rPr>
            <w:rFonts w:ascii="Cambria Math" w:hAnsi="Cambria Math"/>
          </w:rPr>
          <m:t>d</m:t>
        </m:r>
        <m:sSubSup>
          <m:sSubSupPr>
            <m:ctrlPr>
              <w:rPr>
                <w:rFonts w:ascii="Cambria Math" w:hAnsi="Cambria Math"/>
              </w:rPr>
            </m:ctrlPr>
          </m:sSubSupPr>
          <m:e>
            <m:r>
              <w:rPr>
                <w:rFonts w:ascii="Cambria Math" w:hAnsi="Cambria Math"/>
              </w:rPr>
              <m:t>n</m:t>
            </m:r>
          </m:e>
          <m:sub>
            <m:r>
              <m:rPr>
                <m:sty m:val="p"/>
              </m:rPr>
              <w:rPr>
                <w:rFonts w:ascii="Cambria Math" w:hAnsi="Cambria Math"/>
              </w:rPr>
              <m:t>2</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n</m:t>
            </m:r>
          </m:e>
          <m:sub>
            <m:r>
              <m:rPr>
                <m:sty m:val="p"/>
              </m:rPr>
              <w:rPr>
                <w:rFonts w:ascii="Cambria Math" w:hAnsi="Cambria Math"/>
              </w:rPr>
              <m:t>2</m:t>
            </m:r>
          </m:sub>
          <m:sup>
            <m:r>
              <w:rPr>
                <w:rFonts w:ascii="Cambria Math" w:hAnsi="Cambria Math"/>
              </w:rPr>
              <m:t>σ</m:t>
            </m:r>
          </m:sup>
        </m:sSubSup>
        <m:r>
          <w:rPr>
            <w:rFonts w:ascii="Cambria Math" w:hAnsi="Cambria Math"/>
          </w:rPr>
          <m:t>d</m:t>
        </m:r>
        <m:sSub>
          <m:sSubPr>
            <m:ctrlPr>
              <w:rPr>
                <w:rFonts w:ascii="Cambria Math" w:hAnsi="Cambria Math"/>
              </w:rPr>
            </m:ctrlPr>
          </m:sSubPr>
          <m:e>
            <m:r>
              <w:rPr>
                <w:rFonts w:ascii="Cambria Math" w:hAnsi="Cambria Math"/>
              </w:rPr>
              <m:t>μ</m:t>
            </m:r>
          </m:e>
          <m:sub>
            <m:r>
              <m:rPr>
                <m:sty m:val="p"/>
              </m:rPr>
              <w:rPr>
                <w:rFonts w:ascii="Cambria Math" w:hAnsi="Cambria Math"/>
              </w:rPr>
              <m:t>2</m:t>
            </m:r>
          </m:sub>
        </m:sSub>
      </m:oMath>
      <w:r w:rsidRPr="00C760A6">
        <w:tab/>
      </w:r>
      <w:r w:rsidRPr="00672193">
        <w:t>(4)</w:t>
      </w:r>
    </w:p>
    <w:p w14:paraId="5966A07F" w14:textId="02CECFBA" w:rsidR="003D6B78" w:rsidRPr="00C760A6" w:rsidRDefault="005F7368" w:rsidP="005F7368">
      <w:pPr>
        <w:pStyle w:val="af3"/>
      </w:pPr>
      <w:r>
        <w:tab/>
      </w:r>
      <m:oMath>
        <m:r>
          <w:rPr>
            <w:rFonts w:ascii="Cambria Math" w:hAnsi="Cambria Math"/>
          </w:rPr>
          <m:t>dγ</m:t>
        </m:r>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1</m:t>
            </m:r>
          </m:sub>
        </m:sSub>
        <m:r>
          <w:rPr>
            <w:rFonts w:ascii="Cambria Math" w:hAnsi="Cambria Math"/>
          </w:rPr>
          <m:t>d</m:t>
        </m:r>
        <m:sSub>
          <m:sSubPr>
            <m:ctrlPr>
              <w:rPr>
                <w:rFonts w:ascii="Cambria Math" w:hAnsi="Cambria Math"/>
              </w:rPr>
            </m:ctrlPr>
          </m:sSubPr>
          <m:e>
            <m:r>
              <w:rPr>
                <w:rFonts w:ascii="Cambria Math" w:hAnsi="Cambria Math"/>
              </w:rPr>
              <m:t>μ</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2</m:t>
            </m:r>
          </m:sub>
        </m:sSub>
        <m:r>
          <w:rPr>
            <w:rFonts w:ascii="Cambria Math" w:hAnsi="Cambria Math"/>
          </w:rPr>
          <m:t>d</m:t>
        </m:r>
        <m:sSub>
          <m:sSubPr>
            <m:ctrlPr>
              <w:rPr>
                <w:rFonts w:ascii="Cambria Math" w:hAnsi="Cambria Math"/>
              </w:rPr>
            </m:ctrlPr>
          </m:sSubPr>
          <m:e>
            <m:r>
              <w:rPr>
                <w:rFonts w:ascii="Cambria Math" w:hAnsi="Cambria Math"/>
              </w:rPr>
              <m:t>μ</m:t>
            </m:r>
          </m:e>
          <m:sub>
            <m:r>
              <m:rPr>
                <m:sty m:val="p"/>
              </m:rPr>
              <w:rPr>
                <w:rFonts w:ascii="Cambria Math" w:hAnsi="Cambria Math"/>
              </w:rPr>
              <m:t>2</m:t>
            </m:r>
          </m:sub>
        </m:sSub>
        <m:r>
          <m:rPr>
            <m:sty m:val="p"/>
          </m:rPr>
          <w:rPr>
            <w:rFonts w:ascii="Cambria Math" w:hAnsi="Cambria Math"/>
          </w:rPr>
          <m:t>)</m:t>
        </m:r>
      </m:oMath>
      <w:r w:rsidRPr="00C760A6">
        <w:tab/>
      </w:r>
      <w:r w:rsidRPr="00672193">
        <w:t>(5)</w:t>
      </w:r>
    </w:p>
    <w:p w14:paraId="51280978" w14:textId="77777777" w:rsidR="003D6B78" w:rsidRPr="00C760A6" w:rsidRDefault="00000000" w:rsidP="00FB2C71">
      <w:pPr>
        <w:ind w:firstLine="0"/>
      </w:pPr>
      <w:r w:rsidRPr="00C760A6">
        <w:t xml:space="preserve">According to the Gibbs surface model, the solvent has Γ=0. After reorganization, we </w:t>
      </w:r>
      <w:r w:rsidRPr="00C760A6">
        <w:lastRenderedPageBreak/>
        <w:t>obtain:</w:t>
      </w:r>
    </w:p>
    <w:p w14:paraId="08001890" w14:textId="44D60B72" w:rsidR="003D6B78" w:rsidRPr="00C760A6" w:rsidRDefault="005F7368" w:rsidP="005F7368">
      <w:pPr>
        <w:pStyle w:val="af3"/>
      </w:pPr>
      <w:r>
        <w:rPr>
          <w:rFonts w:eastAsiaTheme="minorEastAsia" w:cstheme="minorBidi"/>
        </w:rPr>
        <w:tab/>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r>
              <w:rPr>
                <w:rFonts w:ascii="Cambria Math" w:hAnsi="Cambria Math"/>
              </w:rPr>
              <m:t>dγ</m:t>
            </m:r>
          </m:num>
          <m:den>
            <m:r>
              <w:rPr>
                <w:rFonts w:ascii="Cambria Math" w:hAnsi="Cambria Math"/>
              </w:rPr>
              <m:t>RTdln</m:t>
            </m:r>
            <m:sSub>
              <m:sSubPr>
                <m:ctrlPr>
                  <w:rPr>
                    <w:rFonts w:ascii="Cambria Math" w:hAnsi="Cambria Math"/>
                  </w:rPr>
                </m:ctrlPr>
              </m:sSubPr>
              <m:e>
                <m:r>
                  <w:rPr>
                    <w:rFonts w:ascii="Cambria Math" w:hAnsi="Cambria Math"/>
                  </w:rPr>
                  <m:t>a</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m:rPr>
                    <m:sty m:val="p"/>
                  </m:rPr>
                  <w:rPr>
                    <w:rFonts w:ascii="Cambria Math" w:hAnsi="Cambria Math"/>
                  </w:rPr>
                  <m:t>2</m:t>
                </m:r>
              </m:sub>
            </m:sSub>
          </m:num>
          <m:den>
            <m:r>
              <w:rPr>
                <w:rFonts w:ascii="Cambria Math" w:hAnsi="Cambria Math"/>
              </w:rPr>
              <m:t>RT</m:t>
            </m:r>
          </m:den>
        </m:f>
        <m:r>
          <m:rPr>
            <m:sty m:val="p"/>
          </m:rPr>
          <w:rPr>
            <w:rFonts w:ascii="Cambria Math" w:hAnsi="Cambria Math"/>
          </w:rPr>
          <m:t>⋅</m:t>
        </m:r>
        <m:f>
          <m:fPr>
            <m:ctrlPr>
              <w:rPr>
                <w:rFonts w:ascii="Cambria Math" w:hAnsi="Cambria Math"/>
              </w:rPr>
            </m:ctrlPr>
          </m:fPr>
          <m:num>
            <m:r>
              <w:rPr>
                <w:rFonts w:ascii="Cambria Math" w:hAnsi="Cambria Math"/>
              </w:rPr>
              <m:t>dγ</m:t>
            </m:r>
          </m:num>
          <m:den>
            <m:r>
              <w:rPr>
                <w:rFonts w:ascii="Cambria Math" w:hAnsi="Cambria Math"/>
              </w:rPr>
              <m:t>d</m:t>
            </m:r>
            <m:sSub>
              <m:sSubPr>
                <m:ctrlPr>
                  <w:rPr>
                    <w:rFonts w:ascii="Cambria Math" w:hAnsi="Cambria Math"/>
                  </w:rPr>
                </m:ctrlPr>
              </m:sSubPr>
              <m:e>
                <m:r>
                  <w:rPr>
                    <w:rFonts w:ascii="Cambria Math" w:hAnsi="Cambria Math"/>
                  </w:rPr>
                  <m:t>a</m:t>
                </m:r>
              </m:e>
              <m:sub>
                <m:r>
                  <m:rPr>
                    <m:sty m:val="p"/>
                  </m:rPr>
                  <w:rPr>
                    <w:rFonts w:ascii="Cambria Math" w:hAnsi="Cambria Math"/>
                  </w:rPr>
                  <m:t>2</m:t>
                </m:r>
              </m:sub>
            </m:sSub>
          </m:den>
        </m:f>
      </m:oMath>
      <w:r w:rsidRPr="00C760A6">
        <w:tab/>
      </w:r>
      <w:r w:rsidRPr="00672193">
        <w:t>(6)</w:t>
      </w:r>
    </w:p>
    <w:p w14:paraId="06BB093C" w14:textId="77777777" w:rsidR="003D6B78" w:rsidRPr="00C760A6" w:rsidRDefault="00000000" w:rsidP="00FB2C71">
      <w:pPr>
        <w:ind w:firstLine="0"/>
      </w:pPr>
      <w:r w:rsidRPr="00C760A6">
        <w:t>For experimental conditions, assuming the solution is close to an ideal dilute solution, substituting the solute concentration for activity yields:</w:t>
      </w:r>
    </w:p>
    <w:p w14:paraId="505DE9C2" w14:textId="60964550" w:rsidR="003D6B78" w:rsidRPr="00C760A6" w:rsidRDefault="005F7368" w:rsidP="005F7368">
      <w:pPr>
        <w:pStyle w:val="af3"/>
      </w:pPr>
      <w:r>
        <w:rPr>
          <w:rFonts w:eastAsiaTheme="minorEastAsia" w:cstheme="minorBidi"/>
        </w:rPr>
        <w:tab/>
      </w:r>
      <m:oMath>
        <m:r>
          <m:rPr>
            <m:sty m:val="p"/>
          </m:rPr>
          <w:rPr>
            <w:rFonts w:ascii="Cambria Math" w:hAnsi="Cambria Math"/>
          </w:rPr>
          <m:t>Γ=-</m:t>
        </m:r>
        <m:f>
          <m:fPr>
            <m:ctrlPr>
              <w:rPr>
                <w:rFonts w:ascii="Cambria Math" w:hAnsi="Cambria Math"/>
              </w:rPr>
            </m:ctrlPr>
          </m:fPr>
          <m:num>
            <m:r>
              <w:rPr>
                <w:rFonts w:ascii="Cambria Math" w:hAnsi="Cambria Math"/>
              </w:rPr>
              <m:t>c</m:t>
            </m:r>
          </m:num>
          <m:den>
            <m:r>
              <w:rPr>
                <w:rFonts w:ascii="Cambria Math" w:hAnsi="Cambria Math"/>
              </w:rPr>
              <m:t>RT</m:t>
            </m:r>
          </m:den>
        </m:f>
        <m:r>
          <m:rPr>
            <m:sty m:val="p"/>
          </m:rPr>
          <w:rPr>
            <w:rFonts w:ascii="Cambria Math" w:hAnsi="Cambria Math"/>
          </w:rPr>
          <m:t>⋅</m:t>
        </m:r>
        <m:f>
          <m:fPr>
            <m:ctrlPr>
              <w:rPr>
                <w:rFonts w:ascii="Cambria Math" w:hAnsi="Cambria Math"/>
              </w:rPr>
            </m:ctrlPr>
          </m:fPr>
          <m:num>
            <m:r>
              <w:rPr>
                <w:rFonts w:ascii="Cambria Math" w:hAnsi="Cambria Math"/>
              </w:rPr>
              <m:t>dγ</m:t>
            </m:r>
          </m:num>
          <m:den>
            <m:r>
              <w:rPr>
                <w:rFonts w:ascii="Cambria Math" w:hAnsi="Cambria Math"/>
              </w:rPr>
              <m:t>dc</m:t>
            </m:r>
          </m:den>
        </m:f>
      </m:oMath>
      <w:r w:rsidRPr="00C760A6">
        <w:tab/>
      </w:r>
      <w:r w:rsidRPr="00672193">
        <w:t>(7)</w:t>
      </w:r>
    </w:p>
    <w:p w14:paraId="3DDDA2B3" w14:textId="77777777" w:rsidR="003D6B78" w:rsidRPr="00C760A6" w:rsidRDefault="00000000" w:rsidP="005F7368">
      <w:pPr>
        <w:pStyle w:val="2"/>
        <w:spacing w:before="360" w:after="360"/>
      </w:pPr>
      <w:r w:rsidRPr="00C760A6">
        <w:t>Derivation of the Gibbs Adsorption Equation at the Interface:</w:t>
      </w:r>
    </w:p>
    <w:p w14:paraId="7AB78417" w14:textId="77777777" w:rsidR="003D6B78" w:rsidRPr="00C760A6" w:rsidRDefault="00000000" w:rsidP="00FB2C71">
      <w:pPr>
        <w:ind w:firstLine="0"/>
      </w:pPr>
      <w:r w:rsidRPr="00C760A6">
        <w:t>Similarly, for ternary systems at the interface, there is</w:t>
      </w:r>
    </w:p>
    <w:p w14:paraId="6D53691A" w14:textId="5FC67C9F" w:rsidR="003D6B78" w:rsidRPr="00C760A6" w:rsidRDefault="005F7368" w:rsidP="005F7368">
      <w:pPr>
        <w:pStyle w:val="af3"/>
      </w:pPr>
      <w:r>
        <w:rPr>
          <w:rFonts w:eastAsiaTheme="minorEastAsia" w:cstheme="minorBidi"/>
        </w:rPr>
        <w:tab/>
      </w:r>
      <m:oMath>
        <m:r>
          <w:rPr>
            <w:rFonts w:ascii="Cambria Math" w:hAnsi="Cambria Math"/>
          </w:rPr>
          <m:t>d</m:t>
        </m:r>
        <m:sSub>
          <m:sSubPr>
            <m:ctrlPr>
              <w:rPr>
                <w:rFonts w:ascii="Cambria Math" w:hAnsi="Cambria Math"/>
              </w:rPr>
            </m:ctrlPr>
          </m:sSubPr>
          <m:e>
            <m:r>
              <w:rPr>
                <w:rFonts w:ascii="Cambria Math" w:hAnsi="Cambria Math"/>
              </w:rPr>
              <m:t>σ</m:t>
            </m:r>
          </m:e>
          <m:sub>
            <m:r>
              <m:rPr>
                <m:sty m:val="p"/>
              </m:rPr>
              <w:rPr>
                <w:rFonts w:ascii="Cambria Math" w:hAnsi="Cambria Math"/>
              </w:rPr>
              <m:t>12</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Γ</m:t>
            </m:r>
          </m:e>
          <m:sup>
            <m:r>
              <m:rPr>
                <m:sty m:val="p"/>
              </m:rPr>
              <w:rPr>
                <w:rFonts w:ascii="Cambria Math" w:hAnsi="Cambria Math"/>
              </w:rPr>
              <m:t>(1)</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Γ</m:t>
            </m:r>
          </m:e>
          <m:sup>
            <m:r>
              <m:rPr>
                <m:sty m:val="p"/>
              </m:rPr>
              <w:rPr>
                <w:rFonts w:ascii="Cambria Math" w:hAnsi="Cambria Math"/>
              </w:rPr>
              <m:t>(2)</m:t>
            </m:r>
          </m:sup>
        </m:sSup>
        <m:f>
          <m:fPr>
            <m:ctrlPr>
              <w:rPr>
                <w:rFonts w:ascii="Cambria Math" w:hAnsi="Cambria Math"/>
              </w:rPr>
            </m:ctrlPr>
          </m:fPr>
          <m:num>
            <m:sSubSup>
              <m:sSubSupPr>
                <m:ctrlPr>
                  <w:rPr>
                    <w:rFonts w:ascii="Cambria Math" w:hAnsi="Cambria Math"/>
                  </w:rPr>
                </m:ctrlPr>
              </m:sSubSupPr>
              <m:e>
                <m:r>
                  <w:rPr>
                    <w:rFonts w:ascii="Cambria Math" w:hAnsi="Cambria Math"/>
                  </w:rPr>
                  <m:t>x</m:t>
                </m:r>
              </m:e>
              <m:sub>
                <m:r>
                  <m:rPr>
                    <m:sty m:val="p"/>
                  </m:rPr>
                  <w:rPr>
                    <w:rFonts w:ascii="Cambria Math" w:hAnsi="Cambria Math"/>
                  </w:rPr>
                  <m:t>3</m:t>
                </m:r>
              </m:sub>
              <m:sup>
                <m:r>
                  <m:rPr>
                    <m:sty m:val="p"/>
                  </m:rPr>
                  <w:rPr>
                    <w:rFonts w:ascii="Cambria Math" w:hAnsi="Cambria Math"/>
                  </w:rPr>
                  <m:t>(2)</m:t>
                </m:r>
              </m:sup>
            </m:sSubSup>
            <m:sSubSup>
              <m:sSubSupPr>
                <m:ctrlPr>
                  <w:rPr>
                    <w:rFonts w:ascii="Cambria Math" w:hAnsi="Cambria Math"/>
                  </w:rPr>
                </m:ctrlPr>
              </m:sSubSupPr>
              <m:e>
                <m:r>
                  <w:rPr>
                    <w:rFonts w:ascii="Cambria Math" w:hAnsi="Cambria Math"/>
                  </w:rPr>
                  <m:t>x</m:t>
                </m:r>
              </m:e>
              <m:sub>
                <m:r>
                  <m:rPr>
                    <m:sty m:val="p"/>
                  </m:rPr>
                  <w:rPr>
                    <w:rFonts w:ascii="Cambria Math" w:hAnsi="Cambria Math"/>
                  </w:rPr>
                  <m:t>1</m:t>
                </m:r>
              </m:sub>
              <m:sup>
                <m:r>
                  <m:rPr>
                    <m:sty m:val="p"/>
                  </m:rPr>
                  <w:rPr>
                    <w:rFonts w:ascii="Cambria Math" w:hAnsi="Cambria Math"/>
                  </w:rPr>
                  <m:t>(1)</m:t>
                </m:r>
              </m:sup>
            </m:sSubSup>
            <m:r>
              <m:rPr>
                <m:sty m:val="p"/>
              </m:rPr>
              <w:rPr>
                <w:rFonts w:ascii="Cambria Math" w:hAnsi="Cambria Math"/>
              </w:rPr>
              <m:t>-</m:t>
            </m:r>
            <m:sSubSup>
              <m:sSubSupPr>
                <m:ctrlPr>
                  <w:rPr>
                    <w:rFonts w:ascii="Cambria Math" w:hAnsi="Cambria Math"/>
                  </w:rPr>
                </m:ctrlPr>
              </m:sSubSupPr>
              <m:e>
                <m:r>
                  <w:rPr>
                    <w:rFonts w:ascii="Cambria Math" w:hAnsi="Cambria Math"/>
                  </w:rPr>
                  <m:t>x</m:t>
                </m:r>
              </m:e>
              <m:sub>
                <m:r>
                  <m:rPr>
                    <m:sty m:val="p"/>
                  </m:rPr>
                  <w:rPr>
                    <w:rFonts w:ascii="Cambria Math" w:hAnsi="Cambria Math"/>
                  </w:rPr>
                  <m:t>3</m:t>
                </m:r>
              </m:sub>
              <m:sup>
                <m:r>
                  <m:rPr>
                    <m:sty m:val="p"/>
                  </m:rPr>
                  <w:rPr>
                    <w:rFonts w:ascii="Cambria Math" w:hAnsi="Cambria Math"/>
                  </w:rPr>
                  <m:t>(1)</m:t>
                </m:r>
              </m:sup>
            </m:sSubSup>
            <m:sSubSup>
              <m:sSubSupPr>
                <m:ctrlPr>
                  <w:rPr>
                    <w:rFonts w:ascii="Cambria Math" w:hAnsi="Cambria Math"/>
                  </w:rPr>
                </m:ctrlPr>
              </m:sSubSupPr>
              <m:e>
                <m:r>
                  <w:rPr>
                    <w:rFonts w:ascii="Cambria Math" w:hAnsi="Cambria Math"/>
                  </w:rPr>
                  <m:t>x</m:t>
                </m:r>
              </m:e>
              <m:sub>
                <m:r>
                  <m:rPr>
                    <m:sty m:val="p"/>
                  </m:rPr>
                  <w:rPr>
                    <w:rFonts w:ascii="Cambria Math" w:hAnsi="Cambria Math"/>
                  </w:rPr>
                  <m:t>1</m:t>
                </m:r>
              </m:sub>
              <m:sup>
                <m:r>
                  <m:rPr>
                    <m:sty m:val="p"/>
                  </m:rPr>
                  <w:rPr>
                    <w:rFonts w:ascii="Cambria Math" w:hAnsi="Cambria Math"/>
                  </w:rPr>
                  <m:t>(2)</m:t>
                </m:r>
              </m:sup>
            </m:sSubSup>
          </m:num>
          <m:den>
            <m:sSubSup>
              <m:sSubSupPr>
                <m:ctrlPr>
                  <w:rPr>
                    <w:rFonts w:ascii="Cambria Math" w:hAnsi="Cambria Math"/>
                  </w:rPr>
                </m:ctrlPr>
              </m:sSubSupPr>
              <m:e>
                <m:r>
                  <w:rPr>
                    <w:rFonts w:ascii="Cambria Math" w:hAnsi="Cambria Math"/>
                  </w:rPr>
                  <m:t>x</m:t>
                </m:r>
              </m:e>
              <m:sub>
                <m:r>
                  <m:rPr>
                    <m:sty m:val="p"/>
                  </m:rPr>
                  <w:rPr>
                    <w:rFonts w:ascii="Cambria Math" w:hAnsi="Cambria Math"/>
                  </w:rPr>
                  <m:t>2</m:t>
                </m:r>
              </m:sub>
              <m:sup>
                <m:r>
                  <m:rPr>
                    <m:sty m:val="p"/>
                  </m:rPr>
                  <w:rPr>
                    <w:rFonts w:ascii="Cambria Math" w:hAnsi="Cambria Math"/>
                  </w:rPr>
                  <m:t>(2)</m:t>
                </m:r>
              </m:sup>
            </m:sSubSup>
            <m:sSubSup>
              <m:sSubSupPr>
                <m:ctrlPr>
                  <w:rPr>
                    <w:rFonts w:ascii="Cambria Math" w:hAnsi="Cambria Math"/>
                  </w:rPr>
                </m:ctrlPr>
              </m:sSubSupPr>
              <m:e>
                <m:r>
                  <w:rPr>
                    <w:rFonts w:ascii="Cambria Math" w:hAnsi="Cambria Math"/>
                  </w:rPr>
                  <m:t>x</m:t>
                </m:r>
              </m:e>
              <m:sub>
                <m:r>
                  <m:rPr>
                    <m:sty m:val="p"/>
                  </m:rPr>
                  <w:rPr>
                    <w:rFonts w:ascii="Cambria Math" w:hAnsi="Cambria Math"/>
                  </w:rPr>
                  <m:t>1</m:t>
                </m:r>
              </m:sub>
              <m:sup>
                <m:r>
                  <m:rPr>
                    <m:sty m:val="p"/>
                  </m:rPr>
                  <w:rPr>
                    <w:rFonts w:ascii="Cambria Math" w:hAnsi="Cambria Math"/>
                  </w:rPr>
                  <m:t>(1)</m:t>
                </m:r>
              </m:sup>
            </m:sSubSup>
            <m:r>
              <m:rPr>
                <m:sty m:val="p"/>
              </m:rPr>
              <w:rPr>
                <w:rFonts w:ascii="Cambria Math" w:hAnsi="Cambria Math"/>
              </w:rPr>
              <m:t>-</m:t>
            </m:r>
            <m:sSubSup>
              <m:sSubSupPr>
                <m:ctrlPr>
                  <w:rPr>
                    <w:rFonts w:ascii="Cambria Math" w:hAnsi="Cambria Math"/>
                  </w:rPr>
                </m:ctrlPr>
              </m:sSubSupPr>
              <m:e>
                <m:r>
                  <w:rPr>
                    <w:rFonts w:ascii="Cambria Math" w:hAnsi="Cambria Math"/>
                  </w:rPr>
                  <m:t>x</m:t>
                </m:r>
              </m:e>
              <m:sub>
                <m:r>
                  <m:rPr>
                    <m:sty m:val="p"/>
                  </m:rPr>
                  <w:rPr>
                    <w:rFonts w:ascii="Cambria Math" w:hAnsi="Cambria Math"/>
                  </w:rPr>
                  <m:t>2</m:t>
                </m:r>
              </m:sub>
              <m:sup>
                <m:r>
                  <m:rPr>
                    <m:sty m:val="p"/>
                  </m:rPr>
                  <w:rPr>
                    <w:rFonts w:ascii="Cambria Math" w:hAnsi="Cambria Math"/>
                  </w:rPr>
                  <m:t>(1)</m:t>
                </m:r>
              </m:sup>
            </m:sSubSup>
            <m:sSubSup>
              <m:sSubSupPr>
                <m:ctrlPr>
                  <w:rPr>
                    <w:rFonts w:ascii="Cambria Math" w:hAnsi="Cambria Math"/>
                  </w:rPr>
                </m:ctrlPr>
              </m:sSubSupPr>
              <m:e>
                <m:r>
                  <w:rPr>
                    <w:rFonts w:ascii="Cambria Math" w:hAnsi="Cambria Math"/>
                  </w:rPr>
                  <m:t>x</m:t>
                </m:r>
              </m:e>
              <m:sub>
                <m:r>
                  <m:rPr>
                    <m:sty m:val="p"/>
                  </m:rPr>
                  <w:rPr>
                    <w:rFonts w:ascii="Cambria Math" w:hAnsi="Cambria Math"/>
                  </w:rPr>
                  <m:t>1</m:t>
                </m:r>
              </m:sub>
              <m:sup>
                <m:r>
                  <m:rPr>
                    <m:sty m:val="p"/>
                  </m:rPr>
                  <w:rPr>
                    <w:rFonts w:ascii="Cambria Math" w:hAnsi="Cambria Math"/>
                  </w:rPr>
                  <m:t>(2)</m:t>
                </m:r>
              </m:sup>
            </m:sSubSup>
          </m:den>
        </m:f>
        <m:r>
          <w:rPr>
            <w:rFonts w:ascii="Cambria Math" w:hAnsi="Cambria Math"/>
          </w:rPr>
          <m:t>RTdln</m:t>
        </m:r>
        <m:sSub>
          <m:sSubPr>
            <m:ctrlPr>
              <w:rPr>
                <w:rFonts w:ascii="Cambria Math" w:hAnsi="Cambria Math"/>
              </w:rPr>
            </m:ctrlPr>
          </m:sSubPr>
          <m:e>
            <m:r>
              <w:rPr>
                <w:rFonts w:ascii="Cambria Math" w:hAnsi="Cambria Math"/>
              </w:rPr>
              <m:t>a</m:t>
            </m:r>
          </m:e>
          <m:sub>
            <m:r>
              <m:rPr>
                <m:sty m:val="p"/>
              </m:rPr>
              <w:rPr>
                <w:rFonts w:ascii="Cambria Math" w:hAnsi="Cambria Math"/>
              </w:rPr>
              <m:t>3</m:t>
            </m:r>
          </m:sub>
        </m:sSub>
      </m:oMath>
      <w:r w:rsidRPr="00C760A6">
        <w:tab/>
      </w:r>
      <w:r w:rsidRPr="00672193">
        <w:t>(8)</w:t>
      </w:r>
    </w:p>
    <w:p w14:paraId="33F4094D" w14:textId="77777777" w:rsidR="003D6B78" w:rsidRPr="00C760A6" w:rsidRDefault="00000000" w:rsidP="00FB2C71">
      <w:pPr>
        <w:spacing w:afterLines="100" w:after="360"/>
        <w:ind w:firstLine="0"/>
      </w:pPr>
      <w:r w:rsidRPr="00C760A6">
        <w:t>Here, x</w:t>
      </w:r>
      <w:r w:rsidRPr="00C760A6">
        <w:rPr>
          <w:vertAlign w:val="subscript"/>
        </w:rPr>
        <w:t>i</w:t>
      </w:r>
      <w:r w:rsidRPr="00C760A6">
        <w:t xml:space="preserve"> denotes the molar fraction of component i; superscripts (1) and (2) represent liquid phase 1 and liquid phase 2, respectively; </w:t>
      </w:r>
      <m:oMath>
        <m:sSub>
          <m:sSubPr>
            <m:ctrlPr>
              <w:rPr>
                <w:rFonts w:ascii="Cambria Math" w:hAnsi="Cambria Math"/>
              </w:rPr>
            </m:ctrlPr>
          </m:sSubPr>
          <m:e>
            <m:r>
              <w:rPr>
                <w:rFonts w:ascii="Cambria Math" w:hAnsi="Cambria Math"/>
              </w:rPr>
              <m:t>σ</m:t>
            </m:r>
          </m:e>
          <m:sub>
            <m:r>
              <m:rPr>
                <m:sty m:val="p"/>
              </m:rPr>
              <w:rPr>
                <w:rFonts w:ascii="Cambria Math" w:hAnsi="Cambria Math"/>
              </w:rPr>
              <m:t>12</m:t>
            </m:r>
          </m:sub>
        </m:sSub>
      </m:oMath>
      <w:r w:rsidRPr="00C760A6">
        <w:t xml:space="preserve"> indicates the interfacial tension at the interface between the two liquid phases.</w:t>
      </w:r>
    </w:p>
    <w:p w14:paraId="34159661" w14:textId="5D2B991E" w:rsidR="003D6B78" w:rsidRPr="00C760A6" w:rsidRDefault="00742ED8" w:rsidP="00FB2C71">
      <w:pPr>
        <w:ind w:firstLine="0"/>
      </w:pPr>
      <w:r>
        <w:rPr>
          <w:rFonts w:hint="eastAsia"/>
        </w:rPr>
        <w:t>I</w:t>
      </w:r>
      <w:r w:rsidRPr="00C760A6">
        <w:t>f the system under consideration satisfies any of the following assumptions:</w:t>
      </w:r>
    </w:p>
    <w:p w14:paraId="3B36E50D" w14:textId="77777777" w:rsidR="003D6B78" w:rsidRPr="00C760A6" w:rsidRDefault="00000000" w:rsidP="005F7368">
      <w:r w:rsidRPr="00C760A6">
        <w:t xml:space="preserve">Phase 2 is non-surfactant, i.e., </w:t>
      </w:r>
      <m:oMath>
        <m:sSup>
          <m:sSupPr>
            <m:ctrlPr>
              <w:rPr>
                <w:rFonts w:ascii="Cambria Math" w:hAnsi="Cambria Math"/>
              </w:rPr>
            </m:ctrlPr>
          </m:sSupPr>
          <m:e>
            <m:r>
              <m:rPr>
                <m:sty m:val="p"/>
              </m:rPr>
              <w:rPr>
                <w:rFonts w:ascii="Cambria Math" w:hAnsi="Cambria Math"/>
              </w:rPr>
              <m:t>Γ</m:t>
            </m:r>
          </m:e>
          <m:sup>
            <m:r>
              <m:rPr>
                <m:sty m:val="p"/>
              </m:rPr>
              <w:rPr>
                <w:rFonts w:ascii="Cambria Math" w:hAnsi="Cambria Math"/>
              </w:rPr>
              <m:t>(2)</m:t>
            </m:r>
          </m:sup>
        </m:sSup>
      </m:oMath>
      <w:r w:rsidRPr="00C760A6">
        <w:t>= 0;</w:t>
      </w:r>
    </w:p>
    <w:p w14:paraId="43FDE715" w14:textId="77777777" w:rsidR="003D6B78" w:rsidRPr="00C760A6" w:rsidRDefault="00000000" w:rsidP="005F7368">
      <w:r w:rsidRPr="00C760A6">
        <w:t>The solute and liquid 1 are completely insoluble in phase 2;</w:t>
      </w:r>
    </w:p>
    <w:p w14:paraId="7E96F5C7" w14:textId="77777777" w:rsidR="003D6B78" w:rsidRPr="00C760A6" w:rsidRDefault="00000000" w:rsidP="005F7368">
      <w:r w:rsidRPr="00C760A6">
        <w:t>The molar ratio of the solute and liquid 1 is identical in both phases;</w:t>
      </w:r>
    </w:p>
    <w:p w14:paraId="005FDBBE" w14:textId="77777777" w:rsidR="003D6B78" w:rsidRPr="00C760A6" w:rsidRDefault="00000000" w:rsidP="00FB2C71">
      <w:pPr>
        <w:ind w:firstLine="0"/>
      </w:pPr>
      <w:r w:rsidRPr="00C760A6">
        <w:t>Equation (8) can be simplified to</w:t>
      </w:r>
    </w:p>
    <w:p w14:paraId="787DB2A8" w14:textId="780DD645" w:rsidR="003D6B78" w:rsidRPr="00C760A6" w:rsidRDefault="005F7368" w:rsidP="005F7368">
      <w:pPr>
        <w:pStyle w:val="af3"/>
      </w:pPr>
      <w:r>
        <w:rPr>
          <w:rFonts w:eastAsiaTheme="minorEastAsia" w:cstheme="minorBidi"/>
        </w:rPr>
        <w:tab/>
      </w:r>
      <m:oMath>
        <m:r>
          <m:rPr>
            <m:sty m:val="p"/>
          </m:rPr>
          <w:rPr>
            <w:rFonts w:ascii="Cambria Math" w:hAnsi="Cambria Math"/>
          </w:rPr>
          <m:t>-</m:t>
        </m:r>
        <m:r>
          <w:rPr>
            <w:rFonts w:ascii="Cambria Math" w:hAnsi="Cambria Math"/>
          </w:rPr>
          <m:t>d</m:t>
        </m:r>
        <m:sSub>
          <m:sSubPr>
            <m:ctrlPr>
              <w:rPr>
                <w:rFonts w:ascii="Cambria Math" w:hAnsi="Cambria Math"/>
              </w:rPr>
            </m:ctrlPr>
          </m:sSubPr>
          <m:e>
            <m:r>
              <w:rPr>
                <w:rFonts w:ascii="Cambria Math" w:hAnsi="Cambria Math"/>
              </w:rPr>
              <m:t>σ</m:t>
            </m:r>
          </m:e>
          <m:sub>
            <m:r>
              <m:rPr>
                <m:sty m:val="p"/>
              </m:rPr>
              <w:rPr>
                <w:rFonts w:ascii="Cambria Math" w:hAnsi="Cambria Math"/>
              </w:rPr>
              <m:t>12</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Γ</m:t>
            </m:r>
          </m:e>
          <m:sup>
            <m:r>
              <m:rPr>
                <m:sty m:val="p"/>
              </m:rPr>
              <w:rPr>
                <w:rFonts w:ascii="Cambria Math" w:hAnsi="Cambria Math"/>
              </w:rPr>
              <m:t>(1)</m:t>
            </m:r>
          </m:sup>
        </m:sSup>
        <m:r>
          <w:rPr>
            <w:rFonts w:ascii="Cambria Math" w:hAnsi="Cambria Math"/>
          </w:rPr>
          <m:t>RTdln</m:t>
        </m:r>
        <m:sSub>
          <m:sSubPr>
            <m:ctrlPr>
              <w:rPr>
                <w:rFonts w:ascii="Cambria Math" w:hAnsi="Cambria Math"/>
              </w:rPr>
            </m:ctrlPr>
          </m:sSubPr>
          <m:e>
            <m:r>
              <w:rPr>
                <w:rFonts w:ascii="Cambria Math" w:hAnsi="Cambria Math"/>
              </w:rPr>
              <m:t>a</m:t>
            </m:r>
          </m:e>
          <m:sub>
            <m:r>
              <m:rPr>
                <m:sty m:val="p"/>
              </m:rPr>
              <w:rPr>
                <w:rFonts w:ascii="Cambria Math" w:hAnsi="Cambria Math"/>
              </w:rPr>
              <m:t>3</m:t>
            </m:r>
          </m:sub>
        </m:sSub>
      </m:oMath>
      <w:r w:rsidRPr="00C760A6">
        <w:tab/>
      </w:r>
      <w:r w:rsidRPr="00672193">
        <w:t>(9)</w:t>
      </w:r>
    </w:p>
    <w:p w14:paraId="093BBE70" w14:textId="4F59DDA8" w:rsidR="003D6B78" w:rsidRPr="00C760A6" w:rsidRDefault="00742ED8" w:rsidP="00FB2C71">
      <w:pPr>
        <w:spacing w:afterLines="100" w:after="360"/>
        <w:ind w:firstLine="0"/>
      </w:pPr>
      <w:r w:rsidRPr="00742ED8">
        <w:t xml:space="preserve">Derivation of the Langmuir Adsorption Equation for Interfacial Tension and Interfacial </w:t>
      </w:r>
      <w:r w:rsidR="00FB2C71" w:rsidRPr="00742ED8">
        <w:t>Concentration</w:t>
      </w:r>
      <w:r w:rsidR="00FB2C71" w:rsidRPr="00742ED8" w:rsidDel="00742ED8">
        <w:t>:</w:t>
      </w:r>
    </w:p>
    <w:p w14:paraId="540583A9" w14:textId="77777777" w:rsidR="003D6B78" w:rsidRPr="00C760A6" w:rsidRDefault="00000000" w:rsidP="00FB2C71">
      <w:pPr>
        <w:ind w:firstLine="0"/>
      </w:pPr>
      <w:r w:rsidRPr="00C760A6">
        <w:t>According to the Gibbs adsorption formula and Langmuir adsorption equation, it can be seen that:</w:t>
      </w:r>
    </w:p>
    <w:p w14:paraId="7298D457" w14:textId="77777777" w:rsidR="003D6B78" w:rsidRPr="00C760A6" w:rsidRDefault="00000000" w:rsidP="005F7368">
      <w:pPr>
        <w:ind w:firstLine="480"/>
      </w:pPr>
      <m:oMathPara>
        <m:oMath>
          <m:r>
            <m:rPr>
              <m:sty m:val="p"/>
            </m:rPr>
            <w:rPr>
              <w:rFonts w:ascii="Cambria Math" w:hAnsi="Cambria Math"/>
            </w:rPr>
            <m:t>-</m:t>
          </m:r>
          <m:r>
            <w:rPr>
              <w:rFonts w:ascii="Cambria Math" w:hAnsi="Cambria Math"/>
            </w:rPr>
            <m:t>d</m:t>
          </m:r>
          <m:sSub>
            <m:sSubPr>
              <m:ctrlPr>
                <w:rPr>
                  <w:rFonts w:ascii="Cambria Math" w:hAnsi="Cambria Math"/>
                </w:rPr>
              </m:ctrlPr>
            </m:sSubPr>
            <m:e>
              <m:r>
                <w:rPr>
                  <w:rFonts w:ascii="Cambria Math" w:hAnsi="Cambria Math"/>
                </w:rPr>
                <m:t>σ</m:t>
              </m:r>
            </m:e>
            <m:sub>
              <m:r>
                <m:rPr>
                  <m:sty m:val="p"/>
                </m:rPr>
                <w:rPr>
                  <w:rFonts w:ascii="Cambria Math" w:hAnsi="Cambria Math"/>
                </w:rPr>
                <m:t>12</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Γ</m:t>
              </m:r>
            </m:e>
            <m:sup>
              <m:r>
                <m:rPr>
                  <m:sty m:val="p"/>
                </m:rPr>
                <w:rPr>
                  <w:rFonts w:ascii="Cambria Math" w:hAnsi="Cambria Math"/>
                </w:rPr>
                <m:t>(1)</m:t>
              </m:r>
            </m:sup>
          </m:sSup>
          <m:r>
            <w:rPr>
              <w:rFonts w:ascii="Cambria Math" w:hAnsi="Cambria Math"/>
            </w:rPr>
            <m:t>RTdln</m:t>
          </m:r>
          <m:sSub>
            <m:sSubPr>
              <m:ctrlPr>
                <w:rPr>
                  <w:rFonts w:ascii="Cambria Math" w:hAnsi="Cambria Math"/>
                </w:rPr>
              </m:ctrlPr>
            </m:sSubPr>
            <m:e>
              <m:r>
                <w:rPr>
                  <w:rFonts w:ascii="Cambria Math" w:hAnsi="Cambria Math"/>
                </w:rPr>
                <m:t>a</m:t>
              </m:r>
            </m:e>
            <m:sub>
              <m:r>
                <m:rPr>
                  <m:sty m:val="p"/>
                </m:rPr>
                <w:rPr>
                  <w:rFonts w:ascii="Cambria Math" w:hAnsi="Cambria Math"/>
                </w:rPr>
                <m:t>3</m:t>
              </m:r>
            </m:sub>
          </m:sSub>
        </m:oMath>
      </m:oMathPara>
    </w:p>
    <w:p w14:paraId="6C1707A9" w14:textId="4428ADC1" w:rsidR="003D6B78" w:rsidRPr="00C760A6" w:rsidRDefault="005F7368" w:rsidP="005F7368">
      <w:pPr>
        <w:pStyle w:val="af3"/>
      </w:pPr>
      <w:r>
        <w:rPr>
          <w:rFonts w:eastAsiaTheme="minorEastAsia" w:cstheme="minorBidi"/>
        </w:rPr>
        <w:lastRenderedPageBreak/>
        <w:tab/>
      </w:r>
      <m:oMath>
        <m:r>
          <m:rPr>
            <m:sty m:val="p"/>
          </m:rPr>
          <w:rPr>
            <w:rFonts w:ascii="Cambria Math" w:hAnsi="Cambria Math"/>
          </w:rPr>
          <m:t>Γ=</m:t>
        </m:r>
        <m:sSub>
          <m:sSubPr>
            <m:ctrlPr>
              <w:rPr>
                <w:rFonts w:ascii="Cambria Math" w:hAnsi="Cambria Math"/>
              </w:rPr>
            </m:ctrlPr>
          </m:sSubPr>
          <m:e>
            <m:r>
              <m:rPr>
                <m:sty m:val="p"/>
              </m:rPr>
              <w:rPr>
                <w:rFonts w:ascii="Cambria Math" w:hAnsi="Cambria Math"/>
              </w:rPr>
              <m:t>Γ</m:t>
            </m:r>
          </m:e>
          <m:sub>
            <m:r>
              <m:rPr>
                <m:sty m:val="p"/>
              </m:rPr>
              <w:rPr>
                <w:rFonts w:ascii="Cambria Math" w:hAnsi="Cambria Math"/>
              </w:rPr>
              <m:t>∞</m:t>
            </m:r>
          </m:sub>
        </m:sSub>
        <m:f>
          <m:fPr>
            <m:ctrlPr>
              <w:rPr>
                <w:rFonts w:ascii="Cambria Math" w:hAnsi="Cambria Math"/>
              </w:rPr>
            </m:ctrlPr>
          </m:fPr>
          <m:num>
            <m:r>
              <w:rPr>
                <w:rFonts w:ascii="Cambria Math" w:hAnsi="Cambria Math"/>
              </w:rPr>
              <m:t>kc</m:t>
            </m:r>
          </m:num>
          <m:den>
            <m:r>
              <m:rPr>
                <m:sty m:val="p"/>
              </m:rPr>
              <w:rPr>
                <w:rFonts w:ascii="Cambria Math" w:hAnsi="Cambria Math"/>
              </w:rPr>
              <m:t>1+</m:t>
            </m:r>
            <m:r>
              <w:rPr>
                <w:rFonts w:ascii="Cambria Math" w:hAnsi="Cambria Math"/>
              </w:rPr>
              <m:t>kc</m:t>
            </m:r>
          </m:den>
        </m:f>
      </m:oMath>
      <w:r w:rsidRPr="00C760A6">
        <w:tab/>
      </w:r>
      <w:r w:rsidRPr="00672193">
        <w:t>(10)</w:t>
      </w:r>
    </w:p>
    <w:p w14:paraId="4A8DDA8D" w14:textId="77777777" w:rsidR="003D6B78" w:rsidRPr="00C760A6" w:rsidRDefault="00000000" w:rsidP="00FB2C71">
      <w:pPr>
        <w:ind w:firstLine="0"/>
      </w:pPr>
      <w:r w:rsidRPr="00C760A6">
        <w:t xml:space="preserve">where k is the adsorption kinetic constant; </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m:t>
            </m:r>
          </m:sub>
        </m:sSub>
      </m:oMath>
      <w:r w:rsidRPr="00C760A6">
        <w:t xml:space="preserve"> is the maximum interfacial excess.</w:t>
      </w:r>
    </w:p>
    <w:p w14:paraId="3F062C50" w14:textId="4C4B6CEB" w:rsidR="003D6B78" w:rsidRPr="00C760A6" w:rsidRDefault="005F7368" w:rsidP="005F7368">
      <w:pPr>
        <w:pStyle w:val="af3"/>
      </w:pPr>
      <w:r>
        <w:rPr>
          <w:rFonts w:eastAsiaTheme="minorEastAsia" w:cstheme="minorBidi"/>
        </w:rPr>
        <w:tab/>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m:t>
            </m:r>
          </m:sub>
        </m:sSub>
        <m:f>
          <m:fPr>
            <m:ctrlPr>
              <w:rPr>
                <w:rFonts w:ascii="Cambria Math" w:hAnsi="Cambria Math"/>
              </w:rPr>
            </m:ctrlPr>
          </m:fPr>
          <m:num>
            <m:r>
              <w:rPr>
                <w:rFonts w:ascii="Cambria Math" w:hAnsi="Cambria Math"/>
              </w:rPr>
              <m:t>kc</m:t>
            </m:r>
          </m:num>
          <m:den>
            <m:r>
              <m:rPr>
                <m:sty m:val="p"/>
              </m:rPr>
              <w:rPr>
                <w:rFonts w:ascii="Cambria Math" w:hAnsi="Cambria Math"/>
              </w:rPr>
              <m:t>1+</m:t>
            </m:r>
            <m:r>
              <w:rPr>
                <w:rFonts w:ascii="Cambria Math" w:hAnsi="Cambria Math"/>
              </w:rPr>
              <m:t>kc</m:t>
            </m:r>
          </m:den>
        </m:f>
        <m:r>
          <m:rPr>
            <m:sty m:val="p"/>
          </m:rP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RT</m:t>
            </m:r>
          </m:den>
        </m:f>
        <m:r>
          <m:rPr>
            <m:sty m:val="p"/>
          </m:rPr>
          <w:rPr>
            <w:rFonts w:ascii="Cambria Math" w:hAnsi="Cambria Math"/>
          </w:rPr>
          <m:t>*</m:t>
        </m:r>
        <m:f>
          <m:fPr>
            <m:ctrlPr>
              <w:rPr>
                <w:rFonts w:ascii="Cambria Math" w:hAnsi="Cambria Math"/>
              </w:rPr>
            </m:ctrlPr>
          </m:fPr>
          <m:num>
            <m:r>
              <m:rPr>
                <m:sty m:val="p"/>
              </m:rPr>
              <w:rPr>
                <w:rFonts w:ascii="Cambria Math" w:hAnsi="Cambria Math"/>
              </w:rPr>
              <m:t>d</m:t>
            </m:r>
            <m:r>
              <w:rPr>
                <w:rFonts w:ascii="Cambria Math" w:hAnsi="Cambria Math"/>
              </w:rPr>
              <m:t>σ</m:t>
            </m:r>
          </m:num>
          <m:den>
            <m:r>
              <m:rPr>
                <m:sty m:val="p"/>
              </m:rPr>
              <w:rPr>
                <w:rFonts w:ascii="Cambria Math" w:hAnsi="Cambria Math"/>
              </w:rPr>
              <m:t>d</m:t>
            </m:r>
            <m:r>
              <w:rPr>
                <w:rFonts w:ascii="Cambria Math" w:hAnsi="Cambria Math"/>
              </w:rPr>
              <m:t>c</m:t>
            </m:r>
          </m:den>
        </m:f>
      </m:oMath>
      <w:r w:rsidRPr="00C760A6">
        <w:tab/>
      </w:r>
      <w:r w:rsidRPr="00672193">
        <w:t>(11)</w:t>
      </w:r>
    </w:p>
    <w:p w14:paraId="6ADED1C6" w14:textId="3DEB9155" w:rsidR="003D6B78" w:rsidRPr="00C760A6" w:rsidRDefault="005F7368" w:rsidP="005F7368">
      <w:pPr>
        <w:pStyle w:val="af3"/>
      </w:pPr>
      <w:r>
        <w:tab/>
      </w:r>
      <m:oMath>
        <m:nary>
          <m:naryPr>
            <m:limLoc m:val="subSup"/>
            <m:grow m:val="1"/>
            <m:ctrlPr>
              <w:rPr>
                <w:rFonts w:ascii="Cambria Math" w:hAnsi="Cambria Math"/>
              </w:rPr>
            </m:ctrlPr>
          </m:naryPr>
          <m:sub>
            <m:sSub>
              <m:sSubPr>
                <m:ctrlPr>
                  <w:rPr>
                    <w:rFonts w:ascii="Cambria Math" w:hAnsi="Cambria Math"/>
                  </w:rPr>
                </m:ctrlPr>
              </m:sSubPr>
              <m:e>
                <m:r>
                  <w:rPr>
                    <w:rFonts w:ascii="Cambria Math" w:hAnsi="Cambria Math"/>
                  </w:rPr>
                  <m:t>σ</m:t>
                </m:r>
              </m:e>
              <m:sub>
                <m:r>
                  <m:rPr>
                    <m:sty m:val="p"/>
                  </m:rPr>
                  <w:rPr>
                    <w:rFonts w:ascii="Cambria Math" w:hAnsi="Cambria Math"/>
                  </w:rPr>
                  <m:t>0</m:t>
                </m:r>
              </m:sub>
            </m:sSub>
          </m:sub>
          <m:sup>
            <m:r>
              <w:rPr>
                <w:rFonts w:ascii="Cambria Math" w:hAnsi="Cambria Math"/>
              </w:rPr>
              <m:t>σ</m:t>
            </m:r>
          </m:sup>
          <m:e>
            <m:r>
              <m:rPr>
                <m:sty m:val="p"/>
              </m:rPr>
              <w:rPr>
                <w:rFonts w:ascii="Cambria Math" w:hAnsi="Cambria Math"/>
              </w:rPr>
              <m:t>d</m:t>
            </m:r>
          </m:e>
        </m:nary>
        <m:r>
          <w:rPr>
            <w:rFonts w:ascii="Cambria Math" w:hAnsi="Cambria Math"/>
          </w:rPr>
          <m:t>σ</m:t>
        </m:r>
        <m:r>
          <m:rPr>
            <m:sty m:val="p"/>
          </m:rPr>
          <w:rPr>
            <w:rFonts w:ascii="Cambria Math" w:hAnsi="Cambria Math"/>
          </w:rPr>
          <m:t>=-</m:t>
        </m:r>
        <m:nary>
          <m:naryPr>
            <m:limLoc m:val="subSup"/>
            <m:grow m:val="1"/>
            <m:ctrlPr>
              <w:rPr>
                <w:rFonts w:ascii="Cambria Math" w:hAnsi="Cambria Math"/>
              </w:rPr>
            </m:ctrlPr>
          </m:naryPr>
          <m:sub>
            <m:r>
              <m:rPr>
                <m:sty m:val="p"/>
              </m:rPr>
              <w:rPr>
                <w:rFonts w:ascii="Cambria Math" w:hAnsi="Cambria Math"/>
              </w:rPr>
              <m:t>0</m:t>
            </m:r>
          </m:sub>
          <m:sup>
            <m:r>
              <w:rPr>
                <w:rFonts w:ascii="Cambria Math" w:hAnsi="Cambria Math"/>
              </w:rPr>
              <m:t>c</m:t>
            </m:r>
          </m:sup>
          <m:e>
            <m:sSub>
              <m:sSubPr>
                <m:ctrlPr>
                  <w:rPr>
                    <w:rFonts w:ascii="Cambria Math" w:hAnsi="Cambria Math"/>
                  </w:rPr>
                </m:ctrlPr>
              </m:sSubPr>
              <m:e>
                <m:r>
                  <m:rPr>
                    <m:sty m:val="p"/>
                  </m:rPr>
                  <w:rPr>
                    <w:rFonts w:ascii="Cambria Math" w:hAnsi="Cambria Math"/>
                  </w:rPr>
                  <m:t>Γ</m:t>
                </m:r>
              </m:e>
              <m:sub>
                <m:r>
                  <m:rPr>
                    <m:sty m:val="p"/>
                  </m:rPr>
                  <w:rPr>
                    <w:rFonts w:ascii="Cambria Math" w:hAnsi="Cambria Math"/>
                  </w:rPr>
                  <m:t>∞</m:t>
                </m:r>
              </m:sub>
            </m:sSub>
          </m:e>
        </m:nary>
        <m:r>
          <m:rPr>
            <m:sty m:val="p"/>
          </m:rPr>
          <w:rPr>
            <w:rFonts w:ascii="Cambria Math" w:hAnsi="Cambria Math"/>
          </w:rPr>
          <m:t>*</m:t>
        </m:r>
        <m:r>
          <w:rPr>
            <w:rFonts w:ascii="Cambria Math" w:hAnsi="Cambria Math"/>
          </w:rPr>
          <m:t>RT</m:t>
        </m:r>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1+</m:t>
            </m:r>
            <m:r>
              <w:rPr>
                <w:rFonts w:ascii="Cambria Math" w:hAnsi="Cambria Math"/>
              </w:rPr>
              <m:t>kc</m:t>
            </m:r>
          </m:den>
        </m:f>
        <m:r>
          <w:rPr>
            <w:rFonts w:ascii="Cambria Math" w:hAnsi="Cambria Math"/>
          </w:rPr>
          <m:t>dc</m:t>
        </m:r>
      </m:oMath>
      <w:r w:rsidRPr="00C760A6">
        <w:rPr>
          <w:iCs/>
        </w:rPr>
        <w:tab/>
      </w:r>
      <w:r w:rsidRPr="00672193">
        <w:rPr>
          <w:iCs/>
        </w:rPr>
        <w:t>(12)</w:t>
      </w:r>
    </w:p>
    <w:p w14:paraId="01229B89" w14:textId="77B582F0" w:rsidR="003D6B78" w:rsidRPr="00C760A6" w:rsidRDefault="005F7368" w:rsidP="005F7368">
      <w:pPr>
        <w:pStyle w:val="af3"/>
      </w:pPr>
      <w:r>
        <w:tab/>
      </w:r>
      <m:oMath>
        <m:r>
          <w:rPr>
            <w:rFonts w:ascii="Cambria Math" w:hAnsi="Cambria Math"/>
          </w:rPr>
          <m:t>σ</m:t>
        </m:r>
        <m:r>
          <m:rPr>
            <m:sty m:val="p"/>
          </m:rPr>
          <w:rPr>
            <w:rFonts w:ascii="Cambria Math" w:hAnsi="Cambria Math"/>
          </w:rPr>
          <m:t>=-</m:t>
        </m:r>
        <m:r>
          <w:rPr>
            <w:rFonts w:ascii="Cambria Math" w:hAnsi="Cambria Math"/>
          </w:rPr>
          <m:t>aln</m:t>
        </m:r>
        <m:r>
          <m:rPr>
            <m:sty m:val="p"/>
          </m:rPr>
          <w:rPr>
            <w:rFonts w:ascii="Cambria Math" w:hAnsi="Cambria Math"/>
          </w:rPr>
          <m:t>(1+</m:t>
        </m:r>
        <m:r>
          <w:rPr>
            <w:rFonts w:ascii="Cambria Math" w:hAnsi="Cambria Math"/>
          </w:rPr>
          <m:t>bc</m:t>
        </m:r>
        <m:r>
          <m:rPr>
            <m:sty m:val="p"/>
          </m:rPr>
          <w:rPr>
            <w:rFonts w:ascii="Cambria Math" w:hAnsi="Cambria Math"/>
          </w:rPr>
          <m:t>)+</m:t>
        </m:r>
        <m:sSub>
          <m:sSubPr>
            <m:ctrlPr>
              <w:rPr>
                <w:rFonts w:ascii="Cambria Math" w:hAnsi="Cambria Math"/>
              </w:rPr>
            </m:ctrlPr>
          </m:sSubPr>
          <m:e>
            <m:r>
              <w:rPr>
                <w:rFonts w:ascii="Cambria Math" w:hAnsi="Cambria Math"/>
              </w:rPr>
              <m:t>σ</m:t>
            </m:r>
          </m:e>
          <m:sub>
            <m:r>
              <m:rPr>
                <m:sty m:val="p"/>
              </m:rPr>
              <w:rPr>
                <w:rFonts w:ascii="Cambria Math" w:hAnsi="Cambria Math"/>
              </w:rPr>
              <m:t>0</m:t>
            </m:r>
          </m:sub>
        </m:sSub>
      </m:oMath>
      <w:r w:rsidRPr="00C760A6">
        <w:tab/>
      </w:r>
      <w:r w:rsidRPr="00672193">
        <w:t>(13)</w:t>
      </w:r>
    </w:p>
    <w:p w14:paraId="27B57AF6" w14:textId="77777777" w:rsidR="003D6B78" w:rsidRPr="00C760A6" w:rsidRDefault="00000000" w:rsidP="00FB2C71">
      <w:pPr>
        <w:spacing w:afterLines="100" w:after="360"/>
        <w:ind w:firstLine="0"/>
      </w:pPr>
      <w:r w:rsidRPr="00C760A6">
        <w:t xml:space="preserve">Where </w:t>
      </w:r>
      <m:oMath>
        <m:sSub>
          <m:sSubPr>
            <m:ctrlPr>
              <w:rPr>
                <w:rFonts w:ascii="Cambria Math" w:hAnsi="Cambria Math"/>
              </w:rPr>
            </m:ctrlPr>
          </m:sSubPr>
          <m:e>
            <m:r>
              <w:rPr>
                <w:rFonts w:ascii="Cambria Math" w:hAnsi="Cambria Math"/>
              </w:rPr>
              <m:t>σ</m:t>
            </m:r>
          </m:e>
          <m:sub>
            <m:r>
              <m:rPr>
                <m:sty m:val="p"/>
              </m:rPr>
              <w:rPr>
                <w:rFonts w:ascii="Cambria Math" w:hAnsi="Cambria Math"/>
              </w:rPr>
              <m:t>0</m:t>
            </m:r>
          </m:sub>
        </m:sSub>
      </m:oMath>
      <w:r w:rsidRPr="00C760A6">
        <w:t xml:space="preserve"> is the interfacial tension at the two-phase interface when the solute concentration is zero, and </w:t>
      </w:r>
      <w:r w:rsidRPr="005F7368">
        <w:rPr>
          <w:i/>
          <w:iCs/>
        </w:rPr>
        <w:t>a</w:t>
      </w:r>
      <w:r w:rsidRPr="00C760A6">
        <w:t xml:space="preserve"> and </w:t>
      </w:r>
      <w:r w:rsidRPr="005F7368">
        <w:rPr>
          <w:i/>
          <w:iCs/>
        </w:rPr>
        <w:t>b</w:t>
      </w:r>
      <w:r w:rsidRPr="00C760A6">
        <w:t xml:space="preserve"> are adsorption kinetic coefficients.</w:t>
      </w:r>
    </w:p>
    <w:p w14:paraId="0A534526" w14:textId="3063B516" w:rsidR="003D6B78" w:rsidRPr="00C760A6" w:rsidRDefault="00000000" w:rsidP="00FB2C71">
      <w:pPr>
        <w:ind w:firstLine="0"/>
      </w:pPr>
      <w:r w:rsidRPr="00C760A6">
        <w:t>Based on the above derivation results, the relationship between interfacial excess and concentration can be obtained from the relationship between interfacial tension and concentration.</w:t>
      </w:r>
    </w:p>
    <w:p w14:paraId="379079BA" w14:textId="3A989DA8" w:rsidR="003D6B78" w:rsidRPr="00C760A6" w:rsidRDefault="00000000" w:rsidP="005F7368">
      <w:pPr>
        <w:pStyle w:val="2"/>
        <w:spacing w:before="360" w:after="360"/>
      </w:pPr>
      <w:bookmarkStart w:id="4" w:name="OLE_LINK2"/>
      <w:r w:rsidRPr="00C760A6">
        <w:t>Computational Study on Langmuir-Hinshelwood (L-H) and Eley-Rideal (E-R) Mechanisms</w:t>
      </w:r>
      <w:r w:rsidR="00857376" w:rsidRPr="00857376">
        <w:rPr>
          <w:rFonts w:cs="Times New Roman"/>
          <w:kern w:val="0"/>
          <w:vertAlign w:val="superscript"/>
        </w:rPr>
        <w:t>9</w:t>
      </w:r>
    </w:p>
    <w:p w14:paraId="3C9AB3E1" w14:textId="2CA6E221" w:rsidR="003D6B78" w:rsidRPr="00C760A6" w:rsidRDefault="00000000" w:rsidP="00FB2C71">
      <w:pPr>
        <w:ind w:firstLine="0"/>
      </w:pPr>
      <w:r w:rsidRPr="00C760A6">
        <w:t>As discussed in the main text, styrene reduction proceeds via an adsorbed hydrogen-assisted mechanism (Langmuir-Hinshelwood type), whereas nitrobenzene reduction follows a proton-coupled electron transfer (PCET) pathway (Eley-Rideal type). The detailed computational procedures for analyzing both mechanisms are outlined below</w:t>
      </w:r>
      <w:r w:rsidRPr="00660F80">
        <w:t>:</w:t>
      </w:r>
    </w:p>
    <w:p w14:paraId="15F39A61" w14:textId="77777777" w:rsidR="003D6B78" w:rsidRPr="00C760A6" w:rsidRDefault="00000000" w:rsidP="00FB2C71">
      <w:pPr>
        <w:spacing w:beforeLines="100" w:before="360"/>
        <w:ind w:firstLine="0"/>
      </w:pPr>
      <w:r w:rsidRPr="00C760A6">
        <w:t>For the reduction of styrene on Pt/CNT, H* and C=C adsorb onto the surface and compete for active sites. Regarding the overall equilibrium of active sites, we have:</w:t>
      </w:r>
    </w:p>
    <w:p w14:paraId="3D763456" w14:textId="3DE293DE" w:rsidR="003D6B78" w:rsidRPr="00C760A6" w:rsidRDefault="005F7368" w:rsidP="005F7368">
      <w:pPr>
        <w:pStyle w:val="af3"/>
      </w:pPr>
      <w:r>
        <w:rPr>
          <w:rFonts w:eastAsiaTheme="minorEastAsia" w:cstheme="minorBidi"/>
        </w:rPr>
        <w:tab/>
      </w: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ty m:val="p"/>
          </m:rPr>
          <w:rPr>
            <w:rFonts w:ascii="Cambria Math" w:hAnsi="Cambria Math"/>
          </w:rPr>
          <m:t>]</m:t>
        </m:r>
      </m:oMath>
      <w:r w:rsidRPr="00C760A6">
        <w:tab/>
      </w:r>
      <w:r w:rsidRPr="00672193">
        <w:t>(1)</w:t>
      </w:r>
    </w:p>
    <w:p w14:paraId="7AC28A73" w14:textId="77777777" w:rsidR="003D6B78" w:rsidRPr="00C760A6" w:rsidRDefault="00000000" w:rsidP="00FB2C71">
      <w:pPr>
        <w:ind w:firstLine="0"/>
      </w:pPr>
      <w:r w:rsidRPr="00C760A6">
        <w:t xml:space="preserve">Among these, </w:t>
      </w:r>
      <m:oMath>
        <m:sSub>
          <m:sSubPr>
            <m:ctrlPr>
              <w:rPr>
                <w:rFonts w:ascii="Cambria Math" w:hAnsi="Cambria Math"/>
              </w:rPr>
            </m:ctrlPr>
          </m:sSubPr>
          <m:e>
            <m:r>
              <w:rPr>
                <w:rFonts w:ascii="Cambria Math" w:hAnsi="Cambria Math"/>
              </w:rPr>
              <m:t>[*]</m:t>
            </m:r>
          </m:e>
          <m:sub>
            <m:r>
              <w:rPr>
                <w:rFonts w:ascii="Cambria Math" w:hAnsi="Cambria Math"/>
              </w:rPr>
              <m:t>0</m:t>
            </m:r>
          </m:sub>
        </m:sSub>
      </m:oMath>
      <w:r w:rsidRPr="00C760A6">
        <w:t xml:space="preserve">represents the total number of active sites; </w:t>
      </w:r>
      <m:oMath>
        <m:r>
          <w:rPr>
            <w:rFonts w:ascii="Cambria Math" w:hAnsi="Cambria Math"/>
          </w:rPr>
          <m:t>[</m:t>
        </m:r>
        <m:sSup>
          <m:sSupPr>
            <m:ctrlPr>
              <w:rPr>
                <w:rFonts w:ascii="Cambria Math" w:hAnsi="Cambria Math"/>
              </w:rPr>
            </m:ctrlPr>
          </m:sSupPr>
          <m:e>
            <m:r>
              <w:rPr>
                <w:rFonts w:ascii="Cambria Math" w:hAnsi="Cambria Math"/>
              </w:rPr>
              <m:t>H</m:t>
            </m:r>
          </m:e>
          <m:sup>
            <m:r>
              <w:rPr>
                <w:rFonts w:ascii="Cambria Math" w:hAnsi="Cambria Math"/>
              </w:rPr>
              <m:t>*</m:t>
            </m:r>
          </m:sup>
        </m:sSup>
        <m:r>
          <w:rPr>
            <w:rFonts w:ascii="Cambria Math" w:hAnsi="Cambria Math"/>
          </w:rPr>
          <m:t>]</m:t>
        </m:r>
      </m:oMath>
      <w:r w:rsidRPr="00C760A6">
        <w:t xml:space="preserve">represents the number of active sites occupied by adsorbed H; </w:t>
      </w:r>
      <m:oMath>
        <m:r>
          <w:rPr>
            <w:rFonts w:ascii="Cambria Math" w:hAnsi="Cambria Math"/>
          </w:rPr>
          <m:t>[*]</m:t>
        </m:r>
      </m:oMath>
      <w:r w:rsidRPr="00C760A6">
        <w:t xml:space="preserve">represents the number of remaining active sites; </w:t>
      </w:r>
      <m:oMath>
        <m:r>
          <w:rPr>
            <w:rFonts w:ascii="Cambria Math" w:hAnsi="Cambria Math"/>
          </w:rPr>
          <m:t>[C=</m:t>
        </m:r>
        <m:sSup>
          <m:sSupPr>
            <m:ctrlPr>
              <w:rPr>
                <w:rFonts w:ascii="Cambria Math" w:hAnsi="Cambria Math"/>
              </w:rPr>
            </m:ctrlPr>
          </m:sSupPr>
          <m:e>
            <m:r>
              <w:rPr>
                <w:rFonts w:ascii="Cambria Math" w:hAnsi="Cambria Math"/>
              </w:rPr>
              <m:t>C</m:t>
            </m:r>
          </m:e>
          <m:sup>
            <m:r>
              <w:rPr>
                <w:rFonts w:ascii="Cambria Math" w:hAnsi="Cambria Math"/>
              </w:rPr>
              <m:t>*</m:t>
            </m:r>
          </m:sup>
        </m:sSup>
        <m:r>
          <w:rPr>
            <w:rFonts w:ascii="Cambria Math" w:hAnsi="Cambria Math"/>
          </w:rPr>
          <m:t>]</m:t>
        </m:r>
      </m:oMath>
      <w:r w:rsidRPr="00C760A6">
        <w:t>represents the number of active sites occupied by C=C.</w:t>
      </w:r>
    </w:p>
    <w:p w14:paraId="14465B5C" w14:textId="3C6D60FC" w:rsidR="003D6B78" w:rsidRPr="00C760A6" w:rsidRDefault="005F7368" w:rsidP="005F7368">
      <w:pPr>
        <w:pStyle w:val="af3"/>
      </w:pPr>
      <w:r>
        <w:rPr>
          <w:rFonts w:eastAsiaTheme="minorEastAsia" w:cstheme="minorBidi"/>
        </w:rPr>
        <w:lastRenderedPageBreak/>
        <w:tab/>
      </w:r>
      <m:oMath>
        <m:sSub>
          <m:sSubPr>
            <m:ctrlPr>
              <w:rPr>
                <w:rFonts w:ascii="Cambria Math" w:hAnsi="Cambria Math"/>
              </w:rPr>
            </m:ctrlPr>
          </m:sSubPr>
          <m:e>
            <m:r>
              <w:rPr>
                <w:rFonts w:ascii="Cambria Math" w:hAnsi="Cambria Math"/>
              </w:rPr>
              <m:t>θ</m:t>
            </m:r>
          </m:e>
          <m:sub>
            <m:sSup>
              <m:sSupPr>
                <m:ctrlPr>
                  <w:rPr>
                    <w:rFonts w:ascii="Cambria Math" w:hAnsi="Cambria Math"/>
                  </w:rPr>
                </m:ctrlPr>
              </m:sSupPr>
              <m:e>
                <m:r>
                  <w:rPr>
                    <w:rFonts w:ascii="Cambria Math" w:hAnsi="Cambria Math"/>
                  </w:rPr>
                  <m:t>H</m:t>
                </m:r>
              </m:e>
              <m:sup>
                <m:r>
                  <m:rPr>
                    <m:sty m:val="p"/>
                  </m:rPr>
                  <w:rPr>
                    <w:rFonts w:ascii="Cambria Math" w:hAnsi="Cambria Math"/>
                  </w:rPr>
                  <m:t>*</m:t>
                </m:r>
              </m:sup>
            </m:sSup>
          </m:sub>
        </m:sSub>
        <m:r>
          <m:rPr>
            <m:sty m:val="p"/>
          </m:rPr>
          <w:rPr>
            <w:rFonts w:ascii="Cambria Math" w:hAnsi="Cambria Math"/>
          </w:rPr>
          <m:t>=</m:t>
        </m:r>
        <m:f>
          <m:fPr>
            <m:ctrlPr>
              <w:rPr>
                <w:rFonts w:ascii="Cambria Math" w:hAnsi="Cambria Math"/>
              </w:rPr>
            </m:ctrlPr>
          </m:fPr>
          <m:num>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sup>
            </m:sSup>
            <m:r>
              <m:rPr>
                <m:sty m:val="p"/>
              </m:rPr>
              <w:rPr>
                <w:rFonts w:ascii="Cambria Math" w:hAnsi="Cambria Math"/>
              </w:rPr>
              <m:t>]</m:t>
            </m:r>
          </m:num>
          <m:den>
            <m:sSub>
              <m:sSubPr>
                <m:ctrlPr>
                  <w:rPr>
                    <w:rFonts w:ascii="Cambria Math" w:hAnsi="Cambria Math"/>
                  </w:rPr>
                </m:ctrlPr>
              </m:sSubPr>
              <m:e>
                <m:r>
                  <m:rPr>
                    <m:sty m:val="p"/>
                  </m:rPr>
                  <w:rPr>
                    <w:rFonts w:ascii="Cambria Math" w:hAnsi="Cambria Math"/>
                  </w:rPr>
                  <m: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sup>
            </m:sSup>
            <m:r>
              <m:rPr>
                <m:sty m:val="p"/>
              </m:rPr>
              <w:rPr>
                <w:rFonts w:ascii="Cambria Math" w:hAnsi="Cambria Math"/>
              </w:rPr>
              <m:t>]</m:t>
            </m:r>
          </m:num>
          <m:den>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ty m:val="p"/>
              </m:rPr>
              <w:rPr>
                <w:rFonts w:ascii="Cambria Math" w:hAnsi="Cambria Math"/>
              </w:rPr>
              <m:t>]</m:t>
            </m:r>
          </m:den>
        </m:f>
      </m:oMath>
      <w:r w:rsidRPr="00C760A6">
        <w:tab/>
      </w:r>
      <w:r w:rsidRPr="00672193">
        <w:t>(2)</w:t>
      </w:r>
    </w:p>
    <w:p w14:paraId="6A2B9C61" w14:textId="2C26705C" w:rsidR="003D6B78" w:rsidRPr="00C760A6" w:rsidRDefault="005F7368" w:rsidP="005F7368">
      <w:pPr>
        <w:pStyle w:val="af3"/>
      </w:pPr>
      <w:r>
        <w:tab/>
      </w:r>
      <m:oMath>
        <m:sSub>
          <m:sSubPr>
            <m:ctrlPr>
              <w:rPr>
                <w:rFonts w:ascii="Cambria Math" w:hAnsi="Cambria Math"/>
              </w:rPr>
            </m:ctrlPr>
          </m:sSubPr>
          <m:e>
            <m:r>
              <w:rPr>
                <w:rFonts w:ascii="Cambria Math" w:hAnsi="Cambria Math"/>
              </w:rPr>
              <m:t>θ</m:t>
            </m:r>
          </m:e>
          <m:sub>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sub>
        </m:sSub>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e>
            </m:d>
          </m:num>
          <m:den>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m:t>
                    </m:r>
                  </m:e>
                </m:d>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sSup>
                  <m:sSupPr>
                    <m:ctrlPr>
                      <w:rPr>
                        <w:rFonts w:ascii="Cambria Math" w:hAnsi="Cambria Math"/>
                      </w:rPr>
                    </m:ctrlPr>
                  </m:sSupPr>
                  <m:e>
                    <m:r>
                      <w:rPr>
                        <w:rFonts w:ascii="Cambria Math" w:hAnsi="Cambria Math"/>
                      </w:rPr>
                      <m:t>H</m:t>
                    </m:r>
                  </m:e>
                  <m:sup>
                    <m:r>
                      <m:rPr>
                        <m:sty m:val="p"/>
                      </m:rPr>
                      <w:rPr>
                        <w:rFonts w:ascii="Cambria Math" w:hAnsi="Cambria Math"/>
                      </w:rPr>
                      <m:t>*</m:t>
                    </m:r>
                  </m:sup>
                </m:sSup>
              </m:e>
            </m:d>
          </m:num>
          <m:den>
            <m:d>
              <m:dPr>
                <m:begChr m:val="["/>
                <m:endChr m:val="]"/>
                <m:ctrlPr>
                  <w:rPr>
                    <w:rFonts w:ascii="Cambria Math" w:hAnsi="Cambria Math"/>
                  </w:rPr>
                </m:ctrlPr>
              </m:dPr>
              <m:e>
                <m:sSup>
                  <m:sSupPr>
                    <m:ctrlPr>
                      <w:rPr>
                        <w:rFonts w:ascii="Cambria Math" w:hAnsi="Cambria Math"/>
                      </w:rPr>
                    </m:ctrlPr>
                  </m:sSupPr>
                  <m:e>
                    <m:r>
                      <w:rPr>
                        <w:rFonts w:ascii="Cambria Math" w:hAnsi="Cambria Math"/>
                      </w:rPr>
                      <m:t>H</m:t>
                    </m:r>
                  </m:e>
                  <m:sup>
                    <m:r>
                      <m:rPr>
                        <m:sty m:val="p"/>
                      </m:rPr>
                      <w:rPr>
                        <w:rFonts w:ascii="Cambria Math" w:hAnsi="Cambria Math"/>
                      </w:rPr>
                      <m:t>*</m:t>
                    </m:r>
                  </m:sup>
                </m:sSup>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r>
              <m:rPr>
                <m:sty m:val="p"/>
              </m:rPr>
              <w:rPr>
                <w:rFonts w:ascii="Cambria Math" w:hAnsi="Cambria Math"/>
              </w:rPr>
              <m:t>+</m:t>
            </m:r>
            <m:d>
              <m:dPr>
                <m:begChr m:val="["/>
                <m:endChr m:val="]"/>
                <m:ctrlPr>
                  <w:rPr>
                    <w:rFonts w:ascii="Cambria Math" w:hAnsi="Cambria Math"/>
                  </w:rPr>
                </m:ctrlPr>
              </m:dPr>
              <m:e>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e>
            </m:d>
          </m:den>
        </m:f>
      </m:oMath>
      <w:r w:rsidRPr="00C760A6">
        <w:tab/>
      </w:r>
      <w:r w:rsidRPr="00672193">
        <w:t>(3)</w:t>
      </w:r>
    </w:p>
    <w:p w14:paraId="261B2BC7" w14:textId="6A7632E6" w:rsidR="003D6B78" w:rsidRPr="00C760A6" w:rsidRDefault="00000000" w:rsidP="00FB2C71">
      <w:pPr>
        <w:spacing w:afterLines="100" w:after="360"/>
        <w:ind w:firstLine="0"/>
      </w:pPr>
      <w:r w:rsidRPr="00C760A6">
        <w:t xml:space="preserve">Here, </w:t>
      </w:r>
      <m:oMath>
        <m:sSub>
          <m:sSubPr>
            <m:ctrlPr>
              <w:rPr>
                <w:rFonts w:ascii="Cambria Math" w:hAnsi="Cambria Math"/>
              </w:rPr>
            </m:ctrlPr>
          </m:sSubPr>
          <m:e>
            <m:r>
              <w:rPr>
                <w:rFonts w:ascii="Cambria Math" w:hAnsi="Cambria Math"/>
              </w:rPr>
              <m:t>θ</m:t>
            </m:r>
          </m:e>
          <m:sub>
            <m:sSup>
              <m:sSupPr>
                <m:ctrlPr>
                  <w:rPr>
                    <w:rFonts w:ascii="Cambria Math" w:hAnsi="Cambria Math"/>
                  </w:rPr>
                </m:ctrlPr>
              </m:sSupPr>
              <m:e>
                <m:r>
                  <w:rPr>
                    <w:rFonts w:ascii="Cambria Math" w:hAnsi="Cambria Math"/>
                  </w:rPr>
                  <m:t>H</m:t>
                </m:r>
              </m:e>
              <m:sup>
                <m:r>
                  <w:rPr>
                    <w:rFonts w:ascii="Cambria Math" w:hAnsi="Cambria Math"/>
                  </w:rPr>
                  <m:t>*</m:t>
                </m:r>
              </m:sup>
            </m:sSup>
          </m:sub>
        </m:sSub>
      </m:oMath>
      <w:r w:rsidRPr="00C760A6">
        <w:t xml:space="preserve">represents the proportion of sites covered by adsorbed hydrogen, while </w:t>
      </w:r>
      <m:oMath>
        <m:sSub>
          <m:sSubPr>
            <m:ctrlPr>
              <w:rPr>
                <w:rFonts w:ascii="Cambria Math" w:hAnsi="Cambria Math"/>
              </w:rPr>
            </m:ctrlPr>
          </m:sSubPr>
          <m:e>
            <m:r>
              <w:rPr>
                <w:rFonts w:ascii="Cambria Math" w:hAnsi="Cambria Math"/>
              </w:rPr>
              <m:t>θ</m:t>
            </m:r>
          </m:e>
          <m:sub>
            <m:r>
              <w:rPr>
                <w:rFonts w:ascii="Cambria Math" w:hAnsi="Cambria Math"/>
              </w:rPr>
              <m:t>C=</m:t>
            </m:r>
            <m:sSup>
              <m:sSupPr>
                <m:ctrlPr>
                  <w:rPr>
                    <w:rFonts w:ascii="Cambria Math" w:hAnsi="Cambria Math"/>
                  </w:rPr>
                </m:ctrlPr>
              </m:sSupPr>
              <m:e>
                <m:r>
                  <w:rPr>
                    <w:rFonts w:ascii="Cambria Math" w:hAnsi="Cambria Math"/>
                  </w:rPr>
                  <m:t>C</m:t>
                </m:r>
              </m:e>
              <m:sup>
                <m:r>
                  <w:rPr>
                    <w:rFonts w:ascii="Cambria Math" w:hAnsi="Cambria Math"/>
                  </w:rPr>
                  <m:t>*</m:t>
                </m:r>
              </m:sup>
            </m:sSup>
          </m:sub>
        </m:sSub>
      </m:oMath>
      <w:r w:rsidRPr="00C760A6">
        <w:t xml:space="preserve"> represents the proportion of sites covered by </w:t>
      </w:r>
      <w:bookmarkEnd w:id="4"/>
      <w:r w:rsidR="001F6461">
        <w:rPr>
          <w:rFonts w:hint="eastAsia"/>
        </w:rPr>
        <w:t>C=C</w:t>
      </w:r>
      <w:r w:rsidRPr="00C760A6">
        <w:t>.</w:t>
      </w:r>
    </w:p>
    <w:p w14:paraId="7B6B3267" w14:textId="61FC4A41" w:rsidR="003D6B78" w:rsidRPr="00C760A6" w:rsidRDefault="00000000" w:rsidP="00FB2C71">
      <w:pPr>
        <w:ind w:firstLine="0"/>
      </w:pPr>
      <w:r w:rsidRPr="00C760A6">
        <w:t>Here, we assume that the adsorption and desorption of C=C* and H* rapidly reach equilibrium:</w:t>
      </w:r>
    </w:p>
    <w:p w14:paraId="5A7993B3" w14:textId="76FCB609" w:rsidR="003D6B78" w:rsidRPr="00C760A6" w:rsidRDefault="005F7368" w:rsidP="005F7368">
      <w:pPr>
        <w:pStyle w:val="af3"/>
      </w:pPr>
      <w:r>
        <w:rPr>
          <w:rFonts w:eastAsiaTheme="minorEastAsia" w:cstheme="minorBidi"/>
        </w:rPr>
        <w:tab/>
      </w:r>
      <m:oMath>
        <m:sSub>
          <m:sSubPr>
            <m:ctrlPr>
              <w:rPr>
                <w:rFonts w:ascii="Cambria Math" w:hAnsi="Cambria Math"/>
              </w:rPr>
            </m:ctrlPr>
          </m:sSubPr>
          <m:e>
            <m:r>
              <w:rPr>
                <w:rFonts w:ascii="Cambria Math" w:hAnsi="Cambria Math"/>
              </w:rPr>
              <m:t>ν</m:t>
            </m:r>
          </m:e>
          <m:sub>
            <m:r>
              <w:rPr>
                <w:rFonts w:ascii="Cambria Math" w:hAnsi="Cambria Math"/>
              </w:rPr>
              <m:t>ads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des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sub>
        </m:sSub>
      </m:oMath>
      <w:r w:rsidRPr="00C760A6">
        <w:tab/>
      </w:r>
      <w:r w:rsidRPr="00672193">
        <w:t>(4)</w:t>
      </w:r>
    </w:p>
    <w:p w14:paraId="052424A7" w14:textId="791496DF" w:rsidR="003D6B78" w:rsidRPr="00C760A6" w:rsidRDefault="005F7368" w:rsidP="005F7368">
      <w:pPr>
        <w:pStyle w:val="af3"/>
      </w:pPr>
      <w:r>
        <w:tab/>
      </w:r>
      <m:oMath>
        <m:sSub>
          <m:sSubPr>
            <m:ctrlPr>
              <w:rPr>
                <w:rFonts w:ascii="Cambria Math" w:hAnsi="Cambria Math"/>
              </w:rPr>
            </m:ctrlPr>
          </m:sSubPr>
          <m:e>
            <m:r>
              <w:rPr>
                <w:rFonts w:ascii="Cambria Math" w:hAnsi="Cambria Math"/>
              </w:rPr>
              <m:t>k</m:t>
            </m:r>
          </m:e>
          <m:sub>
            <m:r>
              <w:rPr>
                <w:rFonts w:ascii="Cambria Math" w:hAnsi="Cambria Math"/>
              </w:rPr>
              <m:t>ads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des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ty m:val="p"/>
          </m:rPr>
          <w:rPr>
            <w:rFonts w:ascii="Cambria Math" w:hAnsi="Cambria Math"/>
          </w:rPr>
          <m:t>]</m:t>
        </m:r>
      </m:oMath>
      <w:r w:rsidRPr="00C760A6">
        <w:tab/>
      </w:r>
      <w:r w:rsidRPr="00672193">
        <w:t>(5)</w:t>
      </w:r>
    </w:p>
    <w:p w14:paraId="569EE05A" w14:textId="5DD08430" w:rsidR="003D6B78" w:rsidRPr="00C760A6" w:rsidRDefault="005F7368" w:rsidP="005F7368">
      <w:pPr>
        <w:pStyle w:val="af3"/>
      </w:pPr>
      <w:r>
        <w:tab/>
      </w:r>
      <m:oMath>
        <m:r>
          <m:rPr>
            <m:sty m:val="p"/>
          </m:rPr>
          <w:rPr>
            <w:rFonts w:ascii="Cambria Math" w:hAnsi="Cambria Math"/>
          </w:rPr>
          <m:t>[</m:t>
        </m:r>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oMath>
      <w:r w:rsidRPr="00C760A6">
        <w:tab/>
      </w:r>
      <w:r w:rsidRPr="00672193">
        <w:t>(6)</w:t>
      </w:r>
    </w:p>
    <w:p w14:paraId="2811B3B0" w14:textId="1BA2F537" w:rsidR="003D6B78" w:rsidRPr="00C760A6" w:rsidRDefault="00000000" w:rsidP="00FB2C71">
      <w:pPr>
        <w:spacing w:afterLines="100" w:after="360"/>
        <w:ind w:firstLine="0"/>
      </w:pPr>
      <w:r w:rsidRPr="00C760A6">
        <w:t xml:space="preserve">Among these, </w:t>
      </w:r>
      <m:oMath>
        <m:sSub>
          <m:sSubPr>
            <m:ctrlPr>
              <w:rPr>
                <w:rFonts w:ascii="Cambria Math" w:hAnsi="Cambria Math"/>
              </w:rPr>
            </m:ctrlPr>
          </m:sSubPr>
          <m:e>
            <m:r>
              <w:rPr>
                <w:rFonts w:ascii="Cambria Math" w:hAnsi="Cambria Math"/>
              </w:rPr>
              <m:t>ν</m:t>
            </m:r>
          </m:e>
          <m:sub>
            <m:r>
              <w:rPr>
                <w:rFonts w:ascii="Cambria Math" w:hAnsi="Cambria Math"/>
              </w:rPr>
              <m:t>ads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sub>
        </m:sSub>
      </m:oMath>
      <w:r w:rsidRPr="00C760A6">
        <w:t xml:space="preserve">and </w:t>
      </w:r>
      <m:oMath>
        <m:sSub>
          <m:sSubPr>
            <m:ctrlPr>
              <w:rPr>
                <w:rFonts w:ascii="Cambria Math" w:hAnsi="Cambria Math"/>
              </w:rPr>
            </m:ctrlPr>
          </m:sSubPr>
          <m:e>
            <m:r>
              <w:rPr>
                <w:rFonts w:ascii="Cambria Math" w:hAnsi="Cambria Math"/>
              </w:rPr>
              <m:t>ν</m:t>
            </m:r>
          </m:e>
          <m:sub>
            <m:r>
              <w:rPr>
                <w:rFonts w:ascii="Cambria Math" w:hAnsi="Cambria Math"/>
              </w:rPr>
              <m:t>des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sub>
        </m:sSub>
      </m:oMath>
      <w:r w:rsidRPr="00C760A6">
        <w:t xml:space="preserve">represent the adsorption and desorption rates of </w:t>
      </w:r>
      <w:r w:rsidR="001F6461">
        <w:rPr>
          <w:rFonts w:hint="eastAsia"/>
        </w:rPr>
        <w:t>C=C</w:t>
      </w:r>
      <w:r w:rsidRPr="00C760A6">
        <w:t xml:space="preserve">, respectively. [C=C] denotes the concentration of styrene in the electrolyte, while </w:t>
      </w:r>
      <m:oMath>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w:rPr>
            <w:rFonts w:ascii="Cambria Math" w:hAnsi="Cambria Math"/>
          </w:rPr>
          <m:t xml:space="preserve"> </m:t>
        </m:r>
      </m:oMath>
      <w:r w:rsidRPr="00C760A6">
        <w:t xml:space="preserve">is the equilibrium constant for </w:t>
      </w:r>
      <w:r w:rsidR="001F6461">
        <w:rPr>
          <w:rFonts w:hint="eastAsia"/>
        </w:rPr>
        <w:t>C=C</w:t>
      </w:r>
      <w:r w:rsidRPr="00C760A6">
        <w:t xml:space="preserve"> adsorption/desorption.</w:t>
      </w:r>
    </w:p>
    <w:p w14:paraId="4A273C5B" w14:textId="221246E8" w:rsidR="003D6B78" w:rsidRPr="00C760A6" w:rsidRDefault="00000000" w:rsidP="00FB2C71">
      <w:pPr>
        <w:ind w:firstLine="0"/>
      </w:pPr>
      <w:r w:rsidRPr="00C760A6">
        <w:t xml:space="preserve">For the adsorption/desorption of </w:t>
      </w:r>
      <m:oMath>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sup>
        </m:sSup>
        <m:r>
          <m:rPr>
            <m:sty m:val="p"/>
          </m:rPr>
          <w:rPr>
            <w:rFonts w:ascii="Cambria Math" w:hAnsi="Cambria Math"/>
          </w:rPr>
          <m:t>]</m:t>
        </m:r>
      </m:oMath>
      <w:r w:rsidRPr="00C760A6">
        <w:t>,</w:t>
      </w:r>
      <w:r w:rsidR="001F6461">
        <w:rPr>
          <w:rFonts w:hint="eastAsia"/>
        </w:rPr>
        <w:t xml:space="preserve"> </w:t>
      </w:r>
      <w:r w:rsidRPr="00C760A6">
        <w:t>we can derive a similar expression:</w:t>
      </w:r>
    </w:p>
    <w:p w14:paraId="5E434B98" w14:textId="3BA94C23" w:rsidR="003D6B78" w:rsidRPr="00C760A6" w:rsidRDefault="005F7368" w:rsidP="005F7368">
      <w:pPr>
        <w:pStyle w:val="af3"/>
      </w:pPr>
      <w:r>
        <w:rPr>
          <w:rFonts w:eastAsiaTheme="minorEastAsia" w:cstheme="minorBidi"/>
        </w:rPr>
        <w:tab/>
      </w:r>
      <m:oMath>
        <m:sSub>
          <m:sSubPr>
            <m:ctrlPr>
              <w:rPr>
                <w:rFonts w:ascii="Cambria Math" w:hAnsi="Cambria Math"/>
              </w:rPr>
            </m:ctrlPr>
          </m:sSubPr>
          <m:e>
            <m:r>
              <w:rPr>
                <w:rFonts w:ascii="Cambria Math" w:hAnsi="Cambria Math"/>
              </w:rPr>
              <m:t>ν</m:t>
            </m:r>
          </m:e>
          <m:sub>
            <m:r>
              <w:rPr>
                <w:rFonts w:ascii="Cambria Math" w:hAnsi="Cambria Math"/>
              </w:rPr>
              <m:t>ads</m:t>
            </m:r>
            <m:r>
              <m:rPr>
                <m:sty m:val="p"/>
              </m:rPr>
              <w:rPr>
                <w:rFonts w:ascii="Cambria Math" w:hAnsi="Cambria Math"/>
              </w:rPr>
              <m:t>,</m:t>
            </m:r>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des</m:t>
            </m:r>
            <m:r>
              <m:rPr>
                <m:sty m:val="p"/>
              </m:rPr>
              <w:rPr>
                <w:rFonts w:ascii="Cambria Math" w:hAnsi="Cambria Math"/>
              </w:rPr>
              <m:t>,</m:t>
            </m:r>
            <m:r>
              <w:rPr>
                <w:rFonts w:ascii="Cambria Math" w:hAnsi="Cambria Math"/>
              </w:rPr>
              <m:t>H</m:t>
            </m:r>
          </m:sub>
        </m:sSub>
      </m:oMath>
      <w:r w:rsidRPr="00C760A6">
        <w:tab/>
      </w:r>
      <w:r w:rsidRPr="00672193">
        <w:t>(7)</w:t>
      </w:r>
    </w:p>
    <w:p w14:paraId="56B7EC92" w14:textId="30AC6052" w:rsidR="003D6B78" w:rsidRPr="00C760A6" w:rsidRDefault="005F7368" w:rsidP="005F7368">
      <w:pPr>
        <w:pStyle w:val="af3"/>
      </w:pPr>
      <w:r>
        <w:tab/>
      </w:r>
      <m:oMath>
        <m:sSub>
          <m:sSubPr>
            <m:ctrlPr>
              <w:rPr>
                <w:rFonts w:ascii="Cambria Math" w:hAnsi="Cambria Math"/>
              </w:rPr>
            </m:ctrlPr>
          </m:sSubPr>
          <m:e>
            <m:r>
              <w:rPr>
                <w:rFonts w:ascii="Cambria Math" w:hAnsi="Cambria Math"/>
              </w:rPr>
              <m:t>k</m:t>
            </m:r>
          </m:e>
          <m:sub>
            <m:r>
              <w:rPr>
                <w:rFonts w:ascii="Cambria Math" w:hAnsi="Cambria Math"/>
              </w:rPr>
              <m:t>ads</m:t>
            </m:r>
            <m:r>
              <m:rPr>
                <m:sty m:val="p"/>
              </m:rPr>
              <w:rPr>
                <w:rFonts w:ascii="Cambria Math" w:hAnsi="Cambria Math"/>
              </w:rPr>
              <m:t>,</m:t>
            </m:r>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des</m:t>
            </m:r>
            <m:r>
              <m:rPr>
                <m:sty m:val="p"/>
              </m:rPr>
              <w:rPr>
                <w:rFonts w:ascii="Cambria Math" w:hAnsi="Cambria Math"/>
              </w:rPr>
              <m:t>,</m:t>
            </m:r>
            <m:r>
              <w:rPr>
                <w:rFonts w:ascii="Cambria Math" w:hAnsi="Cambria Math"/>
              </w:rPr>
              <m:t>H</m:t>
            </m:r>
          </m:sub>
        </m:sSub>
        <m:r>
          <m:rPr>
            <m:sty m:val="p"/>
          </m:rPr>
          <w:rPr>
            <w:rFonts w:ascii="Cambria Math" w:hAnsi="Cambria Math"/>
          </w:rPr>
          <m:t>×[</m:t>
        </m:r>
        <m:sSup>
          <m:sSupPr>
            <m:ctrlPr>
              <w:rPr>
                <w:rFonts w:ascii="Cambria Math" w:hAnsi="Cambria Math"/>
              </w:rPr>
            </m:ctrlPr>
          </m:sSupPr>
          <m:e>
            <m:r>
              <w:rPr>
                <w:rFonts w:ascii="Cambria Math" w:hAnsi="Cambria Math"/>
              </w:rPr>
              <m:t>H</m:t>
            </m:r>
          </m:e>
          <m:sup>
            <m:r>
              <m:rPr>
                <m:sty m:val="p"/>
              </m:rPr>
              <w:rPr>
                <w:rFonts w:ascii="Cambria Math" w:hAnsi="Cambria Math"/>
              </w:rPr>
              <m:t>*</m:t>
            </m:r>
          </m:sup>
        </m:sSup>
        <m:r>
          <m:rPr>
            <m:sty m:val="p"/>
          </m:rPr>
          <w:rPr>
            <w:rFonts w:ascii="Cambria Math" w:hAnsi="Cambria Math"/>
          </w:rPr>
          <m:t>]</m:t>
        </m:r>
      </m:oMath>
      <w:r w:rsidRPr="00C760A6">
        <w:tab/>
      </w:r>
      <w:r w:rsidRPr="00672193">
        <w:t>(8)</w:t>
      </w:r>
    </w:p>
    <w:p w14:paraId="68FB7B85" w14:textId="7B28E4D8" w:rsidR="003D6B78" w:rsidRPr="00C760A6" w:rsidRDefault="005F7368" w:rsidP="005F7368">
      <w:pPr>
        <w:pStyle w:val="af3"/>
      </w:pPr>
      <w:r>
        <w:tab/>
      </w:r>
      <m:oMath>
        <m:d>
          <m:dPr>
            <m:begChr m:val="["/>
            <m:endChr m:val="]"/>
            <m:ctrlPr>
              <w:rPr>
                <w:rFonts w:ascii="Cambria Math" w:hAnsi="Cambria Math"/>
              </w:rPr>
            </m:ctrlPr>
          </m:dPr>
          <m:e>
            <m:sSup>
              <m:sSupPr>
                <m:ctrlPr>
                  <w:rPr>
                    <w:rFonts w:ascii="Cambria Math" w:hAnsi="Cambria Math"/>
                  </w:rPr>
                </m:ctrlPr>
              </m:sSupPr>
              <m:e>
                <m:r>
                  <w:rPr>
                    <w:rFonts w:ascii="Cambria Math" w:hAnsi="Cambria Math"/>
                  </w:rPr>
                  <m:t>H</m:t>
                </m:r>
              </m:e>
              <m:sup>
                <m:r>
                  <m:rPr>
                    <m:sty m:val="p"/>
                  </m:rPr>
                  <w:rPr>
                    <w:rFonts w:ascii="Cambria Math" w:hAnsi="Cambria Math"/>
                  </w:rPr>
                  <m:t>*</m:t>
                </m:r>
              </m:sup>
            </m:sSup>
          </m:e>
        </m:d>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oMath>
      <w:r w:rsidRPr="00C760A6">
        <w:tab/>
      </w:r>
      <w:r w:rsidRPr="00672193">
        <w:t>(9)</w:t>
      </w:r>
    </w:p>
    <w:p w14:paraId="12BE9F65" w14:textId="77777777" w:rsidR="003D6B78" w:rsidRPr="00C760A6" w:rsidRDefault="00000000" w:rsidP="00FB2C71">
      <w:pPr>
        <w:spacing w:afterLines="100" w:after="360"/>
        <w:ind w:firstLine="0"/>
      </w:pPr>
      <w:r w:rsidRPr="00C760A6">
        <w:t xml:space="preserve">Among these, </w:t>
      </w:r>
      <m:oMath>
        <m:sSub>
          <m:sSubPr>
            <m:ctrlPr>
              <w:rPr>
                <w:rFonts w:ascii="Cambria Math" w:hAnsi="Cambria Math"/>
              </w:rPr>
            </m:ctrlPr>
          </m:sSubPr>
          <m:e>
            <m:r>
              <w:rPr>
                <w:rFonts w:ascii="Cambria Math" w:hAnsi="Cambria Math"/>
              </w:rPr>
              <m:t>ν</m:t>
            </m:r>
          </m:e>
          <m:sub>
            <m:r>
              <w:rPr>
                <w:rFonts w:ascii="Cambria Math" w:hAnsi="Cambria Math"/>
              </w:rPr>
              <m:t>ads</m:t>
            </m:r>
            <m:r>
              <m:rPr>
                <m:sty m:val="p"/>
              </m:rPr>
              <w:rPr>
                <w:rFonts w:ascii="Cambria Math" w:hAnsi="Cambria Math"/>
              </w:rPr>
              <m:t>,</m:t>
            </m:r>
            <m:r>
              <w:rPr>
                <w:rFonts w:ascii="Cambria Math" w:hAnsi="Cambria Math"/>
              </w:rPr>
              <m:t>H</m:t>
            </m:r>
          </m:sub>
        </m:sSub>
      </m:oMath>
      <w:r w:rsidRPr="00C760A6">
        <w:t xml:space="preserve"> and </w:t>
      </w:r>
      <m:oMath>
        <m:sSub>
          <m:sSubPr>
            <m:ctrlPr>
              <w:rPr>
                <w:rFonts w:ascii="Cambria Math" w:hAnsi="Cambria Math"/>
              </w:rPr>
            </m:ctrlPr>
          </m:sSubPr>
          <m:e>
            <m:r>
              <w:rPr>
                <w:rFonts w:ascii="Cambria Math" w:hAnsi="Cambria Math"/>
              </w:rPr>
              <m:t>ν</m:t>
            </m:r>
          </m:e>
          <m:sub>
            <m:r>
              <w:rPr>
                <w:rFonts w:ascii="Cambria Math" w:hAnsi="Cambria Math"/>
              </w:rPr>
              <m:t>des</m:t>
            </m:r>
            <m:r>
              <m:rPr>
                <m:sty m:val="p"/>
              </m:rPr>
              <w:rPr>
                <w:rFonts w:ascii="Cambria Math" w:hAnsi="Cambria Math"/>
              </w:rPr>
              <m:t>,</m:t>
            </m:r>
            <m:r>
              <w:rPr>
                <w:rFonts w:ascii="Cambria Math" w:hAnsi="Cambria Math"/>
              </w:rPr>
              <m:t>H</m:t>
            </m:r>
          </m:sub>
        </m:sSub>
      </m:oMath>
      <w:r w:rsidRPr="00C760A6">
        <w:t xml:space="preserve"> represent the adsorption and desorption rates of adsorbed hydrogen, respectively. </w:t>
      </w:r>
      <m:oMath>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oMath>
      <w:r w:rsidRPr="00C760A6">
        <w:t xml:space="preserve"> denotes the activity of hydrogen ions in the electrolyte, and </w:t>
      </w:r>
      <m:oMath>
        <m:sSub>
          <m:sSubPr>
            <m:ctrlPr>
              <w:rPr>
                <w:rFonts w:ascii="Cambria Math" w:hAnsi="Cambria Math"/>
              </w:rPr>
            </m:ctrlPr>
          </m:sSubPr>
          <m:e>
            <m:r>
              <w:rPr>
                <w:rFonts w:ascii="Cambria Math" w:hAnsi="Cambria Math"/>
              </w:rPr>
              <m:t>K</m:t>
            </m:r>
          </m:e>
          <m:sub>
            <m:r>
              <w:rPr>
                <w:rFonts w:ascii="Cambria Math" w:hAnsi="Cambria Math"/>
              </w:rPr>
              <m:t>H</m:t>
            </m:r>
          </m:sub>
        </m:sSub>
      </m:oMath>
      <w:r w:rsidRPr="00C760A6">
        <w:t xml:space="preserve"> is the equilibrium constant for hydrogen adsorption/desorption.</w:t>
      </w:r>
    </w:p>
    <w:p w14:paraId="35F5A5C2" w14:textId="77777777" w:rsidR="003D6B78" w:rsidRPr="00C760A6" w:rsidRDefault="00000000" w:rsidP="00FB2C71">
      <w:pPr>
        <w:ind w:firstLine="0"/>
      </w:pPr>
      <w:r w:rsidRPr="00C760A6">
        <w:t xml:space="preserve">Combining the above equations, we can derive expressions for </w:t>
      </w:r>
      <m:oMath>
        <m:sSub>
          <m:sSubPr>
            <m:ctrlPr>
              <w:rPr>
                <w:rFonts w:ascii="Cambria Math" w:hAnsi="Cambria Math"/>
              </w:rPr>
            </m:ctrlPr>
          </m:sSubPr>
          <m:e>
            <m:r>
              <w:rPr>
                <w:rFonts w:ascii="Cambria Math" w:hAnsi="Cambria Math"/>
              </w:rPr>
              <m:t>θ</m:t>
            </m:r>
          </m:e>
          <m:sub>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sub>
        </m:sSub>
      </m:oMath>
      <w:r w:rsidRPr="00C760A6">
        <w:t xml:space="preserve"> and </w:t>
      </w:r>
      <m:oMath>
        <m:sSub>
          <m:sSubPr>
            <m:ctrlPr>
              <w:rPr>
                <w:rFonts w:ascii="Cambria Math" w:hAnsi="Cambria Math"/>
              </w:rPr>
            </m:ctrlPr>
          </m:sSubPr>
          <m:e>
            <m:r>
              <w:rPr>
                <w:rFonts w:ascii="Cambria Math" w:hAnsi="Cambria Math"/>
              </w:rPr>
              <m:t>θ</m:t>
            </m:r>
          </m:e>
          <m:sub>
            <m:sSup>
              <m:sSupPr>
                <m:ctrlPr>
                  <w:rPr>
                    <w:rFonts w:ascii="Cambria Math" w:hAnsi="Cambria Math"/>
                  </w:rPr>
                </m:ctrlPr>
              </m:sSupPr>
              <m:e>
                <m:r>
                  <w:rPr>
                    <w:rFonts w:ascii="Cambria Math" w:hAnsi="Cambria Math"/>
                  </w:rPr>
                  <m:t>H</m:t>
                </m:r>
              </m:e>
              <m:sup>
                <m:r>
                  <m:rPr>
                    <m:sty m:val="p"/>
                  </m:rPr>
                  <w:rPr>
                    <w:rFonts w:ascii="Cambria Math" w:hAnsi="Cambria Math"/>
                  </w:rPr>
                  <m:t>*</m:t>
                </m:r>
              </m:sup>
            </m:sSup>
          </m:sub>
        </m:sSub>
      </m:oMath>
      <w:r w:rsidRPr="00C760A6">
        <w:t>:</w:t>
      </w:r>
    </w:p>
    <w:p w14:paraId="2BE4C291" w14:textId="4F07A5E3" w:rsidR="003D6B78" w:rsidRPr="00C760A6" w:rsidRDefault="005F7368" w:rsidP="005F7368">
      <w:pPr>
        <w:pStyle w:val="af3"/>
      </w:pPr>
      <w:r>
        <w:rPr>
          <w:rFonts w:eastAsiaTheme="minorEastAsia" w:cstheme="minorBidi"/>
        </w:rPr>
        <w:tab/>
      </w:r>
      <m:oMath>
        <m:sSub>
          <m:sSubPr>
            <m:ctrlPr>
              <w:rPr>
                <w:rFonts w:ascii="Cambria Math" w:hAnsi="Cambria Math"/>
              </w:rPr>
            </m:ctrlPr>
          </m:sSubPr>
          <m:e>
            <m:r>
              <w:rPr>
                <w:rFonts w:ascii="Cambria Math" w:hAnsi="Cambria Math"/>
              </w:rPr>
              <m:t>θ</m:t>
            </m:r>
          </m:e>
          <m:sub>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d>
              <m:dPr>
                <m:begChr m:val="["/>
                <m:endChr m:val="]"/>
                <m:ctrlPr>
                  <w:rPr>
                    <w:rFonts w:ascii="Cambria Math" w:hAnsi="Cambria Math"/>
                  </w:rPr>
                </m:ctrlPr>
              </m:dPr>
              <m:e>
                <m:r>
                  <w:rPr>
                    <w:rFonts w:ascii="Cambria Math" w:hAnsi="Cambria Math"/>
                  </w:rPr>
                  <m:t>C</m:t>
                </m:r>
                <m:r>
                  <m:rPr>
                    <m:sty m:val="p"/>
                  </m:rPr>
                  <w:rPr>
                    <w:rFonts w:ascii="Cambria Math" w:hAnsi="Cambria Math"/>
                  </w:rPr>
                  <m:t>=</m:t>
                </m:r>
                <m:r>
                  <w:rPr>
                    <w:rFonts w:ascii="Cambria Math" w:hAnsi="Cambria Math"/>
                  </w:rPr>
                  <m:t>C</m:t>
                </m:r>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num>
          <m:den>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d>
              <m:dPr>
                <m:begChr m:val="["/>
                <m:endChr m:val="]"/>
                <m:ctrlPr>
                  <w:rPr>
                    <w:rFonts w:ascii="Cambria Math" w:hAnsi="Cambria Math"/>
                  </w:rPr>
                </m:ctrlPr>
              </m:dPr>
              <m:e>
                <m:r>
                  <w:rPr>
                    <w:rFonts w:ascii="Cambria Math" w:hAnsi="Cambria Math"/>
                  </w:rPr>
                  <m:t>C</m:t>
                </m:r>
                <m:r>
                  <m:rPr>
                    <m:sty m:val="p"/>
                  </m:rPr>
                  <w:rPr>
                    <w:rFonts w:ascii="Cambria Math" w:hAnsi="Cambria Math"/>
                  </w:rPr>
                  <m:t>=</m:t>
                </m:r>
                <m:r>
                  <w:rPr>
                    <w:rFonts w:ascii="Cambria Math" w:hAnsi="Cambria Math"/>
                  </w:rPr>
                  <m:t>C</m:t>
                </m:r>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den>
        </m:f>
      </m:oMath>
      <w:r w:rsidRPr="00C760A6">
        <w:tab/>
      </w:r>
    </w:p>
    <w:p w14:paraId="02090C45" w14:textId="2C02E318" w:rsidR="003D6B78" w:rsidRPr="00C760A6" w:rsidRDefault="005F7368" w:rsidP="005F7368">
      <w:pPr>
        <w:pStyle w:val="af3"/>
      </w:pPr>
      <w:r>
        <w:tab/>
      </w:r>
      <m:oMath>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num>
          <m:den>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]+1</m:t>
            </m:r>
          </m:den>
        </m:f>
      </m:oMath>
      <w:r w:rsidRPr="00C760A6">
        <w:tab/>
      </w:r>
      <w:r w:rsidRPr="00672193">
        <w:t>(10)</w:t>
      </w:r>
    </w:p>
    <w:p w14:paraId="30287382" w14:textId="29A079A5" w:rsidR="003D6B78" w:rsidRPr="00C760A6" w:rsidRDefault="005F7368" w:rsidP="005F7368">
      <w:pPr>
        <w:pStyle w:val="af3"/>
      </w:pPr>
      <w:r>
        <w:lastRenderedPageBreak/>
        <w:tab/>
      </w:r>
      <w:r>
        <w:rPr>
          <w:rFonts w:hint="eastAsia"/>
        </w:rPr>
        <w:t xml:space="preserve"> </w:t>
      </w:r>
      <m:oMath>
        <m:sSub>
          <m:sSubPr>
            <m:ctrlPr>
              <w:rPr>
                <w:rFonts w:ascii="Cambria Math" w:hAnsi="Cambria Math"/>
              </w:rPr>
            </m:ctrlPr>
          </m:sSubPr>
          <m:e>
            <m:r>
              <w:rPr>
                <w:rFonts w:ascii="Cambria Math" w:hAnsi="Cambria Math"/>
              </w:rPr>
              <m:t>θ</m:t>
            </m:r>
          </m:e>
          <m:sub>
            <m:sSup>
              <m:sSupPr>
                <m:ctrlPr>
                  <w:rPr>
                    <w:rFonts w:ascii="Cambria Math" w:hAnsi="Cambria Math"/>
                  </w:rPr>
                </m:ctrlPr>
              </m:sSupPr>
              <m:e>
                <m:r>
                  <w:rPr>
                    <w:rFonts w:ascii="Cambria Math" w:hAnsi="Cambria Math"/>
                  </w:rPr>
                  <m:t>H</m:t>
                </m:r>
              </m:e>
              <m:sup>
                <m:r>
                  <m:rPr>
                    <m:sty m:val="p"/>
                  </m:rPr>
                  <w:rPr>
                    <w:rFonts w:ascii="Cambria Math" w:hAnsi="Cambria Math"/>
                  </w:rPr>
                  <m:t>*</m:t>
                </m:r>
              </m:sup>
            </m:sSup>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num>
          <m:den>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d>
              <m:dPr>
                <m:begChr m:val="["/>
                <m:endChr m:val="]"/>
                <m:ctrlPr>
                  <w:rPr>
                    <w:rFonts w:ascii="Cambria Math" w:hAnsi="Cambria Math"/>
                  </w:rPr>
                </m:ctrlPr>
              </m:dPr>
              <m:e>
                <m:r>
                  <w:rPr>
                    <w:rFonts w:ascii="Cambria Math" w:hAnsi="Cambria Math"/>
                  </w:rPr>
                  <m:t>C</m:t>
                </m:r>
                <m:r>
                  <m:rPr>
                    <m:sty m:val="p"/>
                  </m:rPr>
                  <w:rPr>
                    <w:rFonts w:ascii="Cambria Math" w:hAnsi="Cambria Math"/>
                  </w:rPr>
                  <m:t>=</m:t>
                </m:r>
                <m:r>
                  <w:rPr>
                    <w:rFonts w:ascii="Cambria Math" w:hAnsi="Cambria Math"/>
                  </w:rPr>
                  <m:t>C</m:t>
                </m:r>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den>
        </m:f>
      </m:oMath>
      <w:r w:rsidRPr="00C760A6">
        <w:tab/>
      </w:r>
    </w:p>
    <w:p w14:paraId="1AE3FDCD" w14:textId="48D0E2D6" w:rsidR="003D6B78" w:rsidRPr="00C760A6" w:rsidRDefault="005F7368" w:rsidP="005F7368">
      <w:pPr>
        <w:pStyle w:val="af3"/>
      </w:pPr>
      <w:r>
        <w:tab/>
      </w:r>
      <m:oMath>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e>
            </m:d>
          </m:num>
          <m:den>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]+1</m:t>
            </m:r>
          </m:den>
        </m:f>
      </m:oMath>
      <w:r w:rsidRPr="00C760A6">
        <w:tab/>
      </w:r>
      <w:r w:rsidRPr="00672193">
        <w:t>(11)</w:t>
      </w:r>
    </w:p>
    <w:p w14:paraId="378C5519" w14:textId="682B8D0D" w:rsidR="003D6B78" w:rsidRPr="00C760A6" w:rsidRDefault="00000000" w:rsidP="00FB2C71">
      <w:pPr>
        <w:ind w:firstLine="0"/>
      </w:pPr>
      <w:r w:rsidRPr="00C760A6">
        <w:t xml:space="preserve">During the L-H adsorption process, when both the </w:t>
      </w:r>
      <w:r w:rsidR="001F6461" w:rsidRPr="00C760A6">
        <w:rPr>
          <w:szCs w:val="24"/>
        </w:rPr>
        <w:t>C=C* and H*</w:t>
      </w:r>
      <w:r w:rsidRPr="00C760A6">
        <w:t xml:space="preserve"> are adsorbed onto the electrode surface, we assume that styrene and hydrogen compete for adsorption on the Pt surface. We express the reaction rate in the following form:</w:t>
      </w:r>
    </w:p>
    <w:p w14:paraId="1DA97FB1" w14:textId="5FFF207D" w:rsidR="003D6B78" w:rsidRPr="00C760A6" w:rsidRDefault="005F7368" w:rsidP="005F7368">
      <w:pPr>
        <w:pStyle w:val="af3"/>
      </w:pPr>
      <w:r>
        <w:rPr>
          <w:rFonts w:eastAsiaTheme="minorEastAsia" w:cstheme="minorBidi"/>
        </w:rPr>
        <w:tab/>
      </w:r>
      <m:oMath>
        <m:sSub>
          <m:sSubPr>
            <m:ctrlPr>
              <w:rPr>
                <w:rFonts w:ascii="Cambria Math" w:hAnsi="Cambria Math"/>
              </w:rPr>
            </m:ctrlPr>
          </m:sSubPr>
          <m:e>
            <m:r>
              <w:rPr>
                <w:rFonts w:ascii="Cambria Math" w:hAnsi="Cambria Math"/>
              </w:rPr>
              <m:t>r</m:t>
            </m:r>
          </m:e>
          <m:sub>
            <m:r>
              <w:rPr>
                <w:rFonts w:ascii="Cambria Math" w:hAnsi="Cambria Math"/>
              </w:rPr>
              <m:t>L</m:t>
            </m:r>
            <m:r>
              <m:rPr>
                <m:sty m:val="p"/>
              </m:rPr>
              <w:rPr>
                <w:rFonts w:ascii="Cambria Math" w:hAnsi="Cambria Math"/>
              </w:rPr>
              <m:t>-</m:t>
            </m:r>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C</m:t>
            </m:r>
            <m:r>
              <m:rPr>
                <m:sty m:val="p"/>
              </m:rP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m:t>
                </m:r>
              </m:sup>
            </m:sSup>
          </m:sub>
        </m:sSub>
        <m:r>
          <m:rPr>
            <m:sty m:val="p"/>
          </m:rPr>
          <w:rPr>
            <w:rFonts w:ascii="Cambria Math" w:hAnsi="Cambria Math"/>
          </w:rPr>
          <m:t>×</m:t>
        </m:r>
        <m:sSub>
          <m:sSubPr>
            <m:ctrlPr>
              <w:rPr>
                <w:rFonts w:ascii="Cambria Math" w:hAnsi="Cambria Math"/>
              </w:rPr>
            </m:ctrlPr>
          </m:sSubPr>
          <m:e>
            <m:r>
              <w:rPr>
                <w:rFonts w:ascii="Cambria Math" w:hAnsi="Cambria Math"/>
              </w:rPr>
              <m:t>θ</m:t>
            </m:r>
          </m:e>
          <m:sub>
            <m:sSup>
              <m:sSupPr>
                <m:ctrlPr>
                  <w:rPr>
                    <w:rFonts w:ascii="Cambria Math" w:hAnsi="Cambria Math"/>
                  </w:rPr>
                </m:ctrlPr>
              </m:sSupPr>
              <m:e>
                <m:r>
                  <w:rPr>
                    <w:rFonts w:ascii="Cambria Math" w:hAnsi="Cambria Math"/>
                  </w:rPr>
                  <m:t>H</m:t>
                </m:r>
              </m:e>
              <m:sup>
                <m:r>
                  <m:rPr>
                    <m:sty m:val="p"/>
                  </m:rPr>
                  <w:rPr>
                    <w:rFonts w:ascii="Cambria Math" w:hAnsi="Cambria Math"/>
                  </w:rPr>
                  <m:t>*</m:t>
                </m:r>
              </m:sup>
            </m:sSup>
          </m:sub>
        </m:sSub>
      </m:oMath>
      <w:r w:rsidRPr="00C760A6">
        <w:tab/>
      </w:r>
      <w:r w:rsidRPr="00672193">
        <w:t>(12)</w:t>
      </w:r>
    </w:p>
    <w:p w14:paraId="0A947A74" w14:textId="73F38651" w:rsidR="003D6B78" w:rsidRPr="00C760A6" w:rsidRDefault="005F7368" w:rsidP="005F7368">
      <w:pPr>
        <w:pStyle w:val="af3"/>
      </w:pPr>
      <w:r>
        <w:tab/>
      </w:r>
      <m:oMath>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e>
              <m:sup>
                <m:r>
                  <m:rPr>
                    <m:sty m:val="p"/>
                  </m:rPr>
                  <w:rPr>
                    <w:rFonts w:ascii="Cambria Math" w:hAnsi="Cambria Math"/>
                  </w:rPr>
                  <m:t>2</m:t>
                </m:r>
              </m:sup>
            </m:sSup>
          </m:den>
        </m:f>
      </m:oMath>
      <w:r w:rsidRPr="00C760A6">
        <w:tab/>
      </w:r>
      <w:r w:rsidRPr="00672193">
        <w:t>(13)</w:t>
      </w:r>
    </w:p>
    <w:p w14:paraId="7D2A5CC0" w14:textId="0E3AA9A7" w:rsidR="003D6B78" w:rsidRPr="00C760A6" w:rsidRDefault="005F7368" w:rsidP="005F7368">
      <w:pPr>
        <w:pStyle w:val="af3"/>
      </w:pPr>
      <w:r>
        <w:tab/>
      </w:r>
      <m:oMath>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num>
          <m:den>
            <m:sSup>
              <m:sSupPr>
                <m:ctrlPr>
                  <w:rPr>
                    <w:rFonts w:ascii="Cambria Math" w:hAnsi="Cambria Math"/>
                  </w:rPr>
                </m:ctrlPr>
              </m:sSupPr>
              <m:e>
                <m:r>
                  <m:rPr>
                    <m:sty m:val="p"/>
                  </m:rP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e>
                </m:rad>
                <m:r>
                  <m:rPr>
                    <m:sty m:val="p"/>
                  </m:rPr>
                  <w:rPr>
                    <w:rFonts w:ascii="Cambria Math" w:hAnsi="Cambria Math"/>
                  </w:rPr>
                  <m:t>+</m:t>
                </m:r>
                <m:f>
                  <m:fPr>
                    <m:ctrlPr>
                      <w:rPr>
                        <w:rFonts w:ascii="Cambria Math" w:hAnsi="Cambria Math"/>
                      </w:rPr>
                    </m:ctrlPr>
                  </m:fPr>
                  <m:num>
                    <m:r>
                      <m:rPr>
                        <m:sty m:val="p"/>
                      </m:rPr>
                      <w:rPr>
                        <w:rFonts w:ascii="Cambria Math" w:hAnsi="Cambria Math"/>
                      </w:rPr>
                      <m:t>1+</m:t>
                    </m:r>
                    <m:sSub>
                      <m:sSubPr>
                        <m:ctrlPr>
                          <w:rPr>
                            <w:rFonts w:ascii="Cambria Math" w:hAnsi="Cambria Math"/>
                          </w:rPr>
                        </m:ctrlPr>
                      </m:sSubPr>
                      <m:e>
                        <m:r>
                          <w:rPr>
                            <w:rFonts w:ascii="Cambria Math" w:hAnsi="Cambria Math"/>
                          </w:rPr>
                          <m:t>K</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num>
                  <m:den>
                    <m:rad>
                      <m:radPr>
                        <m:degHide m:val="1"/>
                        <m:ctrlPr>
                          <w:rPr>
                            <w:rFonts w:ascii="Cambria Math" w:hAnsi="Cambria Math"/>
                          </w:rPr>
                        </m:ctrlPr>
                      </m:radPr>
                      <m:deg/>
                      <m:e>
                        <m:sSub>
                          <m:sSubPr>
                            <m:ctrlPr>
                              <w:rPr>
                                <w:rFonts w:ascii="Cambria Math" w:hAnsi="Cambria Math"/>
                              </w:rPr>
                            </m:ctrlPr>
                          </m:sSubPr>
                          <m:e>
                            <m:r>
                              <w:rPr>
                                <w:rFonts w:ascii="Cambria Math" w:hAnsi="Cambria Math"/>
                              </w:rPr>
                              <m:t>K</m:t>
                            </m:r>
                          </m:e>
                          <m:sub>
                            <m:r>
                              <w:rPr>
                                <w:rFonts w:ascii="Cambria Math" w:hAnsi="Cambria Math"/>
                              </w:rPr>
                              <m:t>C</m:t>
                            </m:r>
                            <m:r>
                              <m:rPr>
                                <m:sty m:val="p"/>
                              </m:rPr>
                              <w:rPr>
                                <w:rFonts w:ascii="Cambria Math" w:hAnsi="Cambria Math"/>
                              </w:rPr>
                              <m:t>=</m:t>
                            </m:r>
                            <m:r>
                              <w:rPr>
                                <w:rFonts w:ascii="Cambria Math" w:hAnsi="Cambria Math"/>
                              </w:rPr>
                              <m:t>C</m:t>
                            </m:r>
                          </m:sub>
                        </m:sSub>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C</m:t>
                        </m:r>
                        <m:r>
                          <m:rPr>
                            <m:sty m:val="p"/>
                          </m:rPr>
                          <w:rPr>
                            <w:rFonts w:ascii="Cambria Math" w:hAnsi="Cambria Math"/>
                          </w:rPr>
                          <m:t>]</m:t>
                        </m:r>
                      </m:e>
                    </m:rad>
                  </m:den>
                </m:f>
                <m:r>
                  <m:rPr>
                    <m:sty m:val="p"/>
                  </m:rPr>
                  <w:rPr>
                    <w:rFonts w:ascii="Cambria Math" w:hAnsi="Cambria Math"/>
                  </w:rPr>
                  <m:t>)</m:t>
                </m:r>
              </m:e>
              <m:sup>
                <m:r>
                  <m:rPr>
                    <m:sty m:val="p"/>
                  </m:rPr>
                  <w:rPr>
                    <w:rFonts w:ascii="Cambria Math" w:hAnsi="Cambria Math"/>
                  </w:rPr>
                  <m:t>2</m:t>
                </m:r>
              </m:sup>
            </m:sSup>
          </m:den>
        </m:f>
      </m:oMath>
      <w:r w:rsidRPr="00C760A6">
        <w:tab/>
      </w:r>
      <w:r w:rsidRPr="00672193">
        <w:t>(14)</w:t>
      </w:r>
    </w:p>
    <w:p w14:paraId="5D351CD2" w14:textId="77777777" w:rsidR="003D6B78" w:rsidRPr="00C760A6" w:rsidRDefault="00000000" w:rsidP="00FB2C71">
      <w:pPr>
        <w:spacing w:beforeLines="100" w:before="360" w:afterLines="100" w:after="360"/>
        <w:ind w:firstLine="0"/>
      </w:pPr>
      <w:r w:rsidRPr="00C760A6">
        <w:t>Equation 14 reveals that the overall reaction rate exhibits a non-monotonic dependence on styrene concentration: it initially increases with increasing styrene concentration from zero, reaches a maximum, and subsequently decreases. This trend is consistent with the observed variation in the reaction order of styrene with respect to its concentration.</w:t>
      </w:r>
    </w:p>
    <w:p w14:paraId="599F93DB" w14:textId="77777777" w:rsidR="003D6B78" w:rsidRPr="00C760A6" w:rsidRDefault="00000000" w:rsidP="00FB2C71">
      <w:pPr>
        <w:ind w:firstLine="0"/>
      </w:pPr>
      <w:r w:rsidRPr="00C760A6">
        <w:t>For the reduction of nitrobenzene on Pt/CNT, the nitro group adsorbs at the active site and reacts with protons near the electrolyte or electrode-electrolyte interface. For this process, we have:</w:t>
      </w:r>
    </w:p>
    <w:p w14:paraId="59F82428" w14:textId="5B680EC6" w:rsidR="003D6B78" w:rsidRPr="00C760A6" w:rsidRDefault="005F7368" w:rsidP="005F7368">
      <w:pPr>
        <w:pStyle w:val="af3"/>
      </w:pPr>
      <w:r>
        <w:rPr>
          <w:rFonts w:eastAsiaTheme="minorEastAsia" w:cstheme="minorBidi"/>
        </w:rPr>
        <w:tab/>
      </w: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0</m:t>
            </m:r>
          </m:sub>
        </m:sSub>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oMath>
      <w:r w:rsidRPr="00C760A6">
        <w:tab/>
      </w:r>
      <w:r w:rsidRPr="00672193">
        <w:t>(16)</w:t>
      </w:r>
    </w:p>
    <w:p w14:paraId="1F8FE614" w14:textId="77777777" w:rsidR="003D6B78" w:rsidRPr="00C760A6" w:rsidRDefault="00000000" w:rsidP="00FB2C71">
      <w:pPr>
        <w:ind w:firstLine="0"/>
      </w:pPr>
      <w:r w:rsidRPr="00C760A6">
        <w:t xml:space="preserve">Among these, </w:t>
      </w: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0</m:t>
            </m:r>
          </m:sub>
        </m:sSub>
      </m:oMath>
      <w:r w:rsidRPr="00C760A6">
        <w:t xml:space="preserve"> represents the total number of active sites; </w:t>
      </w:r>
      <m:oMath>
        <m:r>
          <m:rPr>
            <m:sty m:val="p"/>
          </m:rPr>
          <w:rPr>
            <w:rFonts w:ascii="Cambria Math" w:hAnsi="Cambria Math"/>
          </w:rPr>
          <m:t>[*]</m:t>
        </m:r>
      </m:oMath>
      <w:r w:rsidRPr="00C760A6">
        <w:t xml:space="preserve"> represents the number of remaining active sites; </w:t>
      </w:r>
      <m:oMath>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oMath>
      <w:r w:rsidRPr="00C760A6">
        <w:t xml:space="preserve"> represents the number of active sites occupied by -NO₂.</w:t>
      </w:r>
    </w:p>
    <w:p w14:paraId="6E7A550B" w14:textId="758CE924" w:rsidR="003D6B78" w:rsidRPr="00C760A6" w:rsidRDefault="005F7368" w:rsidP="005F7368">
      <w:pPr>
        <w:pStyle w:val="af3"/>
      </w:pPr>
      <w:r>
        <w:rPr>
          <w:rFonts w:eastAsiaTheme="minorEastAsia" w:cstheme="minorBidi"/>
        </w:rPr>
        <w:tab/>
      </w:r>
      <m:oMath>
        <m:sSub>
          <m:sSubPr>
            <m:ctrlPr>
              <w:rPr>
                <w:rFonts w:ascii="Cambria Math" w:hAnsi="Cambria Math"/>
              </w:rPr>
            </m:ctrlPr>
          </m:sSubPr>
          <m:e>
            <m:r>
              <w:rPr>
                <w:rFonts w:ascii="Cambria Math" w:hAnsi="Cambria Math"/>
              </w:rPr>
              <m:t>θ</m:t>
            </m:r>
          </m:e>
          <m:sub>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sub>
        </m:sSub>
        <m:r>
          <m:rPr>
            <m:sty m:val="p"/>
          </m:rP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num>
          <m:den>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m:t>
                    </m:r>
                  </m:e>
                </m:d>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num>
          <m:den>
            <m:d>
              <m:dPr>
                <m:begChr m:val="["/>
                <m:endChr m:val="]"/>
                <m:ctrlPr>
                  <w:rPr>
                    <w:rFonts w:ascii="Cambria Math" w:hAnsi="Cambria Math"/>
                  </w:rPr>
                </m:ctrlPr>
              </m:dPr>
              <m:e>
                <m:r>
                  <m:rPr>
                    <m:sty m:val="p"/>
                  </m:rPr>
                  <w:rPr>
                    <w:rFonts w:ascii="Cambria Math" w:hAnsi="Cambria Math"/>
                  </w:rPr>
                  <m:t>*</m:t>
                </m:r>
              </m:e>
            </m:d>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den>
        </m:f>
      </m:oMath>
      <w:r w:rsidRPr="00C760A6">
        <w:tab/>
      </w:r>
      <w:r w:rsidRPr="00672193">
        <w:t>(17)</w:t>
      </w:r>
    </w:p>
    <w:p w14:paraId="661D87A5" w14:textId="77777777" w:rsidR="003D6B78" w:rsidRPr="00C760A6" w:rsidRDefault="00000000" w:rsidP="00FB2C71">
      <w:pPr>
        <w:spacing w:beforeLines="100" w:before="360" w:afterLines="100" w:after="360"/>
        <w:ind w:firstLine="0"/>
      </w:pPr>
      <w:r w:rsidRPr="00C760A6">
        <w:t xml:space="preserve">Here, </w:t>
      </w:r>
      <m:oMath>
        <m:sSub>
          <m:sSubPr>
            <m:ctrlPr>
              <w:rPr>
                <w:rFonts w:ascii="Cambria Math" w:hAnsi="Cambria Math"/>
              </w:rPr>
            </m:ctrlPr>
          </m:sSubPr>
          <m:e>
            <m:r>
              <w:rPr>
                <w:rFonts w:ascii="Cambria Math" w:hAnsi="Cambria Math"/>
              </w:rPr>
              <m:t>θ</m:t>
            </m:r>
          </m:e>
          <m:sub>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sub>
        </m:sSub>
      </m:oMath>
      <w:r w:rsidRPr="00C760A6">
        <w:t xml:space="preserve"> represents the proportion of sites covered by nitro groups.</w:t>
      </w:r>
    </w:p>
    <w:p w14:paraId="15E9C080" w14:textId="77777777" w:rsidR="003D6B78" w:rsidRPr="00C760A6" w:rsidRDefault="00000000" w:rsidP="00FB2C71">
      <w:pPr>
        <w:ind w:firstLine="0"/>
      </w:pPr>
      <w:r w:rsidRPr="00C760A6">
        <w:lastRenderedPageBreak/>
        <w:t>We assume that adsorption and desorption of -NO₂ rapidly reach equilibrium:</w:t>
      </w:r>
    </w:p>
    <w:p w14:paraId="438AB622" w14:textId="7371A787" w:rsidR="003D6B78" w:rsidRPr="00C760A6" w:rsidRDefault="005F7368" w:rsidP="005F7368">
      <w:pPr>
        <w:pStyle w:val="af3"/>
      </w:pPr>
      <w:r>
        <w:rPr>
          <w:rFonts w:eastAsiaTheme="minorEastAsia" w:cstheme="minorBidi"/>
        </w:rPr>
        <w:tab/>
      </w:r>
      <m:oMath>
        <m:sSub>
          <m:sSubPr>
            <m:ctrlPr>
              <w:rPr>
                <w:rFonts w:ascii="Cambria Math" w:hAnsi="Cambria Math"/>
              </w:rPr>
            </m:ctrlPr>
          </m:sSubPr>
          <m:e>
            <m:r>
              <w:rPr>
                <w:rFonts w:ascii="Cambria Math" w:hAnsi="Cambria Math"/>
              </w:rPr>
              <m:t>ν</m:t>
            </m:r>
          </m:e>
          <m:sub>
            <m:r>
              <w:rPr>
                <w:rFonts w:ascii="Cambria Math" w:hAnsi="Cambria Math"/>
              </w:rPr>
              <m:t>ads</m:t>
            </m:r>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des</m:t>
            </m:r>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oMath>
      <w:r w:rsidRPr="00C760A6">
        <w:tab/>
      </w:r>
      <w:r w:rsidRPr="00672193">
        <w:t>(18)</w:t>
      </w:r>
    </w:p>
    <w:p w14:paraId="3B7A02B4" w14:textId="2A12D528" w:rsidR="003D6B78" w:rsidRPr="00C760A6" w:rsidRDefault="005F7368" w:rsidP="005F7368">
      <w:pPr>
        <w:pStyle w:val="af3"/>
      </w:pPr>
      <w:r>
        <w:tab/>
      </w:r>
      <m:oMath>
        <m:sSub>
          <m:sSubPr>
            <m:ctrlPr>
              <w:rPr>
                <w:rFonts w:ascii="Cambria Math" w:hAnsi="Cambria Math"/>
              </w:rPr>
            </m:ctrlPr>
          </m:sSubPr>
          <m:e>
            <m:r>
              <w:rPr>
                <w:rFonts w:ascii="Cambria Math" w:hAnsi="Cambria Math"/>
              </w:rPr>
              <m:t>k</m:t>
            </m:r>
          </m:e>
          <m:sub>
            <m:r>
              <w:rPr>
                <w:rFonts w:ascii="Cambria Math" w:hAnsi="Cambria Math"/>
              </w:rPr>
              <m:t>ads</m:t>
            </m:r>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des</m:t>
            </m:r>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oMath>
      <w:r w:rsidRPr="00C760A6">
        <w:tab/>
      </w:r>
      <w:r w:rsidRPr="00672193">
        <w:t>(19)</w:t>
      </w:r>
    </w:p>
    <w:p w14:paraId="52C690C0" w14:textId="13661030" w:rsidR="003D6B78" w:rsidRPr="00C760A6" w:rsidRDefault="005F7368" w:rsidP="005F7368">
      <w:pPr>
        <w:pStyle w:val="af3"/>
      </w:pPr>
      <w:r>
        <w:tab/>
      </w:r>
      <m:oMath>
        <m:r>
          <m:rPr>
            <m:sty m:val="p"/>
          </m:rPr>
          <w:rPr>
            <w:rFonts w:ascii="Cambria Math" w:hAnsi="Cambria Math"/>
          </w:rPr>
          <m:t>[</m:t>
        </m:r>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oMath>
      <w:r w:rsidRPr="00C760A6">
        <w:tab/>
      </w:r>
      <w:r w:rsidRPr="00672193">
        <w:t>(20)</w:t>
      </w:r>
    </w:p>
    <w:p w14:paraId="26ABFC07" w14:textId="77777777" w:rsidR="003D6B78" w:rsidRPr="00C760A6" w:rsidRDefault="00000000" w:rsidP="00FB2C71">
      <w:pPr>
        <w:spacing w:beforeLines="100" w:before="360" w:afterLines="100" w:after="360"/>
        <w:ind w:firstLine="0"/>
      </w:pPr>
      <w:r w:rsidRPr="00C760A6">
        <w:t xml:space="preserve">Among these, </w:t>
      </w:r>
      <m:oMath>
        <m:sSub>
          <m:sSubPr>
            <m:ctrlPr>
              <w:rPr>
                <w:rFonts w:ascii="Cambria Math" w:hAnsi="Cambria Math"/>
              </w:rPr>
            </m:ctrlPr>
          </m:sSubPr>
          <m:e>
            <m:r>
              <w:rPr>
                <w:rFonts w:ascii="Cambria Math" w:hAnsi="Cambria Math"/>
              </w:rPr>
              <m:t>ν</m:t>
            </m:r>
          </m:e>
          <m:sub>
            <m:r>
              <w:rPr>
                <w:rFonts w:ascii="Cambria Math" w:hAnsi="Cambria Math"/>
              </w:rPr>
              <m:t>ads</m:t>
            </m:r>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oMath>
      <w:r w:rsidRPr="00C760A6">
        <w:t xml:space="preserve">and </w:t>
      </w:r>
      <m:oMath>
        <m:sSub>
          <m:sSubPr>
            <m:ctrlPr>
              <w:rPr>
                <w:rFonts w:ascii="Cambria Math" w:hAnsi="Cambria Math"/>
              </w:rPr>
            </m:ctrlPr>
          </m:sSubPr>
          <m:e>
            <m:r>
              <w:rPr>
                <w:rFonts w:ascii="Cambria Math" w:hAnsi="Cambria Math"/>
              </w:rPr>
              <m:t>ν</m:t>
            </m:r>
          </m:e>
          <m:sub>
            <m:r>
              <w:rPr>
                <w:rFonts w:ascii="Cambria Math" w:hAnsi="Cambria Math"/>
              </w:rPr>
              <m:t>des</m:t>
            </m:r>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oMath>
      <w:r w:rsidRPr="00C760A6">
        <w:t xml:space="preserve"> represent the adsorption and desorption rates of nitro groups, respectively. </w:t>
      </w:r>
      <m:oMath>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oMath>
      <w:r w:rsidRPr="00C760A6">
        <w:t xml:space="preserve"> denotes the concentration of nitrobenzene in the electrolyte, and </w:t>
      </w:r>
      <m:oMath>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oMath>
      <w:r w:rsidRPr="00C760A6">
        <w:t xml:space="preserve"> is the equilibrium constant for nitro group adsorption/desorption.</w:t>
      </w:r>
    </w:p>
    <w:p w14:paraId="2EF07010" w14:textId="77777777" w:rsidR="003D6B78" w:rsidRPr="00C760A6" w:rsidRDefault="00000000" w:rsidP="00FB2C71">
      <w:pPr>
        <w:ind w:firstLine="0"/>
      </w:pPr>
      <w:r w:rsidRPr="00C760A6">
        <w:t xml:space="preserve">Combining the above equations, we can derive the expression for </w:t>
      </w:r>
      <m:oMath>
        <m:sSub>
          <m:sSubPr>
            <m:ctrlPr>
              <w:rPr>
                <w:rFonts w:ascii="Cambria Math" w:hAnsi="Cambria Math"/>
              </w:rPr>
            </m:ctrlPr>
          </m:sSubPr>
          <m:e>
            <m:r>
              <w:rPr>
                <w:rFonts w:ascii="Cambria Math" w:hAnsi="Cambria Math"/>
              </w:rPr>
              <m:t>θ</m:t>
            </m:r>
          </m:e>
          <m:sub>
            <m:r>
              <w:rPr>
                <w:rFonts w:ascii="Cambria Math" w:hAnsi="Cambria Math"/>
              </w:rPr>
              <m:t>N</m:t>
            </m:r>
            <m:sSubSup>
              <m:sSubSupPr>
                <m:ctrlPr>
                  <w:rPr>
                    <w:rFonts w:ascii="Cambria Math" w:hAnsi="Cambria Math"/>
                  </w:rPr>
                </m:ctrlPr>
              </m:sSubSupPr>
              <m:e>
                <m:r>
                  <w:rPr>
                    <w:rFonts w:ascii="Cambria Math" w:hAnsi="Cambria Math"/>
                  </w:rPr>
                  <m:t>O</m:t>
                </m:r>
              </m:e>
              <m:sub>
                <m:r>
                  <w:rPr>
                    <w:rFonts w:ascii="Cambria Math" w:hAnsi="Cambria Math"/>
                  </w:rPr>
                  <m:t>2</m:t>
                </m:r>
              </m:sub>
              <m:sup>
                <m:r>
                  <w:rPr>
                    <w:rFonts w:ascii="Cambria Math" w:hAnsi="Cambria Math"/>
                  </w:rPr>
                  <m:t>*</m:t>
                </m:r>
              </m:sup>
            </m:sSubSup>
          </m:sub>
        </m:sSub>
      </m:oMath>
      <w:r w:rsidRPr="00C760A6">
        <w:t>:</w:t>
      </w:r>
    </w:p>
    <w:p w14:paraId="5907CF48" w14:textId="0AE6E672" w:rsidR="003D6B78" w:rsidRPr="00C760A6" w:rsidRDefault="005F7368" w:rsidP="00095DCB">
      <w:pPr>
        <w:pStyle w:val="af3"/>
      </w:pPr>
      <w:r>
        <w:rPr>
          <w:rFonts w:eastAsiaTheme="minorEastAsia" w:cstheme="minorBidi"/>
        </w:rPr>
        <w:tab/>
      </w:r>
      <m:oMath>
        <m:sSub>
          <m:sSubPr>
            <m:ctrlPr>
              <w:rPr>
                <w:rFonts w:ascii="Cambria Math" w:hAnsi="Cambria Math"/>
              </w:rPr>
            </m:ctrlPr>
          </m:sSubPr>
          <m:e>
            <m:r>
              <w:rPr>
                <w:rFonts w:ascii="Cambria Math" w:hAnsi="Cambria Math"/>
              </w:rPr>
              <m:t>θ</m:t>
            </m:r>
          </m:e>
          <m:sub>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num>
          <m:den>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m:t>
                </m:r>
              </m:e>
            </m:d>
          </m:den>
        </m:f>
      </m:oMath>
      <w:r w:rsidRPr="00C760A6">
        <w:tab/>
      </w:r>
    </w:p>
    <w:p w14:paraId="1BA7E336" w14:textId="6C5673B2" w:rsidR="003D6B78" w:rsidRPr="00C760A6" w:rsidRDefault="005F7368" w:rsidP="00095DCB">
      <w:pPr>
        <w:pStyle w:val="af3"/>
      </w:pPr>
      <w:r>
        <w:tab/>
      </w:r>
      <m:oMath>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num>
          <m:den>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]+1</m:t>
            </m:r>
          </m:den>
        </m:f>
      </m:oMath>
      <w:r w:rsidRPr="00C760A6">
        <w:tab/>
      </w:r>
      <w:r w:rsidRPr="00672193">
        <w:t>(21)</w:t>
      </w:r>
    </w:p>
    <w:p w14:paraId="12C4513B" w14:textId="65B49344" w:rsidR="003D6B78" w:rsidRPr="00C760A6" w:rsidRDefault="00000000" w:rsidP="00FB2C71">
      <w:pPr>
        <w:ind w:firstLine="0"/>
      </w:pPr>
      <w:r w:rsidRPr="00C760A6">
        <w:t>During the E-R adsorption process, nitro groups adsorb onto active sites and acquire H</w:t>
      </w:r>
      <w:r w:rsidR="001F6461" w:rsidRPr="00095DCB">
        <w:rPr>
          <w:vertAlign w:val="superscript"/>
        </w:rPr>
        <w:t>+</w:t>
      </w:r>
      <w:r w:rsidR="001F6461">
        <w:rPr>
          <w:rFonts w:hint="eastAsia"/>
        </w:rPr>
        <w:t xml:space="preserve"> </w:t>
      </w:r>
      <w:r w:rsidRPr="00C760A6">
        <w:t>from the electrolyte or the electrode-electrolyte interface. Therefore, the reaction rate can be expressed as follows:</w:t>
      </w:r>
    </w:p>
    <w:p w14:paraId="106D0A45" w14:textId="101F8046" w:rsidR="003D6B78" w:rsidRPr="00C760A6" w:rsidRDefault="005F7368" w:rsidP="00095DCB">
      <w:pPr>
        <w:pStyle w:val="af3"/>
      </w:pPr>
      <w:r>
        <w:rPr>
          <w:rFonts w:eastAsiaTheme="minorEastAsia" w:cstheme="minorBidi"/>
        </w:rPr>
        <w:tab/>
      </w:r>
      <m:oMath>
        <m:sSub>
          <m:sSubPr>
            <m:ctrlPr>
              <w:rPr>
                <w:rFonts w:ascii="Cambria Math" w:hAnsi="Cambria Math"/>
              </w:rPr>
            </m:ctrlPr>
          </m:sSubPr>
          <m:e>
            <m:r>
              <w:rPr>
                <w:rFonts w:ascii="Cambria Math" w:hAnsi="Cambria Math"/>
              </w:rPr>
              <m:t>r</m:t>
            </m:r>
          </m:e>
          <m:sub>
            <m:r>
              <w:rPr>
                <w:rFonts w:ascii="Cambria Math" w:hAnsi="Cambria Math"/>
              </w:rPr>
              <m:t>E</m:t>
            </m:r>
            <m:r>
              <m:rPr>
                <m:sty m:val="p"/>
              </m:rPr>
              <w:rPr>
                <w:rFonts w:ascii="Cambria Math" w:hAnsi="Cambria Math"/>
              </w:rPr>
              <m:t>-</m:t>
            </m:r>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N</m:t>
            </m:r>
            <m:sSubSup>
              <m:sSubSupPr>
                <m:ctrlPr>
                  <w:rPr>
                    <w:rFonts w:ascii="Cambria Math" w:hAnsi="Cambria Math"/>
                  </w:rPr>
                </m:ctrlPr>
              </m:sSubSupPr>
              <m:e>
                <m:r>
                  <w:rPr>
                    <w:rFonts w:ascii="Cambria Math" w:hAnsi="Cambria Math"/>
                  </w:rPr>
                  <m:t>O</m:t>
                </m:r>
              </m:e>
              <m:sub>
                <m:r>
                  <m:rPr>
                    <m:sty m:val="p"/>
                  </m:rPr>
                  <w:rPr>
                    <w:rFonts w:ascii="Cambria Math" w:hAnsi="Cambria Math"/>
                  </w:rPr>
                  <m:t>2</m:t>
                </m:r>
              </m:sub>
              <m:sup>
                <m:r>
                  <m:rPr>
                    <m:sty m:val="p"/>
                  </m:rPr>
                  <w:rPr>
                    <w:rFonts w:ascii="Cambria Math" w:hAnsi="Cambria Math"/>
                  </w:rPr>
                  <m:t>*</m:t>
                </m:r>
              </m:sup>
            </m:sSubSup>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e>
        </m:d>
      </m:oMath>
      <w:r w:rsidRPr="00C760A6">
        <w:tab/>
      </w:r>
    </w:p>
    <w:p w14:paraId="422FB7A2" w14:textId="78032A20" w:rsidR="003D6B78" w:rsidRPr="00C760A6" w:rsidRDefault="005F7368" w:rsidP="00095DCB">
      <w:pPr>
        <w:pStyle w:val="af3"/>
      </w:pPr>
      <w:r>
        <w:tab/>
      </w:r>
      <m:oMath>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3</m:t>
                </m:r>
              </m:sub>
            </m:sSub>
            <m:sSup>
              <m:sSupPr>
                <m:ctrlPr>
                  <w:rPr>
                    <w:rFonts w:ascii="Cambria Math" w:hAnsi="Cambria Math"/>
                  </w:rPr>
                </m:ctrlPr>
              </m:sSupPr>
              <m:e>
                <m:r>
                  <w:rPr>
                    <w:rFonts w:ascii="Cambria Math" w:hAnsi="Cambria Math"/>
                  </w:rPr>
                  <m:t>O</m:t>
                </m:r>
              </m:e>
              <m:sup>
                <m:r>
                  <m:rPr>
                    <m:sty m:val="p"/>
                  </m:rPr>
                  <w:rPr>
                    <w:rFonts w:ascii="Cambria Math" w:hAnsi="Cambria Math"/>
                  </w:rPr>
                  <m:t>+</m:t>
                </m:r>
              </m:sup>
            </m:sSup>
            <m:r>
              <m:rPr>
                <m:sty m:val="p"/>
              </m:rPr>
              <w:rPr>
                <w:rFonts w:ascii="Cambria Math" w:hAnsi="Cambria Math"/>
              </w:rPr>
              <m:t>]</m:t>
            </m:r>
          </m:num>
          <m:den>
            <m:sSub>
              <m:sSubPr>
                <m:ctrlPr>
                  <w:rPr>
                    <w:rFonts w:ascii="Cambria Math" w:hAnsi="Cambria Math"/>
                  </w:rPr>
                </m:ctrlPr>
              </m:sSubPr>
              <m:e>
                <m:r>
                  <w:rPr>
                    <w:rFonts w:ascii="Cambria Math" w:hAnsi="Cambria Math"/>
                  </w:rPr>
                  <m:t>K</m:t>
                </m:r>
              </m:e>
              <m:sub>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sub>
            </m:sSub>
            <m:r>
              <m:rPr>
                <m:sty m:val="p"/>
              </m:rPr>
              <w:rPr>
                <w:rFonts w:ascii="Cambria Math" w:hAnsi="Cambria Math"/>
              </w:rPr>
              <m:t>×[</m:t>
            </m:r>
            <m:r>
              <w:rPr>
                <w:rFonts w:ascii="Cambria Math" w:hAnsi="Cambria Math"/>
              </w:rPr>
              <m:t>N</m:t>
            </m:r>
            <m:sSub>
              <m:sSubPr>
                <m:ctrlPr>
                  <w:rPr>
                    <w:rFonts w:ascii="Cambria Math" w:hAnsi="Cambria Math"/>
                  </w:rPr>
                </m:ctrlPr>
              </m:sSubPr>
              <m:e>
                <m:r>
                  <w:rPr>
                    <w:rFonts w:ascii="Cambria Math" w:hAnsi="Cambria Math"/>
                  </w:rPr>
                  <m:t>O</m:t>
                </m:r>
              </m:e>
              <m:sub>
                <m:r>
                  <m:rPr>
                    <m:sty m:val="p"/>
                  </m:rPr>
                  <w:rPr>
                    <w:rFonts w:ascii="Cambria Math" w:hAnsi="Cambria Math"/>
                  </w:rPr>
                  <m:t>2</m:t>
                </m:r>
              </m:sub>
            </m:sSub>
            <m:r>
              <m:rPr>
                <m:sty m:val="p"/>
              </m:rPr>
              <w:rPr>
                <w:rFonts w:ascii="Cambria Math" w:hAnsi="Cambria Math"/>
              </w:rPr>
              <m:t>]+1</m:t>
            </m:r>
          </m:den>
        </m:f>
      </m:oMath>
      <w:r w:rsidRPr="00C760A6">
        <w:tab/>
      </w:r>
      <w:r w:rsidRPr="00672193">
        <w:t>(22)</w:t>
      </w:r>
    </w:p>
    <w:p w14:paraId="3BA48F07" w14:textId="77777777" w:rsidR="003D6B78" w:rsidRPr="00C760A6" w:rsidRDefault="00000000" w:rsidP="00FB2C71">
      <w:pPr>
        <w:spacing w:beforeLines="100" w:before="360"/>
        <w:ind w:firstLine="0"/>
      </w:pPr>
      <w:r w:rsidRPr="00C760A6">
        <w:t>Equation 22 demonstrates that the overall reaction rate displays a characteristic saturation behavior with respect to nitrobenzene concentration: it increases initially as the concentration rises from zero, then approaches a plateau at higher concentrations. This observed trend is consistent with the corresponding variation in the reaction order of nitrobenzene with concentration.</w:t>
      </w:r>
    </w:p>
    <w:p w14:paraId="330FDCD4" w14:textId="77777777" w:rsidR="003D6B78" w:rsidRPr="00C760A6" w:rsidRDefault="003D6B78" w:rsidP="00095DCB">
      <w:pPr>
        <w:ind w:firstLine="720"/>
      </w:pPr>
    </w:p>
    <w:p w14:paraId="02979054" w14:textId="77777777" w:rsidR="003D6B78" w:rsidRPr="00C760A6" w:rsidRDefault="00000000" w:rsidP="00095DCB">
      <w:pPr>
        <w:ind w:firstLine="720"/>
      </w:pPr>
      <w:r w:rsidRPr="00C760A6">
        <w:br w:type="page"/>
      </w:r>
    </w:p>
    <w:p w14:paraId="504AE663" w14:textId="4987B091" w:rsidR="00095DCB" w:rsidRDefault="00000000" w:rsidP="00B344E2">
      <w:pPr>
        <w:pStyle w:val="1"/>
      </w:pPr>
      <w:r w:rsidRPr="00672193">
        <w:lastRenderedPageBreak/>
        <w:t>Supplementary Figures</w:t>
      </w:r>
    </w:p>
    <w:p w14:paraId="01FBCC10" w14:textId="77777777" w:rsidR="00095DCB" w:rsidRPr="00095DCB" w:rsidRDefault="00095DCB" w:rsidP="00095DCB"/>
    <w:p w14:paraId="64788839" w14:textId="77777777" w:rsidR="003D6B78" w:rsidRPr="00C760A6" w:rsidRDefault="00000000" w:rsidP="005F7368">
      <w:pPr>
        <w:ind w:firstLine="720"/>
        <w:jc w:val="center"/>
      </w:pPr>
      <w:r w:rsidRPr="00C760A6">
        <w:rPr>
          <w:noProof/>
        </w:rPr>
        <w:drawing>
          <wp:inline distT="0" distB="0" distL="0" distR="0" wp14:anchorId="34F4D7DC" wp14:editId="3009E784">
            <wp:extent cx="4398010" cy="2122805"/>
            <wp:effectExtent l="0" t="0" r="2540" b="0"/>
            <wp:docPr id="2961792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79264" name="图片 6"/>
                    <pic:cNvPicPr>
                      <a:picLocks noChangeAspect="1" noChangeArrowheads="1"/>
                    </pic:cNvPicPr>
                  </pic:nvPicPr>
                  <pic:blipFill>
                    <a:blip r:embed="rId9">
                      <a:extLst>
                        <a:ext uri="{28A0092B-C50C-407E-A947-70E740481C1C}">
                          <a14:useLocalDpi xmlns:a14="http://schemas.microsoft.com/office/drawing/2010/main" val="0"/>
                        </a:ext>
                      </a:extLst>
                    </a:blip>
                    <a:srcRect l="3161" t="4725"/>
                    <a:stretch>
                      <a:fillRect/>
                    </a:stretch>
                  </pic:blipFill>
                  <pic:spPr>
                    <a:xfrm>
                      <a:off x="0" y="0"/>
                      <a:ext cx="4413042" cy="2130230"/>
                    </a:xfrm>
                    <a:prstGeom prst="rect">
                      <a:avLst/>
                    </a:prstGeom>
                    <a:noFill/>
                    <a:ln>
                      <a:noFill/>
                    </a:ln>
                  </pic:spPr>
                </pic:pic>
              </a:graphicData>
            </a:graphic>
          </wp:inline>
        </w:drawing>
      </w:r>
    </w:p>
    <w:p w14:paraId="7F0EE199" w14:textId="79A127E9" w:rsidR="003D6B78" w:rsidRDefault="00000000" w:rsidP="005F7368">
      <w:pPr>
        <w:jc w:val="center"/>
      </w:pPr>
      <w:r w:rsidRPr="00C760A6">
        <w:rPr>
          <w:b/>
          <w:bCs/>
        </w:rPr>
        <w:t>Figure S</w:t>
      </w:r>
      <w:r w:rsidR="00526184" w:rsidRPr="00672193">
        <w:rPr>
          <w:b/>
          <w:bCs/>
        </w:rPr>
        <w:t>1</w:t>
      </w:r>
      <w:r w:rsidRPr="00C760A6">
        <w:rPr>
          <w:b/>
          <w:bCs/>
        </w:rPr>
        <w:t>.</w:t>
      </w:r>
      <w:r w:rsidRPr="00C760A6">
        <w:t xml:space="preserve"> TEM images of P</w:t>
      </w:r>
      <w:r w:rsidRPr="00672193">
        <w:t>t/CNTs-C18</w:t>
      </w:r>
      <w:r w:rsidRPr="00C760A6">
        <w:t>.</w:t>
      </w:r>
    </w:p>
    <w:p w14:paraId="18A29250" w14:textId="77777777" w:rsidR="005F7368" w:rsidRDefault="005F7368" w:rsidP="005F7368">
      <w:pPr>
        <w:jc w:val="center"/>
      </w:pPr>
    </w:p>
    <w:p w14:paraId="6E773FAF" w14:textId="77777777" w:rsidR="005F7368" w:rsidRPr="00C760A6" w:rsidRDefault="005F7368" w:rsidP="005F7368">
      <w:pPr>
        <w:jc w:val="center"/>
      </w:pPr>
    </w:p>
    <w:p w14:paraId="78F1A430" w14:textId="7476D10A" w:rsidR="003D6B78" w:rsidRPr="00C760A6" w:rsidRDefault="003D6B78" w:rsidP="005F7368">
      <w:pPr>
        <w:ind w:firstLine="720"/>
        <w:jc w:val="center"/>
      </w:pPr>
    </w:p>
    <w:p w14:paraId="6934BE25" w14:textId="77777777" w:rsidR="003D6B78" w:rsidRPr="00C760A6" w:rsidRDefault="00000000" w:rsidP="005F7368">
      <w:pPr>
        <w:ind w:firstLine="720"/>
        <w:jc w:val="center"/>
      </w:pPr>
      <w:r w:rsidRPr="00C760A6">
        <w:rPr>
          <w:noProof/>
        </w:rPr>
        <w:drawing>
          <wp:inline distT="0" distB="0" distL="0" distR="0" wp14:anchorId="07038F91" wp14:editId="2EA774A2">
            <wp:extent cx="3240405" cy="3275330"/>
            <wp:effectExtent l="0" t="0" r="0" b="1270"/>
            <wp:docPr id="1644000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00250" name="图片 1"/>
                    <pic:cNvPicPr>
                      <a:picLocks noChangeAspect="1" noChangeArrowheads="1"/>
                    </pic:cNvPicPr>
                  </pic:nvPicPr>
                  <pic:blipFill>
                    <a:blip r:embed="rId10">
                      <a:extLst>
                        <a:ext uri="{28A0092B-C50C-407E-A947-70E740481C1C}">
                          <a14:useLocalDpi xmlns:a14="http://schemas.microsoft.com/office/drawing/2010/main" val="0"/>
                        </a:ext>
                      </a:extLst>
                    </a:blip>
                    <a:srcRect l="3041" t="351" r="2327"/>
                    <a:stretch>
                      <a:fillRect/>
                    </a:stretch>
                  </pic:blipFill>
                  <pic:spPr>
                    <a:xfrm>
                      <a:off x="0" y="0"/>
                      <a:ext cx="3250827" cy="3286429"/>
                    </a:xfrm>
                    <a:prstGeom prst="rect">
                      <a:avLst/>
                    </a:prstGeom>
                    <a:noFill/>
                    <a:ln>
                      <a:noFill/>
                    </a:ln>
                  </pic:spPr>
                </pic:pic>
              </a:graphicData>
            </a:graphic>
          </wp:inline>
        </w:drawing>
      </w:r>
    </w:p>
    <w:p w14:paraId="276F8342" w14:textId="4A58DF0C" w:rsidR="003D6B78" w:rsidRPr="00C760A6" w:rsidRDefault="00000000" w:rsidP="005F7368">
      <w:pPr>
        <w:ind w:firstLine="720"/>
        <w:jc w:val="center"/>
        <w:rPr>
          <w:szCs w:val="24"/>
        </w:rPr>
      </w:pPr>
      <w:r w:rsidRPr="00660F80">
        <w:rPr>
          <w:rStyle w:val="30"/>
          <w:rFonts w:cs="Times New Roman"/>
          <w:b/>
          <w:bCs/>
        </w:rPr>
        <w:t>Figure S</w:t>
      </w:r>
      <w:r w:rsidR="00526184" w:rsidRPr="00660F80">
        <w:rPr>
          <w:rStyle w:val="30"/>
          <w:rFonts w:cs="Times New Roman"/>
          <w:b/>
          <w:bCs/>
        </w:rPr>
        <w:t>2</w:t>
      </w:r>
      <w:r w:rsidRPr="00660F80">
        <w:rPr>
          <w:rStyle w:val="30"/>
          <w:rFonts w:cs="Times New Roman"/>
          <w:b/>
          <w:bCs/>
        </w:rPr>
        <w:t>.</w:t>
      </w:r>
      <w:r w:rsidRPr="00660F80">
        <w:rPr>
          <w:rStyle w:val="30"/>
          <w:rFonts w:cs="Times New Roman"/>
        </w:rPr>
        <w:t xml:space="preserve"> </w:t>
      </w:r>
      <w:r w:rsidRPr="00C760A6">
        <w:rPr>
          <w:rFonts w:eastAsiaTheme="majorEastAsia"/>
          <w:color w:val="000000" w:themeColor="text1"/>
          <w:szCs w:val="28"/>
        </w:rPr>
        <w:t>TEM image</w:t>
      </w:r>
      <w:r w:rsidR="0001780D">
        <w:rPr>
          <w:rFonts w:eastAsiaTheme="majorEastAsia" w:hint="eastAsia"/>
          <w:color w:val="000000" w:themeColor="text1"/>
          <w:szCs w:val="28"/>
        </w:rPr>
        <w:t>s</w:t>
      </w:r>
      <w:r w:rsidRPr="00C760A6">
        <w:rPr>
          <w:rFonts w:eastAsiaTheme="majorEastAsia"/>
          <w:color w:val="000000" w:themeColor="text1"/>
          <w:szCs w:val="28"/>
        </w:rPr>
        <w:t xml:space="preserve"> and the corresponding EDS</w:t>
      </w:r>
      <w:r w:rsidR="0001780D">
        <w:rPr>
          <w:rFonts w:eastAsiaTheme="majorEastAsia" w:hint="eastAsia"/>
          <w:color w:val="000000" w:themeColor="text1"/>
          <w:szCs w:val="28"/>
        </w:rPr>
        <w:t xml:space="preserve"> mapping of</w:t>
      </w:r>
      <w:r w:rsidRPr="00C760A6">
        <w:rPr>
          <w:rFonts w:eastAsiaTheme="majorEastAsia"/>
          <w:color w:val="000000" w:themeColor="text1"/>
          <w:szCs w:val="28"/>
        </w:rPr>
        <w:t xml:space="preserve"> Pt/CNTs-AT.</w:t>
      </w:r>
    </w:p>
    <w:p w14:paraId="62A83858" w14:textId="38B4116B" w:rsidR="0037706E" w:rsidRDefault="00000000" w:rsidP="0037706E">
      <w:pPr>
        <w:ind w:firstLine="0"/>
        <w:jc w:val="center"/>
        <w:rPr>
          <w:szCs w:val="24"/>
        </w:rPr>
      </w:pPr>
      <w:r w:rsidRPr="00C760A6">
        <w:rPr>
          <w:szCs w:val="24"/>
        </w:rPr>
        <w:br w:type="page"/>
      </w:r>
      <w:r w:rsidR="0001270E" w:rsidRPr="0001270E">
        <w:rPr>
          <w:noProof/>
        </w:rPr>
        <w:lastRenderedPageBreak/>
        <w:drawing>
          <wp:inline distT="0" distB="0" distL="0" distR="0" wp14:anchorId="353A197F" wp14:editId="6F223769">
            <wp:extent cx="3096264" cy="2534817"/>
            <wp:effectExtent l="0" t="0" r="0" b="0"/>
            <wp:docPr id="1772457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7638" cy="2544129"/>
                    </a:xfrm>
                    <a:prstGeom prst="rect">
                      <a:avLst/>
                    </a:prstGeom>
                    <a:noFill/>
                    <a:ln>
                      <a:noFill/>
                    </a:ln>
                  </pic:spPr>
                </pic:pic>
              </a:graphicData>
            </a:graphic>
          </wp:inline>
        </w:drawing>
      </w:r>
    </w:p>
    <w:p w14:paraId="12E6D4F8" w14:textId="685475F1" w:rsidR="003D6B78" w:rsidRDefault="00000000" w:rsidP="005F7368">
      <w:pPr>
        <w:jc w:val="center"/>
      </w:pPr>
      <w:r w:rsidRPr="00672193">
        <w:rPr>
          <w:rStyle w:val="30"/>
          <w:rFonts w:cs="Times New Roman"/>
          <w:b/>
          <w:bCs/>
        </w:rPr>
        <w:t>Figure S</w:t>
      </w:r>
      <w:r w:rsidR="00526184" w:rsidRPr="00672193">
        <w:rPr>
          <w:rStyle w:val="30"/>
          <w:rFonts w:cs="Times New Roman"/>
          <w:b/>
          <w:bCs/>
        </w:rPr>
        <w:t>3</w:t>
      </w:r>
      <w:r w:rsidRPr="00672193">
        <w:rPr>
          <w:rStyle w:val="30"/>
          <w:rFonts w:cs="Times New Roman"/>
          <w:b/>
          <w:bCs/>
        </w:rPr>
        <w:t xml:space="preserve">. </w:t>
      </w:r>
      <w:r w:rsidRPr="00C760A6">
        <w:t>XPS surveys of Pt/CNT</w:t>
      </w:r>
      <w:r w:rsidRPr="00672193">
        <w:t>s</w:t>
      </w:r>
      <w:r w:rsidRPr="00C760A6">
        <w:t>-AT and Pt/CNT</w:t>
      </w:r>
      <w:r w:rsidRPr="00672193">
        <w:t>s</w:t>
      </w:r>
      <w:r w:rsidRPr="00C760A6">
        <w:t>-C18.</w:t>
      </w:r>
    </w:p>
    <w:p w14:paraId="6A93E5C1" w14:textId="1E012DFA" w:rsidR="001419FB" w:rsidRPr="00C760A6" w:rsidRDefault="001419FB" w:rsidP="005F7368">
      <w:pPr>
        <w:jc w:val="center"/>
      </w:pPr>
    </w:p>
    <w:p w14:paraId="3C84F26E" w14:textId="77777777" w:rsidR="003D6B78" w:rsidRDefault="003D6B78" w:rsidP="005F7368">
      <w:pPr>
        <w:ind w:firstLine="720"/>
        <w:rPr>
          <w:szCs w:val="24"/>
        </w:rPr>
      </w:pPr>
    </w:p>
    <w:p w14:paraId="5355329D" w14:textId="293D03E6" w:rsidR="003D6B78" w:rsidRPr="00C760A6" w:rsidRDefault="00FB19EC" w:rsidP="00C37795">
      <w:pPr>
        <w:ind w:firstLine="0"/>
        <w:jc w:val="center"/>
      </w:pPr>
      <w:r w:rsidRPr="00FB19EC">
        <w:rPr>
          <w:noProof/>
        </w:rPr>
        <w:drawing>
          <wp:inline distT="0" distB="0" distL="0" distR="0" wp14:anchorId="25CD614E" wp14:editId="4CF281BD">
            <wp:extent cx="4219932" cy="3684947"/>
            <wp:effectExtent l="0" t="0" r="9525" b="0"/>
            <wp:docPr id="1501978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6170" cy="3690394"/>
                    </a:xfrm>
                    <a:prstGeom prst="rect">
                      <a:avLst/>
                    </a:prstGeom>
                    <a:noFill/>
                    <a:ln>
                      <a:noFill/>
                    </a:ln>
                  </pic:spPr>
                </pic:pic>
              </a:graphicData>
            </a:graphic>
          </wp:inline>
        </w:drawing>
      </w:r>
    </w:p>
    <w:p w14:paraId="763C9806" w14:textId="26B97F26" w:rsidR="003D6B78" w:rsidRPr="00C760A6" w:rsidRDefault="00000000" w:rsidP="003B5953">
      <w:pPr>
        <w:ind w:firstLine="0"/>
        <w:rPr>
          <w:rFonts w:eastAsiaTheme="majorEastAsia"/>
          <w:color w:val="000000" w:themeColor="text1"/>
          <w:szCs w:val="28"/>
        </w:rPr>
      </w:pPr>
      <w:r w:rsidRPr="00660F80">
        <w:rPr>
          <w:rStyle w:val="30"/>
          <w:rFonts w:cs="Times New Roman"/>
          <w:b/>
          <w:bCs/>
        </w:rPr>
        <w:t>Figure S</w:t>
      </w:r>
      <w:r w:rsidR="00526184" w:rsidRPr="00660F80">
        <w:rPr>
          <w:rStyle w:val="30"/>
          <w:rFonts w:cs="Times New Roman"/>
          <w:b/>
          <w:bCs/>
        </w:rPr>
        <w:t>4</w:t>
      </w:r>
      <w:r w:rsidRPr="00660F80">
        <w:rPr>
          <w:rStyle w:val="30"/>
          <w:rFonts w:cs="Times New Roman"/>
          <w:b/>
          <w:bCs/>
        </w:rPr>
        <w:t xml:space="preserve">. </w:t>
      </w:r>
      <w:r w:rsidRPr="00C760A6">
        <w:rPr>
          <w:rFonts w:eastAsiaTheme="majorEastAsia"/>
          <w:color w:val="000000" w:themeColor="text1"/>
          <w:szCs w:val="28"/>
        </w:rPr>
        <w:t xml:space="preserve">(a) </w:t>
      </w:r>
      <w:r w:rsidR="0001780D">
        <w:rPr>
          <w:rFonts w:eastAsiaTheme="majorEastAsia" w:hint="eastAsia"/>
          <w:color w:val="000000" w:themeColor="text1"/>
          <w:szCs w:val="28"/>
        </w:rPr>
        <w:t>A</w:t>
      </w:r>
      <w:r w:rsidRPr="00C760A6">
        <w:rPr>
          <w:rFonts w:eastAsiaTheme="majorEastAsia"/>
          <w:color w:val="000000" w:themeColor="text1"/>
          <w:szCs w:val="28"/>
        </w:rPr>
        <w:t>ppearance of the four catalysts before and after emulsification</w:t>
      </w:r>
      <w:r w:rsidR="0001780D">
        <w:rPr>
          <w:rFonts w:eastAsiaTheme="majorEastAsia" w:hint="eastAsia"/>
          <w:color w:val="000000" w:themeColor="text1"/>
          <w:szCs w:val="28"/>
        </w:rPr>
        <w:t xml:space="preserve">, </w:t>
      </w:r>
      <w:r w:rsidRPr="00C760A6">
        <w:rPr>
          <w:rFonts w:eastAsiaTheme="majorEastAsia"/>
          <w:color w:val="000000" w:themeColor="text1"/>
          <w:szCs w:val="28"/>
        </w:rPr>
        <w:t>from left to right: Pt/CNTs-AT, Pt/CNTs-C8, Pt/CNTs,</w:t>
      </w:r>
      <w:r w:rsidR="0001780D">
        <w:rPr>
          <w:rFonts w:eastAsiaTheme="majorEastAsia" w:hint="eastAsia"/>
          <w:color w:val="000000" w:themeColor="text1"/>
          <w:szCs w:val="28"/>
        </w:rPr>
        <w:t xml:space="preserve"> and </w:t>
      </w:r>
      <w:r w:rsidRPr="00C760A6">
        <w:rPr>
          <w:rFonts w:eastAsiaTheme="majorEastAsia"/>
          <w:color w:val="000000" w:themeColor="text1"/>
          <w:szCs w:val="28"/>
        </w:rPr>
        <w:t>Pt/CNTs-C18.</w:t>
      </w:r>
      <w:r w:rsidR="0001780D">
        <w:rPr>
          <w:rFonts w:eastAsiaTheme="majorEastAsia" w:hint="eastAsia"/>
          <w:color w:val="000000" w:themeColor="text1"/>
          <w:szCs w:val="28"/>
        </w:rPr>
        <w:t xml:space="preserve"> (b) S</w:t>
      </w:r>
      <w:r w:rsidRPr="00C760A6">
        <w:rPr>
          <w:rFonts w:eastAsiaTheme="majorEastAsia"/>
          <w:color w:val="000000" w:themeColor="text1"/>
          <w:szCs w:val="28"/>
        </w:rPr>
        <w:t>tability evaluation of the four Pickering emulsions.</w:t>
      </w:r>
    </w:p>
    <w:p w14:paraId="0DA11385" w14:textId="19790BAA" w:rsidR="003D6B78" w:rsidRPr="00C760A6" w:rsidRDefault="00C37795" w:rsidP="00C37795">
      <w:pPr>
        <w:ind w:firstLine="0"/>
        <w:jc w:val="center"/>
      </w:pPr>
      <w:r w:rsidRPr="00C37795">
        <w:rPr>
          <w:noProof/>
        </w:rPr>
        <w:lastRenderedPageBreak/>
        <w:drawing>
          <wp:inline distT="0" distB="0" distL="0" distR="0" wp14:anchorId="4C3C0B0A" wp14:editId="73179E62">
            <wp:extent cx="3878010" cy="3717181"/>
            <wp:effectExtent l="0" t="0" r="0" b="0"/>
            <wp:docPr id="8803107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3757" cy="3722690"/>
                    </a:xfrm>
                    <a:prstGeom prst="rect">
                      <a:avLst/>
                    </a:prstGeom>
                    <a:noFill/>
                    <a:ln>
                      <a:noFill/>
                    </a:ln>
                  </pic:spPr>
                </pic:pic>
              </a:graphicData>
            </a:graphic>
          </wp:inline>
        </w:drawing>
      </w:r>
    </w:p>
    <w:p w14:paraId="77769A2C" w14:textId="02EE213E" w:rsidR="003D6B78" w:rsidRDefault="00000000" w:rsidP="00A7690B">
      <w:pPr>
        <w:ind w:firstLine="0"/>
      </w:pPr>
      <w:r w:rsidRPr="00660F80">
        <w:rPr>
          <w:rStyle w:val="30"/>
          <w:rFonts w:cs="Times New Roman"/>
          <w:b/>
          <w:bCs/>
        </w:rPr>
        <w:t>Figure S</w:t>
      </w:r>
      <w:r w:rsidR="00526184" w:rsidRPr="00660F80">
        <w:rPr>
          <w:rStyle w:val="30"/>
          <w:rFonts w:cs="Times New Roman"/>
          <w:b/>
          <w:bCs/>
        </w:rPr>
        <w:t>5</w:t>
      </w:r>
      <w:r w:rsidRPr="00660F80">
        <w:rPr>
          <w:rStyle w:val="30"/>
          <w:rFonts w:cs="Times New Roman"/>
          <w:b/>
          <w:bCs/>
        </w:rPr>
        <w:t>.</w:t>
      </w:r>
      <w:r w:rsidRPr="00660F80">
        <w:rPr>
          <w:rStyle w:val="30"/>
          <w:rFonts w:cs="Times New Roman"/>
        </w:rPr>
        <w:t xml:space="preserve"> </w:t>
      </w:r>
      <w:r w:rsidRPr="00C760A6">
        <w:t xml:space="preserve">Optical microscope image of </w:t>
      </w:r>
      <w:r w:rsidR="00672193">
        <w:rPr>
          <w:rFonts w:hint="eastAsia"/>
        </w:rPr>
        <w:t xml:space="preserve">(a) </w:t>
      </w:r>
      <w:r w:rsidRPr="00C760A6">
        <w:t>Pt/CNTs-AT PE</w:t>
      </w:r>
      <w:r w:rsidR="00672193">
        <w:rPr>
          <w:rFonts w:hint="eastAsia"/>
        </w:rPr>
        <w:t xml:space="preserve">, (c) </w:t>
      </w:r>
      <w:r w:rsidR="00672193" w:rsidRPr="00C760A6">
        <w:t>Pt/CNT</w:t>
      </w:r>
      <w:r w:rsidR="00672193" w:rsidRPr="00113B57">
        <w:t>s</w:t>
      </w:r>
      <w:r w:rsidR="00672193" w:rsidRPr="00C760A6">
        <w:t>-</w:t>
      </w:r>
      <w:r w:rsidR="00672193" w:rsidRPr="00113B57">
        <w:t>C18</w:t>
      </w:r>
      <w:r w:rsidR="00672193" w:rsidRPr="00C760A6">
        <w:t xml:space="preserve"> </w:t>
      </w:r>
      <w:r w:rsidR="00672193" w:rsidRPr="00113B57">
        <w:t>PE</w:t>
      </w:r>
      <w:r w:rsidR="00672193">
        <w:rPr>
          <w:rFonts w:hint="eastAsia"/>
        </w:rPr>
        <w:t>, and (b, d) corresponding droplet</w:t>
      </w:r>
      <w:r w:rsidR="00672193" w:rsidRPr="00C760A6">
        <w:t xml:space="preserve"> </w:t>
      </w:r>
      <w:r w:rsidRPr="00C760A6">
        <w:t>size distribution</w:t>
      </w:r>
      <w:r w:rsidR="00672193">
        <w:rPr>
          <w:rFonts w:hint="eastAsia"/>
        </w:rPr>
        <w:t xml:space="preserve">. </w:t>
      </w:r>
      <w:r w:rsidRPr="00C760A6">
        <w:t xml:space="preserve"> </w:t>
      </w:r>
    </w:p>
    <w:p w14:paraId="6152BFF5" w14:textId="77777777" w:rsidR="003B5953" w:rsidRDefault="003B5953" w:rsidP="00A7690B">
      <w:pPr>
        <w:ind w:firstLine="0"/>
      </w:pPr>
    </w:p>
    <w:p w14:paraId="3B9F93F7" w14:textId="77777777" w:rsidR="00C37795" w:rsidRDefault="00C37795" w:rsidP="00A7690B">
      <w:pPr>
        <w:ind w:firstLine="0"/>
      </w:pPr>
    </w:p>
    <w:p w14:paraId="7B6C0DF5" w14:textId="08069036" w:rsidR="003B5953" w:rsidRPr="00A7690B" w:rsidRDefault="00C37795" w:rsidP="003B5953">
      <w:pPr>
        <w:ind w:firstLine="0"/>
        <w:jc w:val="center"/>
      </w:pPr>
      <w:r w:rsidRPr="00C37795">
        <w:rPr>
          <w:noProof/>
        </w:rPr>
        <w:drawing>
          <wp:inline distT="0" distB="0" distL="0" distR="0" wp14:anchorId="403D639A" wp14:editId="5AE85203">
            <wp:extent cx="4781009" cy="2482027"/>
            <wp:effectExtent l="0" t="0" r="635" b="0"/>
            <wp:docPr id="11874588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8492" cy="2485912"/>
                    </a:xfrm>
                    <a:prstGeom prst="rect">
                      <a:avLst/>
                    </a:prstGeom>
                    <a:noFill/>
                    <a:ln>
                      <a:noFill/>
                    </a:ln>
                  </pic:spPr>
                </pic:pic>
              </a:graphicData>
            </a:graphic>
          </wp:inline>
        </w:drawing>
      </w:r>
    </w:p>
    <w:p w14:paraId="14EA4BD6" w14:textId="3B8438C1" w:rsidR="003B5953" w:rsidRPr="00C760A6" w:rsidRDefault="003B5953" w:rsidP="00A7690B">
      <w:pPr>
        <w:ind w:firstLine="0"/>
      </w:pPr>
      <w:r w:rsidRPr="00672193">
        <w:rPr>
          <w:rStyle w:val="30"/>
          <w:rFonts w:cs="Times New Roman"/>
          <w:b/>
          <w:bCs/>
        </w:rPr>
        <w:t>Figure S6.</w:t>
      </w:r>
      <w:r w:rsidRPr="00672193">
        <w:rPr>
          <w:rStyle w:val="30"/>
          <w:rFonts w:cs="Times New Roman"/>
        </w:rPr>
        <w:t xml:space="preserve"> </w:t>
      </w:r>
      <w:r w:rsidRPr="00C760A6">
        <w:t>SEM images of four Pickering emulsions after freeze-drying: (a) Pt/CNT</w:t>
      </w:r>
      <w:r w:rsidRPr="00672193">
        <w:t>s</w:t>
      </w:r>
      <w:r w:rsidRPr="00C760A6">
        <w:t>-AT PE</w:t>
      </w:r>
      <w:r>
        <w:rPr>
          <w:rFonts w:hint="eastAsia"/>
        </w:rPr>
        <w:t>,</w:t>
      </w:r>
      <w:r w:rsidRPr="00C760A6">
        <w:t xml:space="preserve"> (b) Pt/CNT</w:t>
      </w:r>
      <w:r w:rsidRPr="00672193">
        <w:t>s</w:t>
      </w:r>
      <w:r w:rsidRPr="00C760A6">
        <w:t>-C8 PE</w:t>
      </w:r>
      <w:r>
        <w:rPr>
          <w:rFonts w:hint="eastAsia"/>
        </w:rPr>
        <w:t>,</w:t>
      </w:r>
      <w:r w:rsidRPr="00C760A6">
        <w:t xml:space="preserve"> (c) Pt/CNTs PE</w:t>
      </w:r>
      <w:r>
        <w:rPr>
          <w:rFonts w:hint="eastAsia"/>
        </w:rPr>
        <w:t>, and</w:t>
      </w:r>
      <w:r w:rsidRPr="00C760A6">
        <w:t xml:space="preserve"> (d) Pt/CNT</w:t>
      </w:r>
      <w:r w:rsidRPr="00672193">
        <w:t>s</w:t>
      </w:r>
      <w:r w:rsidRPr="00C760A6">
        <w:t>-C18 PE</w:t>
      </w:r>
      <w:r>
        <w:rPr>
          <w:rFonts w:hint="eastAsia"/>
        </w:rPr>
        <w:t>.</w:t>
      </w:r>
    </w:p>
    <w:p w14:paraId="1C05876B" w14:textId="7B3B9A56" w:rsidR="003D6B78" w:rsidRPr="00C760A6" w:rsidRDefault="00C37795" w:rsidP="00A7690B">
      <w:pPr>
        <w:ind w:firstLine="0"/>
        <w:jc w:val="center"/>
      </w:pPr>
      <w:r w:rsidRPr="00C37795">
        <w:rPr>
          <w:noProof/>
        </w:rPr>
        <w:lastRenderedPageBreak/>
        <w:drawing>
          <wp:inline distT="0" distB="0" distL="0" distR="0" wp14:anchorId="02A667B2" wp14:editId="223E6382">
            <wp:extent cx="2556083" cy="2259141"/>
            <wp:effectExtent l="0" t="0" r="0" b="8255"/>
            <wp:docPr id="14134259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5993" cy="2276738"/>
                    </a:xfrm>
                    <a:prstGeom prst="rect">
                      <a:avLst/>
                    </a:prstGeom>
                    <a:noFill/>
                    <a:ln>
                      <a:noFill/>
                    </a:ln>
                  </pic:spPr>
                </pic:pic>
              </a:graphicData>
            </a:graphic>
          </wp:inline>
        </w:drawing>
      </w:r>
    </w:p>
    <w:p w14:paraId="1B28CA0C" w14:textId="11057CEE" w:rsidR="003D6B78" w:rsidRDefault="00000000" w:rsidP="00A7690B">
      <w:pPr>
        <w:jc w:val="center"/>
      </w:pPr>
      <w:r w:rsidRPr="00672193">
        <w:rPr>
          <w:rStyle w:val="30"/>
          <w:rFonts w:cs="Times New Roman"/>
          <w:b/>
          <w:bCs/>
        </w:rPr>
        <w:t>Figure S</w:t>
      </w:r>
      <w:r w:rsidR="00BF120E" w:rsidRPr="00672193">
        <w:rPr>
          <w:rStyle w:val="30"/>
          <w:rFonts w:cs="Times New Roman"/>
          <w:b/>
          <w:bCs/>
        </w:rPr>
        <w:t>7</w:t>
      </w:r>
      <w:r w:rsidRPr="00672193">
        <w:rPr>
          <w:rStyle w:val="30"/>
          <w:rFonts w:cs="Times New Roman"/>
          <w:b/>
          <w:bCs/>
        </w:rPr>
        <w:t xml:space="preserve">. </w:t>
      </w:r>
      <w:r w:rsidRPr="00C760A6">
        <w:t xml:space="preserve">SEM image of </w:t>
      </w:r>
      <w:r w:rsidR="00672193">
        <w:rPr>
          <w:rFonts w:hint="eastAsia"/>
        </w:rPr>
        <w:t xml:space="preserve">the surface of a </w:t>
      </w:r>
      <w:r w:rsidR="00672193" w:rsidRPr="00672193">
        <w:t>solidified</w:t>
      </w:r>
      <w:r w:rsidR="00672193">
        <w:rPr>
          <w:rFonts w:hint="eastAsia"/>
        </w:rPr>
        <w:t xml:space="preserve"> </w:t>
      </w:r>
      <w:r w:rsidRPr="00C760A6">
        <w:t>Pickering emulsion</w:t>
      </w:r>
      <w:r w:rsidR="00672193">
        <w:rPr>
          <w:rFonts w:hint="eastAsia"/>
        </w:rPr>
        <w:t xml:space="preserve"> droplet.</w:t>
      </w:r>
    </w:p>
    <w:p w14:paraId="0C761323" w14:textId="77777777" w:rsidR="00A7690B" w:rsidRDefault="00A7690B" w:rsidP="00A7690B">
      <w:pPr>
        <w:jc w:val="center"/>
      </w:pPr>
    </w:p>
    <w:p w14:paraId="175A50D3" w14:textId="77777777" w:rsidR="00A7690B" w:rsidRDefault="00A7690B" w:rsidP="00A7690B">
      <w:pPr>
        <w:ind w:firstLine="720"/>
      </w:pPr>
    </w:p>
    <w:p w14:paraId="56FCCA89" w14:textId="77777777" w:rsidR="00A7690B" w:rsidRDefault="00A7690B" w:rsidP="00A7690B">
      <w:pPr>
        <w:ind w:firstLine="720"/>
      </w:pPr>
    </w:p>
    <w:p w14:paraId="3E53AAD1" w14:textId="61A28226" w:rsidR="003D6B78" w:rsidRPr="00C760A6" w:rsidRDefault="006003AE" w:rsidP="00A7690B">
      <w:pPr>
        <w:ind w:firstLine="0"/>
        <w:jc w:val="center"/>
      </w:pPr>
      <w:r w:rsidRPr="006003AE">
        <w:rPr>
          <w:noProof/>
        </w:rPr>
        <w:drawing>
          <wp:inline distT="0" distB="0" distL="0" distR="0" wp14:anchorId="254594E7" wp14:editId="686ABB5B">
            <wp:extent cx="4109085" cy="1985010"/>
            <wp:effectExtent l="0" t="0" r="5715" b="0"/>
            <wp:docPr id="2554419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09085" cy="1985010"/>
                    </a:xfrm>
                    <a:prstGeom prst="rect">
                      <a:avLst/>
                    </a:prstGeom>
                    <a:noFill/>
                    <a:ln>
                      <a:noFill/>
                    </a:ln>
                  </pic:spPr>
                </pic:pic>
              </a:graphicData>
            </a:graphic>
          </wp:inline>
        </w:drawing>
      </w:r>
    </w:p>
    <w:p w14:paraId="2ACCEFA4" w14:textId="5D5AEAC0" w:rsidR="003D6B78" w:rsidRPr="00C760A6" w:rsidRDefault="00000000" w:rsidP="00A7690B">
      <w:pPr>
        <w:ind w:firstLine="0"/>
      </w:pPr>
      <w:r w:rsidRPr="00672193">
        <w:rPr>
          <w:rStyle w:val="30"/>
          <w:rFonts w:cs="Times New Roman"/>
          <w:b/>
          <w:bCs/>
        </w:rPr>
        <w:t>Figure S</w:t>
      </w:r>
      <w:r w:rsidR="00BF120E" w:rsidRPr="00672193">
        <w:rPr>
          <w:rStyle w:val="30"/>
          <w:rFonts w:cs="Times New Roman"/>
          <w:b/>
          <w:bCs/>
        </w:rPr>
        <w:t>8</w:t>
      </w:r>
      <w:r w:rsidRPr="00672193">
        <w:rPr>
          <w:rStyle w:val="30"/>
          <w:rFonts w:cs="Times New Roman"/>
          <w:b/>
          <w:bCs/>
        </w:rPr>
        <w:t xml:space="preserve">. </w:t>
      </w:r>
      <w:r w:rsidRPr="00C760A6">
        <w:rPr>
          <w:rStyle w:val="30"/>
          <w:rFonts w:cs="Times New Roman"/>
        </w:rPr>
        <w:t>Fluorescence confocal microscopy images</w:t>
      </w:r>
      <w:r w:rsidRPr="00672193">
        <w:rPr>
          <w:rStyle w:val="30"/>
          <w:rFonts w:cs="Times New Roman"/>
        </w:rPr>
        <w:t xml:space="preserve"> </w:t>
      </w:r>
      <w:r w:rsidR="00672193">
        <w:rPr>
          <w:rStyle w:val="30"/>
          <w:rFonts w:cs="Times New Roman" w:hint="eastAsia"/>
        </w:rPr>
        <w:t xml:space="preserve">of </w:t>
      </w:r>
      <w:r w:rsidRPr="00672193">
        <w:rPr>
          <w:rStyle w:val="30"/>
          <w:rFonts w:cs="Times New Roman"/>
        </w:rPr>
        <w:t xml:space="preserve">(a) </w:t>
      </w:r>
      <w:r w:rsidRPr="00C760A6">
        <w:t>Cy3-labeled CNT</w:t>
      </w:r>
      <w:r w:rsidRPr="00672193">
        <w:t>s</w:t>
      </w:r>
      <w:r w:rsidRPr="00C760A6">
        <w:t>-AT</w:t>
      </w:r>
      <w:r w:rsidR="00672193">
        <w:rPr>
          <w:rFonts w:hint="eastAsia"/>
        </w:rPr>
        <w:t xml:space="preserve"> </w:t>
      </w:r>
      <w:r w:rsidR="00672193">
        <w:t>stabilized</w:t>
      </w:r>
      <w:r w:rsidRPr="00C760A6">
        <w:t xml:space="preserve"> emulsion</w:t>
      </w:r>
      <w:r w:rsidR="00672193">
        <w:rPr>
          <w:rFonts w:hint="eastAsia"/>
        </w:rPr>
        <w:t xml:space="preserve"> droplet and</w:t>
      </w:r>
      <w:r w:rsidRPr="00672193">
        <w:t xml:space="preserve"> (b)</w:t>
      </w:r>
      <w:r w:rsidRPr="00C760A6">
        <w:rPr>
          <w:rFonts w:eastAsia="Times New Roman"/>
          <w:kern w:val="0"/>
          <w:szCs w:val="24"/>
        </w:rPr>
        <w:t xml:space="preserve"> </w:t>
      </w:r>
      <w:r w:rsidRPr="00C760A6">
        <w:t>Cy</w:t>
      </w:r>
      <w:r w:rsidRPr="00672193">
        <w:t>5</w:t>
      </w:r>
      <w:r w:rsidRPr="00C760A6">
        <w:t>-labeled CNT</w:t>
      </w:r>
      <w:r w:rsidRPr="00672193">
        <w:t>s</w:t>
      </w:r>
      <w:r w:rsidRPr="00C760A6">
        <w:t>-</w:t>
      </w:r>
      <w:r w:rsidRPr="00672193">
        <w:t>C18</w:t>
      </w:r>
      <w:r w:rsidR="00672193">
        <w:rPr>
          <w:rFonts w:hint="eastAsia"/>
        </w:rPr>
        <w:t xml:space="preserve"> </w:t>
      </w:r>
      <w:r w:rsidR="00672193">
        <w:t>stabilized</w:t>
      </w:r>
      <w:r w:rsidR="00672193" w:rsidRPr="00C760A6">
        <w:t xml:space="preserve"> emulsion</w:t>
      </w:r>
      <w:r w:rsidR="00672193">
        <w:rPr>
          <w:rFonts w:hint="eastAsia"/>
        </w:rPr>
        <w:t xml:space="preserve"> droplet.</w:t>
      </w:r>
      <w:r w:rsidR="00672193" w:rsidRPr="00C760A6" w:rsidDel="00672193">
        <w:t xml:space="preserve"> </w:t>
      </w:r>
      <w:r w:rsidRPr="00C760A6">
        <w:t xml:space="preserve"> </w:t>
      </w:r>
    </w:p>
    <w:p w14:paraId="131226A5" w14:textId="77777777" w:rsidR="003D6B78" w:rsidRPr="00C760A6" w:rsidRDefault="003D6B78" w:rsidP="00A7690B">
      <w:pPr>
        <w:ind w:firstLine="720"/>
      </w:pPr>
    </w:p>
    <w:p w14:paraId="3A614708" w14:textId="77777777" w:rsidR="003D6B78" w:rsidRPr="00C760A6" w:rsidRDefault="00000000" w:rsidP="00095DCB">
      <w:pPr>
        <w:ind w:firstLine="720"/>
      </w:pPr>
      <w:r w:rsidRPr="00C760A6">
        <w:br w:type="page"/>
      </w:r>
    </w:p>
    <w:p w14:paraId="40EED57F" w14:textId="1B524E78" w:rsidR="003D6B78" w:rsidRPr="00C760A6" w:rsidRDefault="006003AE" w:rsidP="00A7690B">
      <w:pPr>
        <w:ind w:firstLine="0"/>
        <w:jc w:val="center"/>
      </w:pPr>
      <w:r w:rsidRPr="006003AE">
        <w:rPr>
          <w:noProof/>
        </w:rPr>
        <w:lastRenderedPageBreak/>
        <w:drawing>
          <wp:inline distT="0" distB="0" distL="0" distR="0" wp14:anchorId="1E7A6835" wp14:editId="23E4CB27">
            <wp:extent cx="4039870" cy="1985010"/>
            <wp:effectExtent l="0" t="0" r="0" b="0"/>
            <wp:docPr id="255953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9870" cy="1985010"/>
                    </a:xfrm>
                    <a:prstGeom prst="rect">
                      <a:avLst/>
                    </a:prstGeom>
                    <a:noFill/>
                    <a:ln>
                      <a:noFill/>
                    </a:ln>
                  </pic:spPr>
                </pic:pic>
              </a:graphicData>
            </a:graphic>
          </wp:inline>
        </w:drawing>
      </w:r>
    </w:p>
    <w:p w14:paraId="25814FF1" w14:textId="5929F4EF" w:rsidR="003D6B78" w:rsidRPr="00C760A6" w:rsidRDefault="00000000" w:rsidP="00A7690B">
      <w:pPr>
        <w:ind w:firstLine="0"/>
      </w:pPr>
      <w:r w:rsidRPr="00672193">
        <w:rPr>
          <w:rStyle w:val="30"/>
          <w:rFonts w:cs="Times New Roman"/>
          <w:b/>
          <w:bCs/>
        </w:rPr>
        <w:t>Figure S</w:t>
      </w:r>
      <w:r w:rsidR="00BF120E" w:rsidRPr="00672193">
        <w:rPr>
          <w:rStyle w:val="30"/>
          <w:rFonts w:cs="Times New Roman"/>
          <w:b/>
          <w:bCs/>
        </w:rPr>
        <w:t>9</w:t>
      </w:r>
      <w:r w:rsidRPr="00672193">
        <w:rPr>
          <w:rStyle w:val="30"/>
          <w:rFonts w:cs="Times New Roman"/>
          <w:b/>
          <w:bCs/>
        </w:rPr>
        <w:t xml:space="preserve">. </w:t>
      </w:r>
      <w:r w:rsidR="00672193" w:rsidRPr="00C760A6">
        <w:rPr>
          <w:rStyle w:val="30"/>
          <w:rFonts w:cs="Times New Roman"/>
        </w:rPr>
        <w:t>Fluorescence confocal microscopy images</w:t>
      </w:r>
      <w:r w:rsidRPr="00C760A6">
        <w:rPr>
          <w:rStyle w:val="30"/>
          <w:rFonts w:cs="Times New Roman"/>
        </w:rPr>
        <w:t xml:space="preserve"> of CNTs-AT </w:t>
      </w:r>
      <w:r w:rsidR="00C66006">
        <w:rPr>
          <w:rStyle w:val="30"/>
          <w:rFonts w:cs="Times New Roman" w:hint="eastAsia"/>
        </w:rPr>
        <w:t>s</w:t>
      </w:r>
      <w:r w:rsidRPr="00C760A6">
        <w:rPr>
          <w:rStyle w:val="30"/>
          <w:rFonts w:cs="Times New Roman"/>
        </w:rPr>
        <w:t xml:space="preserve">tabilized Pickering </w:t>
      </w:r>
      <w:r w:rsidR="00C66006">
        <w:rPr>
          <w:rStyle w:val="30"/>
          <w:rFonts w:cs="Times New Roman" w:hint="eastAsia"/>
        </w:rPr>
        <w:t>e</w:t>
      </w:r>
      <w:r w:rsidRPr="00C760A6">
        <w:rPr>
          <w:rStyle w:val="30"/>
          <w:rFonts w:cs="Times New Roman"/>
        </w:rPr>
        <w:t>mulsions</w:t>
      </w:r>
      <w:r w:rsidR="00C66006">
        <w:rPr>
          <w:rStyle w:val="30"/>
          <w:rFonts w:cs="Times New Roman" w:hint="eastAsia"/>
        </w:rPr>
        <w:t>, with</w:t>
      </w:r>
      <w:r w:rsidRPr="00C760A6">
        <w:rPr>
          <w:rStyle w:val="30"/>
          <w:rFonts w:cs="Times New Roman"/>
        </w:rPr>
        <w:t xml:space="preserve"> </w:t>
      </w:r>
      <w:r w:rsidR="00060220">
        <w:rPr>
          <w:rStyle w:val="30"/>
          <w:rFonts w:cs="Times New Roman" w:hint="eastAsia"/>
        </w:rPr>
        <w:t xml:space="preserve">(a) </w:t>
      </w:r>
      <w:r w:rsidRPr="00C760A6">
        <w:rPr>
          <w:rStyle w:val="30"/>
          <w:rFonts w:cs="Times New Roman"/>
        </w:rPr>
        <w:t xml:space="preserve">the aqueous phase stained </w:t>
      </w:r>
      <w:r w:rsidR="00C66006">
        <w:rPr>
          <w:rStyle w:val="30"/>
          <w:rFonts w:cs="Times New Roman" w:hint="eastAsia"/>
        </w:rPr>
        <w:t>by</w:t>
      </w:r>
      <w:r w:rsidRPr="00C760A6">
        <w:rPr>
          <w:rStyle w:val="30"/>
          <w:rFonts w:cs="Times New Roman"/>
        </w:rPr>
        <w:t xml:space="preserve"> FITC</w:t>
      </w:r>
      <w:r w:rsidR="00C66006">
        <w:rPr>
          <w:rStyle w:val="30"/>
          <w:rFonts w:cs="Times New Roman" w:hint="eastAsia"/>
        </w:rPr>
        <w:t xml:space="preserve"> and</w:t>
      </w:r>
      <w:r w:rsidR="00060220">
        <w:rPr>
          <w:rStyle w:val="30"/>
          <w:rFonts w:cs="Times New Roman" w:hint="eastAsia"/>
        </w:rPr>
        <w:t xml:space="preserve"> (b) </w:t>
      </w:r>
      <w:r w:rsidR="00060220" w:rsidRPr="00C760A6">
        <w:rPr>
          <w:rStyle w:val="30"/>
          <w:rFonts w:cs="Times New Roman"/>
        </w:rPr>
        <w:t xml:space="preserve">the oil phase stained </w:t>
      </w:r>
      <w:r w:rsidR="00C66006">
        <w:rPr>
          <w:rStyle w:val="30"/>
          <w:rFonts w:cs="Times New Roman" w:hint="eastAsia"/>
        </w:rPr>
        <w:t>by</w:t>
      </w:r>
      <w:r w:rsidR="00060220" w:rsidRPr="00C760A6">
        <w:rPr>
          <w:rStyle w:val="30"/>
          <w:rFonts w:cs="Times New Roman"/>
        </w:rPr>
        <w:t xml:space="preserve"> Nile Red.</w:t>
      </w:r>
      <w:r w:rsidR="00060220" w:rsidRPr="00672193">
        <w:rPr>
          <w:rStyle w:val="30"/>
          <w:rFonts w:cs="Times New Roman"/>
        </w:rPr>
        <w:t xml:space="preserve"> </w:t>
      </w:r>
    </w:p>
    <w:p w14:paraId="512E7B97" w14:textId="77777777" w:rsidR="00BA6C4B" w:rsidRDefault="00BA6C4B" w:rsidP="00BA6C4B">
      <w:pPr>
        <w:ind w:firstLine="0"/>
      </w:pPr>
    </w:p>
    <w:p w14:paraId="0FEA1287" w14:textId="77777777" w:rsidR="00BA6C4B" w:rsidRDefault="00BA6C4B" w:rsidP="00BA6C4B">
      <w:pPr>
        <w:ind w:firstLine="0"/>
      </w:pPr>
    </w:p>
    <w:p w14:paraId="159FD670" w14:textId="77777777" w:rsidR="00BA6C4B" w:rsidRDefault="00BA6C4B" w:rsidP="00BA6C4B">
      <w:pPr>
        <w:ind w:firstLine="0"/>
      </w:pPr>
    </w:p>
    <w:p w14:paraId="7EB340A1" w14:textId="2C22ADED" w:rsidR="00BA6C4B" w:rsidRPr="00C760A6" w:rsidRDefault="0001270E" w:rsidP="00BA6C4B">
      <w:pPr>
        <w:ind w:firstLine="0"/>
        <w:jc w:val="center"/>
      </w:pPr>
      <w:r w:rsidRPr="0001270E">
        <w:rPr>
          <w:noProof/>
        </w:rPr>
        <w:drawing>
          <wp:inline distT="0" distB="0" distL="0" distR="0" wp14:anchorId="5ABB5ED8" wp14:editId="46691D63">
            <wp:extent cx="3225600" cy="2689200"/>
            <wp:effectExtent l="0" t="0" r="0" b="0"/>
            <wp:docPr id="843207639"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5600" cy="2689200"/>
                    </a:xfrm>
                    <a:prstGeom prst="rect">
                      <a:avLst/>
                    </a:prstGeom>
                    <a:noFill/>
                    <a:ln>
                      <a:noFill/>
                    </a:ln>
                  </pic:spPr>
                </pic:pic>
              </a:graphicData>
            </a:graphic>
          </wp:inline>
        </w:drawing>
      </w:r>
    </w:p>
    <w:p w14:paraId="4317C92E" w14:textId="331F8789" w:rsidR="00C2465D" w:rsidRPr="00924B64" w:rsidRDefault="00000000" w:rsidP="00095DCB">
      <w:pPr>
        <w:ind w:firstLine="0"/>
        <w:jc w:val="center"/>
        <w:rPr>
          <w:rFonts w:eastAsiaTheme="majorEastAsia"/>
          <w:color w:val="000000" w:themeColor="text1"/>
          <w:szCs w:val="28"/>
        </w:rPr>
      </w:pPr>
      <w:r w:rsidRPr="00672193">
        <w:rPr>
          <w:rStyle w:val="30"/>
          <w:rFonts w:cs="Times New Roman"/>
          <w:b/>
          <w:bCs/>
        </w:rPr>
        <w:t>Figure S1</w:t>
      </w:r>
      <w:r w:rsidR="00C2465D" w:rsidRPr="00672193">
        <w:rPr>
          <w:rStyle w:val="30"/>
          <w:rFonts w:cs="Times New Roman"/>
          <w:b/>
          <w:bCs/>
        </w:rPr>
        <w:t>0</w:t>
      </w:r>
      <w:r w:rsidRPr="00672193">
        <w:rPr>
          <w:rStyle w:val="30"/>
          <w:rFonts w:cs="Times New Roman"/>
          <w:b/>
          <w:bCs/>
        </w:rPr>
        <w:t xml:space="preserve">. </w:t>
      </w:r>
      <w:r w:rsidR="000B298E" w:rsidRPr="000B298E">
        <w:t xml:space="preserve">Zeta-potential of </w:t>
      </w:r>
      <w:r w:rsidR="000B298E">
        <w:rPr>
          <w:rFonts w:hint="eastAsia"/>
        </w:rPr>
        <w:t>CNTs-AT</w:t>
      </w:r>
      <w:r w:rsidR="00924B64">
        <w:rPr>
          <w:rFonts w:hint="eastAsia"/>
        </w:rPr>
        <w:t xml:space="preserve"> at different pH.</w:t>
      </w:r>
    </w:p>
    <w:p w14:paraId="125D57DD" w14:textId="77777777" w:rsidR="00C2465D" w:rsidRPr="00C760A6" w:rsidRDefault="00C2465D" w:rsidP="00095DCB">
      <w:pPr>
        <w:ind w:firstLine="720"/>
      </w:pPr>
    </w:p>
    <w:p w14:paraId="08BD7676" w14:textId="77777777" w:rsidR="00C2465D" w:rsidRPr="00C760A6" w:rsidRDefault="00C2465D" w:rsidP="00095DCB">
      <w:pPr>
        <w:ind w:firstLine="720"/>
      </w:pPr>
    </w:p>
    <w:p w14:paraId="1F0F5C5A" w14:textId="777D4479" w:rsidR="003D6B78" w:rsidRPr="00C760A6" w:rsidRDefault="0001270E" w:rsidP="00095DCB">
      <w:pPr>
        <w:ind w:firstLine="0"/>
        <w:jc w:val="center"/>
      </w:pPr>
      <w:r w:rsidRPr="0001270E">
        <w:rPr>
          <w:noProof/>
        </w:rPr>
        <w:lastRenderedPageBreak/>
        <w:drawing>
          <wp:inline distT="0" distB="0" distL="0" distR="0" wp14:anchorId="0ACA53A3" wp14:editId="499949D0">
            <wp:extent cx="3124800" cy="2523600"/>
            <wp:effectExtent l="0" t="0" r="0" b="0"/>
            <wp:docPr id="546496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800" cy="2523600"/>
                    </a:xfrm>
                    <a:prstGeom prst="rect">
                      <a:avLst/>
                    </a:prstGeom>
                    <a:noFill/>
                    <a:ln>
                      <a:noFill/>
                    </a:ln>
                  </pic:spPr>
                </pic:pic>
              </a:graphicData>
            </a:graphic>
          </wp:inline>
        </w:drawing>
      </w:r>
    </w:p>
    <w:p w14:paraId="2B56A47D" w14:textId="492E08DC" w:rsidR="003D6B78" w:rsidRDefault="00000000" w:rsidP="00BA6C4B">
      <w:pPr>
        <w:ind w:firstLine="0"/>
        <w:jc w:val="center"/>
      </w:pPr>
      <w:r w:rsidRPr="00672193">
        <w:rPr>
          <w:rStyle w:val="30"/>
          <w:rFonts w:cs="Times New Roman"/>
          <w:b/>
          <w:bCs/>
        </w:rPr>
        <w:t>Figure S1</w:t>
      </w:r>
      <w:r w:rsidR="00843CBD" w:rsidRPr="00672193">
        <w:rPr>
          <w:rStyle w:val="30"/>
          <w:rFonts w:cs="Times New Roman"/>
          <w:b/>
          <w:bCs/>
        </w:rPr>
        <w:t>1</w:t>
      </w:r>
      <w:r w:rsidRPr="00672193">
        <w:rPr>
          <w:rStyle w:val="30"/>
          <w:rFonts w:cs="Times New Roman"/>
          <w:b/>
          <w:bCs/>
        </w:rPr>
        <w:t xml:space="preserve">. </w:t>
      </w:r>
      <w:r w:rsidR="00924B64" w:rsidRPr="00924B64">
        <w:t>Faradaic efficienc</w:t>
      </w:r>
      <w:r w:rsidR="00924B64">
        <w:rPr>
          <w:rFonts w:hint="eastAsia"/>
        </w:rPr>
        <w:t>ies</w:t>
      </w:r>
      <w:r w:rsidR="00B6328F">
        <w:rPr>
          <w:rFonts w:hint="eastAsia"/>
        </w:rPr>
        <w:t xml:space="preserve"> </w:t>
      </w:r>
      <w:r w:rsidR="00924B64">
        <w:rPr>
          <w:rFonts w:hint="eastAsia"/>
        </w:rPr>
        <w:t xml:space="preserve">of the four catalysts </w:t>
      </w:r>
      <w:r w:rsidR="00B6328F">
        <w:rPr>
          <w:rFonts w:hint="eastAsia"/>
        </w:rPr>
        <w:t>in</w:t>
      </w:r>
      <w:r w:rsidRPr="00C760A6">
        <w:t xml:space="preserve"> H-Cell</w:t>
      </w:r>
      <w:r w:rsidR="00B6328F">
        <w:rPr>
          <w:rFonts w:hint="eastAsia"/>
        </w:rPr>
        <w:t>.</w:t>
      </w:r>
    </w:p>
    <w:p w14:paraId="0637D3E1" w14:textId="77777777" w:rsidR="00BA6C4B" w:rsidRPr="00924B64" w:rsidRDefault="00BA6C4B" w:rsidP="00BA6C4B">
      <w:pPr>
        <w:jc w:val="center"/>
      </w:pPr>
    </w:p>
    <w:p w14:paraId="6607C749" w14:textId="77777777" w:rsidR="00BA6C4B" w:rsidRDefault="00BA6C4B" w:rsidP="00BA6C4B">
      <w:pPr>
        <w:jc w:val="center"/>
      </w:pPr>
    </w:p>
    <w:p w14:paraId="62F53FA7" w14:textId="77777777" w:rsidR="00BA6C4B" w:rsidRDefault="00BA6C4B" w:rsidP="00BA6C4B">
      <w:pPr>
        <w:ind w:firstLine="0"/>
      </w:pPr>
    </w:p>
    <w:p w14:paraId="331052A3" w14:textId="6D3987FF" w:rsidR="00BA6C4B" w:rsidRDefault="0001270E" w:rsidP="00BA6C4B">
      <w:pPr>
        <w:ind w:firstLine="0"/>
        <w:jc w:val="center"/>
      </w:pPr>
      <w:r w:rsidRPr="0001270E">
        <w:rPr>
          <w:noProof/>
        </w:rPr>
        <w:drawing>
          <wp:inline distT="0" distB="0" distL="0" distR="0" wp14:anchorId="1844A9FA" wp14:editId="18B18B27">
            <wp:extent cx="3135600" cy="2523600"/>
            <wp:effectExtent l="0" t="0" r="0" b="0"/>
            <wp:docPr id="328718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5600" cy="2523600"/>
                    </a:xfrm>
                    <a:prstGeom prst="rect">
                      <a:avLst/>
                    </a:prstGeom>
                    <a:noFill/>
                    <a:ln>
                      <a:noFill/>
                    </a:ln>
                  </pic:spPr>
                </pic:pic>
              </a:graphicData>
            </a:graphic>
          </wp:inline>
        </w:drawing>
      </w:r>
    </w:p>
    <w:p w14:paraId="1592176D" w14:textId="3C12CD5D" w:rsidR="00BA6C4B" w:rsidRDefault="00BA6C4B" w:rsidP="00BA6C4B">
      <w:pPr>
        <w:ind w:firstLine="0"/>
        <w:jc w:val="center"/>
      </w:pPr>
      <w:r w:rsidRPr="00672193">
        <w:rPr>
          <w:rStyle w:val="30"/>
          <w:rFonts w:cs="Times New Roman"/>
          <w:b/>
          <w:bCs/>
        </w:rPr>
        <w:t>Figure S1</w:t>
      </w:r>
      <w:r>
        <w:rPr>
          <w:rStyle w:val="30"/>
          <w:rFonts w:cs="Times New Roman" w:hint="eastAsia"/>
          <w:b/>
          <w:bCs/>
        </w:rPr>
        <w:t>2</w:t>
      </w:r>
      <w:r w:rsidRPr="00672193">
        <w:rPr>
          <w:rStyle w:val="30"/>
          <w:rFonts w:cs="Times New Roman"/>
          <w:b/>
          <w:bCs/>
        </w:rPr>
        <w:t xml:space="preserve">. </w:t>
      </w:r>
      <w:r w:rsidR="00924B64" w:rsidRPr="00924B64">
        <w:t>Faradaic efficienc</w:t>
      </w:r>
      <w:r w:rsidR="00924B64">
        <w:rPr>
          <w:rFonts w:hint="eastAsia"/>
        </w:rPr>
        <w:t>ies of the four catalysts</w:t>
      </w:r>
      <w:r>
        <w:rPr>
          <w:rFonts w:hint="eastAsia"/>
        </w:rPr>
        <w:t xml:space="preserve"> in</w:t>
      </w:r>
      <w:r w:rsidRPr="00C760A6">
        <w:t xml:space="preserve"> PEES</w:t>
      </w:r>
      <w:r>
        <w:rPr>
          <w:rFonts w:hint="eastAsia"/>
        </w:rPr>
        <w:t>.</w:t>
      </w:r>
    </w:p>
    <w:p w14:paraId="63A6EAFF" w14:textId="77777777" w:rsidR="00BA6C4B" w:rsidRPr="00924B64" w:rsidRDefault="00BA6C4B" w:rsidP="00BA6C4B">
      <w:pPr>
        <w:jc w:val="center"/>
      </w:pPr>
    </w:p>
    <w:p w14:paraId="10935488" w14:textId="77777777" w:rsidR="00843CBD" w:rsidRPr="00924B64" w:rsidRDefault="00843CBD" w:rsidP="00672193"/>
    <w:p w14:paraId="7F7D9148" w14:textId="3ED96C79" w:rsidR="003D6B78" w:rsidRPr="00C760A6" w:rsidRDefault="0001270E" w:rsidP="00DF4D15">
      <w:pPr>
        <w:ind w:firstLine="0"/>
        <w:jc w:val="center"/>
      </w:pPr>
      <w:r w:rsidRPr="0001270E">
        <w:rPr>
          <w:noProof/>
        </w:rPr>
        <w:lastRenderedPageBreak/>
        <w:drawing>
          <wp:inline distT="0" distB="0" distL="0" distR="0" wp14:anchorId="0EBA758E" wp14:editId="6E3421CB">
            <wp:extent cx="3672000" cy="3042000"/>
            <wp:effectExtent l="0" t="0" r="0" b="0"/>
            <wp:docPr id="6747328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2000" cy="3042000"/>
                    </a:xfrm>
                    <a:prstGeom prst="rect">
                      <a:avLst/>
                    </a:prstGeom>
                    <a:noFill/>
                    <a:ln>
                      <a:noFill/>
                    </a:ln>
                  </pic:spPr>
                </pic:pic>
              </a:graphicData>
            </a:graphic>
          </wp:inline>
        </w:drawing>
      </w:r>
    </w:p>
    <w:p w14:paraId="0F3B6EF8" w14:textId="7845F7DD" w:rsidR="003D6B78" w:rsidRPr="00C760A6" w:rsidRDefault="00000000" w:rsidP="00095DCB">
      <w:pPr>
        <w:ind w:firstLine="0"/>
        <w:jc w:val="center"/>
        <w:rPr>
          <w:rFonts w:eastAsiaTheme="majorEastAsia"/>
          <w:color w:val="000000" w:themeColor="text1"/>
          <w:szCs w:val="28"/>
        </w:rPr>
      </w:pPr>
      <w:r w:rsidRPr="00C760A6">
        <w:rPr>
          <w:rFonts w:eastAsiaTheme="majorEastAsia"/>
          <w:b/>
          <w:bCs/>
          <w:color w:val="000000" w:themeColor="text1"/>
          <w:szCs w:val="28"/>
        </w:rPr>
        <w:t>Figure S1</w:t>
      </w:r>
      <w:r w:rsidR="00C10389" w:rsidRPr="00660F80">
        <w:rPr>
          <w:rFonts w:eastAsiaTheme="majorEastAsia"/>
          <w:b/>
          <w:bCs/>
          <w:color w:val="000000" w:themeColor="text1"/>
          <w:szCs w:val="28"/>
        </w:rPr>
        <w:t>3</w:t>
      </w:r>
      <w:r w:rsidRPr="00C760A6">
        <w:rPr>
          <w:rFonts w:eastAsiaTheme="majorEastAsia"/>
          <w:b/>
          <w:bCs/>
          <w:color w:val="000000" w:themeColor="text1"/>
          <w:szCs w:val="28"/>
        </w:rPr>
        <w:t xml:space="preserve">. </w:t>
      </w:r>
      <w:r w:rsidR="00B6328F">
        <w:rPr>
          <w:rFonts w:eastAsiaTheme="majorEastAsia" w:hint="eastAsia"/>
          <w:color w:val="000000" w:themeColor="text1"/>
          <w:szCs w:val="28"/>
        </w:rPr>
        <w:t>P</w:t>
      </w:r>
      <w:r w:rsidRPr="00C760A6">
        <w:rPr>
          <w:rFonts w:eastAsiaTheme="majorEastAsia"/>
          <w:color w:val="000000" w:themeColor="text1"/>
          <w:szCs w:val="28"/>
        </w:rPr>
        <w:t xml:space="preserve">roduct selectivity </w:t>
      </w:r>
      <w:r w:rsidR="00924B64">
        <w:rPr>
          <w:rFonts w:eastAsiaTheme="majorEastAsia" w:hint="eastAsia"/>
          <w:color w:val="000000" w:themeColor="text1"/>
          <w:szCs w:val="28"/>
        </w:rPr>
        <w:t>under</w:t>
      </w:r>
      <w:r w:rsidR="00B6328F">
        <w:rPr>
          <w:rFonts w:eastAsiaTheme="majorEastAsia" w:hint="eastAsia"/>
          <w:color w:val="000000" w:themeColor="text1"/>
          <w:szCs w:val="28"/>
        </w:rPr>
        <w:t xml:space="preserve"> different </w:t>
      </w:r>
      <w:r w:rsidR="00924B64">
        <w:rPr>
          <w:rFonts w:eastAsiaTheme="majorEastAsia" w:hint="eastAsia"/>
          <w:color w:val="000000" w:themeColor="text1"/>
          <w:szCs w:val="28"/>
        </w:rPr>
        <w:t>reaction conditions</w:t>
      </w:r>
      <w:r w:rsidR="00B6328F">
        <w:rPr>
          <w:rFonts w:eastAsiaTheme="majorEastAsia" w:hint="eastAsia"/>
          <w:color w:val="000000" w:themeColor="text1"/>
          <w:szCs w:val="28"/>
        </w:rPr>
        <w:t>.</w:t>
      </w:r>
    </w:p>
    <w:p w14:paraId="761CE4A6" w14:textId="77777777" w:rsidR="003D6B78" w:rsidRDefault="003D6B78" w:rsidP="00DF4D15">
      <w:pPr>
        <w:ind w:firstLine="720"/>
        <w:rPr>
          <w:rFonts w:eastAsiaTheme="majorEastAsia"/>
          <w:b/>
          <w:bCs/>
          <w:color w:val="000000" w:themeColor="text1"/>
          <w:szCs w:val="28"/>
        </w:rPr>
      </w:pPr>
    </w:p>
    <w:p w14:paraId="44358470" w14:textId="77777777" w:rsidR="00DF4D15" w:rsidRDefault="00DF4D15" w:rsidP="00DF4D15">
      <w:pPr>
        <w:ind w:firstLine="720"/>
        <w:rPr>
          <w:rFonts w:eastAsiaTheme="majorEastAsia"/>
          <w:b/>
          <w:bCs/>
          <w:color w:val="000000" w:themeColor="text1"/>
          <w:szCs w:val="28"/>
        </w:rPr>
      </w:pPr>
    </w:p>
    <w:p w14:paraId="687D7E4C" w14:textId="77777777" w:rsidR="00DF4D15" w:rsidRPr="00C760A6" w:rsidRDefault="00DF4D15" w:rsidP="00095DCB">
      <w:pPr>
        <w:ind w:firstLine="720"/>
        <w:rPr>
          <w:rFonts w:eastAsiaTheme="majorEastAsia"/>
          <w:b/>
          <w:bCs/>
          <w:color w:val="000000" w:themeColor="text1"/>
          <w:szCs w:val="28"/>
        </w:rPr>
      </w:pPr>
    </w:p>
    <w:p w14:paraId="4477C934" w14:textId="398AA311" w:rsidR="003D6B78" w:rsidRPr="00C760A6" w:rsidRDefault="00FF2FCF" w:rsidP="00DF4D15">
      <w:pPr>
        <w:ind w:firstLine="0"/>
        <w:jc w:val="center"/>
      </w:pPr>
      <w:r w:rsidRPr="00FF2FCF">
        <w:rPr>
          <w:noProof/>
        </w:rPr>
        <w:drawing>
          <wp:inline distT="0" distB="0" distL="0" distR="0" wp14:anchorId="6AA4B8D6" wp14:editId="4913727C">
            <wp:extent cx="3371630" cy="2399029"/>
            <wp:effectExtent l="0" t="0" r="635" b="1905"/>
            <wp:docPr id="12391348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79242" cy="2404445"/>
                    </a:xfrm>
                    <a:prstGeom prst="rect">
                      <a:avLst/>
                    </a:prstGeom>
                    <a:noFill/>
                    <a:ln>
                      <a:noFill/>
                    </a:ln>
                  </pic:spPr>
                </pic:pic>
              </a:graphicData>
            </a:graphic>
          </wp:inline>
        </w:drawing>
      </w:r>
    </w:p>
    <w:p w14:paraId="53B04CCE" w14:textId="33C3A127" w:rsidR="003D6B78" w:rsidRPr="00C760A6" w:rsidRDefault="00000000" w:rsidP="00FF2FCF">
      <w:pPr>
        <w:ind w:firstLine="0"/>
      </w:pPr>
      <w:r w:rsidRPr="00672193">
        <w:rPr>
          <w:rStyle w:val="30"/>
          <w:rFonts w:cs="Times New Roman"/>
          <w:b/>
          <w:bCs/>
        </w:rPr>
        <w:t>Figure S1</w:t>
      </w:r>
      <w:r w:rsidR="00C10389" w:rsidRPr="00672193">
        <w:rPr>
          <w:rStyle w:val="30"/>
          <w:rFonts w:cs="Times New Roman"/>
          <w:b/>
          <w:bCs/>
        </w:rPr>
        <w:t>4</w:t>
      </w:r>
      <w:r w:rsidRPr="00672193">
        <w:rPr>
          <w:rStyle w:val="30"/>
          <w:rFonts w:cs="Times New Roman"/>
          <w:b/>
          <w:bCs/>
        </w:rPr>
        <w:t xml:space="preserve">. </w:t>
      </w:r>
      <w:bookmarkStart w:id="5" w:name="OLE_LINK1"/>
      <w:r w:rsidRPr="00C760A6">
        <w:t xml:space="preserve">Schematic </w:t>
      </w:r>
      <w:r w:rsidR="00B6328F">
        <w:rPr>
          <w:rFonts w:hint="eastAsia"/>
        </w:rPr>
        <w:t>illustration</w:t>
      </w:r>
      <w:r w:rsidR="00B6328F" w:rsidRPr="00C760A6">
        <w:t xml:space="preserve"> </w:t>
      </w:r>
      <w:r w:rsidRPr="00C760A6">
        <w:t xml:space="preserve">of </w:t>
      </w:r>
      <w:r w:rsidR="00B6328F">
        <w:rPr>
          <w:rFonts w:hint="eastAsia"/>
        </w:rPr>
        <w:t xml:space="preserve">two </w:t>
      </w:r>
      <w:r w:rsidR="00B6328F">
        <w:t>configurations</w:t>
      </w:r>
      <w:r w:rsidR="00B6328F">
        <w:rPr>
          <w:rFonts w:hint="eastAsia"/>
        </w:rPr>
        <w:t>.</w:t>
      </w:r>
      <w:r w:rsidRPr="00672193">
        <w:t xml:space="preserve"> (a) </w:t>
      </w:r>
      <w:r w:rsidRPr="00C760A6">
        <w:t>Pt/CNT</w:t>
      </w:r>
      <w:r w:rsidRPr="00672193">
        <w:t>s</w:t>
      </w:r>
      <w:r w:rsidRPr="00C760A6">
        <w:t xml:space="preserve">-AT catalyst coated onto </w:t>
      </w:r>
      <w:r w:rsidR="00B6328F">
        <w:rPr>
          <w:rFonts w:hint="eastAsia"/>
        </w:rPr>
        <w:t xml:space="preserve">the </w:t>
      </w:r>
      <w:r w:rsidRPr="00C760A6">
        <w:t xml:space="preserve">Ag </w:t>
      </w:r>
      <w:r w:rsidR="00B6328F">
        <w:rPr>
          <w:rFonts w:hint="eastAsia"/>
        </w:rPr>
        <w:t>current collector</w:t>
      </w:r>
      <w:r w:rsidRPr="00C760A6">
        <w:t xml:space="preserve">, with the cathode cell filled with </w:t>
      </w:r>
      <w:r w:rsidR="00B6328F">
        <w:rPr>
          <w:rFonts w:hint="eastAsia"/>
        </w:rPr>
        <w:t>inert</w:t>
      </w:r>
      <w:r w:rsidRPr="00C760A6">
        <w:t xml:space="preserve"> CNT</w:t>
      </w:r>
      <w:r w:rsidRPr="00672193">
        <w:t>s</w:t>
      </w:r>
      <w:r w:rsidRPr="00C760A6">
        <w:t>-AT</w:t>
      </w:r>
      <w:r w:rsidR="00C83B27">
        <w:rPr>
          <w:rFonts w:hint="eastAsia"/>
        </w:rPr>
        <w:t xml:space="preserve"> stabilized Pickering</w:t>
      </w:r>
      <w:r w:rsidRPr="00C760A6">
        <w:t xml:space="preserve"> emulsion</w:t>
      </w:r>
      <w:r w:rsidR="00B6328F">
        <w:rPr>
          <w:rFonts w:hint="eastAsia"/>
        </w:rPr>
        <w:t>s.</w:t>
      </w:r>
      <w:r w:rsidRPr="00672193">
        <w:t xml:space="preserve"> (b) </w:t>
      </w:r>
      <w:r w:rsidRPr="00C760A6">
        <w:t xml:space="preserve">The </w:t>
      </w:r>
      <w:r w:rsidR="00B6328F">
        <w:rPr>
          <w:rFonts w:hint="eastAsia"/>
        </w:rPr>
        <w:t xml:space="preserve">typical </w:t>
      </w:r>
      <w:r w:rsidR="00B6328F" w:rsidRPr="00C760A6">
        <w:t>Pt/CNT</w:t>
      </w:r>
      <w:r w:rsidR="00B6328F" w:rsidRPr="00672193">
        <w:t>s</w:t>
      </w:r>
      <w:r w:rsidR="00B6328F" w:rsidRPr="00C760A6">
        <w:t>-AT</w:t>
      </w:r>
      <w:r w:rsidR="00B6328F">
        <w:rPr>
          <w:rFonts w:hint="eastAsia"/>
        </w:rPr>
        <w:t xml:space="preserve"> PEES</w:t>
      </w:r>
      <w:r w:rsidRPr="00C760A6">
        <w:t>.</w:t>
      </w:r>
      <w:bookmarkEnd w:id="5"/>
    </w:p>
    <w:p w14:paraId="2D7F5F2B" w14:textId="4C69FB55" w:rsidR="003D6B78" w:rsidRPr="00C760A6" w:rsidRDefault="0001270E" w:rsidP="00095DCB">
      <w:pPr>
        <w:jc w:val="center"/>
      </w:pPr>
      <w:r w:rsidRPr="0001270E">
        <w:rPr>
          <w:noProof/>
        </w:rPr>
        <w:lastRenderedPageBreak/>
        <w:drawing>
          <wp:inline distT="0" distB="0" distL="0" distR="0" wp14:anchorId="66F83D45" wp14:editId="610165A6">
            <wp:extent cx="3124800" cy="2343600"/>
            <wp:effectExtent l="0" t="0" r="0" b="0"/>
            <wp:docPr id="9980328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24800" cy="2343600"/>
                    </a:xfrm>
                    <a:prstGeom prst="rect">
                      <a:avLst/>
                    </a:prstGeom>
                    <a:noFill/>
                    <a:ln>
                      <a:noFill/>
                    </a:ln>
                  </pic:spPr>
                </pic:pic>
              </a:graphicData>
            </a:graphic>
          </wp:inline>
        </w:drawing>
      </w:r>
    </w:p>
    <w:p w14:paraId="0A72B06B" w14:textId="5ED2C5EF" w:rsidR="003D6B78" w:rsidRDefault="00000000" w:rsidP="00DF4D15">
      <w:pPr>
        <w:jc w:val="center"/>
      </w:pPr>
      <w:r w:rsidRPr="00C760A6">
        <w:rPr>
          <w:b/>
          <w:bCs/>
        </w:rPr>
        <w:t xml:space="preserve">Figure </w:t>
      </w:r>
      <w:r w:rsidR="004D7E39" w:rsidRPr="00C760A6">
        <w:rPr>
          <w:b/>
          <w:bCs/>
        </w:rPr>
        <w:t>S15</w:t>
      </w:r>
      <w:r w:rsidRPr="00C760A6">
        <w:rPr>
          <w:b/>
          <w:bCs/>
        </w:rPr>
        <w:t>.</w:t>
      </w:r>
      <w:r w:rsidRPr="00C760A6">
        <w:t xml:space="preserve"> Faradaic efficiency </w:t>
      </w:r>
      <w:r w:rsidR="00B6328F">
        <w:rPr>
          <w:rFonts w:hint="eastAsia"/>
        </w:rPr>
        <w:t>of the two configurations.</w:t>
      </w:r>
    </w:p>
    <w:p w14:paraId="52C1D87B" w14:textId="77777777" w:rsidR="008874B4" w:rsidRDefault="008874B4" w:rsidP="008874B4">
      <w:pPr>
        <w:jc w:val="center"/>
      </w:pPr>
    </w:p>
    <w:p w14:paraId="5A3A3671" w14:textId="77777777" w:rsidR="008874B4" w:rsidRDefault="008874B4" w:rsidP="008874B4">
      <w:pPr>
        <w:jc w:val="center"/>
      </w:pPr>
    </w:p>
    <w:p w14:paraId="00BB1708" w14:textId="77777777" w:rsidR="008874B4" w:rsidRDefault="008874B4" w:rsidP="008874B4">
      <w:pPr>
        <w:jc w:val="center"/>
      </w:pPr>
    </w:p>
    <w:p w14:paraId="5C850EC1" w14:textId="0053891C" w:rsidR="008874B4" w:rsidRDefault="008874B4" w:rsidP="008874B4">
      <w:pPr>
        <w:jc w:val="center"/>
      </w:pPr>
    </w:p>
    <w:p w14:paraId="3EC883CF" w14:textId="704A5DE1" w:rsidR="00FF2FCF" w:rsidRDefault="0077568D" w:rsidP="008874B4">
      <w:pPr>
        <w:jc w:val="center"/>
      </w:pPr>
      <w:r w:rsidRPr="0077568D">
        <w:rPr>
          <w:noProof/>
        </w:rPr>
        <w:drawing>
          <wp:inline distT="0" distB="0" distL="0" distR="0" wp14:anchorId="770FBB29" wp14:editId="5FC97B66">
            <wp:extent cx="4269600" cy="1314000"/>
            <wp:effectExtent l="0" t="0" r="0" b="0"/>
            <wp:docPr id="14509685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69600" cy="1314000"/>
                    </a:xfrm>
                    <a:prstGeom prst="rect">
                      <a:avLst/>
                    </a:prstGeom>
                    <a:noFill/>
                    <a:ln>
                      <a:noFill/>
                    </a:ln>
                  </pic:spPr>
                </pic:pic>
              </a:graphicData>
            </a:graphic>
          </wp:inline>
        </w:drawing>
      </w:r>
    </w:p>
    <w:p w14:paraId="2A7F4E43" w14:textId="6904CA7E" w:rsidR="008874B4" w:rsidRDefault="008874B4" w:rsidP="008874B4">
      <w:pPr>
        <w:rPr>
          <w:rStyle w:val="30"/>
          <w:rFonts w:cs="Times New Roman"/>
        </w:rPr>
      </w:pPr>
      <w:r w:rsidRPr="00C760A6">
        <w:rPr>
          <w:rStyle w:val="30"/>
          <w:rFonts w:cs="Times New Roman"/>
          <w:b/>
          <w:bCs/>
        </w:rPr>
        <w:t>F</w:t>
      </w:r>
      <w:r w:rsidRPr="00660F80">
        <w:rPr>
          <w:rStyle w:val="30"/>
          <w:rFonts w:cs="Times New Roman"/>
          <w:b/>
          <w:bCs/>
        </w:rPr>
        <w:t xml:space="preserve">igure </w:t>
      </w:r>
      <w:r w:rsidR="0002729A">
        <w:rPr>
          <w:rStyle w:val="30"/>
          <w:rFonts w:cs="Times New Roman" w:hint="eastAsia"/>
          <w:b/>
          <w:bCs/>
        </w:rPr>
        <w:t>S</w:t>
      </w:r>
      <w:r w:rsidRPr="00660F80">
        <w:rPr>
          <w:rStyle w:val="30"/>
          <w:rFonts w:cs="Times New Roman"/>
          <w:b/>
          <w:bCs/>
        </w:rPr>
        <w:t>16</w:t>
      </w:r>
      <w:r>
        <w:rPr>
          <w:rStyle w:val="30"/>
          <w:rFonts w:cs="Times New Roman" w:hint="eastAsia"/>
          <w:b/>
          <w:bCs/>
        </w:rPr>
        <w:t xml:space="preserve">. </w:t>
      </w:r>
      <w:r w:rsidRPr="00C760A6">
        <w:rPr>
          <w:rStyle w:val="30"/>
          <w:rFonts w:cs="Times New Roman"/>
        </w:rPr>
        <w:t>Schematic illustration of the Raman spectroscopy experimental setup.</w:t>
      </w:r>
    </w:p>
    <w:p w14:paraId="3B75B4A0" w14:textId="77777777" w:rsidR="008874B4" w:rsidRPr="00C760A6" w:rsidRDefault="008874B4" w:rsidP="008874B4">
      <w:pPr>
        <w:jc w:val="center"/>
      </w:pPr>
    </w:p>
    <w:p w14:paraId="6CE6AA65" w14:textId="77777777" w:rsidR="003D6B78" w:rsidRPr="00C760A6" w:rsidRDefault="003D6B78" w:rsidP="00095DCB">
      <w:pPr>
        <w:ind w:firstLine="720"/>
      </w:pPr>
    </w:p>
    <w:p w14:paraId="6823E75D" w14:textId="77777777" w:rsidR="003D6B78" w:rsidRPr="00C760A6" w:rsidRDefault="003D6B78" w:rsidP="00095DCB">
      <w:pPr>
        <w:ind w:firstLine="720"/>
      </w:pPr>
    </w:p>
    <w:p w14:paraId="450CC986" w14:textId="2DA9E8E8" w:rsidR="003D6B78" w:rsidRPr="0001270E" w:rsidRDefault="00000000" w:rsidP="0001270E">
      <w:pPr>
        <w:ind w:firstLine="720"/>
        <w:rPr>
          <w:rStyle w:val="30"/>
          <w:rFonts w:eastAsiaTheme="minorEastAsia" w:cstheme="minorBidi"/>
          <w:color w:val="auto"/>
          <w:szCs w:val="22"/>
        </w:rPr>
      </w:pPr>
      <w:r w:rsidRPr="00C760A6">
        <w:br w:type="page"/>
      </w:r>
    </w:p>
    <w:p w14:paraId="69F84830" w14:textId="3EAA465B" w:rsidR="0001270E" w:rsidRPr="00C760A6" w:rsidRDefault="00FB19EC" w:rsidP="00B9711A">
      <w:pPr>
        <w:ind w:firstLine="0"/>
        <w:jc w:val="center"/>
        <w:rPr>
          <w:rStyle w:val="30"/>
          <w:rFonts w:cs="Times New Roman"/>
          <w:b/>
          <w:bCs/>
        </w:rPr>
      </w:pPr>
      <w:r w:rsidRPr="00FB19EC">
        <w:rPr>
          <w:noProof/>
        </w:rPr>
        <w:lastRenderedPageBreak/>
        <w:drawing>
          <wp:inline distT="0" distB="0" distL="0" distR="0" wp14:anchorId="06815E6C" wp14:editId="372599A2">
            <wp:extent cx="5274310" cy="4850765"/>
            <wp:effectExtent l="0" t="0" r="0" b="0"/>
            <wp:docPr id="14326735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4850765"/>
                    </a:xfrm>
                    <a:prstGeom prst="rect">
                      <a:avLst/>
                    </a:prstGeom>
                    <a:noFill/>
                    <a:ln>
                      <a:noFill/>
                    </a:ln>
                  </pic:spPr>
                </pic:pic>
              </a:graphicData>
            </a:graphic>
          </wp:inline>
        </w:drawing>
      </w:r>
    </w:p>
    <w:p w14:paraId="169BF9AA" w14:textId="2E860AF8" w:rsidR="003D6B78" w:rsidRPr="00C760A6" w:rsidRDefault="00000000" w:rsidP="00876746">
      <w:pPr>
        <w:spacing w:afterLines="100" w:after="360"/>
        <w:ind w:firstLine="0"/>
        <w:rPr>
          <w:rFonts w:eastAsiaTheme="majorEastAsia"/>
          <w:b/>
          <w:bCs/>
          <w:color w:val="000000" w:themeColor="text1"/>
          <w:szCs w:val="28"/>
        </w:rPr>
      </w:pPr>
      <w:r w:rsidRPr="00660F80">
        <w:rPr>
          <w:rStyle w:val="30"/>
          <w:rFonts w:cs="Times New Roman"/>
          <w:b/>
          <w:bCs/>
        </w:rPr>
        <w:t>Figure S</w:t>
      </w:r>
      <w:r w:rsidR="008F5BA6" w:rsidRPr="00660F80">
        <w:rPr>
          <w:rStyle w:val="30"/>
          <w:rFonts w:cs="Times New Roman"/>
          <w:b/>
          <w:bCs/>
        </w:rPr>
        <w:t>1</w:t>
      </w:r>
      <w:r w:rsidR="00712808">
        <w:rPr>
          <w:rStyle w:val="30"/>
          <w:rFonts w:cs="Times New Roman" w:hint="eastAsia"/>
          <w:b/>
          <w:bCs/>
        </w:rPr>
        <w:t>7</w:t>
      </w:r>
      <w:r w:rsidRPr="00660F80">
        <w:rPr>
          <w:rStyle w:val="30"/>
          <w:rFonts w:cs="Times New Roman"/>
          <w:b/>
          <w:bCs/>
        </w:rPr>
        <w:t>.</w:t>
      </w:r>
      <w:r w:rsidRPr="00660F80">
        <w:rPr>
          <w:rStyle w:val="30"/>
          <w:rFonts w:cs="Times New Roman"/>
          <w:bCs/>
        </w:rPr>
        <w:t xml:space="preserve"> </w:t>
      </w:r>
      <w:r w:rsidRPr="00FB19EC">
        <w:rPr>
          <w:rStyle w:val="30"/>
          <w:rFonts w:cs="Times New Roman"/>
          <w:color w:val="auto"/>
        </w:rPr>
        <w:t>(</w:t>
      </w:r>
      <w:r w:rsidR="008874B4" w:rsidRPr="00FB19EC">
        <w:rPr>
          <w:rStyle w:val="30"/>
          <w:rFonts w:cs="Times New Roman" w:hint="eastAsia"/>
          <w:color w:val="auto"/>
        </w:rPr>
        <w:t>a</w:t>
      </w:r>
      <w:r w:rsidRPr="00FB19EC">
        <w:rPr>
          <w:rStyle w:val="30"/>
          <w:rFonts w:cs="Times New Roman"/>
          <w:color w:val="auto"/>
        </w:rPr>
        <w:t>) Comparison of Raman signals from emulsions stabi</w:t>
      </w:r>
      <w:r w:rsidRPr="00C760A6">
        <w:rPr>
          <w:rStyle w:val="30"/>
          <w:rFonts w:cs="Times New Roman"/>
        </w:rPr>
        <w:t>lized by surfactants versus carbon nanotubes.</w:t>
      </w:r>
      <w:r w:rsidRPr="00660F80">
        <w:rPr>
          <w:rStyle w:val="30"/>
          <w:rFonts w:cs="Times New Roman"/>
        </w:rPr>
        <w:t xml:space="preserve"> </w:t>
      </w:r>
      <w:r w:rsidRPr="00C760A6">
        <w:rPr>
          <w:rStyle w:val="30"/>
          <w:rFonts w:cs="Times New Roman"/>
        </w:rPr>
        <w:t xml:space="preserve">Raman spectrum of the </w:t>
      </w:r>
      <w:r w:rsidR="00712808">
        <w:rPr>
          <w:rStyle w:val="30"/>
          <w:rFonts w:cs="Times New Roman" w:hint="eastAsia"/>
        </w:rPr>
        <w:t>(</w:t>
      </w:r>
      <w:r w:rsidR="008874B4">
        <w:rPr>
          <w:rStyle w:val="30"/>
          <w:rFonts w:cs="Times New Roman" w:hint="eastAsia"/>
        </w:rPr>
        <w:t>b</w:t>
      </w:r>
      <w:r w:rsidR="00712808">
        <w:rPr>
          <w:rStyle w:val="30"/>
          <w:rFonts w:cs="Times New Roman" w:hint="eastAsia"/>
        </w:rPr>
        <w:t xml:space="preserve">) </w:t>
      </w:r>
      <w:r w:rsidRPr="00C760A6">
        <w:rPr>
          <w:rStyle w:val="30"/>
          <w:rFonts w:cs="Times New Roman"/>
        </w:rPr>
        <w:t>Pt/CNTs-AT PEES</w:t>
      </w:r>
      <w:r w:rsidR="00712808">
        <w:rPr>
          <w:rStyle w:val="30"/>
          <w:rFonts w:cs="Times New Roman" w:hint="eastAsia"/>
        </w:rPr>
        <w:t xml:space="preserve"> and </w:t>
      </w:r>
      <w:r w:rsidRPr="00C760A6">
        <w:rPr>
          <w:rStyle w:val="30"/>
          <w:rFonts w:cs="Times New Roman"/>
        </w:rPr>
        <w:t>(</w:t>
      </w:r>
      <w:r w:rsidR="008874B4">
        <w:rPr>
          <w:rStyle w:val="30"/>
          <w:rFonts w:cs="Times New Roman" w:hint="eastAsia"/>
        </w:rPr>
        <w:t>c</w:t>
      </w:r>
      <w:r w:rsidRPr="00C760A6">
        <w:rPr>
          <w:rStyle w:val="30"/>
          <w:rFonts w:cs="Times New Roman"/>
        </w:rPr>
        <w:t>) Pt/CNTs-C18 PEES.</w:t>
      </w:r>
    </w:p>
    <w:p w14:paraId="16CA9DCE" w14:textId="77777777" w:rsidR="00712808" w:rsidRPr="00712808" w:rsidRDefault="00712808" w:rsidP="00876746">
      <w:pPr>
        <w:spacing w:afterLines="100" w:after="360"/>
        <w:ind w:firstLine="0"/>
      </w:pPr>
      <w:r w:rsidRPr="00712808">
        <w:t>When the laser spot is focused on droplets adjacent to the quartz vessel wall, the detected Raman signal consists of three distinct components: the aqueous-phase signal derived from the inter-droplet gaps, the interfacial signal originating from the vicinity of carbon nanotubes, and the cyclohexane signal transmitted through the carbon nanotube network.</w:t>
      </w:r>
    </w:p>
    <w:p w14:paraId="77BD7371" w14:textId="0FACFFAA" w:rsidR="000B5185" w:rsidRPr="00C760A6" w:rsidRDefault="000B5185" w:rsidP="00876746">
      <w:pPr>
        <w:spacing w:afterLines="100" w:after="360"/>
        <w:ind w:firstLine="0"/>
      </w:pPr>
      <w:r w:rsidRPr="000B5185">
        <w:t xml:space="preserve">As </w:t>
      </w:r>
      <w:r w:rsidR="00D1151F">
        <w:rPr>
          <w:rFonts w:hint="eastAsia"/>
        </w:rPr>
        <w:t>shown</w:t>
      </w:r>
      <w:r w:rsidRPr="000B5185">
        <w:t xml:space="preserve"> in Figure S17a, the emulsion stabilized by CTAB exhibits a markedly different cyclohexane Raman intensity relative to CNT-stabilized emulsions. This </w:t>
      </w:r>
      <w:r w:rsidRPr="000B5185">
        <w:lastRenderedPageBreak/>
        <w:t xml:space="preserve">disparity stems from the strong laser absorption and significant light scattering induced by the dense carbon nanotube network. In contrast, CTAB displays negligible light absorption at the oil-water interface, </w:t>
      </w:r>
      <w:r>
        <w:rPr>
          <w:rFonts w:hint="eastAsia"/>
        </w:rPr>
        <w:t>therefore</w:t>
      </w:r>
      <w:r w:rsidRPr="000B5185">
        <w:t xml:space="preserve"> yield</w:t>
      </w:r>
      <w:r>
        <w:rPr>
          <w:rFonts w:hint="eastAsia"/>
        </w:rPr>
        <w:t>ing</w:t>
      </w:r>
      <w:r w:rsidRPr="000B5185">
        <w:t xml:space="preserve"> a more intense cyclohexane Raman signal.</w:t>
      </w:r>
    </w:p>
    <w:p w14:paraId="24A51895" w14:textId="784E5AB7" w:rsidR="001C1DF8" w:rsidRDefault="00714499" w:rsidP="00876746">
      <w:pPr>
        <w:spacing w:afterLines="100" w:after="360"/>
        <w:ind w:firstLine="0"/>
        <w:rPr>
          <w:rFonts w:eastAsiaTheme="majorEastAsia"/>
          <w:color w:val="000000" w:themeColor="text1"/>
          <w:szCs w:val="28"/>
        </w:rPr>
      </w:pPr>
      <w:r w:rsidRPr="00714499">
        <w:rPr>
          <w:rFonts w:eastAsiaTheme="majorEastAsia"/>
          <w:color w:val="000000" w:themeColor="text1"/>
          <w:szCs w:val="28"/>
        </w:rPr>
        <w:t xml:space="preserve">Based on this observation, the pronounced laser scattering effect of carbon nanotubes at the oil-water interface results in significant attenuation of the bulk cyclohexane signal transmitted through the CNT layer; thus, the acquired Raman </w:t>
      </w:r>
      <w:r w:rsidR="00660F80">
        <w:rPr>
          <w:rFonts w:eastAsiaTheme="majorEastAsia" w:hint="eastAsia"/>
          <w:color w:val="000000" w:themeColor="text1"/>
          <w:szCs w:val="28"/>
        </w:rPr>
        <w:t>signal</w:t>
      </w:r>
      <w:r w:rsidRPr="00714499">
        <w:rPr>
          <w:rFonts w:eastAsiaTheme="majorEastAsia"/>
          <w:color w:val="000000" w:themeColor="text1"/>
          <w:szCs w:val="28"/>
        </w:rPr>
        <w:t xml:space="preserve"> primarily reflects the molecular characteristics of the emulsion interfacial region.</w:t>
      </w:r>
    </w:p>
    <w:p w14:paraId="622C1407" w14:textId="77777777" w:rsidR="00FB19EC" w:rsidRDefault="00FB19EC" w:rsidP="00876746">
      <w:pPr>
        <w:spacing w:afterLines="100" w:after="360"/>
        <w:ind w:firstLine="0"/>
        <w:rPr>
          <w:rFonts w:eastAsiaTheme="majorEastAsia"/>
          <w:color w:val="000000" w:themeColor="text1"/>
          <w:szCs w:val="28"/>
        </w:rPr>
      </w:pPr>
    </w:p>
    <w:p w14:paraId="3E5E5F85" w14:textId="5A7FC5B0" w:rsidR="001C1DF8" w:rsidRDefault="0001270E" w:rsidP="001C1DF8">
      <w:pPr>
        <w:ind w:firstLine="0"/>
        <w:jc w:val="center"/>
        <w:rPr>
          <w:rFonts w:eastAsiaTheme="majorEastAsia"/>
          <w:color w:val="000000" w:themeColor="text1"/>
          <w:szCs w:val="28"/>
        </w:rPr>
      </w:pPr>
      <w:r w:rsidRPr="0001270E">
        <w:rPr>
          <w:noProof/>
        </w:rPr>
        <w:drawing>
          <wp:inline distT="0" distB="0" distL="0" distR="0" wp14:anchorId="3E16B3B1" wp14:editId="72CFDDA8">
            <wp:extent cx="5274310" cy="1692275"/>
            <wp:effectExtent l="0" t="0" r="2540" b="3175"/>
            <wp:docPr id="976283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83027" name=""/>
                    <pic:cNvPicPr/>
                  </pic:nvPicPr>
                  <pic:blipFill>
                    <a:blip r:embed="rId26"/>
                    <a:stretch>
                      <a:fillRect/>
                    </a:stretch>
                  </pic:blipFill>
                  <pic:spPr>
                    <a:xfrm>
                      <a:off x="0" y="0"/>
                      <a:ext cx="5274310" cy="1692275"/>
                    </a:xfrm>
                    <a:prstGeom prst="rect">
                      <a:avLst/>
                    </a:prstGeom>
                  </pic:spPr>
                </pic:pic>
              </a:graphicData>
            </a:graphic>
          </wp:inline>
        </w:drawing>
      </w:r>
    </w:p>
    <w:p w14:paraId="1FC59E86" w14:textId="66982A78" w:rsidR="001C1DF8" w:rsidRDefault="001C1DF8" w:rsidP="00876746">
      <w:pPr>
        <w:spacing w:afterLines="100" w:after="360"/>
        <w:ind w:firstLine="0"/>
        <w:jc w:val="center"/>
      </w:pPr>
      <w:r w:rsidRPr="00672193">
        <w:rPr>
          <w:rStyle w:val="30"/>
          <w:rFonts w:cs="Times New Roman"/>
          <w:b/>
          <w:bCs/>
        </w:rPr>
        <w:t>Figure S18</w:t>
      </w:r>
      <w:r w:rsidRPr="00672193">
        <w:rPr>
          <w:rStyle w:val="30"/>
          <w:rFonts w:cs="Times New Roman"/>
          <w:b/>
        </w:rPr>
        <w:t xml:space="preserve">. </w:t>
      </w:r>
      <w:r w:rsidRPr="00C760A6">
        <w:t xml:space="preserve">Schematic </w:t>
      </w:r>
      <w:r w:rsidR="00593FB9">
        <w:rPr>
          <w:rFonts w:hint="eastAsia"/>
        </w:rPr>
        <w:t>i</w:t>
      </w:r>
      <w:r w:rsidRPr="00C760A6">
        <w:t xml:space="preserve">llustration of the </w:t>
      </w:r>
      <w:r w:rsidR="00593FB9">
        <w:rPr>
          <w:rFonts w:hint="eastAsia"/>
        </w:rPr>
        <w:t>e</w:t>
      </w:r>
      <w:r w:rsidRPr="00C760A6">
        <w:t xml:space="preserve">lectrochemical </w:t>
      </w:r>
      <w:r w:rsidR="00593FB9">
        <w:rPr>
          <w:rFonts w:hint="eastAsia"/>
        </w:rPr>
        <w:t>d</w:t>
      </w:r>
      <w:r w:rsidRPr="00C760A6">
        <w:t>ouble-</w:t>
      </w:r>
      <w:r w:rsidR="00593FB9">
        <w:rPr>
          <w:rFonts w:hint="eastAsia"/>
        </w:rPr>
        <w:t>l</w:t>
      </w:r>
      <w:r w:rsidRPr="00C760A6">
        <w:t xml:space="preserve">ayer </w:t>
      </w:r>
      <w:r w:rsidR="00593FB9">
        <w:rPr>
          <w:rFonts w:hint="eastAsia"/>
        </w:rPr>
        <w:t>s</w:t>
      </w:r>
      <w:r w:rsidRPr="00C760A6">
        <w:t>tructure</w:t>
      </w:r>
    </w:p>
    <w:p w14:paraId="34715448" w14:textId="77777777" w:rsidR="001C1DF8" w:rsidRPr="00C760A6" w:rsidRDefault="001C1DF8" w:rsidP="00876746">
      <w:pPr>
        <w:spacing w:afterLines="50" w:after="180"/>
        <w:ind w:firstLine="0"/>
      </w:pPr>
      <w:r w:rsidRPr="00C760A6">
        <w:t>According to the Gouy-Chapman-Stern (GCS) model, the electric double layer (EDL) is conceptually divided into two distinct regions: the compact (Stern) layer and the diffuse (Gouy-Chapman) layer. The compact layer is further subdivided into the inner Helmholtz plane (IHP), defined by the locus of specifically adsorbed ions, and the outer Helmholtz plane (OHP), defined by the closest approach of non-specifically adsorbed, solvated ions. The total capacitance of the EDL (C</w:t>
      </w:r>
      <w:r w:rsidRPr="00C760A6">
        <w:rPr>
          <w:vertAlign w:val="subscript"/>
        </w:rPr>
        <w:t>dl</w:t>
      </w:r>
      <w:r w:rsidRPr="00C760A6">
        <w:t>) is modeled as a series combination of the compact layer capacitance (C</w:t>
      </w:r>
      <w:r w:rsidRPr="00C760A6">
        <w:rPr>
          <w:vertAlign w:val="subscript"/>
        </w:rPr>
        <w:t>H</w:t>
      </w:r>
      <w:r w:rsidRPr="00C760A6">
        <w:t>) and the diffuse layer capacitance (C</w:t>
      </w:r>
      <w:r w:rsidRPr="00C760A6">
        <w:rPr>
          <w:vertAlign w:val="subscript"/>
        </w:rPr>
        <w:t>GC</w:t>
      </w:r>
      <w:r w:rsidRPr="00C760A6">
        <w:t>).</w:t>
      </w:r>
    </w:p>
    <w:p w14:paraId="7ABB21D9" w14:textId="77777777" w:rsidR="001C1DF8" w:rsidRPr="00C760A6" w:rsidRDefault="00000000" w:rsidP="00876746">
      <w:pPr>
        <w:spacing w:afterLines="50" w:after="180"/>
        <w:ind w:firstLine="720"/>
      </w:pPr>
      <m:oMathPara>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C</m:t>
                  </m:r>
                </m:e>
                <m:sub>
                  <m:r>
                    <w:rPr>
                      <w:rFonts w:ascii="Cambria Math" w:hAnsi="Cambria Math"/>
                    </w:rPr>
                    <m:t>dl</m:t>
                  </m:r>
                </m:sub>
              </m:sSub>
            </m:den>
          </m:f>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C</m:t>
                  </m:r>
                </m:e>
                <m:sub>
                  <m:r>
                    <w:rPr>
                      <w:rFonts w:ascii="Cambria Math" w:hAnsi="Cambria Math"/>
                    </w:rPr>
                    <m:t>H</m:t>
                  </m:r>
                </m:sub>
              </m:sSub>
            </m:den>
          </m:f>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C</m:t>
                  </m:r>
                </m:e>
                <m:sub>
                  <m:r>
                    <w:rPr>
                      <w:rFonts w:ascii="Cambria Math" w:hAnsi="Cambria Math"/>
                    </w:rPr>
                    <m:t>GC</m:t>
                  </m:r>
                </m:sub>
              </m:sSub>
            </m:den>
          </m:f>
        </m:oMath>
      </m:oMathPara>
    </w:p>
    <w:p w14:paraId="1B3F5EC8" w14:textId="77777777" w:rsidR="00FB19EC" w:rsidRDefault="001C1DF8" w:rsidP="00FB19EC">
      <w:pPr>
        <w:spacing w:afterLines="50" w:after="180"/>
        <w:ind w:firstLine="0"/>
      </w:pPr>
      <w:r w:rsidRPr="00C760A6">
        <w:t>Under the specified experimental conditions (0.05 M H₂SO₄ electrolyte), the predominant potential drop occurs across the compact layer of the electric double layer. The incorporation of hydrophobic Pt/CNTs-C18 facilitates the penetration of cyclohexane molecules into this compact layer region. This process significantly reduces the local dielectric constant at the interface and consequently suppresses the adsorption of hydrated protons (H₃O⁺) as well as the subsequent interfacial charge transfer kinetics.</w:t>
      </w:r>
    </w:p>
    <w:p w14:paraId="1E35B48B" w14:textId="77777777" w:rsidR="00FB19EC" w:rsidRDefault="00FB19EC" w:rsidP="00FB19EC">
      <w:pPr>
        <w:spacing w:afterLines="50" w:after="180"/>
        <w:ind w:firstLine="0"/>
      </w:pPr>
    </w:p>
    <w:p w14:paraId="1CDFA575" w14:textId="77777777" w:rsidR="00FB19EC" w:rsidRDefault="00FB19EC" w:rsidP="00FB19EC">
      <w:pPr>
        <w:spacing w:afterLines="50" w:after="180"/>
        <w:ind w:firstLine="0"/>
      </w:pPr>
    </w:p>
    <w:p w14:paraId="5CEDD6BA" w14:textId="0D5BFC03" w:rsidR="00B9711A" w:rsidRPr="00B9711A" w:rsidRDefault="0001270E" w:rsidP="00FB19EC">
      <w:pPr>
        <w:spacing w:afterLines="50" w:after="180"/>
        <w:ind w:firstLine="0"/>
        <w:jc w:val="center"/>
      </w:pPr>
      <w:r w:rsidRPr="0001270E">
        <w:rPr>
          <w:noProof/>
        </w:rPr>
        <w:drawing>
          <wp:inline distT="0" distB="0" distL="0" distR="0" wp14:anchorId="01141C05" wp14:editId="4DDEE8C0">
            <wp:extent cx="4269600" cy="3643200"/>
            <wp:effectExtent l="0" t="0" r="0" b="0"/>
            <wp:docPr id="18803458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69600" cy="3643200"/>
                    </a:xfrm>
                    <a:prstGeom prst="rect">
                      <a:avLst/>
                    </a:prstGeom>
                    <a:noFill/>
                    <a:ln>
                      <a:noFill/>
                    </a:ln>
                  </pic:spPr>
                </pic:pic>
              </a:graphicData>
            </a:graphic>
          </wp:inline>
        </w:drawing>
      </w:r>
    </w:p>
    <w:p w14:paraId="1F487D69" w14:textId="43827FC8" w:rsidR="003D6B78" w:rsidRPr="00BE6203" w:rsidRDefault="00B9711A" w:rsidP="00095DCB">
      <w:pPr>
        <w:ind w:firstLine="0"/>
        <w:rPr>
          <w:rFonts w:eastAsiaTheme="majorEastAsia" w:cs="Times New Roman"/>
          <w:bCs/>
          <w:color w:val="000000" w:themeColor="text1"/>
          <w:szCs w:val="28"/>
        </w:rPr>
      </w:pPr>
      <w:r w:rsidRPr="00B9711A">
        <w:rPr>
          <w:rFonts w:eastAsiaTheme="majorEastAsia" w:cs="Times New Roman"/>
          <w:b/>
          <w:bCs/>
          <w:color w:val="000000" w:themeColor="text1"/>
          <w:szCs w:val="28"/>
        </w:rPr>
        <w:t>Figure S19</w:t>
      </w:r>
      <w:r w:rsidRPr="00B9711A">
        <w:rPr>
          <w:rFonts w:eastAsiaTheme="majorEastAsia" w:cs="Times New Roman"/>
          <w:b/>
          <w:color w:val="000000" w:themeColor="text1"/>
          <w:szCs w:val="28"/>
        </w:rPr>
        <w:t xml:space="preserve">. </w:t>
      </w:r>
      <w:r w:rsidRPr="00B9711A">
        <w:rPr>
          <w:rFonts w:eastAsiaTheme="majorEastAsia" w:cs="Times New Roman"/>
          <w:bCs/>
          <w:color w:val="000000" w:themeColor="text1"/>
          <w:szCs w:val="28"/>
        </w:rPr>
        <w:t xml:space="preserve">Nyquist and Bode plots for Pt/CNTs-C18 PEES </w:t>
      </w:r>
      <w:r w:rsidRPr="00B9711A">
        <w:rPr>
          <w:rFonts w:eastAsiaTheme="majorEastAsia" w:cs="Times New Roman" w:hint="eastAsia"/>
          <w:bCs/>
          <w:color w:val="000000" w:themeColor="text1"/>
          <w:szCs w:val="28"/>
        </w:rPr>
        <w:t xml:space="preserve">(a, b) without </w:t>
      </w:r>
      <w:r w:rsidRPr="00B9711A">
        <w:rPr>
          <w:rFonts w:eastAsiaTheme="majorEastAsia" w:cs="Times New Roman"/>
          <w:bCs/>
          <w:color w:val="000000" w:themeColor="text1"/>
          <w:szCs w:val="28"/>
        </w:rPr>
        <w:t>and (c, d)</w:t>
      </w:r>
      <w:r w:rsidRPr="00B9711A">
        <w:rPr>
          <w:rFonts w:eastAsiaTheme="majorEastAsia" w:cs="Times New Roman" w:hint="eastAsia"/>
          <w:bCs/>
          <w:color w:val="000000" w:themeColor="text1"/>
          <w:szCs w:val="28"/>
        </w:rPr>
        <w:t xml:space="preserve"> </w:t>
      </w:r>
      <w:r w:rsidRPr="00B9711A">
        <w:rPr>
          <w:rFonts w:eastAsiaTheme="majorEastAsia" w:cs="Times New Roman"/>
          <w:bCs/>
          <w:color w:val="000000" w:themeColor="text1"/>
          <w:szCs w:val="28"/>
        </w:rPr>
        <w:t xml:space="preserve">with 30 mM 4-NS. </w:t>
      </w:r>
      <w:r w:rsidRPr="00C760A6">
        <w:rPr>
          <w:rFonts w:eastAsiaTheme="majorEastAsia"/>
          <w:color w:val="000000" w:themeColor="text1"/>
          <w:szCs w:val="28"/>
        </w:rPr>
        <w:br w:type="page"/>
      </w:r>
    </w:p>
    <w:p w14:paraId="3AFFEB5A" w14:textId="2FFDA1BE" w:rsidR="003D6B78" w:rsidRPr="00C760A6" w:rsidRDefault="0001270E" w:rsidP="00BE6203">
      <w:pPr>
        <w:ind w:firstLine="0"/>
        <w:jc w:val="center"/>
      </w:pPr>
      <w:r w:rsidRPr="0001270E">
        <w:rPr>
          <w:noProof/>
        </w:rPr>
        <w:lastRenderedPageBreak/>
        <w:drawing>
          <wp:inline distT="0" distB="0" distL="0" distR="0" wp14:anchorId="6CF0B7DC" wp14:editId="3032C0BA">
            <wp:extent cx="4316400" cy="3675600"/>
            <wp:effectExtent l="0" t="0" r="0" b="0"/>
            <wp:docPr id="19921686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6400" cy="3675600"/>
                    </a:xfrm>
                    <a:prstGeom prst="rect">
                      <a:avLst/>
                    </a:prstGeom>
                    <a:noFill/>
                    <a:ln>
                      <a:noFill/>
                    </a:ln>
                  </pic:spPr>
                </pic:pic>
              </a:graphicData>
            </a:graphic>
          </wp:inline>
        </w:drawing>
      </w:r>
    </w:p>
    <w:p w14:paraId="45B1C0AF" w14:textId="77777777" w:rsidR="00BE6203" w:rsidRDefault="00000000" w:rsidP="00BE6203">
      <w:pPr>
        <w:ind w:firstLine="0"/>
        <w:rPr>
          <w:rStyle w:val="30"/>
          <w:rFonts w:cs="Times New Roman"/>
          <w:bCs/>
        </w:rPr>
      </w:pPr>
      <w:r w:rsidRPr="00672193">
        <w:rPr>
          <w:rStyle w:val="30"/>
          <w:rFonts w:cs="Times New Roman"/>
          <w:b/>
          <w:bCs/>
        </w:rPr>
        <w:t>Figure S2</w:t>
      </w:r>
      <w:r w:rsidR="00BE6203">
        <w:rPr>
          <w:rStyle w:val="30"/>
          <w:rFonts w:cs="Times New Roman" w:hint="eastAsia"/>
          <w:b/>
          <w:bCs/>
        </w:rPr>
        <w:t>0</w:t>
      </w:r>
      <w:r w:rsidRPr="00672193">
        <w:rPr>
          <w:rStyle w:val="30"/>
          <w:rFonts w:cs="Times New Roman"/>
          <w:b/>
        </w:rPr>
        <w:t xml:space="preserve">. </w:t>
      </w:r>
      <w:r w:rsidRPr="00C760A6">
        <w:rPr>
          <w:rStyle w:val="30"/>
          <w:rFonts w:cs="Times New Roman"/>
          <w:bCs/>
        </w:rPr>
        <w:t>Nyquist and Bode plots for Pt/CNTs-AT PEES</w:t>
      </w:r>
      <w:r w:rsidR="00660F80">
        <w:rPr>
          <w:rStyle w:val="30"/>
          <w:rFonts w:cs="Times New Roman" w:hint="eastAsia"/>
          <w:bCs/>
        </w:rPr>
        <w:t xml:space="preserve"> (a, b) without </w:t>
      </w:r>
      <w:r w:rsidRPr="00C760A6">
        <w:rPr>
          <w:rStyle w:val="30"/>
          <w:rFonts w:cs="Times New Roman"/>
          <w:bCs/>
        </w:rPr>
        <w:t xml:space="preserve">and </w:t>
      </w:r>
      <w:r w:rsidR="00660F80" w:rsidRPr="00C760A6">
        <w:rPr>
          <w:rStyle w:val="30"/>
          <w:rFonts w:cs="Times New Roman"/>
          <w:bCs/>
        </w:rPr>
        <w:t>(c, d)</w:t>
      </w:r>
      <w:r w:rsidR="00660F80">
        <w:rPr>
          <w:rStyle w:val="30"/>
          <w:rFonts w:cs="Times New Roman" w:hint="eastAsia"/>
          <w:bCs/>
        </w:rPr>
        <w:t xml:space="preserve"> </w:t>
      </w:r>
      <w:r w:rsidRPr="00C760A6">
        <w:rPr>
          <w:rStyle w:val="30"/>
          <w:rFonts w:cs="Times New Roman"/>
          <w:bCs/>
        </w:rPr>
        <w:t>with 30 mM 4-NS.</w:t>
      </w:r>
    </w:p>
    <w:p w14:paraId="774B285E" w14:textId="77777777" w:rsidR="00BE6203" w:rsidRDefault="00BE6203" w:rsidP="00BE6203">
      <w:pPr>
        <w:ind w:firstLine="0"/>
        <w:rPr>
          <w:rStyle w:val="30"/>
          <w:rFonts w:cs="Times New Roman"/>
          <w:bCs/>
        </w:rPr>
      </w:pPr>
    </w:p>
    <w:p w14:paraId="776F380F" w14:textId="77777777" w:rsidR="00BE6203" w:rsidRDefault="00BE6203" w:rsidP="00BE6203">
      <w:pPr>
        <w:ind w:firstLine="0"/>
        <w:rPr>
          <w:rStyle w:val="30"/>
          <w:rFonts w:cs="Times New Roman"/>
          <w:bCs/>
        </w:rPr>
      </w:pPr>
    </w:p>
    <w:p w14:paraId="5EBA47B8" w14:textId="77777777" w:rsidR="00BE6203" w:rsidRDefault="00BE6203" w:rsidP="00BE6203">
      <w:pPr>
        <w:ind w:firstLine="0"/>
        <w:rPr>
          <w:rStyle w:val="30"/>
          <w:rFonts w:cs="Times New Roman"/>
          <w:bCs/>
        </w:rPr>
      </w:pPr>
    </w:p>
    <w:p w14:paraId="2B5E4DCA" w14:textId="18836C12" w:rsidR="00BE6203" w:rsidRPr="00BE6203" w:rsidRDefault="00000000" w:rsidP="00BE6203">
      <w:pPr>
        <w:ind w:firstLine="0"/>
        <w:jc w:val="center"/>
      </w:pPr>
      <w:r w:rsidRPr="00C760A6">
        <w:rPr>
          <w:rStyle w:val="30"/>
          <w:rFonts w:cs="Times New Roman"/>
          <w:bCs/>
        </w:rPr>
        <w:t xml:space="preserve"> </w:t>
      </w:r>
      <w:r w:rsidR="00320D9B" w:rsidRPr="00320D9B">
        <w:rPr>
          <w:rStyle w:val="30"/>
          <w:rFonts w:eastAsiaTheme="minorEastAsia" w:cstheme="minorBidi"/>
          <w:color w:val="auto"/>
          <w:szCs w:val="22"/>
        </w:rPr>
        <w:drawing>
          <wp:inline distT="0" distB="0" distL="0" distR="0" wp14:anchorId="03B88209" wp14:editId="04D5B49A">
            <wp:extent cx="2786400" cy="2487600"/>
            <wp:effectExtent l="0" t="0" r="0" b="0"/>
            <wp:docPr id="902843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6400" cy="2487600"/>
                    </a:xfrm>
                    <a:prstGeom prst="rect">
                      <a:avLst/>
                    </a:prstGeom>
                    <a:noFill/>
                    <a:ln>
                      <a:noFill/>
                    </a:ln>
                  </pic:spPr>
                </pic:pic>
              </a:graphicData>
            </a:graphic>
          </wp:inline>
        </w:drawing>
      </w:r>
    </w:p>
    <w:p w14:paraId="7D2A2BA1" w14:textId="0454D943" w:rsidR="003D6B78" w:rsidRPr="00BE6203" w:rsidRDefault="00BE6203" w:rsidP="00095DCB">
      <w:pPr>
        <w:ind w:firstLine="0"/>
        <w:rPr>
          <w:rFonts w:eastAsiaTheme="majorEastAsia" w:cs="Times New Roman"/>
          <w:bCs/>
          <w:color w:val="000000" w:themeColor="text1"/>
          <w:szCs w:val="28"/>
        </w:rPr>
      </w:pPr>
      <w:r w:rsidRPr="00BE6203">
        <w:rPr>
          <w:rFonts w:eastAsiaTheme="majorEastAsia" w:cs="Times New Roman"/>
          <w:b/>
          <w:bCs/>
          <w:color w:val="000000" w:themeColor="text1"/>
          <w:szCs w:val="28"/>
        </w:rPr>
        <w:t>Figure S2</w:t>
      </w:r>
      <w:r w:rsidR="00E05A2F">
        <w:rPr>
          <w:rFonts w:eastAsiaTheme="majorEastAsia" w:cs="Times New Roman" w:hint="eastAsia"/>
          <w:b/>
          <w:bCs/>
          <w:color w:val="000000" w:themeColor="text1"/>
          <w:szCs w:val="28"/>
        </w:rPr>
        <w:t>1</w:t>
      </w:r>
      <w:r w:rsidRPr="00BE6203">
        <w:rPr>
          <w:rFonts w:eastAsiaTheme="majorEastAsia" w:cs="Times New Roman"/>
          <w:b/>
          <w:color w:val="000000" w:themeColor="text1"/>
          <w:szCs w:val="28"/>
        </w:rPr>
        <w:t xml:space="preserve">. </w:t>
      </w:r>
      <w:r w:rsidRPr="00BE6203">
        <w:rPr>
          <w:rFonts w:eastAsiaTheme="majorEastAsia" w:cs="Times New Roman"/>
          <w:bCs/>
          <w:color w:val="000000" w:themeColor="text1"/>
          <w:szCs w:val="28"/>
        </w:rPr>
        <w:t xml:space="preserve">Product </w:t>
      </w:r>
      <w:r w:rsidRPr="00BE6203">
        <w:rPr>
          <w:rFonts w:eastAsiaTheme="majorEastAsia" w:cs="Times New Roman" w:hint="eastAsia"/>
          <w:bCs/>
          <w:color w:val="000000" w:themeColor="text1"/>
          <w:szCs w:val="28"/>
        </w:rPr>
        <w:t>s</w:t>
      </w:r>
      <w:r w:rsidRPr="00BE6203">
        <w:rPr>
          <w:rFonts w:eastAsiaTheme="majorEastAsia" w:cs="Times New Roman"/>
          <w:bCs/>
          <w:color w:val="000000" w:themeColor="text1"/>
          <w:szCs w:val="28"/>
        </w:rPr>
        <w:t xml:space="preserve">electivity </w:t>
      </w:r>
      <w:r w:rsidR="00D1151F">
        <w:rPr>
          <w:rFonts w:eastAsiaTheme="majorEastAsia" w:cs="Times New Roman" w:hint="eastAsia"/>
          <w:bCs/>
          <w:color w:val="000000" w:themeColor="text1"/>
          <w:szCs w:val="28"/>
        </w:rPr>
        <w:t>of</w:t>
      </w:r>
      <w:r w:rsidRPr="00BE6203">
        <w:rPr>
          <w:rFonts w:eastAsiaTheme="majorEastAsia" w:cs="Times New Roman"/>
          <w:bCs/>
          <w:color w:val="000000" w:themeColor="text1"/>
          <w:szCs w:val="28"/>
        </w:rPr>
        <w:t xml:space="preserve"> </w:t>
      </w:r>
      <w:r w:rsidRPr="00BE6203">
        <w:rPr>
          <w:rFonts w:eastAsiaTheme="majorEastAsia" w:cs="Times New Roman" w:hint="eastAsia"/>
          <w:bCs/>
          <w:color w:val="000000" w:themeColor="text1"/>
          <w:szCs w:val="28"/>
        </w:rPr>
        <w:t xml:space="preserve">ECH of </w:t>
      </w:r>
      <w:r w:rsidRPr="00BE6203">
        <w:rPr>
          <w:rFonts w:eastAsiaTheme="majorEastAsia" w:cs="Times New Roman"/>
          <w:bCs/>
          <w:color w:val="000000" w:themeColor="text1"/>
          <w:szCs w:val="28"/>
        </w:rPr>
        <w:t>4-</w:t>
      </w:r>
      <w:r w:rsidRPr="00BE6203">
        <w:rPr>
          <w:rFonts w:eastAsiaTheme="majorEastAsia" w:cs="Times New Roman" w:hint="eastAsia"/>
          <w:bCs/>
          <w:color w:val="000000" w:themeColor="text1"/>
          <w:szCs w:val="28"/>
        </w:rPr>
        <w:t>n</w:t>
      </w:r>
      <w:r w:rsidRPr="00BE6203">
        <w:rPr>
          <w:rFonts w:eastAsiaTheme="majorEastAsia" w:cs="Times New Roman"/>
          <w:bCs/>
          <w:color w:val="000000" w:themeColor="text1"/>
          <w:szCs w:val="28"/>
        </w:rPr>
        <w:t>itrostyrene</w:t>
      </w:r>
      <w:r w:rsidRPr="00BE6203">
        <w:rPr>
          <w:rFonts w:eastAsiaTheme="majorEastAsia" w:cs="Times New Roman" w:hint="eastAsia"/>
          <w:bCs/>
          <w:color w:val="000000" w:themeColor="text1"/>
          <w:szCs w:val="28"/>
        </w:rPr>
        <w:t xml:space="preserve"> in</w:t>
      </w:r>
      <w:r w:rsidRPr="00BE6203">
        <w:rPr>
          <w:rFonts w:eastAsiaTheme="majorEastAsia" w:cs="Times New Roman"/>
          <w:bCs/>
          <w:color w:val="000000" w:themeColor="text1"/>
          <w:szCs w:val="28"/>
        </w:rPr>
        <w:t xml:space="preserve"> Pt/CNTs-AT PEES</w:t>
      </w:r>
      <w:r w:rsidRPr="00BE6203">
        <w:rPr>
          <w:rFonts w:eastAsiaTheme="majorEastAsia" w:cs="Times New Roman" w:hint="eastAsia"/>
          <w:bCs/>
          <w:color w:val="000000" w:themeColor="text1"/>
          <w:szCs w:val="28"/>
        </w:rPr>
        <w:t xml:space="preserve"> at different potentials.</w:t>
      </w:r>
    </w:p>
    <w:p w14:paraId="116236EA" w14:textId="61BF3341" w:rsidR="003D6B78" w:rsidRPr="00C760A6" w:rsidRDefault="0053250D" w:rsidP="00A90263">
      <w:pPr>
        <w:ind w:firstLine="0"/>
        <w:jc w:val="center"/>
        <w:rPr>
          <w:rStyle w:val="30"/>
          <w:rFonts w:cs="Times New Roman"/>
          <w:bCs/>
        </w:rPr>
      </w:pPr>
      <w:r w:rsidRPr="0053250D">
        <w:rPr>
          <w:noProof/>
        </w:rPr>
        <w:lastRenderedPageBreak/>
        <w:drawing>
          <wp:inline distT="0" distB="0" distL="0" distR="0" wp14:anchorId="1B026D23" wp14:editId="52E51019">
            <wp:extent cx="5153891" cy="4720781"/>
            <wp:effectExtent l="0" t="0" r="8890" b="3810"/>
            <wp:docPr id="1157218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18537" name=""/>
                    <pic:cNvPicPr/>
                  </pic:nvPicPr>
                  <pic:blipFill>
                    <a:blip r:embed="rId30"/>
                    <a:stretch>
                      <a:fillRect/>
                    </a:stretch>
                  </pic:blipFill>
                  <pic:spPr>
                    <a:xfrm>
                      <a:off x="0" y="0"/>
                      <a:ext cx="5175818" cy="4740865"/>
                    </a:xfrm>
                    <a:prstGeom prst="rect">
                      <a:avLst/>
                    </a:prstGeom>
                  </pic:spPr>
                </pic:pic>
              </a:graphicData>
            </a:graphic>
          </wp:inline>
        </w:drawing>
      </w:r>
    </w:p>
    <w:p w14:paraId="7FE1658D" w14:textId="4762ABD1" w:rsidR="003D6B78" w:rsidRPr="00C760A6" w:rsidRDefault="00000000" w:rsidP="00876746">
      <w:pPr>
        <w:spacing w:afterLines="100" w:after="360"/>
        <w:ind w:firstLine="0"/>
        <w:rPr>
          <w:rStyle w:val="30"/>
          <w:rFonts w:cs="Times New Roman"/>
          <w:bCs/>
        </w:rPr>
      </w:pPr>
      <w:r w:rsidRPr="00672193">
        <w:rPr>
          <w:rStyle w:val="30"/>
          <w:rFonts w:cs="Times New Roman"/>
          <w:b/>
          <w:bCs/>
        </w:rPr>
        <w:t>Figure S2</w:t>
      </w:r>
      <w:r w:rsidR="00E05A2F">
        <w:rPr>
          <w:rStyle w:val="30"/>
          <w:rFonts w:cs="Times New Roman" w:hint="eastAsia"/>
          <w:b/>
          <w:bCs/>
        </w:rPr>
        <w:t>2</w:t>
      </w:r>
      <w:r w:rsidRPr="00672193">
        <w:rPr>
          <w:rStyle w:val="30"/>
          <w:rFonts w:cs="Times New Roman"/>
          <w:b/>
        </w:rPr>
        <w:t xml:space="preserve">. </w:t>
      </w:r>
      <w:r w:rsidRPr="00672193">
        <w:rPr>
          <w:rStyle w:val="30"/>
          <w:rFonts w:cs="Times New Roman"/>
          <w:bCs/>
        </w:rPr>
        <w:t xml:space="preserve">(a) </w:t>
      </w:r>
      <w:r w:rsidRPr="00C760A6">
        <w:rPr>
          <w:rStyle w:val="30"/>
          <w:rFonts w:cs="Times New Roman"/>
          <w:bCs/>
        </w:rPr>
        <w:t xml:space="preserve">Schematic </w:t>
      </w:r>
      <w:r w:rsidR="00327F17">
        <w:rPr>
          <w:rStyle w:val="30"/>
          <w:rFonts w:cs="Times New Roman" w:hint="eastAsia"/>
          <w:bCs/>
        </w:rPr>
        <w:t>d</w:t>
      </w:r>
      <w:r w:rsidR="00327F17" w:rsidRPr="00C760A6">
        <w:rPr>
          <w:rStyle w:val="30"/>
          <w:rFonts w:cs="Times New Roman"/>
          <w:bCs/>
        </w:rPr>
        <w:t xml:space="preserve">iagram </w:t>
      </w:r>
      <w:r w:rsidRPr="00C760A6">
        <w:rPr>
          <w:rStyle w:val="30"/>
          <w:rFonts w:cs="Times New Roman"/>
          <w:bCs/>
        </w:rPr>
        <w:t xml:space="preserve">of Raman </w:t>
      </w:r>
      <w:r w:rsidR="00327F17">
        <w:rPr>
          <w:rStyle w:val="30"/>
          <w:rFonts w:cs="Times New Roman" w:hint="eastAsia"/>
          <w:bCs/>
        </w:rPr>
        <w:t>s</w:t>
      </w:r>
      <w:r w:rsidR="00327F17" w:rsidRPr="00C760A6">
        <w:rPr>
          <w:rStyle w:val="30"/>
          <w:rFonts w:cs="Times New Roman"/>
          <w:bCs/>
        </w:rPr>
        <w:t xml:space="preserve">ignal </w:t>
      </w:r>
      <w:r w:rsidR="00327F17">
        <w:rPr>
          <w:rStyle w:val="30"/>
          <w:rFonts w:cs="Times New Roman" w:hint="eastAsia"/>
          <w:bCs/>
        </w:rPr>
        <w:t>a</w:t>
      </w:r>
      <w:r w:rsidR="00327F17" w:rsidRPr="00C760A6">
        <w:rPr>
          <w:rStyle w:val="30"/>
          <w:rFonts w:cs="Times New Roman"/>
          <w:bCs/>
        </w:rPr>
        <w:t>cquisition</w:t>
      </w:r>
      <w:r w:rsidR="00327F17">
        <w:rPr>
          <w:rStyle w:val="30"/>
          <w:rFonts w:cs="Times New Roman" w:hint="eastAsia"/>
          <w:bCs/>
        </w:rPr>
        <w:t>.</w:t>
      </w:r>
      <w:r w:rsidRPr="00672193">
        <w:rPr>
          <w:rStyle w:val="30"/>
          <w:rFonts w:cs="Times New Roman"/>
          <w:bCs/>
        </w:rPr>
        <w:t xml:space="preserve"> </w:t>
      </w:r>
      <w:r w:rsidR="00946750">
        <w:rPr>
          <w:rFonts w:eastAsiaTheme="majorEastAsia" w:cs="Times New Roman" w:hint="eastAsia"/>
          <w:bCs/>
          <w:color w:val="000000" w:themeColor="text1"/>
          <w:szCs w:val="28"/>
        </w:rPr>
        <w:t>(b) T</w:t>
      </w:r>
      <w:r w:rsidR="00946750" w:rsidRPr="00946750">
        <w:rPr>
          <w:rFonts w:eastAsiaTheme="majorEastAsia" w:cs="Times New Roman"/>
          <w:bCs/>
          <w:color w:val="000000" w:themeColor="text1"/>
          <w:szCs w:val="28"/>
        </w:rPr>
        <w:t>he Raman signal</w:t>
      </w:r>
      <w:r w:rsidR="00946750">
        <w:rPr>
          <w:rFonts w:eastAsiaTheme="majorEastAsia" w:cs="Times New Roman" w:hint="eastAsia"/>
          <w:bCs/>
          <w:color w:val="000000" w:themeColor="text1"/>
          <w:szCs w:val="28"/>
        </w:rPr>
        <w:t>s</w:t>
      </w:r>
      <w:r w:rsidR="00946750" w:rsidRPr="00946750">
        <w:rPr>
          <w:rFonts w:eastAsiaTheme="majorEastAsia" w:cs="Times New Roman"/>
          <w:bCs/>
          <w:color w:val="000000" w:themeColor="text1"/>
          <w:szCs w:val="28"/>
        </w:rPr>
        <w:t xml:space="preserve"> of oil phase and </w:t>
      </w:r>
      <w:r w:rsidR="00946750">
        <w:rPr>
          <w:rFonts w:eastAsiaTheme="majorEastAsia" w:cs="Times New Roman" w:hint="eastAsia"/>
          <w:bCs/>
          <w:color w:val="000000" w:themeColor="text1"/>
          <w:szCs w:val="28"/>
        </w:rPr>
        <w:t xml:space="preserve">water </w:t>
      </w:r>
      <w:r w:rsidR="00946750" w:rsidRPr="00946750">
        <w:rPr>
          <w:rFonts w:eastAsiaTheme="majorEastAsia" w:cs="Times New Roman"/>
          <w:bCs/>
          <w:color w:val="000000" w:themeColor="text1"/>
          <w:szCs w:val="28"/>
        </w:rPr>
        <w:t>phase</w:t>
      </w:r>
      <w:r w:rsidR="00946750">
        <w:rPr>
          <w:rFonts w:eastAsiaTheme="majorEastAsia" w:cs="Times New Roman" w:hint="eastAsia"/>
          <w:bCs/>
          <w:color w:val="000000" w:themeColor="text1"/>
          <w:szCs w:val="28"/>
        </w:rPr>
        <w:t xml:space="preserve">, and the </w:t>
      </w:r>
      <w:r w:rsidR="00946750" w:rsidRPr="00946750">
        <w:rPr>
          <w:rFonts w:eastAsiaTheme="majorEastAsia" w:cs="Times New Roman"/>
          <w:bCs/>
          <w:color w:val="000000" w:themeColor="text1"/>
          <w:szCs w:val="28"/>
        </w:rPr>
        <w:t>signal</w:t>
      </w:r>
      <w:r w:rsidR="00946750">
        <w:rPr>
          <w:rFonts w:eastAsiaTheme="majorEastAsia" w:cs="Times New Roman" w:hint="eastAsia"/>
          <w:bCs/>
          <w:color w:val="000000" w:themeColor="text1"/>
          <w:szCs w:val="28"/>
        </w:rPr>
        <w:t>s</w:t>
      </w:r>
      <w:r w:rsidR="00946750" w:rsidRPr="00946750">
        <w:rPr>
          <w:rFonts w:eastAsiaTheme="majorEastAsia" w:cs="Times New Roman"/>
          <w:bCs/>
          <w:color w:val="000000" w:themeColor="text1"/>
          <w:szCs w:val="28"/>
        </w:rPr>
        <w:t xml:space="preserve"> of interfacial water</w:t>
      </w:r>
      <w:r w:rsidR="00946750">
        <w:rPr>
          <w:rFonts w:eastAsiaTheme="majorEastAsia" w:cs="Times New Roman" w:hint="eastAsia"/>
          <w:bCs/>
          <w:color w:val="000000" w:themeColor="text1"/>
          <w:szCs w:val="28"/>
        </w:rPr>
        <w:t xml:space="preserve"> and</w:t>
      </w:r>
      <w:r w:rsidR="00946750" w:rsidRPr="00946750">
        <w:rPr>
          <w:rFonts w:eastAsiaTheme="majorEastAsia" w:cs="Times New Roman"/>
          <w:bCs/>
          <w:color w:val="000000" w:themeColor="text1"/>
          <w:szCs w:val="28"/>
        </w:rPr>
        <w:t xml:space="preserve"> the total signal</w:t>
      </w:r>
      <w:r w:rsidR="00946750">
        <w:rPr>
          <w:rFonts w:eastAsiaTheme="majorEastAsia" w:cs="Times New Roman" w:hint="eastAsia"/>
          <w:bCs/>
          <w:color w:val="000000" w:themeColor="text1"/>
          <w:szCs w:val="28"/>
        </w:rPr>
        <w:t xml:space="preserve"> </w:t>
      </w:r>
      <w:r w:rsidR="00946750" w:rsidRPr="00946750">
        <w:rPr>
          <w:rFonts w:eastAsiaTheme="majorEastAsia" w:cs="Times New Roman"/>
          <w:bCs/>
          <w:color w:val="000000" w:themeColor="text1"/>
          <w:szCs w:val="28"/>
        </w:rPr>
        <w:t>obtained after mathematical processing</w:t>
      </w:r>
      <w:r w:rsidR="00946750">
        <w:rPr>
          <w:rFonts w:eastAsiaTheme="majorEastAsia" w:cs="Times New Roman" w:hint="eastAsia"/>
          <w:bCs/>
          <w:color w:val="000000" w:themeColor="text1"/>
          <w:szCs w:val="28"/>
        </w:rPr>
        <w:t>; four signals are u</w:t>
      </w:r>
      <w:r w:rsidR="00946750" w:rsidRPr="00946750">
        <w:rPr>
          <w:rFonts w:eastAsiaTheme="majorEastAsia" w:cs="Times New Roman"/>
          <w:bCs/>
          <w:color w:val="000000" w:themeColor="text1"/>
          <w:szCs w:val="28"/>
        </w:rPr>
        <w:t>nder the same intensity scale.</w:t>
      </w:r>
      <w:r w:rsidRPr="00672193">
        <w:rPr>
          <w:rStyle w:val="30"/>
          <w:rFonts w:cs="Times New Roman"/>
          <w:bCs/>
        </w:rPr>
        <w:t xml:space="preserve"> (c)</w:t>
      </w:r>
      <w:r w:rsidRPr="00C760A6">
        <w:t xml:space="preserve"> </w:t>
      </w:r>
      <w:r w:rsidR="00327F17">
        <w:rPr>
          <w:rFonts w:hint="eastAsia"/>
        </w:rPr>
        <w:t xml:space="preserve">Raw </w:t>
      </w:r>
      <w:r w:rsidRPr="00C760A6">
        <w:rPr>
          <w:rStyle w:val="30"/>
          <w:rFonts w:cs="Times New Roman"/>
          <w:bCs/>
        </w:rPr>
        <w:t xml:space="preserve">Raman </w:t>
      </w:r>
      <w:r w:rsidR="00327F17">
        <w:rPr>
          <w:rStyle w:val="30"/>
          <w:rFonts w:cs="Times New Roman" w:hint="eastAsia"/>
          <w:bCs/>
        </w:rPr>
        <w:t>s</w:t>
      </w:r>
      <w:r w:rsidRPr="00C760A6">
        <w:rPr>
          <w:rStyle w:val="30"/>
          <w:rFonts w:cs="Times New Roman"/>
          <w:bCs/>
        </w:rPr>
        <w:t>ignal</w:t>
      </w:r>
      <w:r w:rsidR="00327F17">
        <w:rPr>
          <w:rStyle w:val="30"/>
          <w:rFonts w:cs="Times New Roman" w:hint="eastAsia"/>
          <w:bCs/>
        </w:rPr>
        <w:t xml:space="preserve"> of the</w:t>
      </w:r>
      <w:r w:rsidR="00327F17" w:rsidRPr="00C760A6">
        <w:rPr>
          <w:rStyle w:val="30"/>
          <w:rFonts w:cs="Times New Roman"/>
          <w:bCs/>
        </w:rPr>
        <w:t xml:space="preserve"> </w:t>
      </w:r>
      <w:r w:rsidRPr="00C760A6">
        <w:rPr>
          <w:rStyle w:val="30"/>
          <w:rFonts w:cs="Times New Roman"/>
          <w:bCs/>
        </w:rPr>
        <w:t>PEES</w:t>
      </w:r>
      <w:r w:rsidR="00327F17">
        <w:rPr>
          <w:rStyle w:val="30"/>
          <w:rFonts w:cs="Times New Roman" w:hint="eastAsia"/>
          <w:bCs/>
        </w:rPr>
        <w:t>, s</w:t>
      </w:r>
      <w:r w:rsidR="00327F17" w:rsidRPr="00C760A6">
        <w:rPr>
          <w:rStyle w:val="30"/>
          <w:rFonts w:cs="Times New Roman"/>
          <w:bCs/>
        </w:rPr>
        <w:t>ignal</w:t>
      </w:r>
      <w:r w:rsidR="00327F17">
        <w:rPr>
          <w:rStyle w:val="30"/>
          <w:rFonts w:cs="Times New Roman" w:hint="eastAsia"/>
          <w:bCs/>
        </w:rPr>
        <w:t xml:space="preserve"> of</w:t>
      </w:r>
      <w:r w:rsidRPr="00C760A6">
        <w:rPr>
          <w:rStyle w:val="30"/>
          <w:rFonts w:cs="Times New Roman"/>
          <w:bCs/>
        </w:rPr>
        <w:t xml:space="preserve"> </w:t>
      </w:r>
      <w:r w:rsidR="00327F17">
        <w:rPr>
          <w:rStyle w:val="30"/>
          <w:rFonts w:cs="Times New Roman" w:hint="eastAsia"/>
          <w:bCs/>
        </w:rPr>
        <w:t>w</w:t>
      </w:r>
      <w:r w:rsidRPr="00C760A6">
        <w:rPr>
          <w:rStyle w:val="30"/>
          <w:rFonts w:cs="Times New Roman"/>
          <w:bCs/>
        </w:rPr>
        <w:t xml:space="preserve">ater </w:t>
      </w:r>
      <w:r w:rsidR="00327F17">
        <w:rPr>
          <w:rStyle w:val="30"/>
          <w:rFonts w:cs="Times New Roman" w:hint="eastAsia"/>
          <w:bCs/>
        </w:rPr>
        <w:t>at the interface</w:t>
      </w:r>
      <w:r w:rsidRPr="00C760A6">
        <w:rPr>
          <w:rStyle w:val="30"/>
          <w:rFonts w:cs="Times New Roman"/>
          <w:bCs/>
        </w:rPr>
        <w:t xml:space="preserve">, and </w:t>
      </w:r>
      <w:r w:rsidR="00327F17">
        <w:rPr>
          <w:rStyle w:val="30"/>
          <w:rFonts w:cs="Times New Roman" w:hint="eastAsia"/>
          <w:bCs/>
        </w:rPr>
        <w:t>the b</w:t>
      </w:r>
      <w:r w:rsidR="00327F17" w:rsidRPr="00C760A6">
        <w:rPr>
          <w:rStyle w:val="30"/>
          <w:rFonts w:cs="Times New Roman"/>
          <w:bCs/>
        </w:rPr>
        <w:t xml:space="preserve">ackground </w:t>
      </w:r>
      <w:r w:rsidR="00327F17">
        <w:rPr>
          <w:rStyle w:val="30"/>
          <w:rFonts w:cs="Times New Roman" w:hint="eastAsia"/>
          <w:bCs/>
        </w:rPr>
        <w:t>n</w:t>
      </w:r>
      <w:r w:rsidR="00327F17" w:rsidRPr="00C760A6">
        <w:rPr>
          <w:rStyle w:val="30"/>
          <w:rFonts w:cs="Times New Roman"/>
          <w:bCs/>
        </w:rPr>
        <w:t xml:space="preserve">oise </w:t>
      </w:r>
      <w:r w:rsidR="00327F17">
        <w:rPr>
          <w:rStyle w:val="30"/>
          <w:rFonts w:cs="Times New Roman" w:hint="eastAsia"/>
          <w:bCs/>
        </w:rPr>
        <w:t>floor</w:t>
      </w:r>
      <w:r w:rsidRPr="00672193">
        <w:rPr>
          <w:rStyle w:val="30"/>
          <w:rFonts w:cs="Times New Roman"/>
          <w:bCs/>
        </w:rPr>
        <w:t>.</w:t>
      </w:r>
    </w:p>
    <w:p w14:paraId="0501DB6C" w14:textId="3C3BC943" w:rsidR="003D6B78" w:rsidRPr="00C760A6" w:rsidRDefault="00000000" w:rsidP="00876746">
      <w:pPr>
        <w:spacing w:afterLines="100" w:after="360"/>
        <w:ind w:firstLine="0"/>
      </w:pPr>
      <w:r w:rsidRPr="00C760A6">
        <w:t>The measured Raman signal (D) is modeled as a linear combination of three distinct spectral components: the bulk water signal (S</w:t>
      </w:r>
      <w:r w:rsidRPr="00C760A6">
        <w:rPr>
          <w:vertAlign w:val="subscript"/>
        </w:rPr>
        <w:t>w</w:t>
      </w:r>
      <w:r w:rsidRPr="00C760A6">
        <w:t>), the bulk oil signal (S</w:t>
      </w:r>
      <w:r w:rsidRPr="00C760A6">
        <w:rPr>
          <w:vertAlign w:val="subscript"/>
        </w:rPr>
        <w:t>o</w:t>
      </w:r>
      <w:r w:rsidRPr="00C760A6">
        <w:t>), and the characteristic signal originating from the Pickering emulsion electrocatalytic system interface (S</w:t>
      </w:r>
      <w:r w:rsidRPr="00C760A6">
        <w:rPr>
          <w:vertAlign w:val="subscript"/>
        </w:rPr>
        <w:t>in</w:t>
      </w:r>
      <w:r w:rsidRPr="00C760A6">
        <w:t>)</w:t>
      </w:r>
      <w:r w:rsidR="00857376" w:rsidRPr="00857376">
        <w:rPr>
          <w:rFonts w:cs="Times New Roman"/>
          <w:kern w:val="0"/>
          <w:vertAlign w:val="superscript"/>
        </w:rPr>
        <w:t>10</w:t>
      </w:r>
      <w:r w:rsidRPr="00C760A6">
        <w:t>.</w:t>
      </w:r>
    </w:p>
    <w:p w14:paraId="334B61D4" w14:textId="77777777" w:rsidR="003D6B78" w:rsidRPr="00C760A6" w:rsidRDefault="00000000" w:rsidP="00876746">
      <w:pPr>
        <w:spacing w:afterLines="100" w:after="360"/>
        <w:ind w:firstLine="720"/>
      </w:pPr>
      <m:oMathPara>
        <m:oMath>
          <m:r>
            <w:rPr>
              <w:rFonts w:ascii="Cambria Math" w:hAnsi="Cambria Math"/>
            </w:rPr>
            <m:t>D=</m:t>
          </m:r>
          <m:sSub>
            <m:sSubPr>
              <m:ctrlPr>
                <w:rPr>
                  <w:rFonts w:ascii="Cambria Math" w:hAnsi="Cambria Math"/>
                </w:rPr>
              </m:ctrlPr>
            </m:sSubPr>
            <m:e>
              <m:r>
                <w:rPr>
                  <w:rFonts w:ascii="Cambria Math" w:hAnsi="Cambria Math"/>
                </w:rPr>
                <m:t>C</m:t>
              </m:r>
            </m:e>
            <m:sub>
              <m:r>
                <w:rPr>
                  <w:rFonts w:ascii="Cambria Math" w:hAnsi="Cambria Math"/>
                </w:rPr>
                <m:t>w</m:t>
              </m:r>
            </m:sub>
          </m:sSub>
          <m:sSub>
            <m:sSubPr>
              <m:ctrlPr>
                <w:rPr>
                  <w:rFonts w:ascii="Cambria Math" w:hAnsi="Cambria Math"/>
                </w:rPr>
              </m:ctrlPr>
            </m:sSubPr>
            <m:e>
              <m:r>
                <w:rPr>
                  <w:rFonts w:ascii="Cambria Math" w:hAnsi="Cambria Math"/>
                </w:rPr>
                <m:t>S</m:t>
              </m:r>
            </m:e>
            <m:sub>
              <m:r>
                <w:rPr>
                  <w:rFonts w:ascii="Cambria Math" w:hAnsi="Cambria Math"/>
                </w:rPr>
                <m:t>w</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o</m:t>
              </m:r>
            </m:sub>
          </m:sSub>
          <m:sSub>
            <m:sSubPr>
              <m:ctrlPr>
                <w:rPr>
                  <w:rFonts w:ascii="Cambria Math" w:hAnsi="Cambria Math"/>
                </w:rPr>
              </m:ctrlPr>
            </m:sSubPr>
            <m:e>
              <m:r>
                <w:rPr>
                  <w:rFonts w:ascii="Cambria Math" w:hAnsi="Cambria Math"/>
                </w:rPr>
                <m:t>S</m:t>
              </m:r>
            </m:e>
            <m:sub>
              <m:r>
                <w:rPr>
                  <w:rFonts w:ascii="Cambria Math" w:hAnsi="Cambria Math"/>
                </w:rPr>
                <m:t>o</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in</m:t>
              </m:r>
            </m:sub>
          </m:sSub>
          <m:sSub>
            <m:sSubPr>
              <m:ctrlPr>
                <w:rPr>
                  <w:rFonts w:ascii="Cambria Math" w:hAnsi="Cambria Math"/>
                </w:rPr>
              </m:ctrlPr>
            </m:sSubPr>
            <m:e>
              <m:r>
                <w:rPr>
                  <w:rFonts w:ascii="Cambria Math" w:hAnsi="Cambria Math"/>
                </w:rPr>
                <m:t>S</m:t>
              </m:r>
            </m:e>
            <m:sub>
              <m:r>
                <w:rPr>
                  <w:rFonts w:ascii="Cambria Math" w:hAnsi="Cambria Math"/>
                </w:rPr>
                <m:t>in</m:t>
              </m:r>
            </m:sub>
          </m:sSub>
        </m:oMath>
      </m:oMathPara>
    </w:p>
    <w:p w14:paraId="6DF4C034" w14:textId="77777777" w:rsidR="003D6B78" w:rsidRPr="00C760A6" w:rsidRDefault="00000000" w:rsidP="00876746">
      <w:pPr>
        <w:spacing w:afterLines="100" w:after="360"/>
        <w:ind w:firstLine="0"/>
      </w:pPr>
      <w:r w:rsidRPr="00C760A6">
        <w:lastRenderedPageBreak/>
        <w:t>In the acquired Raman spectra, the distinct spectral separation between cyclohexane and water signals enables straightforward isolation of the water spectral component. To specifically extract the interfacial water signal originating from the PEES, the non-negative minimum area difference method is applied between the composite signal (D) and the bulk water reference (S</w:t>
      </w:r>
      <w:r w:rsidRPr="00C760A6">
        <w:rPr>
          <w:vertAlign w:val="subscript"/>
        </w:rPr>
        <w:t>w</w:t>
      </w:r>
      <w:r w:rsidRPr="00C760A6">
        <w:t>), thereby effectively eliminating the contribution from bulk water. The resulting residual spectrum directly reflects the characteristic vibrational features of water molecules residing at the PEES interface.</w:t>
      </w:r>
    </w:p>
    <w:p w14:paraId="0A84234C" w14:textId="418FED48" w:rsidR="001A22A3" w:rsidRDefault="00515061" w:rsidP="001A22A3">
      <w:pPr>
        <w:spacing w:afterLines="100" w:after="360"/>
        <w:ind w:firstLine="0"/>
      </w:pPr>
      <w:r w:rsidRPr="00515061">
        <w:t>Furthermore, two independent control experiments were performed on pure water samples. The difference spectrum, obtained by subtracting these two control measurements, exhibited a background noise level substantially lower than the characteristic signals detected from the emulsion interface (Figure S2</w:t>
      </w:r>
      <w:r w:rsidR="00D1151F">
        <w:rPr>
          <w:rFonts w:hint="eastAsia"/>
        </w:rPr>
        <w:t>2</w:t>
      </w:r>
      <w:r w:rsidRPr="00515061">
        <w:t>c). This result conclusively validates the reliability of both the experimental methodology and the computational analysis employed in this study.</w:t>
      </w:r>
    </w:p>
    <w:p w14:paraId="74ED5B59" w14:textId="77777777" w:rsidR="001A22A3" w:rsidRDefault="001A22A3" w:rsidP="001A22A3">
      <w:pPr>
        <w:spacing w:afterLines="100" w:after="360"/>
        <w:ind w:firstLine="0"/>
      </w:pPr>
    </w:p>
    <w:p w14:paraId="003CE3EE" w14:textId="1E2EF545" w:rsidR="003D6B78" w:rsidRPr="00C760A6" w:rsidRDefault="0053250D" w:rsidP="001A22A3">
      <w:pPr>
        <w:spacing w:afterLines="100" w:after="360"/>
        <w:ind w:firstLine="0"/>
        <w:jc w:val="center"/>
        <w:rPr>
          <w:rStyle w:val="30"/>
          <w:rFonts w:cs="Times New Roman"/>
          <w:bCs/>
        </w:rPr>
      </w:pPr>
      <w:r w:rsidRPr="0053250D">
        <w:rPr>
          <w:rStyle w:val="30"/>
          <w:rFonts w:eastAsiaTheme="minorEastAsia" w:cstheme="minorBidi"/>
          <w:noProof/>
          <w:color w:val="auto"/>
          <w:szCs w:val="22"/>
        </w:rPr>
        <w:drawing>
          <wp:inline distT="0" distB="0" distL="0" distR="0" wp14:anchorId="06180030" wp14:editId="727054E8">
            <wp:extent cx="2973600" cy="2307600"/>
            <wp:effectExtent l="0" t="0" r="0" b="0"/>
            <wp:docPr id="7616159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3600" cy="2307600"/>
                    </a:xfrm>
                    <a:prstGeom prst="rect">
                      <a:avLst/>
                    </a:prstGeom>
                    <a:noFill/>
                    <a:ln>
                      <a:noFill/>
                    </a:ln>
                  </pic:spPr>
                </pic:pic>
              </a:graphicData>
            </a:graphic>
          </wp:inline>
        </w:drawing>
      </w:r>
    </w:p>
    <w:p w14:paraId="2C40327B" w14:textId="619B98D0" w:rsidR="003D6B78" w:rsidRDefault="00000000" w:rsidP="008D2800">
      <w:pPr>
        <w:ind w:firstLine="0"/>
        <w:jc w:val="center"/>
        <w:rPr>
          <w:rFonts w:eastAsiaTheme="majorEastAsia"/>
          <w:bCs/>
          <w:color w:val="000000" w:themeColor="text1"/>
          <w:szCs w:val="28"/>
        </w:rPr>
      </w:pPr>
      <w:r w:rsidRPr="00660F80">
        <w:rPr>
          <w:rStyle w:val="30"/>
          <w:rFonts w:cs="Times New Roman"/>
          <w:b/>
          <w:bCs/>
        </w:rPr>
        <w:t>Figure S2</w:t>
      </w:r>
      <w:r w:rsidR="00E05A2F">
        <w:rPr>
          <w:rStyle w:val="30"/>
          <w:rFonts w:cs="Times New Roman" w:hint="eastAsia"/>
          <w:b/>
          <w:bCs/>
        </w:rPr>
        <w:t>3</w:t>
      </w:r>
      <w:r w:rsidRPr="00660F80">
        <w:rPr>
          <w:rStyle w:val="30"/>
          <w:rFonts w:cs="Times New Roman"/>
          <w:b/>
        </w:rPr>
        <w:t xml:space="preserve">. </w:t>
      </w:r>
      <w:r w:rsidRPr="00C760A6">
        <w:rPr>
          <w:rFonts w:eastAsiaTheme="majorEastAsia"/>
          <w:bCs/>
          <w:color w:val="000000" w:themeColor="text1"/>
          <w:szCs w:val="28"/>
        </w:rPr>
        <w:t xml:space="preserve">KIE of </w:t>
      </w:r>
      <w:r w:rsidR="00515061">
        <w:rPr>
          <w:rFonts w:eastAsiaTheme="majorEastAsia" w:hint="eastAsia"/>
          <w:bCs/>
          <w:color w:val="000000" w:themeColor="text1"/>
          <w:szCs w:val="28"/>
        </w:rPr>
        <w:t>s</w:t>
      </w:r>
      <w:r w:rsidR="00515061" w:rsidRPr="00C760A6">
        <w:rPr>
          <w:rFonts w:eastAsiaTheme="majorEastAsia"/>
          <w:bCs/>
          <w:color w:val="000000" w:themeColor="text1"/>
          <w:szCs w:val="28"/>
        </w:rPr>
        <w:t xml:space="preserve">tyrene </w:t>
      </w:r>
      <w:r w:rsidRPr="00C760A6">
        <w:rPr>
          <w:rFonts w:eastAsiaTheme="majorEastAsia"/>
          <w:bCs/>
          <w:color w:val="000000" w:themeColor="text1"/>
          <w:szCs w:val="28"/>
        </w:rPr>
        <w:t xml:space="preserve">and </w:t>
      </w:r>
      <w:r w:rsidR="00515061">
        <w:rPr>
          <w:rFonts w:eastAsiaTheme="majorEastAsia" w:hint="eastAsia"/>
          <w:bCs/>
          <w:color w:val="000000" w:themeColor="text1"/>
          <w:szCs w:val="28"/>
        </w:rPr>
        <w:t>n</w:t>
      </w:r>
      <w:r w:rsidR="00515061" w:rsidRPr="00C760A6">
        <w:rPr>
          <w:rFonts w:eastAsiaTheme="majorEastAsia"/>
          <w:bCs/>
          <w:color w:val="000000" w:themeColor="text1"/>
          <w:szCs w:val="28"/>
        </w:rPr>
        <w:t>itrobenzene</w:t>
      </w:r>
      <w:r w:rsidR="00515061">
        <w:rPr>
          <w:rFonts w:eastAsiaTheme="majorEastAsia" w:hint="eastAsia"/>
          <w:bCs/>
          <w:color w:val="000000" w:themeColor="text1"/>
          <w:szCs w:val="28"/>
        </w:rPr>
        <w:t xml:space="preserve"> hydrogenation</w:t>
      </w:r>
      <w:r w:rsidR="00515061" w:rsidRPr="00C760A6">
        <w:rPr>
          <w:rFonts w:eastAsiaTheme="majorEastAsia"/>
          <w:bCs/>
          <w:color w:val="000000" w:themeColor="text1"/>
          <w:szCs w:val="28"/>
        </w:rPr>
        <w:t xml:space="preserve"> </w:t>
      </w:r>
      <w:r w:rsidRPr="00C760A6">
        <w:rPr>
          <w:rFonts w:eastAsiaTheme="majorEastAsia"/>
          <w:bCs/>
          <w:color w:val="000000" w:themeColor="text1"/>
          <w:szCs w:val="28"/>
        </w:rPr>
        <w:t xml:space="preserve">on </w:t>
      </w:r>
      <w:r w:rsidRPr="00AC684B">
        <w:rPr>
          <w:rFonts w:eastAsiaTheme="majorEastAsia"/>
          <w:bCs/>
          <w:color w:val="000000" w:themeColor="text1"/>
          <w:szCs w:val="28"/>
        </w:rPr>
        <w:t>Pt/CNTs</w:t>
      </w:r>
      <w:r w:rsidR="00AC684B" w:rsidRPr="00AC684B">
        <w:rPr>
          <w:rFonts w:eastAsiaTheme="majorEastAsia" w:hint="eastAsia"/>
          <w:bCs/>
          <w:color w:val="000000" w:themeColor="text1"/>
          <w:szCs w:val="28"/>
        </w:rPr>
        <w:t>-AT</w:t>
      </w:r>
    </w:p>
    <w:p w14:paraId="369532F3" w14:textId="77777777" w:rsidR="001A22A3" w:rsidRDefault="001A22A3" w:rsidP="008D2800">
      <w:pPr>
        <w:ind w:firstLine="0"/>
        <w:jc w:val="center"/>
        <w:rPr>
          <w:rFonts w:eastAsiaTheme="majorEastAsia"/>
          <w:bCs/>
          <w:color w:val="000000" w:themeColor="text1"/>
          <w:szCs w:val="28"/>
        </w:rPr>
      </w:pPr>
    </w:p>
    <w:p w14:paraId="50D65D97" w14:textId="77777777" w:rsidR="001A22A3" w:rsidRPr="00C760A6" w:rsidRDefault="001A22A3" w:rsidP="001A22A3">
      <w:pPr>
        <w:ind w:firstLine="0"/>
        <w:jc w:val="center"/>
      </w:pPr>
      <w:r w:rsidRPr="00C760A6">
        <w:rPr>
          <w:noProof/>
        </w:rPr>
        <w:lastRenderedPageBreak/>
        <w:drawing>
          <wp:inline distT="0" distB="0" distL="0" distR="0" wp14:anchorId="164873AD" wp14:editId="748A75A2">
            <wp:extent cx="3409315" cy="1448435"/>
            <wp:effectExtent l="0" t="0" r="635" b="0"/>
            <wp:docPr id="19782027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02752" name="图片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416678" cy="1451946"/>
                    </a:xfrm>
                    <a:prstGeom prst="rect">
                      <a:avLst/>
                    </a:prstGeom>
                    <a:noFill/>
                  </pic:spPr>
                </pic:pic>
              </a:graphicData>
            </a:graphic>
          </wp:inline>
        </w:drawing>
      </w:r>
    </w:p>
    <w:p w14:paraId="4AD15839" w14:textId="013DF53D" w:rsidR="001A22A3" w:rsidRPr="00C760A6" w:rsidRDefault="001A22A3" w:rsidP="001A22A3">
      <w:pPr>
        <w:ind w:firstLine="0"/>
        <w:jc w:val="center"/>
        <w:rPr>
          <w:rStyle w:val="30"/>
          <w:rFonts w:cs="Times New Roman"/>
          <w:bCs/>
        </w:rPr>
      </w:pPr>
      <w:r w:rsidRPr="00672193">
        <w:rPr>
          <w:rStyle w:val="30"/>
          <w:rFonts w:cs="Times New Roman"/>
          <w:b/>
          <w:bCs/>
        </w:rPr>
        <w:t>Figure S2</w:t>
      </w:r>
      <w:r>
        <w:rPr>
          <w:rStyle w:val="30"/>
          <w:rFonts w:cs="Times New Roman" w:hint="eastAsia"/>
          <w:b/>
          <w:bCs/>
        </w:rPr>
        <w:t>4</w:t>
      </w:r>
      <w:r w:rsidRPr="00672193">
        <w:rPr>
          <w:rStyle w:val="30"/>
          <w:rFonts w:cs="Times New Roman"/>
          <w:b/>
        </w:rPr>
        <w:t xml:space="preserve">. </w:t>
      </w:r>
      <w:r w:rsidRPr="00C760A6">
        <w:rPr>
          <w:rStyle w:val="30"/>
          <w:rFonts w:cs="Times New Roman"/>
          <w:bCs/>
        </w:rPr>
        <w:t>The equivalent circuit of all systems.</w:t>
      </w:r>
    </w:p>
    <w:p w14:paraId="5C3271E6" w14:textId="77777777" w:rsidR="001A22A3" w:rsidRPr="00C760A6" w:rsidRDefault="001A22A3" w:rsidP="001A22A3">
      <w:pPr>
        <w:spacing w:beforeLines="50" w:before="180" w:afterLines="100" w:after="360"/>
        <w:ind w:firstLine="0"/>
      </w:pPr>
      <w:r w:rsidRPr="00C760A6">
        <w:t>Here, R</w:t>
      </w:r>
      <w:r w:rsidRPr="00C760A6">
        <w:rPr>
          <w:vertAlign w:val="subscript"/>
        </w:rPr>
        <w:t>s</w:t>
      </w:r>
      <w:r w:rsidRPr="00C760A6">
        <w:t xml:space="preserve"> denotes the solution resistance, R</w:t>
      </w:r>
      <w:r w:rsidRPr="00C760A6">
        <w:rPr>
          <w:vertAlign w:val="subscript"/>
        </w:rPr>
        <w:t>ct</w:t>
      </w:r>
      <w:r w:rsidRPr="00C760A6">
        <w:t xml:space="preserve"> represents the charge transfer resistance, and CPE stands for the constant phase element.</w:t>
      </w:r>
    </w:p>
    <w:p w14:paraId="1AA1AC22" w14:textId="77777777" w:rsidR="001A22A3" w:rsidRPr="001A22A3" w:rsidRDefault="001A22A3" w:rsidP="008D2800">
      <w:pPr>
        <w:ind w:firstLine="0"/>
        <w:jc w:val="center"/>
        <w:rPr>
          <w:rFonts w:eastAsiaTheme="majorEastAsia"/>
          <w:bCs/>
          <w:color w:val="000000" w:themeColor="text1"/>
          <w:szCs w:val="28"/>
        </w:rPr>
      </w:pPr>
    </w:p>
    <w:p w14:paraId="5E7E07E9" w14:textId="36A213DC" w:rsidR="003D6B78" w:rsidRPr="00C760A6" w:rsidRDefault="003D6B78" w:rsidP="001A22A3">
      <w:pPr>
        <w:ind w:firstLine="0"/>
        <w:rPr>
          <w:rStyle w:val="30"/>
          <w:rFonts w:cs="Times New Roman"/>
        </w:rPr>
      </w:pPr>
    </w:p>
    <w:p w14:paraId="24026969" w14:textId="3067593C" w:rsidR="003D6B78" w:rsidRPr="00C760A6" w:rsidRDefault="0077568D" w:rsidP="008D2800">
      <w:pPr>
        <w:ind w:firstLine="0"/>
        <w:jc w:val="center"/>
      </w:pPr>
      <w:r w:rsidRPr="0077568D">
        <w:rPr>
          <w:noProof/>
        </w:rPr>
        <w:drawing>
          <wp:inline distT="0" distB="0" distL="0" distR="0" wp14:anchorId="0C580B18" wp14:editId="104DCA6F">
            <wp:extent cx="3024000" cy="2642400"/>
            <wp:effectExtent l="0" t="0" r="0" b="0"/>
            <wp:docPr id="4819397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24000" cy="2642400"/>
                    </a:xfrm>
                    <a:prstGeom prst="rect">
                      <a:avLst/>
                    </a:prstGeom>
                    <a:noFill/>
                    <a:ln>
                      <a:noFill/>
                    </a:ln>
                  </pic:spPr>
                </pic:pic>
              </a:graphicData>
            </a:graphic>
          </wp:inline>
        </w:drawing>
      </w:r>
    </w:p>
    <w:p w14:paraId="0B92ACFA" w14:textId="1F65B08A" w:rsidR="003D6B78" w:rsidRDefault="00000000" w:rsidP="008D2800">
      <w:pPr>
        <w:ind w:firstLine="0"/>
        <w:jc w:val="center"/>
      </w:pPr>
      <w:r w:rsidRPr="00C760A6">
        <w:rPr>
          <w:b/>
          <w:bCs/>
        </w:rPr>
        <w:t>Figure S</w:t>
      </w:r>
      <w:r w:rsidR="001A22A3">
        <w:rPr>
          <w:rFonts w:hint="eastAsia"/>
          <w:b/>
          <w:bCs/>
        </w:rPr>
        <w:t>25</w:t>
      </w:r>
      <w:r w:rsidRPr="00C760A6">
        <w:rPr>
          <w:b/>
          <w:bCs/>
        </w:rPr>
        <w:t>.</w:t>
      </w:r>
      <w:r w:rsidRPr="00C760A6">
        <w:t xml:space="preserve"> Mass spectra of 4-</w:t>
      </w:r>
      <w:r w:rsidR="006D2E2A">
        <w:rPr>
          <w:rFonts w:hint="eastAsia"/>
        </w:rPr>
        <w:t>a</w:t>
      </w:r>
      <w:r w:rsidR="006D2E2A" w:rsidRPr="00C760A6">
        <w:t>minoethylbenzene</w:t>
      </w:r>
      <w:r w:rsidRPr="00C760A6">
        <w:t>.</w:t>
      </w:r>
    </w:p>
    <w:p w14:paraId="2071A645" w14:textId="77777777" w:rsidR="008D2800" w:rsidRDefault="008D2800" w:rsidP="008D2800">
      <w:pPr>
        <w:ind w:firstLine="0"/>
        <w:jc w:val="center"/>
      </w:pPr>
    </w:p>
    <w:p w14:paraId="1CA8316C" w14:textId="77777777" w:rsidR="008D2800" w:rsidRDefault="008D2800" w:rsidP="008D2800">
      <w:pPr>
        <w:ind w:firstLine="0"/>
        <w:jc w:val="center"/>
      </w:pPr>
    </w:p>
    <w:p w14:paraId="7E24F478" w14:textId="77777777" w:rsidR="008D2800" w:rsidRPr="00C760A6" w:rsidRDefault="008D2800" w:rsidP="008D2800">
      <w:pPr>
        <w:ind w:firstLine="0"/>
        <w:jc w:val="center"/>
      </w:pPr>
    </w:p>
    <w:p w14:paraId="20AA0F2E" w14:textId="40BAA224" w:rsidR="003D6B78" w:rsidRPr="00C760A6" w:rsidRDefault="0077568D" w:rsidP="008D2800">
      <w:pPr>
        <w:ind w:firstLine="0"/>
        <w:jc w:val="center"/>
      </w:pPr>
      <w:r w:rsidRPr="0077568D">
        <w:rPr>
          <w:noProof/>
        </w:rPr>
        <w:lastRenderedPageBreak/>
        <w:drawing>
          <wp:inline distT="0" distB="0" distL="0" distR="0" wp14:anchorId="07C4DA6D" wp14:editId="16498C0E">
            <wp:extent cx="3009600" cy="2635200"/>
            <wp:effectExtent l="0" t="0" r="0" b="0"/>
            <wp:docPr id="9580083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600" cy="2635200"/>
                    </a:xfrm>
                    <a:prstGeom prst="rect">
                      <a:avLst/>
                    </a:prstGeom>
                    <a:noFill/>
                    <a:ln>
                      <a:noFill/>
                    </a:ln>
                  </pic:spPr>
                </pic:pic>
              </a:graphicData>
            </a:graphic>
          </wp:inline>
        </w:drawing>
      </w:r>
    </w:p>
    <w:p w14:paraId="37152C9B" w14:textId="789A9F6D" w:rsidR="003D6B78" w:rsidRDefault="00000000" w:rsidP="00095DCB">
      <w:pPr>
        <w:ind w:firstLine="0"/>
        <w:jc w:val="center"/>
      </w:pPr>
      <w:r w:rsidRPr="00C760A6">
        <w:rPr>
          <w:b/>
          <w:bCs/>
        </w:rPr>
        <w:t>Figure S</w:t>
      </w:r>
      <w:r w:rsidR="001A22A3">
        <w:rPr>
          <w:rFonts w:hint="eastAsia"/>
          <w:b/>
          <w:bCs/>
        </w:rPr>
        <w:t>26</w:t>
      </w:r>
      <w:r w:rsidRPr="00C760A6">
        <w:rPr>
          <w:b/>
          <w:bCs/>
        </w:rPr>
        <w:t>.</w:t>
      </w:r>
      <w:r w:rsidRPr="00C760A6">
        <w:t xml:space="preserve"> Mass spectra of 4-</w:t>
      </w:r>
      <w:r w:rsidR="006D2E2A">
        <w:rPr>
          <w:rFonts w:hint="eastAsia"/>
        </w:rPr>
        <w:t>a</w:t>
      </w:r>
      <w:r w:rsidR="006D2E2A" w:rsidRPr="00C760A6">
        <w:t>minostyrene</w:t>
      </w:r>
      <w:r w:rsidRPr="00C760A6">
        <w:t>.</w:t>
      </w:r>
    </w:p>
    <w:p w14:paraId="4C3792BF" w14:textId="77777777" w:rsidR="001A22A3" w:rsidRDefault="001A22A3" w:rsidP="00095DCB">
      <w:pPr>
        <w:ind w:firstLine="0"/>
        <w:jc w:val="center"/>
      </w:pPr>
    </w:p>
    <w:p w14:paraId="6F23273F" w14:textId="77777777" w:rsidR="001A22A3" w:rsidRDefault="001A22A3" w:rsidP="00095DCB">
      <w:pPr>
        <w:ind w:firstLine="0"/>
        <w:jc w:val="center"/>
      </w:pPr>
    </w:p>
    <w:p w14:paraId="143CE8BB" w14:textId="77777777" w:rsidR="001A22A3" w:rsidRPr="00C760A6" w:rsidRDefault="001A22A3" w:rsidP="00095DCB">
      <w:pPr>
        <w:ind w:firstLine="0"/>
        <w:jc w:val="center"/>
      </w:pPr>
    </w:p>
    <w:p w14:paraId="061940CD" w14:textId="7096151A" w:rsidR="003D6B78" w:rsidRPr="00C760A6" w:rsidRDefault="0077568D" w:rsidP="001A22A3">
      <w:pPr>
        <w:ind w:firstLine="720"/>
        <w:jc w:val="center"/>
      </w:pPr>
      <w:r w:rsidRPr="0077568D">
        <w:rPr>
          <w:noProof/>
        </w:rPr>
        <w:drawing>
          <wp:inline distT="0" distB="0" distL="0" distR="0" wp14:anchorId="7AA27AB9" wp14:editId="0E06580C">
            <wp:extent cx="3013200" cy="2642400"/>
            <wp:effectExtent l="0" t="0" r="0" b="0"/>
            <wp:docPr id="11048429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13200" cy="2642400"/>
                    </a:xfrm>
                    <a:prstGeom prst="rect">
                      <a:avLst/>
                    </a:prstGeom>
                    <a:noFill/>
                    <a:ln>
                      <a:noFill/>
                    </a:ln>
                  </pic:spPr>
                </pic:pic>
              </a:graphicData>
            </a:graphic>
          </wp:inline>
        </w:drawing>
      </w:r>
    </w:p>
    <w:p w14:paraId="1A39F776" w14:textId="120B1C36" w:rsidR="003D6B78" w:rsidRDefault="00000000" w:rsidP="008D2800">
      <w:pPr>
        <w:ind w:firstLine="0"/>
        <w:jc w:val="center"/>
      </w:pPr>
      <w:r w:rsidRPr="00C760A6">
        <w:rPr>
          <w:b/>
          <w:bCs/>
        </w:rPr>
        <w:t>Figure S</w:t>
      </w:r>
      <w:r w:rsidR="001A22A3">
        <w:rPr>
          <w:rFonts w:hint="eastAsia"/>
          <w:b/>
          <w:bCs/>
        </w:rPr>
        <w:t>27</w:t>
      </w:r>
      <w:r w:rsidRPr="00C760A6">
        <w:rPr>
          <w:b/>
          <w:bCs/>
        </w:rPr>
        <w:t>.</w:t>
      </w:r>
      <w:r w:rsidRPr="00C760A6">
        <w:t xml:space="preserve"> Mass spectra of 4-</w:t>
      </w:r>
      <w:r w:rsidR="006D2E2A">
        <w:rPr>
          <w:rFonts w:hint="eastAsia"/>
        </w:rPr>
        <w:t>n</w:t>
      </w:r>
      <w:r w:rsidR="006D2E2A" w:rsidRPr="00C760A6">
        <w:t>itroethylbenzene</w:t>
      </w:r>
      <w:r w:rsidRPr="00C760A6">
        <w:t>.</w:t>
      </w:r>
    </w:p>
    <w:p w14:paraId="0470ED3F" w14:textId="77777777" w:rsidR="008D2800" w:rsidRDefault="008D2800" w:rsidP="008D2800">
      <w:pPr>
        <w:ind w:firstLine="0"/>
        <w:jc w:val="center"/>
      </w:pPr>
    </w:p>
    <w:p w14:paraId="6918765A" w14:textId="77777777" w:rsidR="008D2800" w:rsidRDefault="008D2800" w:rsidP="008D2800">
      <w:pPr>
        <w:ind w:firstLine="0"/>
        <w:jc w:val="center"/>
      </w:pPr>
    </w:p>
    <w:p w14:paraId="7ED10380" w14:textId="77777777" w:rsidR="008D2800" w:rsidRPr="00C760A6" w:rsidRDefault="008D2800" w:rsidP="008D2800">
      <w:pPr>
        <w:ind w:firstLine="0"/>
        <w:jc w:val="center"/>
      </w:pPr>
    </w:p>
    <w:p w14:paraId="3CD720B7" w14:textId="426BC0DD" w:rsidR="003D6B78" w:rsidRPr="00C760A6" w:rsidRDefault="0077568D" w:rsidP="008D2800">
      <w:pPr>
        <w:ind w:firstLine="0"/>
        <w:jc w:val="center"/>
      </w:pPr>
      <w:r w:rsidRPr="0077568D">
        <w:rPr>
          <w:noProof/>
        </w:rPr>
        <w:lastRenderedPageBreak/>
        <w:drawing>
          <wp:inline distT="0" distB="0" distL="0" distR="0" wp14:anchorId="36BD21DA" wp14:editId="0CC194C6">
            <wp:extent cx="3013200" cy="2642400"/>
            <wp:effectExtent l="0" t="0" r="0" b="0"/>
            <wp:docPr id="18917629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13200" cy="2642400"/>
                    </a:xfrm>
                    <a:prstGeom prst="rect">
                      <a:avLst/>
                    </a:prstGeom>
                    <a:noFill/>
                    <a:ln>
                      <a:noFill/>
                    </a:ln>
                  </pic:spPr>
                </pic:pic>
              </a:graphicData>
            </a:graphic>
          </wp:inline>
        </w:drawing>
      </w:r>
    </w:p>
    <w:p w14:paraId="240EE4D3" w14:textId="2BFE9C11" w:rsidR="003D6B78" w:rsidRPr="00C760A6" w:rsidRDefault="00000000" w:rsidP="00095DCB">
      <w:pPr>
        <w:ind w:firstLine="0"/>
        <w:jc w:val="center"/>
      </w:pPr>
      <w:r w:rsidRPr="00C760A6">
        <w:rPr>
          <w:b/>
          <w:bCs/>
        </w:rPr>
        <w:t>Figure S</w:t>
      </w:r>
      <w:r w:rsidR="001A22A3">
        <w:rPr>
          <w:rFonts w:hint="eastAsia"/>
          <w:b/>
          <w:bCs/>
        </w:rPr>
        <w:t>28</w:t>
      </w:r>
      <w:r w:rsidRPr="00C760A6">
        <w:rPr>
          <w:b/>
          <w:bCs/>
        </w:rPr>
        <w:t>.</w:t>
      </w:r>
      <w:r w:rsidRPr="00C760A6">
        <w:t xml:space="preserve"> Mass spectra of 4-</w:t>
      </w:r>
      <w:r w:rsidR="006D2E2A">
        <w:rPr>
          <w:rFonts w:hint="eastAsia"/>
        </w:rPr>
        <w:t>n</w:t>
      </w:r>
      <w:r w:rsidR="006D2E2A" w:rsidRPr="00C760A6">
        <w:t>itrostyrene</w:t>
      </w:r>
      <w:r w:rsidRPr="00C760A6">
        <w:t>.</w:t>
      </w:r>
    </w:p>
    <w:p w14:paraId="6A6D2C0C" w14:textId="7FB914D0" w:rsidR="003D6B78" w:rsidRDefault="003D6B78" w:rsidP="001A22A3">
      <w:pPr>
        <w:ind w:firstLine="0"/>
        <w:rPr>
          <w:rFonts w:eastAsiaTheme="majorEastAsia"/>
          <w:color w:val="000000" w:themeColor="text1"/>
          <w:szCs w:val="28"/>
        </w:rPr>
      </w:pPr>
    </w:p>
    <w:p w14:paraId="5FB54F12" w14:textId="77777777" w:rsidR="001A22A3" w:rsidRPr="00C760A6" w:rsidRDefault="001A22A3" w:rsidP="001A22A3">
      <w:pPr>
        <w:ind w:firstLine="0"/>
        <w:rPr>
          <w:rFonts w:eastAsiaTheme="majorEastAsia"/>
          <w:color w:val="000000" w:themeColor="text1"/>
          <w:szCs w:val="28"/>
        </w:rPr>
      </w:pPr>
    </w:p>
    <w:p w14:paraId="793FA771" w14:textId="3F17AD64" w:rsidR="003D6B78" w:rsidRPr="00C760A6" w:rsidRDefault="0077568D" w:rsidP="008D2800">
      <w:pPr>
        <w:ind w:firstLine="0"/>
        <w:jc w:val="center"/>
      </w:pPr>
      <w:r w:rsidRPr="0077568D">
        <w:rPr>
          <w:noProof/>
        </w:rPr>
        <w:drawing>
          <wp:inline distT="0" distB="0" distL="0" distR="0" wp14:anchorId="23F02466" wp14:editId="2FB4420C">
            <wp:extent cx="4604400" cy="3859200"/>
            <wp:effectExtent l="0" t="0" r="0" b="0"/>
            <wp:docPr id="2915459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4400" cy="3859200"/>
                    </a:xfrm>
                    <a:prstGeom prst="rect">
                      <a:avLst/>
                    </a:prstGeom>
                    <a:noFill/>
                    <a:ln>
                      <a:noFill/>
                    </a:ln>
                  </pic:spPr>
                </pic:pic>
              </a:graphicData>
            </a:graphic>
          </wp:inline>
        </w:drawing>
      </w:r>
    </w:p>
    <w:p w14:paraId="1A078726" w14:textId="43AF7261" w:rsidR="003D6B78" w:rsidRPr="00C760A6" w:rsidRDefault="00000000" w:rsidP="00095DCB">
      <w:pPr>
        <w:ind w:firstLine="0"/>
      </w:pPr>
      <w:r w:rsidRPr="00C760A6">
        <w:rPr>
          <w:b/>
          <w:bCs/>
        </w:rPr>
        <w:t>Figure</w:t>
      </w:r>
      <w:r w:rsidR="008D2800">
        <w:rPr>
          <w:rFonts w:hint="eastAsia"/>
          <w:b/>
          <w:bCs/>
        </w:rPr>
        <w:t xml:space="preserve"> </w:t>
      </w:r>
      <w:r w:rsidRPr="00C760A6">
        <w:rPr>
          <w:b/>
          <w:bCs/>
        </w:rPr>
        <w:t>S</w:t>
      </w:r>
      <w:r w:rsidR="001A22A3">
        <w:rPr>
          <w:rFonts w:hint="eastAsia"/>
          <w:b/>
          <w:bCs/>
        </w:rPr>
        <w:t>29</w:t>
      </w:r>
      <w:r w:rsidRPr="00C760A6">
        <w:rPr>
          <w:b/>
          <w:bCs/>
        </w:rPr>
        <w:t>.</w:t>
      </w:r>
      <w:r w:rsidRPr="00C760A6">
        <w:t xml:space="preserve"> </w:t>
      </w:r>
      <w:r w:rsidRPr="00672193">
        <w:t xml:space="preserve">Calibration curves for </w:t>
      </w:r>
      <w:r w:rsidR="006D2E2A">
        <w:rPr>
          <w:rFonts w:hint="eastAsia"/>
        </w:rPr>
        <w:t xml:space="preserve">(a) </w:t>
      </w:r>
      <w:r w:rsidRPr="00C760A6">
        <w:t>4-</w:t>
      </w:r>
      <w:r w:rsidR="006D2E2A">
        <w:rPr>
          <w:rFonts w:hint="eastAsia"/>
        </w:rPr>
        <w:t>a</w:t>
      </w:r>
      <w:r w:rsidR="006D2E2A" w:rsidRPr="00C760A6">
        <w:t>minoethylbenzene</w:t>
      </w:r>
      <w:r w:rsidRPr="00672193">
        <w:t xml:space="preserve">, </w:t>
      </w:r>
      <w:r w:rsidR="006D2E2A" w:rsidRPr="00672193">
        <w:t>(b)</w:t>
      </w:r>
      <w:r w:rsidR="006D2E2A">
        <w:rPr>
          <w:rFonts w:hint="eastAsia"/>
        </w:rPr>
        <w:t xml:space="preserve"> </w:t>
      </w:r>
      <w:r w:rsidRPr="00C760A6">
        <w:t>4-</w:t>
      </w:r>
      <w:r w:rsidR="006D2E2A">
        <w:rPr>
          <w:rFonts w:hint="eastAsia"/>
        </w:rPr>
        <w:t>a</w:t>
      </w:r>
      <w:r w:rsidR="006D2E2A" w:rsidRPr="00C760A6">
        <w:t>minostyrene</w:t>
      </w:r>
      <w:r w:rsidRPr="00672193">
        <w:t xml:space="preserve">, </w:t>
      </w:r>
      <w:r w:rsidR="006D2E2A" w:rsidRPr="00672193">
        <w:t>(c)</w:t>
      </w:r>
      <w:r w:rsidR="006D2E2A">
        <w:rPr>
          <w:rFonts w:hint="eastAsia"/>
        </w:rPr>
        <w:t xml:space="preserve"> </w:t>
      </w:r>
      <w:r w:rsidRPr="00C760A6">
        <w:t>4-</w:t>
      </w:r>
      <w:r w:rsidR="001C1E2E">
        <w:rPr>
          <w:rFonts w:hint="eastAsia"/>
        </w:rPr>
        <w:t>n</w:t>
      </w:r>
      <w:r w:rsidR="001C1E2E" w:rsidRPr="00C760A6">
        <w:t>itroethylbenzene</w:t>
      </w:r>
      <w:r w:rsidRPr="00672193">
        <w:t xml:space="preserve">, and </w:t>
      </w:r>
      <w:r w:rsidR="006D2E2A" w:rsidRPr="00672193">
        <w:t>(d)</w:t>
      </w:r>
      <w:r w:rsidR="006D2E2A">
        <w:rPr>
          <w:rFonts w:hint="eastAsia"/>
        </w:rPr>
        <w:t xml:space="preserve"> </w:t>
      </w:r>
      <w:r w:rsidRPr="00C760A6">
        <w:t>4-</w:t>
      </w:r>
      <w:r w:rsidR="001C1E2E">
        <w:rPr>
          <w:rFonts w:hint="eastAsia"/>
        </w:rPr>
        <w:t>n</w:t>
      </w:r>
      <w:r w:rsidR="001C1E2E" w:rsidRPr="00C760A6">
        <w:t>itrostyrene</w:t>
      </w:r>
      <w:r w:rsidRPr="00672193">
        <w:t>.</w:t>
      </w:r>
    </w:p>
    <w:p w14:paraId="2DD88244" w14:textId="77777777" w:rsidR="003D6B78" w:rsidRPr="00C760A6" w:rsidRDefault="003D6B78" w:rsidP="00095DCB">
      <w:pPr>
        <w:ind w:firstLine="720"/>
      </w:pPr>
    </w:p>
    <w:p w14:paraId="56B61763" w14:textId="77777777" w:rsidR="001A22A3" w:rsidRDefault="001A22A3" w:rsidP="001A22A3">
      <w:pPr>
        <w:ind w:firstLine="0"/>
        <w:jc w:val="center"/>
        <w:rPr>
          <w:rFonts w:eastAsiaTheme="majorEastAsia"/>
          <w:bCs/>
          <w:color w:val="000000" w:themeColor="text1"/>
          <w:szCs w:val="28"/>
        </w:rPr>
      </w:pPr>
      <w:r w:rsidRPr="0037706E">
        <w:rPr>
          <w:noProof/>
        </w:rPr>
        <w:lastRenderedPageBreak/>
        <w:drawing>
          <wp:inline distT="0" distB="0" distL="0" distR="0" wp14:anchorId="5DA0F9BA" wp14:editId="51C76D95">
            <wp:extent cx="3034158" cy="2757870"/>
            <wp:effectExtent l="0" t="0" r="0" b="4445"/>
            <wp:docPr id="1395008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a:extLst>
                        <a:ext uri="{28A0092B-C50C-407E-A947-70E740481C1C}">
                          <a14:useLocalDpi xmlns:a14="http://schemas.microsoft.com/office/drawing/2010/main" val="0"/>
                        </a:ext>
                      </a:extLst>
                    </a:blip>
                    <a:srcRect t="15922" b="8946"/>
                    <a:stretch/>
                  </pic:blipFill>
                  <pic:spPr bwMode="auto">
                    <a:xfrm>
                      <a:off x="0" y="0"/>
                      <a:ext cx="3051104" cy="2773273"/>
                    </a:xfrm>
                    <a:prstGeom prst="rect">
                      <a:avLst/>
                    </a:prstGeom>
                    <a:noFill/>
                    <a:ln>
                      <a:noFill/>
                    </a:ln>
                    <a:extLst>
                      <a:ext uri="{53640926-AAD7-44D8-BBD7-CCE9431645EC}">
                        <a14:shadowObscured xmlns:a14="http://schemas.microsoft.com/office/drawing/2010/main"/>
                      </a:ext>
                    </a:extLst>
                  </pic:spPr>
                </pic:pic>
              </a:graphicData>
            </a:graphic>
          </wp:inline>
        </w:drawing>
      </w:r>
    </w:p>
    <w:p w14:paraId="22AC17E2" w14:textId="77777777" w:rsidR="001A22A3" w:rsidRPr="00C760A6" w:rsidRDefault="001A22A3" w:rsidP="001A22A3">
      <w:pPr>
        <w:ind w:firstLine="0"/>
        <w:jc w:val="center"/>
        <w:rPr>
          <w:rFonts w:eastAsia="宋体"/>
        </w:rPr>
      </w:pPr>
    </w:p>
    <w:p w14:paraId="3F1CEBE7" w14:textId="389ED48C" w:rsidR="001A22A3" w:rsidRPr="0037706E" w:rsidRDefault="001A22A3" w:rsidP="001A22A3">
      <w:pPr>
        <w:ind w:firstLine="0"/>
      </w:pPr>
      <w:r w:rsidRPr="00C760A6">
        <w:rPr>
          <w:b/>
          <w:bCs/>
        </w:rPr>
        <w:t>Figure</w:t>
      </w:r>
      <w:r w:rsidRPr="00672193">
        <w:rPr>
          <w:b/>
          <w:bCs/>
        </w:rPr>
        <w:t xml:space="preserve"> </w:t>
      </w:r>
      <w:r w:rsidRPr="00C760A6">
        <w:rPr>
          <w:b/>
          <w:bCs/>
        </w:rPr>
        <w:t>S</w:t>
      </w:r>
      <w:r>
        <w:rPr>
          <w:rFonts w:hint="eastAsia"/>
          <w:b/>
          <w:bCs/>
        </w:rPr>
        <w:t>30</w:t>
      </w:r>
      <w:r w:rsidRPr="00C760A6">
        <w:rPr>
          <w:b/>
          <w:bCs/>
        </w:rPr>
        <w:t>.</w:t>
      </w:r>
      <w:r w:rsidRPr="00C760A6">
        <w:t xml:space="preserve"> </w:t>
      </w:r>
      <w:r>
        <w:rPr>
          <w:rFonts w:hint="eastAsia"/>
        </w:rPr>
        <w:t>M</w:t>
      </w:r>
      <w:r w:rsidRPr="00C760A6">
        <w:t>olecular structure</w:t>
      </w:r>
      <w:r>
        <w:rPr>
          <w:rFonts w:hint="eastAsia"/>
        </w:rPr>
        <w:t>s</w:t>
      </w:r>
      <w:r w:rsidRPr="00C760A6">
        <w:t xml:space="preserve"> of (a) </w:t>
      </w:r>
      <w:r>
        <w:rPr>
          <w:rFonts w:hint="eastAsia"/>
        </w:rPr>
        <w:t>c</w:t>
      </w:r>
      <w:r w:rsidRPr="00C760A6">
        <w:t xml:space="preserve">yclohexane, (b) </w:t>
      </w:r>
      <w:r w:rsidRPr="00095DCB">
        <w:rPr>
          <w:color w:val="000000" w:themeColor="text1"/>
        </w:rPr>
        <w:t>H</w:t>
      </w:r>
      <w:r w:rsidRPr="00095DCB">
        <w:rPr>
          <w:color w:val="000000" w:themeColor="text1"/>
          <w:vertAlign w:val="subscript"/>
        </w:rPr>
        <w:t>2</w:t>
      </w:r>
      <w:r w:rsidRPr="00095DCB">
        <w:rPr>
          <w:color w:val="000000" w:themeColor="text1"/>
        </w:rPr>
        <w:t>O, (c) H</w:t>
      </w:r>
      <w:r w:rsidRPr="00095DCB">
        <w:rPr>
          <w:color w:val="000000" w:themeColor="text1"/>
          <w:vertAlign w:val="subscript"/>
        </w:rPr>
        <w:t>3</w:t>
      </w:r>
      <w:r w:rsidRPr="00095DCB">
        <w:rPr>
          <w:color w:val="000000" w:themeColor="text1"/>
        </w:rPr>
        <w:t>O</w:t>
      </w:r>
      <w:r>
        <w:rPr>
          <w:rFonts w:hint="eastAsia"/>
          <w:color w:val="000000" w:themeColor="text1"/>
          <w:vertAlign w:val="superscript"/>
        </w:rPr>
        <w:t>+</w:t>
      </w:r>
      <w:r w:rsidRPr="00095DCB">
        <w:rPr>
          <w:color w:val="000000" w:themeColor="text1"/>
        </w:rPr>
        <w:t>,</w:t>
      </w:r>
      <w:r w:rsidR="00D1151F">
        <w:rPr>
          <w:rFonts w:hint="eastAsia"/>
          <w:color w:val="000000" w:themeColor="text1"/>
        </w:rPr>
        <w:t xml:space="preserve"> </w:t>
      </w:r>
      <w:r w:rsidRPr="008D2800">
        <w:rPr>
          <w:color w:val="000000" w:themeColor="text1"/>
        </w:rPr>
        <w:t xml:space="preserve">(d) </w:t>
      </w:r>
      <w:r w:rsidRPr="00095DCB">
        <w:rPr>
          <w:color w:val="000000" w:themeColor="text1"/>
        </w:rPr>
        <w:t>SO</w:t>
      </w:r>
      <w:r w:rsidRPr="00095DCB">
        <w:rPr>
          <w:color w:val="000000" w:themeColor="text1"/>
          <w:vertAlign w:val="subscript"/>
        </w:rPr>
        <w:t>4</w:t>
      </w:r>
      <w:r w:rsidR="00D1151F" w:rsidRPr="00D1151F">
        <w:rPr>
          <w:rFonts w:hint="eastAsia"/>
          <w:color w:val="000000" w:themeColor="text1"/>
          <w:vertAlign w:val="superscript"/>
        </w:rPr>
        <w:t>-</w:t>
      </w:r>
      <w:r w:rsidRPr="00095DCB">
        <w:rPr>
          <w:color w:val="000000" w:themeColor="text1"/>
        </w:rPr>
        <w:t>,</w:t>
      </w:r>
      <w:r w:rsidR="00D1151F">
        <w:rPr>
          <w:rFonts w:hint="eastAsia"/>
          <w:color w:val="000000" w:themeColor="text1"/>
        </w:rPr>
        <w:t xml:space="preserve"> </w:t>
      </w:r>
      <w:r w:rsidRPr="00095DCB">
        <w:rPr>
          <w:color w:val="000000" w:themeColor="text1"/>
        </w:rPr>
        <w:t>(e</w:t>
      </w:r>
      <w:r w:rsidRPr="008D2800">
        <w:rPr>
          <w:color w:val="000000" w:themeColor="text1"/>
        </w:rPr>
        <w:t xml:space="preserve">) </w:t>
      </w:r>
      <w:r w:rsidRPr="00C760A6">
        <w:t>CNTs</w:t>
      </w:r>
      <w:r w:rsidRPr="00672193">
        <w:t>-C18</w:t>
      </w:r>
      <w:r w:rsidRPr="00C760A6">
        <w:t xml:space="preserve"> substrate, </w:t>
      </w:r>
      <w:r>
        <w:rPr>
          <w:rFonts w:hint="eastAsia"/>
        </w:rPr>
        <w:t xml:space="preserve">and </w:t>
      </w:r>
      <w:r w:rsidRPr="00C760A6">
        <w:t>(f)</w:t>
      </w:r>
      <w:r w:rsidRPr="00672193">
        <w:t xml:space="preserve"> CNTs-AT</w:t>
      </w:r>
      <w:r w:rsidRPr="00C760A6">
        <w:t xml:space="preserve"> substrate.</w:t>
      </w:r>
    </w:p>
    <w:p w14:paraId="5392DC9A" w14:textId="77777777" w:rsidR="001A22A3" w:rsidRPr="00C760A6" w:rsidRDefault="001A22A3" w:rsidP="001A22A3">
      <w:pPr>
        <w:ind w:firstLine="0"/>
        <w:jc w:val="center"/>
        <w:rPr>
          <w:rFonts w:eastAsiaTheme="majorEastAsia"/>
          <w:bCs/>
          <w:color w:val="000000" w:themeColor="text1"/>
          <w:szCs w:val="28"/>
        </w:rPr>
      </w:pPr>
      <w:r w:rsidRPr="00C760A6">
        <w:rPr>
          <w:noProof/>
        </w:rPr>
        <w:drawing>
          <wp:inline distT="0" distB="0" distL="0" distR="0" wp14:anchorId="27EF344D" wp14:editId="1EB62532">
            <wp:extent cx="3841115" cy="2877820"/>
            <wp:effectExtent l="0" t="0" r="6985" b="0"/>
            <wp:docPr id="19877917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91781" name="图片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841115" cy="2877820"/>
                    </a:xfrm>
                    <a:prstGeom prst="rect">
                      <a:avLst/>
                    </a:prstGeom>
                    <a:noFill/>
                  </pic:spPr>
                </pic:pic>
              </a:graphicData>
            </a:graphic>
          </wp:inline>
        </w:drawing>
      </w:r>
    </w:p>
    <w:p w14:paraId="4425D810" w14:textId="10668E51" w:rsidR="001A22A3" w:rsidRDefault="001A22A3" w:rsidP="001A22A3">
      <w:pPr>
        <w:ind w:firstLine="0"/>
        <w:jc w:val="center"/>
        <w:rPr>
          <w:rStyle w:val="30"/>
          <w:rFonts w:cs="Times New Roman"/>
        </w:rPr>
      </w:pPr>
      <w:r w:rsidRPr="00C760A6">
        <w:rPr>
          <w:rStyle w:val="30"/>
          <w:rFonts w:cs="Times New Roman"/>
          <w:b/>
          <w:bCs/>
        </w:rPr>
        <w:t>Figure</w:t>
      </w:r>
      <w:r w:rsidRPr="00660F80">
        <w:rPr>
          <w:rStyle w:val="30"/>
          <w:rFonts w:cs="Times New Roman"/>
          <w:b/>
          <w:bCs/>
        </w:rPr>
        <w:t xml:space="preserve"> S</w:t>
      </w:r>
      <w:r>
        <w:rPr>
          <w:rStyle w:val="30"/>
          <w:rFonts w:cs="Times New Roman" w:hint="eastAsia"/>
          <w:b/>
          <w:bCs/>
        </w:rPr>
        <w:t>31</w:t>
      </w:r>
      <w:r w:rsidRPr="00C760A6">
        <w:rPr>
          <w:rStyle w:val="30"/>
          <w:rFonts w:cs="Times New Roman"/>
          <w:b/>
          <w:bCs/>
        </w:rPr>
        <w:t>.</w:t>
      </w:r>
      <w:r w:rsidRPr="00C760A6">
        <w:rPr>
          <w:rStyle w:val="30"/>
          <w:rFonts w:cs="Times New Roman"/>
        </w:rPr>
        <w:t xml:space="preserve"> The initial configuration of </w:t>
      </w:r>
      <w:r>
        <w:rPr>
          <w:rStyle w:val="30"/>
          <w:rFonts w:cs="Times New Roman" w:hint="eastAsia"/>
        </w:rPr>
        <w:t xml:space="preserve">the MD </w:t>
      </w:r>
      <w:r w:rsidRPr="00C760A6">
        <w:rPr>
          <w:rStyle w:val="30"/>
          <w:rFonts w:cs="Times New Roman"/>
        </w:rPr>
        <w:t xml:space="preserve">simulation </w:t>
      </w:r>
      <w:r>
        <w:rPr>
          <w:rStyle w:val="30"/>
          <w:rFonts w:cs="Times New Roman" w:hint="eastAsia"/>
        </w:rPr>
        <w:t>model (</w:t>
      </w:r>
      <w:r w:rsidRPr="00C760A6">
        <w:rPr>
          <w:rStyle w:val="30"/>
          <w:rFonts w:cs="Times New Roman"/>
        </w:rPr>
        <w:t>3.8*4.3*10.0nm</w:t>
      </w:r>
      <w:r>
        <w:rPr>
          <w:rStyle w:val="30"/>
          <w:rFonts w:cs="Times New Roman" w:hint="eastAsia"/>
        </w:rPr>
        <w:t>).</w:t>
      </w:r>
    </w:p>
    <w:p w14:paraId="7ADEA8AA" w14:textId="77777777" w:rsidR="001A22A3" w:rsidRDefault="001A22A3" w:rsidP="001A22A3">
      <w:pPr>
        <w:ind w:firstLine="0"/>
        <w:jc w:val="center"/>
        <w:rPr>
          <w:rStyle w:val="30"/>
          <w:rFonts w:cs="Times New Roman"/>
        </w:rPr>
      </w:pPr>
    </w:p>
    <w:p w14:paraId="4AF96D34" w14:textId="77777777" w:rsidR="001A22A3" w:rsidRDefault="001A22A3" w:rsidP="001A22A3">
      <w:pPr>
        <w:ind w:firstLine="0"/>
        <w:jc w:val="center"/>
        <w:rPr>
          <w:rStyle w:val="30"/>
          <w:rFonts w:cs="Times New Roman"/>
        </w:rPr>
      </w:pPr>
    </w:p>
    <w:p w14:paraId="5DDF5003" w14:textId="77777777" w:rsidR="001A22A3" w:rsidRDefault="001A22A3" w:rsidP="001A22A3">
      <w:pPr>
        <w:ind w:firstLine="0"/>
        <w:jc w:val="center"/>
        <w:rPr>
          <w:rFonts w:eastAsiaTheme="majorEastAsia"/>
          <w:bCs/>
          <w:color w:val="000000" w:themeColor="text1"/>
          <w:szCs w:val="28"/>
        </w:rPr>
      </w:pPr>
    </w:p>
    <w:p w14:paraId="7CA30F6D" w14:textId="77777777" w:rsidR="001A22A3" w:rsidRDefault="001A22A3" w:rsidP="001A22A3">
      <w:pPr>
        <w:ind w:firstLine="0"/>
        <w:jc w:val="center"/>
        <w:rPr>
          <w:rFonts w:eastAsiaTheme="majorEastAsia"/>
          <w:bCs/>
          <w:color w:val="000000" w:themeColor="text1"/>
          <w:szCs w:val="28"/>
        </w:rPr>
      </w:pPr>
    </w:p>
    <w:p w14:paraId="40571D87" w14:textId="77777777" w:rsidR="001A22A3" w:rsidRDefault="001A22A3" w:rsidP="001A22A3">
      <w:pPr>
        <w:ind w:firstLine="0"/>
        <w:jc w:val="center"/>
        <w:rPr>
          <w:rFonts w:eastAsiaTheme="majorEastAsia"/>
          <w:bCs/>
          <w:color w:val="000000" w:themeColor="text1"/>
          <w:szCs w:val="28"/>
        </w:rPr>
      </w:pPr>
    </w:p>
    <w:p w14:paraId="56DFD9F0" w14:textId="77777777" w:rsidR="001A22A3" w:rsidRDefault="001A22A3" w:rsidP="001A22A3">
      <w:pPr>
        <w:ind w:firstLine="0"/>
        <w:jc w:val="center"/>
        <w:rPr>
          <w:rFonts w:eastAsiaTheme="majorEastAsia"/>
          <w:bCs/>
          <w:color w:val="000000" w:themeColor="text1"/>
          <w:szCs w:val="28"/>
        </w:rPr>
      </w:pPr>
    </w:p>
    <w:p w14:paraId="1A840F31" w14:textId="77777777" w:rsidR="001A22A3" w:rsidRPr="00C760A6" w:rsidRDefault="001A22A3" w:rsidP="001A22A3">
      <w:pPr>
        <w:ind w:firstLine="0"/>
        <w:jc w:val="center"/>
        <w:rPr>
          <w:rFonts w:eastAsiaTheme="majorEastAsia"/>
          <w:bCs/>
          <w:color w:val="000000" w:themeColor="text1"/>
          <w:szCs w:val="28"/>
        </w:rPr>
      </w:pPr>
    </w:p>
    <w:p w14:paraId="5B0D610C" w14:textId="77777777" w:rsidR="001A22A3" w:rsidRDefault="001A22A3" w:rsidP="001A22A3">
      <w:pPr>
        <w:ind w:firstLine="0"/>
        <w:jc w:val="center"/>
        <w:rPr>
          <w:rStyle w:val="30"/>
          <w:rFonts w:cs="Times New Roman"/>
          <w:b/>
          <w:bCs/>
        </w:rPr>
      </w:pPr>
      <w:r w:rsidRPr="007F0A0A">
        <w:rPr>
          <w:noProof/>
        </w:rPr>
        <w:drawing>
          <wp:inline distT="0" distB="0" distL="0" distR="0" wp14:anchorId="4CBDC3FC" wp14:editId="5EE1AD9A">
            <wp:extent cx="5278682" cy="1476732"/>
            <wp:effectExtent l="0" t="0" r="0" b="9525"/>
            <wp:docPr id="330600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00605" name=""/>
                    <pic:cNvPicPr/>
                  </pic:nvPicPr>
                  <pic:blipFill rotWithShape="1">
                    <a:blip r:embed="rId40"/>
                    <a:srcRect r="24902"/>
                    <a:stretch/>
                  </pic:blipFill>
                  <pic:spPr bwMode="auto">
                    <a:xfrm>
                      <a:off x="0" y="0"/>
                      <a:ext cx="5304951" cy="1484081"/>
                    </a:xfrm>
                    <a:prstGeom prst="rect">
                      <a:avLst/>
                    </a:prstGeom>
                    <a:ln>
                      <a:noFill/>
                    </a:ln>
                    <a:extLst>
                      <a:ext uri="{53640926-AAD7-44D8-BBD7-CCE9431645EC}">
                        <a14:shadowObscured xmlns:a14="http://schemas.microsoft.com/office/drawing/2010/main"/>
                      </a:ext>
                    </a:extLst>
                  </pic:spPr>
                </pic:pic>
              </a:graphicData>
            </a:graphic>
          </wp:inline>
        </w:drawing>
      </w:r>
    </w:p>
    <w:p w14:paraId="2B510105" w14:textId="15093BC8" w:rsidR="001A22A3" w:rsidRPr="008D2800" w:rsidRDefault="001A22A3" w:rsidP="001A22A3">
      <w:pPr>
        <w:ind w:firstLine="0"/>
        <w:jc w:val="center"/>
        <w:rPr>
          <w:rFonts w:eastAsiaTheme="majorEastAsia"/>
          <w:bCs/>
          <w:color w:val="000000" w:themeColor="text1"/>
          <w:szCs w:val="28"/>
        </w:rPr>
      </w:pPr>
      <w:r w:rsidRPr="00C760A6">
        <w:rPr>
          <w:rStyle w:val="30"/>
          <w:rFonts w:cs="Times New Roman"/>
          <w:b/>
          <w:bCs/>
        </w:rPr>
        <w:t>Figure</w:t>
      </w:r>
      <w:r w:rsidRPr="00672193">
        <w:rPr>
          <w:rStyle w:val="30"/>
          <w:rFonts w:cs="Times New Roman"/>
          <w:b/>
          <w:bCs/>
        </w:rPr>
        <w:t xml:space="preserve"> S</w:t>
      </w:r>
      <w:r>
        <w:rPr>
          <w:rStyle w:val="30"/>
          <w:rFonts w:cs="Times New Roman" w:hint="eastAsia"/>
          <w:b/>
          <w:bCs/>
        </w:rPr>
        <w:t>32</w:t>
      </w:r>
      <w:r w:rsidRPr="00C760A6">
        <w:rPr>
          <w:rStyle w:val="30"/>
          <w:rFonts w:cs="Times New Roman"/>
          <w:b/>
          <w:bCs/>
        </w:rPr>
        <w:t>.</w:t>
      </w:r>
      <w:r w:rsidRPr="00C760A6">
        <w:rPr>
          <w:rStyle w:val="30"/>
          <w:rFonts w:cs="Times New Roman"/>
        </w:rPr>
        <w:t xml:space="preserve"> </w:t>
      </w:r>
      <w:r w:rsidRPr="00C760A6">
        <w:t xml:space="preserve">System </w:t>
      </w:r>
      <w:r>
        <w:rPr>
          <w:rFonts w:hint="eastAsia"/>
        </w:rPr>
        <w:t>e</w:t>
      </w:r>
      <w:r w:rsidRPr="00C760A6">
        <w:t xml:space="preserve">volution within 80 </w:t>
      </w:r>
      <w:r>
        <w:rPr>
          <w:rFonts w:hint="eastAsia"/>
        </w:rPr>
        <w:t>p</w:t>
      </w:r>
      <w:r w:rsidRPr="00C760A6">
        <w:t>icoseconds</w:t>
      </w:r>
      <w:r>
        <w:rPr>
          <w:rFonts w:hint="eastAsia"/>
        </w:rPr>
        <w:t>.</w:t>
      </w:r>
    </w:p>
    <w:p w14:paraId="18957D29" w14:textId="77777777" w:rsidR="00B344E2" w:rsidRPr="001A22A3" w:rsidRDefault="00B344E2" w:rsidP="00095DCB">
      <w:pPr>
        <w:ind w:firstLine="720"/>
      </w:pPr>
    </w:p>
    <w:p w14:paraId="3292E2C1" w14:textId="77777777" w:rsidR="001A22A3" w:rsidRDefault="001A22A3" w:rsidP="00095DCB">
      <w:pPr>
        <w:ind w:firstLine="720"/>
      </w:pPr>
    </w:p>
    <w:p w14:paraId="660A2CCA" w14:textId="49A74F1D" w:rsidR="003D6B78" w:rsidRPr="00C760A6" w:rsidRDefault="00000000" w:rsidP="00095DCB">
      <w:pPr>
        <w:ind w:firstLine="720"/>
      </w:pPr>
      <w:r w:rsidRPr="00C760A6">
        <w:br w:type="page"/>
      </w:r>
    </w:p>
    <w:p w14:paraId="42506A2C" w14:textId="170BE5CA" w:rsidR="00B344E2" w:rsidRDefault="00B344E2" w:rsidP="00B344E2">
      <w:pPr>
        <w:pStyle w:val="1"/>
      </w:pPr>
      <w:r w:rsidRPr="00B344E2">
        <w:lastRenderedPageBreak/>
        <w:t>Supplementary Tables</w:t>
      </w:r>
    </w:p>
    <w:p w14:paraId="5A6CB41D" w14:textId="77777777" w:rsidR="00B344E2" w:rsidRPr="00B344E2" w:rsidRDefault="00B344E2" w:rsidP="00B344E2"/>
    <w:p w14:paraId="2F65232A" w14:textId="2EBE05FD" w:rsidR="003D6B78" w:rsidRPr="00C760A6" w:rsidRDefault="00000000" w:rsidP="00095DCB">
      <w:pPr>
        <w:ind w:firstLine="720"/>
        <w:rPr>
          <w:rFonts w:eastAsia="宋体"/>
        </w:rPr>
      </w:pPr>
      <w:r w:rsidRPr="00B344E2">
        <w:rPr>
          <w:b/>
          <w:bCs/>
        </w:rPr>
        <w:t>Table 1</w:t>
      </w:r>
      <w:r w:rsidRPr="00B344E2">
        <w:t>. Physicochemical properties of the solvents used in this work</w:t>
      </w:r>
      <w:r w:rsidR="00857376" w:rsidRPr="00857376">
        <w:rPr>
          <w:rFonts w:cs="Times New Roman"/>
          <w:kern w:val="0"/>
          <w:vertAlign w:val="superscript"/>
        </w:rPr>
        <w:t>11–13</w:t>
      </w:r>
      <w:r w:rsidRPr="00C760A6">
        <w:rPr>
          <w:rFonts w:eastAsia="宋体"/>
        </w:rPr>
        <w:t>.</w:t>
      </w:r>
    </w:p>
    <w:tbl>
      <w:tblPr>
        <w:tblStyle w:val="21"/>
        <w:tblpPr w:leftFromText="180" w:rightFromText="180" w:vertAnchor="page" w:horzAnchor="margin" w:tblpY="3069"/>
        <w:tblW w:w="0" w:type="auto"/>
        <w:tblBorders>
          <w:top w:val="single" w:sz="4" w:space="0" w:color="auto"/>
          <w:bottom w:val="single" w:sz="4" w:space="0" w:color="auto"/>
        </w:tblBorders>
        <w:tblLook w:val="04A0" w:firstRow="1" w:lastRow="0" w:firstColumn="1" w:lastColumn="0" w:noHBand="0" w:noVBand="1"/>
      </w:tblPr>
      <w:tblGrid>
        <w:gridCol w:w="1486"/>
        <w:gridCol w:w="950"/>
        <w:gridCol w:w="1004"/>
        <w:gridCol w:w="689"/>
        <w:gridCol w:w="1256"/>
        <w:gridCol w:w="659"/>
        <w:gridCol w:w="679"/>
        <w:gridCol w:w="713"/>
        <w:gridCol w:w="870"/>
      </w:tblGrid>
      <w:tr w:rsidR="00512398" w:rsidRPr="007060FC" w14:paraId="2AEA1D7E" w14:textId="77777777" w:rsidTr="00B344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6" w:type="dxa"/>
            <w:tcBorders>
              <w:top w:val="single" w:sz="12" w:space="0" w:color="auto"/>
              <w:bottom w:val="single" w:sz="12" w:space="0" w:color="auto"/>
            </w:tcBorders>
          </w:tcPr>
          <w:p w14:paraId="5602DDAB" w14:textId="77777777" w:rsidR="003D6B78" w:rsidRPr="00095DCB" w:rsidRDefault="003D6B78" w:rsidP="00B344E2">
            <w:pPr>
              <w:spacing w:line="240" w:lineRule="auto"/>
              <w:ind w:firstLine="0"/>
              <w:jc w:val="center"/>
              <w:rPr>
                <w:rFonts w:eastAsia="宋体"/>
                <w:sz w:val="15"/>
                <w:szCs w:val="13"/>
              </w:rPr>
            </w:pPr>
          </w:p>
        </w:tc>
        <w:tc>
          <w:tcPr>
            <w:tcW w:w="950" w:type="dxa"/>
            <w:tcBorders>
              <w:top w:val="single" w:sz="12" w:space="0" w:color="auto"/>
              <w:bottom w:val="single" w:sz="12" w:space="0" w:color="auto"/>
            </w:tcBorders>
          </w:tcPr>
          <w:p w14:paraId="46FEDA0A"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MM</w:t>
            </w:r>
          </w:p>
          <w:p w14:paraId="39FF8135"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m:oMathPara>
              <m:oMath>
                <m:r>
                  <m:rPr>
                    <m:nor/>
                  </m:rPr>
                  <w:rPr>
                    <w:rFonts w:eastAsia="宋体"/>
                    <w:sz w:val="15"/>
                    <w:szCs w:val="13"/>
                  </w:rPr>
                  <m:t>(g/mol)</m:t>
                </m:r>
              </m:oMath>
            </m:oMathPara>
          </w:p>
        </w:tc>
        <w:tc>
          <w:tcPr>
            <w:tcW w:w="1004" w:type="dxa"/>
            <w:tcBorders>
              <w:top w:val="single" w:sz="12" w:space="0" w:color="auto"/>
              <w:bottom w:val="single" w:sz="12" w:space="0" w:color="auto"/>
            </w:tcBorders>
          </w:tcPr>
          <w:p w14:paraId="1A0CA459"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ρ</w:t>
            </w:r>
          </w:p>
          <w:p w14:paraId="7209B8DB"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m:oMathPara>
              <m:oMath>
                <m:d>
                  <m:dPr>
                    <m:ctrlPr>
                      <w:rPr>
                        <w:rFonts w:ascii="Cambria Math" w:eastAsia="宋体" w:hAnsi="Cambria Math"/>
                        <w:i/>
                        <w:sz w:val="15"/>
                        <w:szCs w:val="13"/>
                      </w:rPr>
                    </m:ctrlPr>
                  </m:dPr>
                  <m:e>
                    <m:r>
                      <m:rPr>
                        <m:nor/>
                      </m:rPr>
                      <w:rPr>
                        <w:rFonts w:eastAsia="宋体"/>
                        <w:sz w:val="15"/>
                        <w:szCs w:val="13"/>
                      </w:rPr>
                      <m:t>g/</m:t>
                    </m:r>
                    <m:sSup>
                      <m:sSupPr>
                        <m:ctrlPr>
                          <w:rPr>
                            <w:rFonts w:ascii="Cambria Math" w:eastAsia="宋体" w:hAnsi="Cambria Math"/>
                            <w:i/>
                            <w:sz w:val="15"/>
                            <w:szCs w:val="13"/>
                          </w:rPr>
                        </m:ctrlPr>
                      </m:sSupPr>
                      <m:e>
                        <m:r>
                          <m:rPr>
                            <m:nor/>
                          </m:rPr>
                          <w:rPr>
                            <w:rFonts w:eastAsia="宋体"/>
                            <w:sz w:val="15"/>
                            <w:szCs w:val="13"/>
                          </w:rPr>
                          <m:t>cm</m:t>
                        </m:r>
                      </m:e>
                      <m:sup>
                        <m:r>
                          <m:rPr>
                            <m:nor/>
                          </m:rPr>
                          <w:rPr>
                            <w:rFonts w:eastAsia="宋体"/>
                            <w:sz w:val="15"/>
                            <w:szCs w:val="13"/>
                          </w:rPr>
                          <m:t>3</m:t>
                        </m:r>
                      </m:sup>
                    </m:sSup>
                  </m:e>
                </m:d>
              </m:oMath>
            </m:oMathPara>
          </w:p>
        </w:tc>
        <w:tc>
          <w:tcPr>
            <w:tcW w:w="689" w:type="dxa"/>
            <w:tcBorders>
              <w:top w:val="single" w:sz="12" w:space="0" w:color="auto"/>
              <w:bottom w:val="single" w:sz="12" w:space="0" w:color="auto"/>
            </w:tcBorders>
          </w:tcPr>
          <w:p w14:paraId="7A05912E"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AN</w:t>
            </w:r>
          </w:p>
        </w:tc>
        <w:tc>
          <w:tcPr>
            <w:tcW w:w="1256" w:type="dxa"/>
            <w:tcBorders>
              <w:top w:val="single" w:sz="12" w:space="0" w:color="auto"/>
              <w:bottom w:val="single" w:sz="12" w:space="0" w:color="auto"/>
            </w:tcBorders>
          </w:tcPr>
          <w:p w14:paraId="429F9A01"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DN</w:t>
            </w:r>
          </w:p>
          <w:p w14:paraId="7FE401C9"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(kcal/mol)</w:t>
            </w:r>
          </w:p>
        </w:tc>
        <w:tc>
          <w:tcPr>
            <w:tcW w:w="659" w:type="dxa"/>
            <w:tcBorders>
              <w:top w:val="single" w:sz="12" w:space="0" w:color="auto"/>
              <w:bottom w:val="single" w:sz="12" w:space="0" w:color="auto"/>
            </w:tcBorders>
          </w:tcPr>
          <w:p w14:paraId="69256BA9" w14:textId="2392C6E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α</w:t>
            </w:r>
          </w:p>
          <w:p w14:paraId="5BA0251C" w14:textId="77777777" w:rsidR="003D6B78" w:rsidRPr="00095DCB" w:rsidRDefault="003D6B78"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p>
        </w:tc>
        <w:tc>
          <w:tcPr>
            <w:tcW w:w="679" w:type="dxa"/>
            <w:tcBorders>
              <w:top w:val="single" w:sz="12" w:space="0" w:color="auto"/>
              <w:bottom w:val="single" w:sz="12" w:space="0" w:color="auto"/>
            </w:tcBorders>
          </w:tcPr>
          <w:p w14:paraId="29BC8089"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β</w:t>
            </w:r>
          </w:p>
        </w:tc>
        <w:tc>
          <w:tcPr>
            <w:tcW w:w="713" w:type="dxa"/>
            <w:tcBorders>
              <w:top w:val="single" w:sz="12" w:space="0" w:color="auto"/>
              <w:bottom w:val="single" w:sz="12" w:space="0" w:color="auto"/>
            </w:tcBorders>
          </w:tcPr>
          <w:p w14:paraId="3F9BC7AF" w14:textId="50E54AA2"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m:oMathPara>
              <m:oMath>
                <m:sSub>
                  <m:sSubPr>
                    <m:ctrlPr>
                      <w:rPr>
                        <w:rFonts w:ascii="Cambria Math" w:eastAsia="宋体" w:hAnsi="Cambria Math"/>
                        <w:i/>
                        <w:iCs/>
                        <w:sz w:val="15"/>
                        <w:szCs w:val="13"/>
                      </w:rPr>
                    </m:ctrlPr>
                  </m:sSubPr>
                  <m:e>
                    <m:r>
                      <m:rPr>
                        <m:nor/>
                      </m:rPr>
                      <w:rPr>
                        <w:rFonts w:eastAsia="宋体"/>
                        <w:iCs/>
                        <w:sz w:val="15"/>
                        <w:szCs w:val="13"/>
                      </w:rPr>
                      <m:t>ε</m:t>
                    </m:r>
                  </m:e>
                  <m:sub>
                    <m:r>
                      <m:rPr>
                        <m:nor/>
                      </m:rPr>
                      <w:rPr>
                        <w:rFonts w:eastAsia="宋体"/>
                        <w:iCs/>
                        <w:sz w:val="15"/>
                        <w:szCs w:val="13"/>
                      </w:rPr>
                      <m:t>rel</m:t>
                    </m:r>
                  </m:sub>
                </m:sSub>
              </m:oMath>
            </m:oMathPara>
          </w:p>
        </w:tc>
        <w:tc>
          <w:tcPr>
            <w:tcW w:w="870" w:type="dxa"/>
            <w:tcBorders>
              <w:top w:val="single" w:sz="12" w:space="0" w:color="auto"/>
              <w:bottom w:val="single" w:sz="12" w:space="0" w:color="auto"/>
            </w:tcBorders>
          </w:tcPr>
          <w:p w14:paraId="56485C17"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sz w:val="15"/>
                <w:szCs w:val="13"/>
              </w:rPr>
              <w:t>μ</w:t>
            </w:r>
          </w:p>
          <w:p w14:paraId="3101BE31" w14:textId="77777777" w:rsidR="003D6B78" w:rsidRPr="00095DCB" w:rsidRDefault="00000000" w:rsidP="00B344E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宋体"/>
                <w:sz w:val="15"/>
                <w:szCs w:val="13"/>
              </w:rPr>
            </w:pPr>
            <w:r w:rsidRPr="00095DCB">
              <w:rPr>
                <w:rFonts w:eastAsia="宋体" w:hint="eastAsia"/>
                <w:sz w:val="15"/>
                <w:szCs w:val="13"/>
              </w:rPr>
              <w:t>（</w:t>
            </w:r>
            <w:r w:rsidRPr="00095DCB">
              <w:rPr>
                <w:rFonts w:eastAsia="宋体"/>
                <w:sz w:val="15"/>
                <w:szCs w:val="13"/>
              </w:rPr>
              <w:t>D</w:t>
            </w:r>
            <w:r w:rsidRPr="00095DCB">
              <w:rPr>
                <w:rFonts w:eastAsia="宋体" w:hint="eastAsia"/>
                <w:sz w:val="15"/>
                <w:szCs w:val="13"/>
              </w:rPr>
              <w:t>）</w:t>
            </w:r>
          </w:p>
        </w:tc>
      </w:tr>
      <w:tr w:rsidR="00512398" w:rsidRPr="00512398" w14:paraId="6EF573FD"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12" w:space="0" w:color="auto"/>
              <w:bottom w:val="single" w:sz="4" w:space="0" w:color="7F7F7F" w:themeColor="text1" w:themeTint="80"/>
            </w:tcBorders>
          </w:tcPr>
          <w:p w14:paraId="727A2D62"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Acetic acid</w:t>
            </w:r>
          </w:p>
        </w:tc>
        <w:tc>
          <w:tcPr>
            <w:tcW w:w="950" w:type="dxa"/>
            <w:tcBorders>
              <w:top w:val="single" w:sz="12" w:space="0" w:color="auto"/>
              <w:bottom w:val="single" w:sz="4" w:space="0" w:color="7F7F7F" w:themeColor="text1" w:themeTint="80"/>
            </w:tcBorders>
          </w:tcPr>
          <w:p w14:paraId="542BF4CC"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60.06</w:t>
            </w:r>
          </w:p>
        </w:tc>
        <w:tc>
          <w:tcPr>
            <w:tcW w:w="1004" w:type="dxa"/>
            <w:tcBorders>
              <w:top w:val="single" w:sz="12" w:space="0" w:color="auto"/>
              <w:bottom w:val="single" w:sz="4" w:space="0" w:color="7F7F7F" w:themeColor="text1" w:themeTint="80"/>
            </w:tcBorders>
          </w:tcPr>
          <w:p w14:paraId="355B1B0A"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1.049</w:t>
            </w:r>
          </w:p>
        </w:tc>
        <w:tc>
          <w:tcPr>
            <w:tcW w:w="689" w:type="dxa"/>
            <w:tcBorders>
              <w:top w:val="single" w:sz="12" w:space="0" w:color="auto"/>
              <w:bottom w:val="single" w:sz="4" w:space="0" w:color="7F7F7F" w:themeColor="text1" w:themeTint="80"/>
            </w:tcBorders>
          </w:tcPr>
          <w:p w14:paraId="03291BD0"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52.8</w:t>
            </w:r>
          </w:p>
        </w:tc>
        <w:tc>
          <w:tcPr>
            <w:tcW w:w="1256" w:type="dxa"/>
            <w:tcBorders>
              <w:top w:val="single" w:sz="12" w:space="0" w:color="auto"/>
              <w:bottom w:val="single" w:sz="4" w:space="0" w:color="7F7F7F" w:themeColor="text1" w:themeTint="80"/>
            </w:tcBorders>
          </w:tcPr>
          <w:p w14:paraId="5B1CB17C"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17.0</w:t>
            </w:r>
          </w:p>
        </w:tc>
        <w:tc>
          <w:tcPr>
            <w:tcW w:w="659" w:type="dxa"/>
            <w:tcBorders>
              <w:top w:val="single" w:sz="12" w:space="0" w:color="auto"/>
              <w:bottom w:val="single" w:sz="4" w:space="0" w:color="7F7F7F" w:themeColor="text1" w:themeTint="80"/>
            </w:tcBorders>
          </w:tcPr>
          <w:p w14:paraId="76D1C15B"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1.12</w:t>
            </w:r>
          </w:p>
        </w:tc>
        <w:tc>
          <w:tcPr>
            <w:tcW w:w="679" w:type="dxa"/>
            <w:tcBorders>
              <w:top w:val="single" w:sz="12" w:space="0" w:color="auto"/>
              <w:bottom w:val="single" w:sz="4" w:space="0" w:color="7F7F7F" w:themeColor="text1" w:themeTint="80"/>
            </w:tcBorders>
          </w:tcPr>
          <w:p w14:paraId="67F3B2B2"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0.45</w:t>
            </w:r>
          </w:p>
        </w:tc>
        <w:tc>
          <w:tcPr>
            <w:tcW w:w="713" w:type="dxa"/>
            <w:tcBorders>
              <w:top w:val="single" w:sz="12" w:space="0" w:color="auto"/>
              <w:bottom w:val="single" w:sz="4" w:space="0" w:color="7F7F7F" w:themeColor="text1" w:themeTint="80"/>
            </w:tcBorders>
          </w:tcPr>
          <w:p w14:paraId="0B1B539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6.20</w:t>
            </w:r>
          </w:p>
        </w:tc>
        <w:tc>
          <w:tcPr>
            <w:tcW w:w="870" w:type="dxa"/>
            <w:tcBorders>
              <w:top w:val="single" w:sz="12" w:space="0" w:color="auto"/>
              <w:bottom w:val="single" w:sz="4" w:space="0" w:color="7F7F7F" w:themeColor="text1" w:themeTint="80"/>
            </w:tcBorders>
          </w:tcPr>
          <w:p w14:paraId="3261DA0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1.74</w:t>
            </w:r>
          </w:p>
        </w:tc>
      </w:tr>
      <w:tr w:rsidR="00512398" w:rsidRPr="00512398" w14:paraId="0ADA616E" w14:textId="77777777" w:rsidTr="00B344E2">
        <w:tc>
          <w:tcPr>
            <w:cnfStyle w:val="001000000000" w:firstRow="0" w:lastRow="0" w:firstColumn="1" w:lastColumn="0" w:oddVBand="0" w:evenVBand="0" w:oddHBand="0" w:evenHBand="0" w:firstRowFirstColumn="0" w:firstRowLastColumn="0" w:lastRowFirstColumn="0" w:lastRowLastColumn="0"/>
            <w:tcW w:w="1486" w:type="dxa"/>
          </w:tcPr>
          <w:p w14:paraId="596F9503"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Acetone</w:t>
            </w:r>
          </w:p>
        </w:tc>
        <w:tc>
          <w:tcPr>
            <w:tcW w:w="950" w:type="dxa"/>
          </w:tcPr>
          <w:p w14:paraId="28B487B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58.09</w:t>
            </w:r>
          </w:p>
        </w:tc>
        <w:tc>
          <w:tcPr>
            <w:tcW w:w="1004" w:type="dxa"/>
          </w:tcPr>
          <w:p w14:paraId="30C6E8A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0.785</w:t>
            </w:r>
          </w:p>
        </w:tc>
        <w:tc>
          <w:tcPr>
            <w:tcW w:w="689" w:type="dxa"/>
          </w:tcPr>
          <w:p w14:paraId="59D7DD2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12.5</w:t>
            </w:r>
          </w:p>
        </w:tc>
        <w:tc>
          <w:tcPr>
            <w:tcW w:w="1256" w:type="dxa"/>
          </w:tcPr>
          <w:p w14:paraId="494B1700"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17.0</w:t>
            </w:r>
          </w:p>
        </w:tc>
        <w:tc>
          <w:tcPr>
            <w:tcW w:w="659" w:type="dxa"/>
          </w:tcPr>
          <w:p w14:paraId="60BE36E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0.08</w:t>
            </w:r>
          </w:p>
        </w:tc>
        <w:tc>
          <w:tcPr>
            <w:tcW w:w="679" w:type="dxa"/>
          </w:tcPr>
          <w:p w14:paraId="7C4E6A27"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0.43</w:t>
            </w:r>
          </w:p>
        </w:tc>
        <w:tc>
          <w:tcPr>
            <w:tcW w:w="713" w:type="dxa"/>
          </w:tcPr>
          <w:p w14:paraId="674B599E"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20.7</w:t>
            </w:r>
          </w:p>
        </w:tc>
        <w:tc>
          <w:tcPr>
            <w:tcW w:w="870" w:type="dxa"/>
          </w:tcPr>
          <w:p w14:paraId="50BA018D"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2.88</w:t>
            </w:r>
          </w:p>
        </w:tc>
      </w:tr>
      <w:tr w:rsidR="00512398" w:rsidRPr="00512398" w14:paraId="058028D5"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4" w:space="0" w:color="7F7F7F" w:themeColor="text1" w:themeTint="80"/>
              <w:bottom w:val="single" w:sz="4" w:space="0" w:color="7F7F7F" w:themeColor="text1" w:themeTint="80"/>
            </w:tcBorders>
          </w:tcPr>
          <w:p w14:paraId="76D87F51"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Acetonitrile</w:t>
            </w:r>
          </w:p>
        </w:tc>
        <w:tc>
          <w:tcPr>
            <w:tcW w:w="950" w:type="dxa"/>
            <w:tcBorders>
              <w:top w:val="single" w:sz="4" w:space="0" w:color="7F7F7F" w:themeColor="text1" w:themeTint="80"/>
              <w:bottom w:val="single" w:sz="4" w:space="0" w:color="7F7F7F" w:themeColor="text1" w:themeTint="80"/>
            </w:tcBorders>
          </w:tcPr>
          <w:p w14:paraId="6A9935C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41.06</w:t>
            </w:r>
          </w:p>
        </w:tc>
        <w:tc>
          <w:tcPr>
            <w:tcW w:w="1004" w:type="dxa"/>
            <w:tcBorders>
              <w:top w:val="single" w:sz="4" w:space="0" w:color="7F7F7F" w:themeColor="text1" w:themeTint="80"/>
              <w:bottom w:val="single" w:sz="4" w:space="0" w:color="7F7F7F" w:themeColor="text1" w:themeTint="80"/>
            </w:tcBorders>
          </w:tcPr>
          <w:p w14:paraId="12B09D6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0.786</w:t>
            </w:r>
          </w:p>
        </w:tc>
        <w:tc>
          <w:tcPr>
            <w:tcW w:w="689" w:type="dxa"/>
            <w:tcBorders>
              <w:top w:val="single" w:sz="4" w:space="0" w:color="7F7F7F" w:themeColor="text1" w:themeTint="80"/>
              <w:bottom w:val="single" w:sz="4" w:space="0" w:color="7F7F7F" w:themeColor="text1" w:themeTint="80"/>
            </w:tcBorders>
          </w:tcPr>
          <w:p w14:paraId="1C938CA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18.9</w:t>
            </w:r>
          </w:p>
        </w:tc>
        <w:tc>
          <w:tcPr>
            <w:tcW w:w="1256" w:type="dxa"/>
            <w:tcBorders>
              <w:top w:val="single" w:sz="4" w:space="0" w:color="7F7F7F" w:themeColor="text1" w:themeTint="80"/>
              <w:bottom w:val="single" w:sz="4" w:space="0" w:color="7F7F7F" w:themeColor="text1" w:themeTint="80"/>
            </w:tcBorders>
          </w:tcPr>
          <w:p w14:paraId="6386BAE7"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14.1</w:t>
            </w:r>
          </w:p>
        </w:tc>
        <w:tc>
          <w:tcPr>
            <w:tcW w:w="659" w:type="dxa"/>
            <w:tcBorders>
              <w:top w:val="single" w:sz="4" w:space="0" w:color="7F7F7F" w:themeColor="text1" w:themeTint="80"/>
              <w:bottom w:val="single" w:sz="4" w:space="0" w:color="7F7F7F" w:themeColor="text1" w:themeTint="80"/>
            </w:tcBorders>
          </w:tcPr>
          <w:p w14:paraId="42BD158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0.19</w:t>
            </w:r>
          </w:p>
        </w:tc>
        <w:tc>
          <w:tcPr>
            <w:tcW w:w="679" w:type="dxa"/>
            <w:tcBorders>
              <w:top w:val="single" w:sz="4" w:space="0" w:color="7F7F7F" w:themeColor="text1" w:themeTint="80"/>
              <w:bottom w:val="single" w:sz="4" w:space="0" w:color="7F7F7F" w:themeColor="text1" w:themeTint="80"/>
            </w:tcBorders>
          </w:tcPr>
          <w:p w14:paraId="6AEF74D8"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0.4</w:t>
            </w:r>
          </w:p>
        </w:tc>
        <w:tc>
          <w:tcPr>
            <w:tcW w:w="713" w:type="dxa"/>
            <w:tcBorders>
              <w:top w:val="single" w:sz="4" w:space="0" w:color="7F7F7F" w:themeColor="text1" w:themeTint="80"/>
              <w:bottom w:val="single" w:sz="4" w:space="0" w:color="7F7F7F" w:themeColor="text1" w:themeTint="80"/>
            </w:tcBorders>
          </w:tcPr>
          <w:p w14:paraId="7F626106"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37.5</w:t>
            </w:r>
          </w:p>
        </w:tc>
        <w:tc>
          <w:tcPr>
            <w:tcW w:w="870" w:type="dxa"/>
            <w:tcBorders>
              <w:top w:val="single" w:sz="4" w:space="0" w:color="7F7F7F" w:themeColor="text1" w:themeTint="80"/>
              <w:bottom w:val="single" w:sz="4" w:space="0" w:color="7F7F7F" w:themeColor="text1" w:themeTint="80"/>
            </w:tcBorders>
          </w:tcPr>
          <w:p w14:paraId="7C312C5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3.92</w:t>
            </w:r>
          </w:p>
        </w:tc>
      </w:tr>
      <w:tr w:rsidR="00512398" w:rsidRPr="00512398" w14:paraId="7F0E5A11" w14:textId="77777777" w:rsidTr="00B344E2">
        <w:tc>
          <w:tcPr>
            <w:cnfStyle w:val="001000000000" w:firstRow="0" w:lastRow="0" w:firstColumn="1" w:lastColumn="0" w:oddVBand="0" w:evenVBand="0" w:oddHBand="0" w:evenHBand="0" w:firstRowFirstColumn="0" w:firstRowLastColumn="0" w:lastRowFirstColumn="0" w:lastRowLastColumn="0"/>
            <w:tcW w:w="1486" w:type="dxa"/>
          </w:tcPr>
          <w:p w14:paraId="20AB31A6"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DMF</w:t>
            </w:r>
          </w:p>
        </w:tc>
        <w:tc>
          <w:tcPr>
            <w:tcW w:w="950" w:type="dxa"/>
          </w:tcPr>
          <w:p w14:paraId="629C5E9B"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73.11</w:t>
            </w:r>
          </w:p>
        </w:tc>
        <w:tc>
          <w:tcPr>
            <w:tcW w:w="1004" w:type="dxa"/>
          </w:tcPr>
          <w:p w14:paraId="23E64E1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0.944</w:t>
            </w:r>
          </w:p>
        </w:tc>
        <w:tc>
          <w:tcPr>
            <w:tcW w:w="689" w:type="dxa"/>
          </w:tcPr>
          <w:p w14:paraId="554E331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16.0</w:t>
            </w:r>
          </w:p>
        </w:tc>
        <w:tc>
          <w:tcPr>
            <w:tcW w:w="1256" w:type="dxa"/>
          </w:tcPr>
          <w:p w14:paraId="340A49A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26.6</w:t>
            </w:r>
          </w:p>
        </w:tc>
        <w:tc>
          <w:tcPr>
            <w:tcW w:w="659" w:type="dxa"/>
          </w:tcPr>
          <w:p w14:paraId="09B76448"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679" w:type="dxa"/>
          </w:tcPr>
          <w:p w14:paraId="5B8ED9D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0.69</w:t>
            </w:r>
          </w:p>
        </w:tc>
        <w:tc>
          <w:tcPr>
            <w:tcW w:w="713" w:type="dxa"/>
          </w:tcPr>
          <w:p w14:paraId="1249374D"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36.7</w:t>
            </w:r>
          </w:p>
        </w:tc>
        <w:tc>
          <w:tcPr>
            <w:tcW w:w="870" w:type="dxa"/>
          </w:tcPr>
          <w:p w14:paraId="1DDB3F0B"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3.82</w:t>
            </w:r>
          </w:p>
        </w:tc>
      </w:tr>
      <w:tr w:rsidR="00512398" w:rsidRPr="00512398" w14:paraId="69E2E8C8"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4" w:space="0" w:color="7F7F7F" w:themeColor="text1" w:themeTint="80"/>
              <w:bottom w:val="single" w:sz="4" w:space="0" w:color="7F7F7F" w:themeColor="text1" w:themeTint="80"/>
            </w:tcBorders>
          </w:tcPr>
          <w:p w14:paraId="64A22C8B" w14:textId="77777777" w:rsidR="003D6B78" w:rsidRPr="00095DCB" w:rsidRDefault="00000000" w:rsidP="00B344E2">
            <w:pPr>
              <w:spacing w:line="240" w:lineRule="auto"/>
              <w:ind w:firstLine="0"/>
              <w:rPr>
                <w:rFonts w:eastAsia="宋体"/>
                <w:sz w:val="16"/>
                <w:szCs w:val="15"/>
              </w:rPr>
            </w:pPr>
            <w:r w:rsidRPr="00095DCB">
              <w:rPr>
                <w:rFonts w:eastAsia="等线"/>
                <w:color w:val="000000"/>
                <w:sz w:val="16"/>
                <w:szCs w:val="15"/>
              </w:rPr>
              <w:t>Ethanol</w:t>
            </w:r>
          </w:p>
        </w:tc>
        <w:tc>
          <w:tcPr>
            <w:tcW w:w="950" w:type="dxa"/>
            <w:tcBorders>
              <w:top w:val="single" w:sz="4" w:space="0" w:color="7F7F7F" w:themeColor="text1" w:themeTint="80"/>
              <w:bottom w:val="single" w:sz="4" w:space="0" w:color="7F7F7F" w:themeColor="text1" w:themeTint="80"/>
            </w:tcBorders>
          </w:tcPr>
          <w:p w14:paraId="3C93BFC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46.08</w:t>
            </w:r>
          </w:p>
        </w:tc>
        <w:tc>
          <w:tcPr>
            <w:tcW w:w="1004" w:type="dxa"/>
            <w:tcBorders>
              <w:top w:val="single" w:sz="4" w:space="0" w:color="7F7F7F" w:themeColor="text1" w:themeTint="80"/>
              <w:bottom w:val="single" w:sz="4" w:space="0" w:color="7F7F7F" w:themeColor="text1" w:themeTint="80"/>
            </w:tcBorders>
          </w:tcPr>
          <w:p w14:paraId="0B3091EE"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0.789</w:t>
            </w:r>
          </w:p>
        </w:tc>
        <w:tc>
          <w:tcPr>
            <w:tcW w:w="689" w:type="dxa"/>
            <w:tcBorders>
              <w:top w:val="single" w:sz="4" w:space="0" w:color="7F7F7F" w:themeColor="text1" w:themeTint="80"/>
              <w:bottom w:val="single" w:sz="4" w:space="0" w:color="7F7F7F" w:themeColor="text1" w:themeTint="80"/>
            </w:tcBorders>
          </w:tcPr>
          <w:p w14:paraId="615B1520"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37.1</w:t>
            </w:r>
          </w:p>
        </w:tc>
        <w:tc>
          <w:tcPr>
            <w:tcW w:w="1256" w:type="dxa"/>
            <w:tcBorders>
              <w:top w:val="single" w:sz="4" w:space="0" w:color="7F7F7F" w:themeColor="text1" w:themeTint="80"/>
              <w:bottom w:val="single" w:sz="4" w:space="0" w:color="7F7F7F" w:themeColor="text1" w:themeTint="80"/>
            </w:tcBorders>
          </w:tcPr>
          <w:p w14:paraId="7E46594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19.2</w:t>
            </w:r>
          </w:p>
        </w:tc>
        <w:tc>
          <w:tcPr>
            <w:tcW w:w="659" w:type="dxa"/>
            <w:tcBorders>
              <w:top w:val="single" w:sz="4" w:space="0" w:color="7F7F7F" w:themeColor="text1" w:themeTint="80"/>
              <w:bottom w:val="single" w:sz="4" w:space="0" w:color="7F7F7F" w:themeColor="text1" w:themeTint="80"/>
            </w:tcBorders>
          </w:tcPr>
          <w:p w14:paraId="6BDB9470"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0.86</w:t>
            </w:r>
          </w:p>
        </w:tc>
        <w:tc>
          <w:tcPr>
            <w:tcW w:w="679" w:type="dxa"/>
            <w:tcBorders>
              <w:top w:val="single" w:sz="4" w:space="0" w:color="7F7F7F" w:themeColor="text1" w:themeTint="80"/>
              <w:bottom w:val="single" w:sz="4" w:space="0" w:color="7F7F7F" w:themeColor="text1" w:themeTint="80"/>
            </w:tcBorders>
          </w:tcPr>
          <w:p w14:paraId="61DA8DF0"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0.75</w:t>
            </w:r>
          </w:p>
        </w:tc>
        <w:tc>
          <w:tcPr>
            <w:tcW w:w="713" w:type="dxa"/>
            <w:tcBorders>
              <w:top w:val="single" w:sz="4" w:space="0" w:color="7F7F7F" w:themeColor="text1" w:themeTint="80"/>
              <w:bottom w:val="single" w:sz="4" w:space="0" w:color="7F7F7F" w:themeColor="text1" w:themeTint="80"/>
            </w:tcBorders>
          </w:tcPr>
          <w:p w14:paraId="188416C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2 4.6</w:t>
            </w:r>
          </w:p>
        </w:tc>
        <w:tc>
          <w:tcPr>
            <w:tcW w:w="870" w:type="dxa"/>
            <w:tcBorders>
              <w:top w:val="single" w:sz="4" w:space="0" w:color="7F7F7F" w:themeColor="text1" w:themeTint="80"/>
              <w:bottom w:val="single" w:sz="4" w:space="0" w:color="7F7F7F" w:themeColor="text1" w:themeTint="80"/>
            </w:tcBorders>
          </w:tcPr>
          <w:p w14:paraId="1E6A2A3B"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1.69</w:t>
            </w:r>
          </w:p>
        </w:tc>
      </w:tr>
      <w:tr w:rsidR="00512398" w:rsidRPr="00512398" w14:paraId="431FD7B0" w14:textId="77777777" w:rsidTr="00B344E2">
        <w:tc>
          <w:tcPr>
            <w:cnfStyle w:val="001000000000" w:firstRow="0" w:lastRow="0" w:firstColumn="1" w:lastColumn="0" w:oddVBand="0" w:evenVBand="0" w:oddHBand="0" w:evenHBand="0" w:firstRowFirstColumn="0" w:firstRowLastColumn="0" w:lastRowFirstColumn="0" w:lastRowLastColumn="0"/>
            <w:tcW w:w="1486" w:type="dxa"/>
          </w:tcPr>
          <w:p w14:paraId="41092835" w14:textId="77777777" w:rsidR="003D6B78" w:rsidRPr="00095DCB" w:rsidRDefault="00000000" w:rsidP="00B344E2">
            <w:pPr>
              <w:spacing w:line="240" w:lineRule="auto"/>
              <w:ind w:firstLine="0"/>
              <w:rPr>
                <w:rFonts w:eastAsia="宋体"/>
                <w:sz w:val="16"/>
                <w:szCs w:val="15"/>
              </w:rPr>
            </w:pPr>
            <w:r w:rsidRPr="00095DCB">
              <w:rPr>
                <w:rFonts w:eastAsia="等线"/>
                <w:color w:val="000000"/>
                <w:sz w:val="16"/>
                <w:szCs w:val="15"/>
              </w:rPr>
              <w:t>Ethyl acetate</w:t>
            </w:r>
          </w:p>
        </w:tc>
        <w:tc>
          <w:tcPr>
            <w:tcW w:w="950" w:type="dxa"/>
          </w:tcPr>
          <w:p w14:paraId="1758542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88.12</w:t>
            </w:r>
          </w:p>
        </w:tc>
        <w:tc>
          <w:tcPr>
            <w:tcW w:w="1004" w:type="dxa"/>
          </w:tcPr>
          <w:p w14:paraId="32A0CF9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0.902</w:t>
            </w:r>
          </w:p>
        </w:tc>
        <w:tc>
          <w:tcPr>
            <w:tcW w:w="689" w:type="dxa"/>
          </w:tcPr>
          <w:p w14:paraId="5E484D2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18.5</w:t>
            </w:r>
          </w:p>
        </w:tc>
        <w:tc>
          <w:tcPr>
            <w:tcW w:w="1256" w:type="dxa"/>
          </w:tcPr>
          <w:p w14:paraId="16C5FDE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17.1</w:t>
            </w:r>
          </w:p>
        </w:tc>
        <w:tc>
          <w:tcPr>
            <w:tcW w:w="659" w:type="dxa"/>
          </w:tcPr>
          <w:p w14:paraId="44AA947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679" w:type="dxa"/>
          </w:tcPr>
          <w:p w14:paraId="5F0E2AE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0.45</w:t>
            </w:r>
          </w:p>
        </w:tc>
        <w:tc>
          <w:tcPr>
            <w:tcW w:w="713" w:type="dxa"/>
          </w:tcPr>
          <w:p w14:paraId="3D9127C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6.02</w:t>
            </w:r>
          </w:p>
        </w:tc>
        <w:tc>
          <w:tcPr>
            <w:tcW w:w="870" w:type="dxa"/>
          </w:tcPr>
          <w:p w14:paraId="04AEDB4D"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1.78</w:t>
            </w:r>
          </w:p>
        </w:tc>
      </w:tr>
      <w:tr w:rsidR="00512398" w:rsidRPr="00512398" w14:paraId="2869C621"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4" w:space="0" w:color="7F7F7F" w:themeColor="text1" w:themeTint="80"/>
              <w:bottom w:val="single" w:sz="4" w:space="0" w:color="7F7F7F" w:themeColor="text1" w:themeTint="80"/>
            </w:tcBorders>
          </w:tcPr>
          <w:p w14:paraId="37A2560D"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Methanol</w:t>
            </w:r>
          </w:p>
        </w:tc>
        <w:tc>
          <w:tcPr>
            <w:tcW w:w="950" w:type="dxa"/>
            <w:tcBorders>
              <w:top w:val="single" w:sz="4" w:space="0" w:color="7F7F7F" w:themeColor="text1" w:themeTint="80"/>
              <w:bottom w:val="single" w:sz="4" w:space="0" w:color="7F7F7F" w:themeColor="text1" w:themeTint="80"/>
            </w:tcBorders>
          </w:tcPr>
          <w:p w14:paraId="69CC05C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32.05</w:t>
            </w:r>
          </w:p>
        </w:tc>
        <w:tc>
          <w:tcPr>
            <w:tcW w:w="1004" w:type="dxa"/>
            <w:tcBorders>
              <w:top w:val="single" w:sz="4" w:space="0" w:color="7F7F7F" w:themeColor="text1" w:themeTint="80"/>
              <w:bottom w:val="single" w:sz="4" w:space="0" w:color="7F7F7F" w:themeColor="text1" w:themeTint="80"/>
            </w:tcBorders>
          </w:tcPr>
          <w:p w14:paraId="5306104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0.792</w:t>
            </w:r>
          </w:p>
        </w:tc>
        <w:tc>
          <w:tcPr>
            <w:tcW w:w="689" w:type="dxa"/>
            <w:tcBorders>
              <w:top w:val="single" w:sz="4" w:space="0" w:color="7F7F7F" w:themeColor="text1" w:themeTint="80"/>
              <w:bottom w:val="single" w:sz="4" w:space="0" w:color="7F7F7F" w:themeColor="text1" w:themeTint="80"/>
            </w:tcBorders>
          </w:tcPr>
          <w:p w14:paraId="2AAAAEE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41.1</w:t>
            </w:r>
          </w:p>
        </w:tc>
        <w:tc>
          <w:tcPr>
            <w:tcW w:w="1256" w:type="dxa"/>
            <w:tcBorders>
              <w:top w:val="single" w:sz="4" w:space="0" w:color="7F7F7F" w:themeColor="text1" w:themeTint="80"/>
              <w:bottom w:val="single" w:sz="4" w:space="0" w:color="7F7F7F" w:themeColor="text1" w:themeTint="80"/>
            </w:tcBorders>
          </w:tcPr>
          <w:p w14:paraId="7105E36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19.0</w:t>
            </w:r>
          </w:p>
        </w:tc>
        <w:tc>
          <w:tcPr>
            <w:tcW w:w="659" w:type="dxa"/>
            <w:tcBorders>
              <w:top w:val="single" w:sz="4" w:space="0" w:color="7F7F7F" w:themeColor="text1" w:themeTint="80"/>
              <w:bottom w:val="single" w:sz="4" w:space="0" w:color="7F7F7F" w:themeColor="text1" w:themeTint="80"/>
            </w:tcBorders>
          </w:tcPr>
          <w:p w14:paraId="09F306A6"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0.98</w:t>
            </w:r>
          </w:p>
        </w:tc>
        <w:tc>
          <w:tcPr>
            <w:tcW w:w="679" w:type="dxa"/>
            <w:tcBorders>
              <w:top w:val="single" w:sz="4" w:space="0" w:color="7F7F7F" w:themeColor="text1" w:themeTint="80"/>
              <w:bottom w:val="single" w:sz="4" w:space="0" w:color="7F7F7F" w:themeColor="text1" w:themeTint="80"/>
            </w:tcBorders>
          </w:tcPr>
          <w:p w14:paraId="4B52C26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0.66</w:t>
            </w:r>
          </w:p>
        </w:tc>
        <w:tc>
          <w:tcPr>
            <w:tcW w:w="713" w:type="dxa"/>
            <w:tcBorders>
              <w:top w:val="single" w:sz="4" w:space="0" w:color="7F7F7F" w:themeColor="text1" w:themeTint="80"/>
              <w:bottom w:val="single" w:sz="4" w:space="0" w:color="7F7F7F" w:themeColor="text1" w:themeTint="80"/>
            </w:tcBorders>
          </w:tcPr>
          <w:p w14:paraId="40F7E64B"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32.7</w:t>
            </w:r>
          </w:p>
        </w:tc>
        <w:tc>
          <w:tcPr>
            <w:tcW w:w="870" w:type="dxa"/>
            <w:tcBorders>
              <w:top w:val="single" w:sz="4" w:space="0" w:color="7F7F7F" w:themeColor="text1" w:themeTint="80"/>
              <w:bottom w:val="single" w:sz="4" w:space="0" w:color="7F7F7F" w:themeColor="text1" w:themeTint="80"/>
            </w:tcBorders>
          </w:tcPr>
          <w:p w14:paraId="014AAA0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1.70</w:t>
            </w:r>
          </w:p>
        </w:tc>
      </w:tr>
      <w:tr w:rsidR="00512398" w:rsidRPr="00512398" w14:paraId="18CDF037"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bottom w:val="single" w:sz="4" w:space="0" w:color="7F7F7F" w:themeColor="text1" w:themeTint="80"/>
            </w:tcBorders>
          </w:tcPr>
          <w:p w14:paraId="7CE2B5EE"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n-Heptane</w:t>
            </w:r>
          </w:p>
        </w:tc>
        <w:tc>
          <w:tcPr>
            <w:tcW w:w="950" w:type="dxa"/>
            <w:tcBorders>
              <w:bottom w:val="single" w:sz="4" w:space="0" w:color="7F7F7F" w:themeColor="text1" w:themeTint="80"/>
            </w:tcBorders>
          </w:tcPr>
          <w:p w14:paraId="206A5DEB"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86.20</w:t>
            </w:r>
          </w:p>
        </w:tc>
        <w:tc>
          <w:tcPr>
            <w:tcW w:w="1004" w:type="dxa"/>
            <w:tcBorders>
              <w:bottom w:val="single" w:sz="4" w:space="0" w:color="7F7F7F" w:themeColor="text1" w:themeTint="80"/>
            </w:tcBorders>
          </w:tcPr>
          <w:p w14:paraId="2BA1B23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0.655</w:t>
            </w:r>
          </w:p>
        </w:tc>
        <w:tc>
          <w:tcPr>
            <w:tcW w:w="689" w:type="dxa"/>
            <w:tcBorders>
              <w:bottom w:val="single" w:sz="4" w:space="0" w:color="7F7F7F" w:themeColor="text1" w:themeTint="80"/>
            </w:tcBorders>
          </w:tcPr>
          <w:p w14:paraId="753E205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1256" w:type="dxa"/>
            <w:tcBorders>
              <w:bottom w:val="single" w:sz="4" w:space="0" w:color="7F7F7F" w:themeColor="text1" w:themeTint="80"/>
            </w:tcBorders>
          </w:tcPr>
          <w:p w14:paraId="6B6BDDA8"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659" w:type="dxa"/>
            <w:tcBorders>
              <w:bottom w:val="single" w:sz="4" w:space="0" w:color="7F7F7F" w:themeColor="text1" w:themeTint="80"/>
            </w:tcBorders>
          </w:tcPr>
          <w:p w14:paraId="2423627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679" w:type="dxa"/>
            <w:tcBorders>
              <w:bottom w:val="single" w:sz="4" w:space="0" w:color="7F7F7F" w:themeColor="text1" w:themeTint="80"/>
            </w:tcBorders>
          </w:tcPr>
          <w:p w14:paraId="7C84CFA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713" w:type="dxa"/>
            <w:tcBorders>
              <w:bottom w:val="single" w:sz="4" w:space="0" w:color="7F7F7F" w:themeColor="text1" w:themeTint="80"/>
            </w:tcBorders>
          </w:tcPr>
          <w:p w14:paraId="0E205AB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1.89</w:t>
            </w:r>
          </w:p>
        </w:tc>
        <w:tc>
          <w:tcPr>
            <w:tcW w:w="870" w:type="dxa"/>
            <w:tcBorders>
              <w:bottom w:val="single" w:sz="4" w:space="0" w:color="7F7F7F" w:themeColor="text1" w:themeTint="80"/>
            </w:tcBorders>
          </w:tcPr>
          <w:p w14:paraId="0A451F4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r>
      <w:tr w:rsidR="00512398" w:rsidRPr="00512398" w14:paraId="416EDA2F"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4" w:space="0" w:color="7F7F7F" w:themeColor="text1" w:themeTint="80"/>
              <w:bottom w:val="single" w:sz="2" w:space="0" w:color="7F7F7F" w:themeColor="text1" w:themeTint="80"/>
            </w:tcBorders>
          </w:tcPr>
          <w:p w14:paraId="2F852667"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Pyridine</w:t>
            </w:r>
          </w:p>
        </w:tc>
        <w:tc>
          <w:tcPr>
            <w:tcW w:w="950" w:type="dxa"/>
            <w:tcBorders>
              <w:top w:val="single" w:sz="4" w:space="0" w:color="7F7F7F" w:themeColor="text1" w:themeTint="80"/>
              <w:bottom w:val="single" w:sz="2" w:space="0" w:color="7F7F7F" w:themeColor="text1" w:themeTint="80"/>
            </w:tcBorders>
          </w:tcPr>
          <w:p w14:paraId="221F0EA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79.11</w:t>
            </w:r>
          </w:p>
        </w:tc>
        <w:tc>
          <w:tcPr>
            <w:tcW w:w="1004" w:type="dxa"/>
            <w:tcBorders>
              <w:top w:val="single" w:sz="4" w:space="0" w:color="7F7F7F" w:themeColor="text1" w:themeTint="80"/>
              <w:bottom w:val="single" w:sz="2" w:space="0" w:color="7F7F7F" w:themeColor="text1" w:themeTint="80"/>
            </w:tcBorders>
          </w:tcPr>
          <w:p w14:paraId="1C817F86"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0.982</w:t>
            </w:r>
          </w:p>
        </w:tc>
        <w:tc>
          <w:tcPr>
            <w:tcW w:w="689" w:type="dxa"/>
            <w:tcBorders>
              <w:top w:val="single" w:sz="4" w:space="0" w:color="7F7F7F" w:themeColor="text1" w:themeTint="80"/>
              <w:bottom w:val="single" w:sz="2" w:space="0" w:color="7F7F7F" w:themeColor="text1" w:themeTint="80"/>
            </w:tcBorders>
          </w:tcPr>
          <w:p w14:paraId="2F05F845"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14.2</w:t>
            </w:r>
          </w:p>
        </w:tc>
        <w:tc>
          <w:tcPr>
            <w:tcW w:w="1256" w:type="dxa"/>
            <w:tcBorders>
              <w:top w:val="single" w:sz="4" w:space="0" w:color="7F7F7F" w:themeColor="text1" w:themeTint="80"/>
              <w:bottom w:val="single" w:sz="2" w:space="0" w:color="7F7F7F" w:themeColor="text1" w:themeTint="80"/>
            </w:tcBorders>
          </w:tcPr>
          <w:p w14:paraId="1312389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33.1</w:t>
            </w:r>
          </w:p>
        </w:tc>
        <w:tc>
          <w:tcPr>
            <w:tcW w:w="659" w:type="dxa"/>
            <w:tcBorders>
              <w:top w:val="single" w:sz="4" w:space="0" w:color="7F7F7F" w:themeColor="text1" w:themeTint="80"/>
              <w:bottom w:val="single" w:sz="2" w:space="0" w:color="7F7F7F" w:themeColor="text1" w:themeTint="80"/>
            </w:tcBorders>
          </w:tcPr>
          <w:p w14:paraId="3D111A26"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679" w:type="dxa"/>
            <w:tcBorders>
              <w:top w:val="single" w:sz="4" w:space="0" w:color="7F7F7F" w:themeColor="text1" w:themeTint="80"/>
              <w:bottom w:val="single" w:sz="2" w:space="0" w:color="7F7F7F" w:themeColor="text1" w:themeTint="80"/>
            </w:tcBorders>
          </w:tcPr>
          <w:p w14:paraId="5424E6DD"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0.64</w:t>
            </w:r>
          </w:p>
        </w:tc>
        <w:tc>
          <w:tcPr>
            <w:tcW w:w="713" w:type="dxa"/>
            <w:tcBorders>
              <w:top w:val="single" w:sz="4" w:space="0" w:color="7F7F7F" w:themeColor="text1" w:themeTint="80"/>
              <w:bottom w:val="single" w:sz="2" w:space="0" w:color="7F7F7F" w:themeColor="text1" w:themeTint="80"/>
            </w:tcBorders>
          </w:tcPr>
          <w:p w14:paraId="26B99BEE"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12.3</w:t>
            </w:r>
          </w:p>
        </w:tc>
        <w:tc>
          <w:tcPr>
            <w:tcW w:w="870" w:type="dxa"/>
            <w:tcBorders>
              <w:top w:val="single" w:sz="4" w:space="0" w:color="7F7F7F" w:themeColor="text1" w:themeTint="80"/>
              <w:bottom w:val="single" w:sz="2" w:space="0" w:color="7F7F7F" w:themeColor="text1" w:themeTint="80"/>
            </w:tcBorders>
          </w:tcPr>
          <w:p w14:paraId="399FC5AA"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2.19</w:t>
            </w:r>
          </w:p>
        </w:tc>
      </w:tr>
      <w:tr w:rsidR="00512398" w:rsidRPr="00512398" w14:paraId="4712F4D0"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2" w:space="0" w:color="7F7F7F" w:themeColor="text1" w:themeTint="80"/>
              <w:bottom w:val="single" w:sz="4" w:space="0" w:color="auto"/>
            </w:tcBorders>
          </w:tcPr>
          <w:p w14:paraId="54B5053B"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THF</w:t>
            </w:r>
          </w:p>
        </w:tc>
        <w:tc>
          <w:tcPr>
            <w:tcW w:w="950" w:type="dxa"/>
            <w:tcBorders>
              <w:top w:val="single" w:sz="2" w:space="0" w:color="7F7F7F" w:themeColor="text1" w:themeTint="80"/>
              <w:bottom w:val="single" w:sz="4" w:space="0" w:color="auto"/>
            </w:tcBorders>
          </w:tcPr>
          <w:p w14:paraId="3F967F3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72.12</w:t>
            </w:r>
          </w:p>
        </w:tc>
        <w:tc>
          <w:tcPr>
            <w:tcW w:w="1004" w:type="dxa"/>
            <w:tcBorders>
              <w:top w:val="single" w:sz="2" w:space="0" w:color="7F7F7F" w:themeColor="text1" w:themeTint="80"/>
              <w:bottom w:val="single" w:sz="4" w:space="0" w:color="auto"/>
            </w:tcBorders>
          </w:tcPr>
          <w:p w14:paraId="0B9AAE68"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0.889</w:t>
            </w:r>
          </w:p>
        </w:tc>
        <w:tc>
          <w:tcPr>
            <w:tcW w:w="689" w:type="dxa"/>
            <w:tcBorders>
              <w:top w:val="single" w:sz="2" w:space="0" w:color="7F7F7F" w:themeColor="text1" w:themeTint="80"/>
              <w:bottom w:val="single" w:sz="4" w:space="0" w:color="auto"/>
            </w:tcBorders>
          </w:tcPr>
          <w:p w14:paraId="48218E5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8.00</w:t>
            </w:r>
          </w:p>
        </w:tc>
        <w:tc>
          <w:tcPr>
            <w:tcW w:w="1256" w:type="dxa"/>
            <w:tcBorders>
              <w:top w:val="single" w:sz="2" w:space="0" w:color="7F7F7F" w:themeColor="text1" w:themeTint="80"/>
              <w:bottom w:val="single" w:sz="4" w:space="0" w:color="auto"/>
            </w:tcBorders>
          </w:tcPr>
          <w:p w14:paraId="4A5D9EA7"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20.0</w:t>
            </w:r>
          </w:p>
        </w:tc>
        <w:tc>
          <w:tcPr>
            <w:tcW w:w="659" w:type="dxa"/>
            <w:tcBorders>
              <w:top w:val="single" w:sz="2" w:space="0" w:color="7F7F7F" w:themeColor="text1" w:themeTint="80"/>
              <w:bottom w:val="single" w:sz="4" w:space="0" w:color="auto"/>
            </w:tcBorders>
          </w:tcPr>
          <w:p w14:paraId="049C55B9"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0.00</w:t>
            </w:r>
          </w:p>
        </w:tc>
        <w:tc>
          <w:tcPr>
            <w:tcW w:w="679" w:type="dxa"/>
            <w:tcBorders>
              <w:top w:val="single" w:sz="2" w:space="0" w:color="7F7F7F" w:themeColor="text1" w:themeTint="80"/>
              <w:bottom w:val="single" w:sz="4" w:space="0" w:color="auto"/>
            </w:tcBorders>
          </w:tcPr>
          <w:p w14:paraId="7C9140A4"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0.55</w:t>
            </w:r>
          </w:p>
        </w:tc>
        <w:tc>
          <w:tcPr>
            <w:tcW w:w="713" w:type="dxa"/>
            <w:tcBorders>
              <w:top w:val="single" w:sz="2" w:space="0" w:color="7F7F7F" w:themeColor="text1" w:themeTint="80"/>
              <w:bottom w:val="single" w:sz="4" w:space="0" w:color="auto"/>
            </w:tcBorders>
          </w:tcPr>
          <w:p w14:paraId="6B69DAB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7.52</w:t>
            </w:r>
          </w:p>
        </w:tc>
        <w:tc>
          <w:tcPr>
            <w:tcW w:w="870" w:type="dxa"/>
            <w:tcBorders>
              <w:top w:val="single" w:sz="2" w:space="0" w:color="7F7F7F" w:themeColor="text1" w:themeTint="80"/>
              <w:bottom w:val="single" w:sz="4" w:space="0" w:color="auto"/>
            </w:tcBorders>
          </w:tcPr>
          <w:p w14:paraId="56F9C54D"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1.75</w:t>
            </w:r>
          </w:p>
        </w:tc>
      </w:tr>
      <w:tr w:rsidR="00512398" w:rsidRPr="00512398" w14:paraId="0D4B244D" w14:textId="77777777" w:rsidTr="00B344E2">
        <w:tc>
          <w:tcPr>
            <w:cnfStyle w:val="001000000000" w:firstRow="0" w:lastRow="0" w:firstColumn="1" w:lastColumn="0" w:oddVBand="0" w:evenVBand="0" w:oddHBand="0" w:evenHBand="0" w:firstRowFirstColumn="0" w:firstRowLastColumn="0" w:lastRowFirstColumn="0" w:lastRowLastColumn="0"/>
            <w:tcW w:w="1486" w:type="dxa"/>
            <w:tcBorders>
              <w:top w:val="single" w:sz="4" w:space="0" w:color="auto"/>
              <w:bottom w:val="single" w:sz="12" w:space="0" w:color="auto"/>
            </w:tcBorders>
          </w:tcPr>
          <w:p w14:paraId="3D46A13C" w14:textId="77777777" w:rsidR="003D6B78" w:rsidRPr="00095DCB" w:rsidRDefault="00000000" w:rsidP="00B344E2">
            <w:pPr>
              <w:spacing w:line="240" w:lineRule="auto"/>
              <w:ind w:firstLine="0"/>
              <w:rPr>
                <w:rFonts w:eastAsia="等线"/>
                <w:color w:val="000000"/>
                <w:sz w:val="16"/>
                <w:szCs w:val="15"/>
              </w:rPr>
            </w:pPr>
            <w:r w:rsidRPr="00095DCB">
              <w:rPr>
                <w:rFonts w:eastAsia="等线"/>
                <w:color w:val="000000"/>
                <w:sz w:val="16"/>
                <w:szCs w:val="15"/>
              </w:rPr>
              <w:t>Water</w:t>
            </w:r>
          </w:p>
        </w:tc>
        <w:tc>
          <w:tcPr>
            <w:tcW w:w="950" w:type="dxa"/>
            <w:tcBorders>
              <w:top w:val="single" w:sz="4" w:space="0" w:color="auto"/>
              <w:bottom w:val="single" w:sz="12" w:space="0" w:color="auto"/>
            </w:tcBorders>
          </w:tcPr>
          <w:p w14:paraId="59A4542F"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18.00</w:t>
            </w:r>
          </w:p>
        </w:tc>
        <w:tc>
          <w:tcPr>
            <w:tcW w:w="1004" w:type="dxa"/>
            <w:tcBorders>
              <w:top w:val="single" w:sz="4" w:space="0" w:color="auto"/>
              <w:bottom w:val="single" w:sz="12" w:space="0" w:color="auto"/>
            </w:tcBorders>
          </w:tcPr>
          <w:p w14:paraId="103E83AA"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1.000</w:t>
            </w:r>
          </w:p>
        </w:tc>
        <w:tc>
          <w:tcPr>
            <w:tcW w:w="689" w:type="dxa"/>
            <w:tcBorders>
              <w:top w:val="single" w:sz="4" w:space="0" w:color="auto"/>
              <w:bottom w:val="single" w:sz="12" w:space="0" w:color="auto"/>
            </w:tcBorders>
          </w:tcPr>
          <w:p w14:paraId="494DDC83"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54.8</w:t>
            </w:r>
          </w:p>
        </w:tc>
        <w:tc>
          <w:tcPr>
            <w:tcW w:w="1256" w:type="dxa"/>
            <w:tcBorders>
              <w:top w:val="single" w:sz="4" w:space="0" w:color="auto"/>
              <w:bottom w:val="single" w:sz="12" w:space="0" w:color="auto"/>
            </w:tcBorders>
          </w:tcPr>
          <w:p w14:paraId="4B115991"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18.0</w:t>
            </w:r>
          </w:p>
        </w:tc>
        <w:tc>
          <w:tcPr>
            <w:tcW w:w="659" w:type="dxa"/>
            <w:tcBorders>
              <w:top w:val="single" w:sz="4" w:space="0" w:color="auto"/>
              <w:bottom w:val="single" w:sz="12" w:space="0" w:color="auto"/>
            </w:tcBorders>
          </w:tcPr>
          <w:p w14:paraId="73A5F08E"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1.17</w:t>
            </w:r>
          </w:p>
        </w:tc>
        <w:tc>
          <w:tcPr>
            <w:tcW w:w="679" w:type="dxa"/>
            <w:tcBorders>
              <w:top w:val="single" w:sz="4" w:space="0" w:color="auto"/>
              <w:bottom w:val="single" w:sz="12" w:space="0" w:color="auto"/>
            </w:tcBorders>
          </w:tcPr>
          <w:p w14:paraId="400A7278"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0.47</w:t>
            </w:r>
          </w:p>
        </w:tc>
        <w:tc>
          <w:tcPr>
            <w:tcW w:w="713" w:type="dxa"/>
            <w:tcBorders>
              <w:top w:val="single" w:sz="4" w:space="0" w:color="auto"/>
              <w:bottom w:val="single" w:sz="12" w:space="0" w:color="auto"/>
            </w:tcBorders>
          </w:tcPr>
          <w:p w14:paraId="6BD63B3C"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78.5</w:t>
            </w:r>
          </w:p>
        </w:tc>
        <w:tc>
          <w:tcPr>
            <w:tcW w:w="870" w:type="dxa"/>
            <w:tcBorders>
              <w:top w:val="single" w:sz="4" w:space="0" w:color="auto"/>
              <w:bottom w:val="single" w:sz="12" w:space="0" w:color="auto"/>
            </w:tcBorders>
          </w:tcPr>
          <w:p w14:paraId="14AB5E3E" w14:textId="77777777" w:rsidR="003D6B78" w:rsidRPr="00095DCB" w:rsidRDefault="00000000" w:rsidP="00B344E2">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宋体"/>
                <w:sz w:val="16"/>
                <w:szCs w:val="15"/>
              </w:rPr>
            </w:pPr>
            <w:r w:rsidRPr="00095DCB">
              <w:rPr>
                <w:rFonts w:eastAsia="宋体"/>
                <w:sz w:val="16"/>
                <w:szCs w:val="15"/>
              </w:rPr>
              <w:t>1.85</w:t>
            </w:r>
          </w:p>
        </w:tc>
      </w:tr>
    </w:tbl>
    <w:p w14:paraId="16BC6528" w14:textId="77777777" w:rsidR="003D6B78" w:rsidRPr="00C760A6" w:rsidRDefault="00000000" w:rsidP="00876746">
      <w:pPr>
        <w:ind w:firstLine="0"/>
      </w:pPr>
      <w:r w:rsidRPr="00C760A6">
        <w:t>Molar mass (MM); density at 25℃ (ρ); Gutmann acceptor number (AN); Gutmann donor number (DN); Kamlet-Taft parameters for hydrogen bond donating (α) and hydrogen bonding accepting ability (β; dielectric constant values relative to air (εrel); dipole moment (μ)</w:t>
      </w:r>
      <w:r w:rsidRPr="00660F80">
        <w:t>.</w:t>
      </w:r>
    </w:p>
    <w:p w14:paraId="54817870" w14:textId="77777777" w:rsidR="003D6B78" w:rsidRPr="00C760A6" w:rsidRDefault="00000000" w:rsidP="00095DCB">
      <w:pPr>
        <w:ind w:firstLine="720"/>
        <w:rPr>
          <w:rFonts w:eastAsia="宋体"/>
        </w:rPr>
      </w:pPr>
      <w:r w:rsidRPr="00C760A6">
        <w:rPr>
          <w:rFonts w:eastAsia="宋体"/>
        </w:rPr>
        <w:br w:type="page"/>
      </w:r>
    </w:p>
    <w:p w14:paraId="173009B4" w14:textId="794689E2" w:rsidR="00095DCB" w:rsidRPr="00095DCB" w:rsidRDefault="00095DCB" w:rsidP="00095DCB">
      <w:pPr>
        <w:adjustRightInd w:val="0"/>
        <w:snapToGrid w:val="0"/>
        <w:spacing w:beforeLines="100" w:before="360" w:afterLines="100" w:after="360"/>
        <w:ind w:left="567" w:hanging="567"/>
        <w:rPr>
          <w:rFonts w:eastAsia="等线" w:cs="Times New Roman"/>
          <w:b/>
          <w:bCs/>
          <w:sz w:val="28"/>
          <w:szCs w:val="28"/>
        </w:rPr>
      </w:pPr>
      <w:r w:rsidRPr="00095DCB">
        <w:rPr>
          <w:rFonts w:eastAsia="等线" w:cs="Times New Roman"/>
          <w:b/>
          <w:bCs/>
          <w:sz w:val="28"/>
          <w:szCs w:val="28"/>
        </w:rPr>
        <w:lastRenderedPageBreak/>
        <w:t>Supplementary References</w:t>
      </w:r>
    </w:p>
    <w:p w14:paraId="3EE08ED2" w14:textId="7554687C" w:rsidR="00857376" w:rsidRPr="00857376" w:rsidRDefault="00857376" w:rsidP="000C68B7">
      <w:pPr>
        <w:pStyle w:val="afd"/>
        <w:spacing w:afterLines="50" w:after="180"/>
        <w:ind w:firstLine="0"/>
        <w:jc w:val="left"/>
        <w:rPr>
          <w:rFonts w:cs="Times New Roman"/>
          <w:kern w:val="0"/>
        </w:rPr>
      </w:pPr>
      <w:r w:rsidRPr="00857376">
        <w:rPr>
          <w:rFonts w:cs="Times New Roman"/>
          <w:kern w:val="0"/>
        </w:rPr>
        <w:t>1.</w:t>
      </w:r>
      <w:r w:rsidR="000C68B7">
        <w:rPr>
          <w:rFonts w:cs="Times New Roman" w:hint="eastAsia"/>
          <w:kern w:val="0"/>
        </w:rPr>
        <w:t xml:space="preserve"> </w:t>
      </w:r>
      <w:r w:rsidRPr="00857376">
        <w:rPr>
          <w:rFonts w:cs="Times New Roman"/>
          <w:kern w:val="0"/>
        </w:rPr>
        <w:t xml:space="preserve">Han, C. </w:t>
      </w:r>
      <w:r w:rsidRPr="00857376">
        <w:rPr>
          <w:rFonts w:cs="Times New Roman"/>
          <w:i/>
          <w:iCs/>
          <w:kern w:val="0"/>
        </w:rPr>
        <w:t>et al.</w:t>
      </w:r>
      <w:r w:rsidRPr="00857376">
        <w:rPr>
          <w:rFonts w:cs="Times New Roman"/>
          <w:kern w:val="0"/>
        </w:rPr>
        <w:t xml:space="preserve"> Electrocatalytic hydrogenation of alkenes with Pd/carbon nanotubes at an oil–water interface. </w:t>
      </w:r>
      <w:r w:rsidRPr="00857376">
        <w:rPr>
          <w:rFonts w:cs="Times New Roman"/>
          <w:i/>
          <w:iCs/>
          <w:kern w:val="0"/>
        </w:rPr>
        <w:t>Nature Catalysis</w:t>
      </w:r>
      <w:r w:rsidRPr="00857376">
        <w:rPr>
          <w:rFonts w:cs="Times New Roman"/>
          <w:kern w:val="0"/>
        </w:rPr>
        <w:t xml:space="preserve"> </w:t>
      </w:r>
      <w:r w:rsidRPr="00857376">
        <w:rPr>
          <w:rFonts w:cs="Times New Roman"/>
          <w:b/>
          <w:bCs/>
          <w:kern w:val="0"/>
        </w:rPr>
        <w:t>5</w:t>
      </w:r>
      <w:r w:rsidRPr="00857376">
        <w:rPr>
          <w:rFonts w:cs="Times New Roman"/>
          <w:kern w:val="0"/>
        </w:rPr>
        <w:t>, 1110–1119 (2022).</w:t>
      </w:r>
    </w:p>
    <w:p w14:paraId="47D3DA0B" w14:textId="2CC6DD11" w:rsidR="00857376" w:rsidRPr="00857376" w:rsidRDefault="00857376" w:rsidP="000C68B7">
      <w:pPr>
        <w:pStyle w:val="afd"/>
        <w:spacing w:afterLines="50" w:after="180"/>
        <w:ind w:firstLine="0"/>
        <w:jc w:val="left"/>
        <w:rPr>
          <w:rFonts w:cs="Times New Roman"/>
          <w:kern w:val="0"/>
        </w:rPr>
      </w:pPr>
      <w:r w:rsidRPr="00857376">
        <w:rPr>
          <w:rFonts w:cs="Times New Roman"/>
          <w:kern w:val="0"/>
        </w:rPr>
        <w:t>2.</w:t>
      </w:r>
      <w:r w:rsidR="000C68B7">
        <w:rPr>
          <w:rFonts w:cs="Times New Roman" w:hint="eastAsia"/>
          <w:kern w:val="0"/>
        </w:rPr>
        <w:t xml:space="preserve"> </w:t>
      </w:r>
      <w:r w:rsidRPr="00857376">
        <w:rPr>
          <w:rFonts w:cs="Times New Roman"/>
          <w:kern w:val="0"/>
        </w:rPr>
        <w:t xml:space="preserve">Ge, W. </w:t>
      </w:r>
      <w:r w:rsidRPr="00857376">
        <w:rPr>
          <w:rFonts w:cs="Times New Roman"/>
          <w:i/>
          <w:iCs/>
          <w:kern w:val="0"/>
        </w:rPr>
        <w:t>et al.</w:t>
      </w:r>
      <w:r w:rsidRPr="00857376">
        <w:rPr>
          <w:rFonts w:cs="Times New Roman"/>
          <w:kern w:val="0"/>
        </w:rPr>
        <w:t xml:space="preserve"> Dynamically Formed Surfactant Assembly at the Electrified Electrode–Electrolyte Interface Boosting CO2 Electroreduction. </w:t>
      </w:r>
      <w:r w:rsidRPr="00857376">
        <w:rPr>
          <w:rFonts w:cs="Times New Roman"/>
          <w:i/>
          <w:iCs/>
          <w:kern w:val="0"/>
        </w:rPr>
        <w:t>J. Am. Chem. Soc.</w:t>
      </w:r>
      <w:r w:rsidRPr="00857376">
        <w:rPr>
          <w:rFonts w:cs="Times New Roman"/>
          <w:kern w:val="0"/>
        </w:rPr>
        <w:t xml:space="preserve"> </w:t>
      </w:r>
      <w:r w:rsidRPr="00857376">
        <w:rPr>
          <w:rFonts w:cs="Times New Roman"/>
          <w:b/>
          <w:bCs/>
          <w:kern w:val="0"/>
        </w:rPr>
        <w:t>144</w:t>
      </w:r>
      <w:r w:rsidRPr="00857376">
        <w:rPr>
          <w:rFonts w:cs="Times New Roman"/>
          <w:kern w:val="0"/>
        </w:rPr>
        <w:t>, 6613–6622 (2022).</w:t>
      </w:r>
    </w:p>
    <w:p w14:paraId="2560A3FA" w14:textId="121C4066" w:rsidR="00857376" w:rsidRPr="00857376" w:rsidRDefault="00857376" w:rsidP="000C68B7">
      <w:pPr>
        <w:pStyle w:val="afd"/>
        <w:spacing w:afterLines="50" w:after="180"/>
        <w:ind w:firstLine="0"/>
        <w:jc w:val="left"/>
        <w:rPr>
          <w:rFonts w:cs="Times New Roman"/>
          <w:kern w:val="0"/>
        </w:rPr>
      </w:pPr>
      <w:r w:rsidRPr="00857376">
        <w:rPr>
          <w:rFonts w:cs="Times New Roman"/>
          <w:kern w:val="0"/>
        </w:rPr>
        <w:t>3.</w:t>
      </w:r>
      <w:r w:rsidR="000C68B7">
        <w:rPr>
          <w:rFonts w:cs="Times New Roman" w:hint="eastAsia"/>
          <w:kern w:val="0"/>
        </w:rPr>
        <w:t xml:space="preserve"> </w:t>
      </w:r>
      <w:r w:rsidRPr="00857376">
        <w:rPr>
          <w:rFonts w:cs="Times New Roman"/>
          <w:kern w:val="0"/>
        </w:rPr>
        <w:t xml:space="preserve">Martínez, L., Andrade, R., Birgin, E. G. &amp; Martínez, J. M. PACKMOL: A package for building initial configurations for molecular dynamics simulations. </w:t>
      </w:r>
      <w:r w:rsidRPr="00857376">
        <w:rPr>
          <w:rFonts w:cs="Times New Roman"/>
          <w:i/>
          <w:iCs/>
          <w:kern w:val="0"/>
        </w:rPr>
        <w:t>Journal of Computational Chemistry</w:t>
      </w:r>
      <w:r w:rsidRPr="00857376">
        <w:rPr>
          <w:rFonts w:cs="Times New Roman"/>
          <w:kern w:val="0"/>
        </w:rPr>
        <w:t xml:space="preserve"> </w:t>
      </w:r>
      <w:r w:rsidRPr="00857376">
        <w:rPr>
          <w:rFonts w:cs="Times New Roman"/>
          <w:b/>
          <w:bCs/>
          <w:kern w:val="0"/>
        </w:rPr>
        <w:t>30</w:t>
      </w:r>
      <w:r w:rsidRPr="00857376">
        <w:rPr>
          <w:rFonts w:cs="Times New Roman"/>
          <w:kern w:val="0"/>
        </w:rPr>
        <w:t>, 2157–2164 (2009).</w:t>
      </w:r>
    </w:p>
    <w:p w14:paraId="077F6858" w14:textId="71BFC0F1" w:rsidR="00857376" w:rsidRPr="00857376" w:rsidRDefault="00857376" w:rsidP="000C68B7">
      <w:pPr>
        <w:pStyle w:val="afd"/>
        <w:spacing w:afterLines="50" w:after="180"/>
        <w:ind w:firstLine="0"/>
        <w:jc w:val="left"/>
        <w:rPr>
          <w:rFonts w:cs="Times New Roman"/>
          <w:kern w:val="0"/>
        </w:rPr>
      </w:pPr>
      <w:r w:rsidRPr="00857376">
        <w:rPr>
          <w:rFonts w:cs="Times New Roman"/>
          <w:kern w:val="0"/>
        </w:rPr>
        <w:t>4.</w:t>
      </w:r>
      <w:r w:rsidR="000C68B7">
        <w:rPr>
          <w:rFonts w:cs="Times New Roman" w:hint="eastAsia"/>
          <w:kern w:val="0"/>
        </w:rPr>
        <w:t xml:space="preserve"> </w:t>
      </w:r>
      <w:r w:rsidRPr="00857376">
        <w:rPr>
          <w:rFonts w:cs="Times New Roman"/>
          <w:kern w:val="0"/>
        </w:rPr>
        <w:t xml:space="preserve">Kaminski, G. A., Friesner, R. A., Tirado-Rives, J. &amp; Jorgensen, W. L. Evaluation and Reparametrization of the OPLS-AA Force Field for Proteins via Comparison with Accurate Quantum Chemical Calculations on Peptides. </w:t>
      </w:r>
      <w:r w:rsidRPr="00857376">
        <w:rPr>
          <w:rFonts w:cs="Times New Roman"/>
          <w:i/>
          <w:iCs/>
          <w:kern w:val="0"/>
        </w:rPr>
        <w:t>J. Phys. Chem. B</w:t>
      </w:r>
      <w:r w:rsidRPr="00857376">
        <w:rPr>
          <w:rFonts w:cs="Times New Roman"/>
          <w:kern w:val="0"/>
        </w:rPr>
        <w:t xml:space="preserve"> </w:t>
      </w:r>
      <w:r w:rsidRPr="00857376">
        <w:rPr>
          <w:rFonts w:cs="Times New Roman"/>
          <w:b/>
          <w:bCs/>
          <w:kern w:val="0"/>
        </w:rPr>
        <w:t>105</w:t>
      </w:r>
      <w:r w:rsidRPr="00857376">
        <w:rPr>
          <w:rFonts w:cs="Times New Roman"/>
          <w:kern w:val="0"/>
        </w:rPr>
        <w:t>, 6474–6487 (2001).</w:t>
      </w:r>
    </w:p>
    <w:p w14:paraId="3DD2A620" w14:textId="6660A9A6" w:rsidR="00857376" w:rsidRPr="00857376" w:rsidRDefault="00857376" w:rsidP="000C68B7">
      <w:pPr>
        <w:pStyle w:val="afd"/>
        <w:spacing w:afterLines="50" w:after="180"/>
        <w:ind w:firstLine="0"/>
        <w:jc w:val="left"/>
        <w:rPr>
          <w:rFonts w:cs="Times New Roman"/>
          <w:kern w:val="0"/>
        </w:rPr>
      </w:pPr>
      <w:r w:rsidRPr="00857376">
        <w:rPr>
          <w:rFonts w:cs="Times New Roman"/>
          <w:kern w:val="0"/>
        </w:rPr>
        <w:t>5.</w:t>
      </w:r>
      <w:r w:rsidR="000C68B7">
        <w:rPr>
          <w:rFonts w:cs="Times New Roman" w:hint="eastAsia"/>
          <w:kern w:val="0"/>
        </w:rPr>
        <w:t xml:space="preserve"> </w:t>
      </w:r>
      <w:r w:rsidRPr="00857376">
        <w:rPr>
          <w:rFonts w:cs="Times New Roman"/>
          <w:kern w:val="0"/>
        </w:rPr>
        <w:t>Wang, C.; Li, W.; Liao, K.; Wang, Z.; Wang, Y.; Gong, K. AuToFF Program, Vesrion 1.0. Hzwtech. Shanghai 2023, see https://cloud.hzwtech.com/web/product-service?id=36.</w:t>
      </w:r>
    </w:p>
    <w:p w14:paraId="553BEF44" w14:textId="6A8A97E4" w:rsidR="00857376" w:rsidRPr="00857376" w:rsidRDefault="00857376" w:rsidP="000C68B7">
      <w:pPr>
        <w:pStyle w:val="afd"/>
        <w:spacing w:afterLines="50" w:after="180"/>
        <w:ind w:firstLine="0"/>
        <w:jc w:val="left"/>
        <w:rPr>
          <w:rFonts w:cs="Times New Roman"/>
          <w:kern w:val="0"/>
        </w:rPr>
      </w:pPr>
      <w:r w:rsidRPr="00857376">
        <w:rPr>
          <w:rFonts w:cs="Times New Roman"/>
          <w:kern w:val="0"/>
        </w:rPr>
        <w:t>6.</w:t>
      </w:r>
      <w:r w:rsidR="000C68B7">
        <w:rPr>
          <w:rFonts w:cs="Times New Roman" w:hint="eastAsia"/>
          <w:kern w:val="0"/>
        </w:rPr>
        <w:t xml:space="preserve"> </w:t>
      </w:r>
      <w:r w:rsidRPr="00857376">
        <w:rPr>
          <w:rFonts w:cs="Times New Roman"/>
          <w:kern w:val="0"/>
        </w:rPr>
        <w:t xml:space="preserve">Abraham, M. J. </w:t>
      </w:r>
      <w:r w:rsidRPr="00857376">
        <w:rPr>
          <w:rFonts w:cs="Times New Roman"/>
          <w:i/>
          <w:iCs/>
          <w:kern w:val="0"/>
        </w:rPr>
        <w:t>et al.</w:t>
      </w:r>
      <w:r w:rsidRPr="00857376">
        <w:rPr>
          <w:rFonts w:cs="Times New Roman"/>
          <w:kern w:val="0"/>
        </w:rPr>
        <w:t xml:space="preserve"> GROMACS: High performance molecular simulations through multi-level parallelism from laptops to supercomputers. </w:t>
      </w:r>
      <w:r w:rsidRPr="00857376">
        <w:rPr>
          <w:rFonts w:cs="Times New Roman"/>
          <w:i/>
          <w:iCs/>
          <w:kern w:val="0"/>
        </w:rPr>
        <w:t>SoftwareX</w:t>
      </w:r>
      <w:r w:rsidRPr="00857376">
        <w:rPr>
          <w:rFonts w:cs="Times New Roman"/>
          <w:kern w:val="0"/>
        </w:rPr>
        <w:t xml:space="preserve"> </w:t>
      </w:r>
      <w:r w:rsidRPr="00857376">
        <w:rPr>
          <w:rFonts w:cs="Times New Roman"/>
          <w:b/>
          <w:bCs/>
          <w:kern w:val="0"/>
        </w:rPr>
        <w:t>1–2</w:t>
      </w:r>
      <w:r w:rsidRPr="00857376">
        <w:rPr>
          <w:rFonts w:cs="Times New Roman"/>
          <w:kern w:val="0"/>
        </w:rPr>
        <w:t>, 19–25 (2015).</w:t>
      </w:r>
    </w:p>
    <w:p w14:paraId="7756F524" w14:textId="1A742E63" w:rsidR="00857376" w:rsidRPr="00857376" w:rsidRDefault="00857376" w:rsidP="000C68B7">
      <w:pPr>
        <w:pStyle w:val="afd"/>
        <w:spacing w:afterLines="50" w:after="180"/>
        <w:ind w:firstLine="0"/>
        <w:jc w:val="left"/>
        <w:rPr>
          <w:rFonts w:cs="Times New Roman"/>
          <w:kern w:val="0"/>
        </w:rPr>
      </w:pPr>
      <w:r w:rsidRPr="00857376">
        <w:rPr>
          <w:rFonts w:cs="Times New Roman"/>
          <w:kern w:val="0"/>
        </w:rPr>
        <w:t>7.</w:t>
      </w:r>
      <w:r w:rsidR="000C68B7">
        <w:rPr>
          <w:rFonts w:cs="Times New Roman" w:hint="eastAsia"/>
          <w:kern w:val="0"/>
        </w:rPr>
        <w:t xml:space="preserve"> </w:t>
      </w:r>
      <w:r w:rsidRPr="00857376">
        <w:rPr>
          <w:rFonts w:cs="Times New Roman"/>
          <w:kern w:val="0"/>
        </w:rPr>
        <w:t>A. Stukowski, Visualization and analysis of atomistic simulation data with OVITO - the Open Visualization Tool, Modelling Simul. Mater. Sci. Eng. 18, 015012 (2010).</w:t>
      </w:r>
    </w:p>
    <w:p w14:paraId="5E07666E" w14:textId="681E3E29" w:rsidR="00857376" w:rsidRPr="00857376" w:rsidRDefault="00857376" w:rsidP="000C68B7">
      <w:pPr>
        <w:pStyle w:val="afd"/>
        <w:spacing w:afterLines="50" w:after="180"/>
        <w:ind w:firstLine="0"/>
        <w:jc w:val="left"/>
        <w:rPr>
          <w:rFonts w:cs="Times New Roman"/>
          <w:kern w:val="0"/>
        </w:rPr>
      </w:pPr>
      <w:r w:rsidRPr="00857376">
        <w:rPr>
          <w:rFonts w:cs="Times New Roman"/>
          <w:kern w:val="0"/>
        </w:rPr>
        <w:t>8.</w:t>
      </w:r>
      <w:r w:rsidR="000C68B7">
        <w:rPr>
          <w:rFonts w:cs="Times New Roman" w:hint="eastAsia"/>
          <w:kern w:val="0"/>
        </w:rPr>
        <w:t xml:space="preserve"> </w:t>
      </w:r>
      <w:r w:rsidRPr="00857376">
        <w:rPr>
          <w:rFonts w:cs="Times New Roman"/>
          <w:kern w:val="0"/>
        </w:rPr>
        <w:t xml:space="preserve">Láng, G. G. Basic interfacial thermodynamics and related mathematical background. </w:t>
      </w:r>
      <w:r w:rsidRPr="00857376">
        <w:rPr>
          <w:rFonts w:cs="Times New Roman"/>
          <w:i/>
          <w:iCs/>
          <w:kern w:val="0"/>
        </w:rPr>
        <w:t>ChemTexts</w:t>
      </w:r>
      <w:r w:rsidRPr="00857376">
        <w:rPr>
          <w:rFonts w:cs="Times New Roman"/>
          <w:kern w:val="0"/>
        </w:rPr>
        <w:t xml:space="preserve"> </w:t>
      </w:r>
      <w:r w:rsidRPr="00857376">
        <w:rPr>
          <w:rFonts w:cs="Times New Roman"/>
          <w:b/>
          <w:bCs/>
          <w:kern w:val="0"/>
        </w:rPr>
        <w:t>1</w:t>
      </w:r>
      <w:r w:rsidRPr="00857376">
        <w:rPr>
          <w:rFonts w:cs="Times New Roman"/>
          <w:kern w:val="0"/>
        </w:rPr>
        <w:t>, 16 (2015).</w:t>
      </w:r>
    </w:p>
    <w:p w14:paraId="5CF169A5" w14:textId="1A6A1966" w:rsidR="00857376" w:rsidRPr="00857376" w:rsidRDefault="00857376" w:rsidP="000C68B7">
      <w:pPr>
        <w:pStyle w:val="afd"/>
        <w:spacing w:afterLines="50" w:after="180"/>
        <w:ind w:firstLine="0"/>
        <w:jc w:val="left"/>
        <w:rPr>
          <w:rFonts w:cs="Times New Roman"/>
          <w:kern w:val="0"/>
        </w:rPr>
      </w:pPr>
      <w:r w:rsidRPr="00857376">
        <w:rPr>
          <w:rFonts w:cs="Times New Roman"/>
          <w:kern w:val="0"/>
        </w:rPr>
        <w:lastRenderedPageBreak/>
        <w:t>9.</w:t>
      </w:r>
      <w:r w:rsidR="000C68B7">
        <w:rPr>
          <w:rFonts w:cs="Times New Roman" w:hint="eastAsia"/>
          <w:kern w:val="0"/>
        </w:rPr>
        <w:t xml:space="preserve"> </w:t>
      </w:r>
      <w:r w:rsidRPr="00857376">
        <w:rPr>
          <w:rFonts w:cs="Times New Roman"/>
          <w:kern w:val="0"/>
        </w:rPr>
        <w:t xml:space="preserve">Ji, K. </w:t>
      </w:r>
      <w:r w:rsidRPr="00857376">
        <w:rPr>
          <w:rFonts w:cs="Times New Roman"/>
          <w:i/>
          <w:iCs/>
          <w:kern w:val="0"/>
        </w:rPr>
        <w:t>et al.</w:t>
      </w:r>
      <w:r w:rsidRPr="00857376">
        <w:rPr>
          <w:rFonts w:cs="Times New Roman"/>
          <w:kern w:val="0"/>
        </w:rPr>
        <w:t xml:space="preserve"> Steering Selectivity in Electrocatalytic Furfural Reduction via Electrode–Electrolyte Interface Modification. </w:t>
      </w:r>
      <w:r w:rsidRPr="00857376">
        <w:rPr>
          <w:rFonts w:cs="Times New Roman"/>
          <w:i/>
          <w:iCs/>
          <w:kern w:val="0"/>
        </w:rPr>
        <w:t>J. Am. Chem. Soc.</w:t>
      </w:r>
      <w:r w:rsidRPr="00857376">
        <w:rPr>
          <w:rFonts w:cs="Times New Roman"/>
          <w:kern w:val="0"/>
        </w:rPr>
        <w:t xml:space="preserve"> </w:t>
      </w:r>
      <w:r w:rsidRPr="00857376">
        <w:rPr>
          <w:rFonts w:cs="Times New Roman"/>
          <w:b/>
          <w:bCs/>
          <w:kern w:val="0"/>
        </w:rPr>
        <w:t>146</w:t>
      </w:r>
      <w:r w:rsidRPr="00857376">
        <w:rPr>
          <w:rFonts w:cs="Times New Roman"/>
          <w:kern w:val="0"/>
        </w:rPr>
        <w:t>, 11876–11886 (2024).</w:t>
      </w:r>
    </w:p>
    <w:p w14:paraId="346EB70F" w14:textId="7FA28494" w:rsidR="00857376" w:rsidRPr="00857376" w:rsidRDefault="00857376" w:rsidP="000C68B7">
      <w:pPr>
        <w:pStyle w:val="afd"/>
        <w:spacing w:afterLines="50" w:after="180"/>
        <w:ind w:firstLine="0"/>
        <w:jc w:val="left"/>
        <w:rPr>
          <w:rFonts w:cs="Times New Roman"/>
          <w:kern w:val="0"/>
        </w:rPr>
      </w:pPr>
      <w:r w:rsidRPr="00857376">
        <w:rPr>
          <w:rFonts w:cs="Times New Roman"/>
          <w:kern w:val="0"/>
        </w:rPr>
        <w:t>10.</w:t>
      </w:r>
      <w:r>
        <w:rPr>
          <w:rFonts w:cs="Times New Roman" w:hint="eastAsia"/>
          <w:kern w:val="0"/>
        </w:rPr>
        <w:t xml:space="preserve"> </w:t>
      </w:r>
      <w:r w:rsidRPr="00857376">
        <w:rPr>
          <w:rFonts w:cs="Times New Roman"/>
          <w:kern w:val="0"/>
        </w:rPr>
        <w:t xml:space="preserve">Shi, L. </w:t>
      </w:r>
      <w:r w:rsidRPr="00857376">
        <w:rPr>
          <w:rFonts w:cs="Times New Roman"/>
          <w:i/>
          <w:iCs/>
          <w:kern w:val="0"/>
        </w:rPr>
        <w:t>et al.</w:t>
      </w:r>
      <w:r w:rsidRPr="00857376">
        <w:rPr>
          <w:rFonts w:cs="Times New Roman"/>
          <w:kern w:val="0"/>
        </w:rPr>
        <w:t xml:space="preserve"> Water structure and electric fields at the interface of oil droplets. </w:t>
      </w:r>
      <w:r w:rsidRPr="00857376">
        <w:rPr>
          <w:rFonts w:cs="Times New Roman"/>
          <w:i/>
          <w:iCs/>
          <w:kern w:val="0"/>
        </w:rPr>
        <w:t>Nature</w:t>
      </w:r>
      <w:r w:rsidRPr="00857376">
        <w:rPr>
          <w:rFonts w:cs="Times New Roman"/>
          <w:kern w:val="0"/>
        </w:rPr>
        <w:t xml:space="preserve"> </w:t>
      </w:r>
      <w:r w:rsidRPr="00857376">
        <w:rPr>
          <w:rFonts w:cs="Times New Roman"/>
          <w:b/>
          <w:bCs/>
          <w:kern w:val="0"/>
        </w:rPr>
        <w:t>640</w:t>
      </w:r>
      <w:r w:rsidRPr="00857376">
        <w:rPr>
          <w:rFonts w:cs="Times New Roman"/>
          <w:kern w:val="0"/>
        </w:rPr>
        <w:t>, 87–93 (2025).</w:t>
      </w:r>
    </w:p>
    <w:p w14:paraId="1671854E" w14:textId="5BBDEF65" w:rsidR="00857376" w:rsidRPr="00857376" w:rsidRDefault="00857376" w:rsidP="000C68B7">
      <w:pPr>
        <w:pStyle w:val="afd"/>
        <w:spacing w:afterLines="50" w:after="180"/>
        <w:ind w:firstLine="0"/>
        <w:jc w:val="left"/>
        <w:rPr>
          <w:rFonts w:cs="Times New Roman"/>
          <w:kern w:val="0"/>
        </w:rPr>
      </w:pPr>
      <w:r w:rsidRPr="00857376">
        <w:rPr>
          <w:rFonts w:cs="Times New Roman"/>
          <w:kern w:val="0"/>
        </w:rPr>
        <w:t>11.</w:t>
      </w:r>
      <w:r>
        <w:rPr>
          <w:rFonts w:cs="Times New Roman" w:hint="eastAsia"/>
          <w:kern w:val="0"/>
        </w:rPr>
        <w:t xml:space="preserve"> </w:t>
      </w:r>
      <w:r w:rsidRPr="00857376">
        <w:rPr>
          <w:rFonts w:cs="Times New Roman"/>
          <w:kern w:val="0"/>
        </w:rPr>
        <w:t xml:space="preserve">Gutmann, V. Solvent effects on the reactivities of organometallic compounds. </w:t>
      </w:r>
      <w:r w:rsidRPr="00857376">
        <w:rPr>
          <w:rFonts w:cs="Times New Roman"/>
          <w:i/>
          <w:iCs/>
          <w:kern w:val="0"/>
        </w:rPr>
        <w:t>Coordination Chemistry Reviews</w:t>
      </w:r>
      <w:r w:rsidRPr="00857376">
        <w:rPr>
          <w:rFonts w:cs="Times New Roman"/>
          <w:kern w:val="0"/>
        </w:rPr>
        <w:t xml:space="preserve"> </w:t>
      </w:r>
      <w:r w:rsidRPr="00857376">
        <w:rPr>
          <w:rFonts w:cs="Times New Roman"/>
          <w:b/>
          <w:bCs/>
          <w:kern w:val="0"/>
        </w:rPr>
        <w:t>18</w:t>
      </w:r>
      <w:r w:rsidRPr="00857376">
        <w:rPr>
          <w:rFonts w:cs="Times New Roman"/>
          <w:kern w:val="0"/>
        </w:rPr>
        <w:t>, 225–255 (1976).</w:t>
      </w:r>
    </w:p>
    <w:p w14:paraId="1C13C66C" w14:textId="32CDD1F6" w:rsidR="00857376" w:rsidRPr="00857376" w:rsidRDefault="00857376" w:rsidP="000C68B7">
      <w:pPr>
        <w:pStyle w:val="afd"/>
        <w:spacing w:afterLines="50" w:after="180"/>
        <w:ind w:firstLine="0"/>
        <w:jc w:val="left"/>
        <w:rPr>
          <w:rFonts w:cs="Times New Roman"/>
          <w:kern w:val="0"/>
        </w:rPr>
      </w:pPr>
      <w:r w:rsidRPr="00857376">
        <w:rPr>
          <w:rFonts w:cs="Times New Roman"/>
          <w:kern w:val="0"/>
        </w:rPr>
        <w:t>12.</w:t>
      </w:r>
      <w:r>
        <w:rPr>
          <w:rFonts w:cs="Times New Roman" w:hint="eastAsia"/>
          <w:kern w:val="0"/>
        </w:rPr>
        <w:t xml:space="preserve"> </w:t>
      </w:r>
      <w:r w:rsidRPr="00857376">
        <w:rPr>
          <w:rFonts w:cs="Times New Roman"/>
          <w:kern w:val="0"/>
        </w:rPr>
        <w:t xml:space="preserve">Kamlet, M. J. &amp; Taft, R. W. The solvatochromic comparison method. I. </w:t>
      </w:r>
      <w:proofErr w:type="gramStart"/>
      <w:r w:rsidRPr="00857376">
        <w:rPr>
          <w:rFonts w:cs="Times New Roman"/>
          <w:kern w:val="0"/>
        </w:rPr>
        <w:t>The .beta</w:t>
      </w:r>
      <w:proofErr w:type="gramEnd"/>
      <w:r w:rsidRPr="00857376">
        <w:rPr>
          <w:rFonts w:cs="Times New Roman"/>
          <w:kern w:val="0"/>
        </w:rPr>
        <w:t xml:space="preserve">.-scale of solvent hydrogen-bond acceptor (HBA) basicities. </w:t>
      </w:r>
      <w:r w:rsidRPr="00857376">
        <w:rPr>
          <w:rFonts w:cs="Times New Roman"/>
          <w:i/>
          <w:iCs/>
          <w:kern w:val="0"/>
        </w:rPr>
        <w:t>J. Am. Chem. Soc.</w:t>
      </w:r>
      <w:r w:rsidRPr="00857376">
        <w:rPr>
          <w:rFonts w:cs="Times New Roman"/>
          <w:kern w:val="0"/>
        </w:rPr>
        <w:t xml:space="preserve"> </w:t>
      </w:r>
      <w:r w:rsidRPr="00857376">
        <w:rPr>
          <w:rFonts w:cs="Times New Roman"/>
          <w:b/>
          <w:bCs/>
          <w:kern w:val="0"/>
        </w:rPr>
        <w:t>98</w:t>
      </w:r>
      <w:r w:rsidRPr="00857376">
        <w:rPr>
          <w:rFonts w:cs="Times New Roman"/>
          <w:kern w:val="0"/>
        </w:rPr>
        <w:t>, 377–383 (1976).</w:t>
      </w:r>
    </w:p>
    <w:p w14:paraId="3DAFE2D8" w14:textId="2176CAF9" w:rsidR="00857376" w:rsidRPr="00857376" w:rsidRDefault="00857376" w:rsidP="000C68B7">
      <w:pPr>
        <w:pStyle w:val="afd"/>
        <w:spacing w:afterLines="50" w:after="180"/>
        <w:ind w:firstLine="0"/>
        <w:jc w:val="left"/>
        <w:rPr>
          <w:rFonts w:cs="Times New Roman"/>
          <w:kern w:val="0"/>
        </w:rPr>
      </w:pPr>
      <w:r w:rsidRPr="00857376">
        <w:rPr>
          <w:rFonts w:cs="Times New Roman"/>
          <w:kern w:val="0"/>
        </w:rPr>
        <w:t>13.</w:t>
      </w:r>
      <w:r>
        <w:rPr>
          <w:rFonts w:cs="Times New Roman" w:hint="eastAsia"/>
          <w:kern w:val="0"/>
        </w:rPr>
        <w:t xml:space="preserve"> </w:t>
      </w:r>
      <w:r w:rsidRPr="00857376">
        <w:rPr>
          <w:rFonts w:cs="Times New Roman"/>
          <w:kern w:val="0"/>
        </w:rPr>
        <w:t xml:space="preserve">Appendix A. Properties, Purification, and Use of Organic Solvents. in </w:t>
      </w:r>
      <w:r w:rsidRPr="00857376">
        <w:rPr>
          <w:rFonts w:cs="Times New Roman"/>
          <w:i/>
          <w:iCs/>
          <w:kern w:val="0"/>
        </w:rPr>
        <w:t>Solvents and Solvent Effects in Organic Chemistry</w:t>
      </w:r>
      <w:r w:rsidRPr="00857376">
        <w:rPr>
          <w:rFonts w:cs="Times New Roman"/>
          <w:kern w:val="0"/>
        </w:rPr>
        <w:t xml:space="preserve"> 549–586 </w:t>
      </w:r>
      <w:proofErr w:type="gramStart"/>
      <w:r w:rsidRPr="00857376">
        <w:rPr>
          <w:rFonts w:cs="Times New Roman"/>
          <w:kern w:val="0"/>
        </w:rPr>
        <w:t>doi:10.1002/9783527632220.app1</w:t>
      </w:r>
      <w:proofErr w:type="gramEnd"/>
      <w:r w:rsidRPr="00857376">
        <w:rPr>
          <w:rFonts w:cs="Times New Roman"/>
          <w:kern w:val="0"/>
        </w:rPr>
        <w:t xml:space="preserve"> (2010).</w:t>
      </w:r>
    </w:p>
    <w:p w14:paraId="11F6B39E" w14:textId="166144EA" w:rsidR="003D6B78" w:rsidRPr="00C760A6" w:rsidRDefault="003D6B78" w:rsidP="00095DCB">
      <w:pPr>
        <w:ind w:firstLine="720"/>
      </w:pPr>
    </w:p>
    <w:sectPr w:rsidR="003D6B78" w:rsidRPr="00C760A6">
      <w:pgSz w:w="11906" w:h="16838"/>
      <w:pgMar w:top="1440" w:right="1800" w:bottom="1440" w:left="1800" w:header="708" w:footer="708" w:gutter="0"/>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114415" w14:textId="77777777" w:rsidR="00C849D2" w:rsidRDefault="00C849D2">
      <w:pPr>
        <w:spacing w:before="240" w:after="240" w:line="240" w:lineRule="auto"/>
      </w:pPr>
      <w:r>
        <w:separator/>
      </w:r>
    </w:p>
  </w:endnote>
  <w:endnote w:type="continuationSeparator" w:id="0">
    <w:p w14:paraId="06E3F043" w14:textId="77777777" w:rsidR="00C849D2" w:rsidRDefault="00C849D2">
      <w:pPr>
        <w:spacing w:before="240" w:after="24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626002" w14:textId="77777777" w:rsidR="00C849D2" w:rsidRDefault="00C849D2">
      <w:pPr>
        <w:spacing w:before="240" w:after="240"/>
      </w:pPr>
      <w:r>
        <w:separator/>
      </w:r>
    </w:p>
  </w:footnote>
  <w:footnote w:type="continuationSeparator" w:id="0">
    <w:p w14:paraId="444E3BF5" w14:textId="77777777" w:rsidR="00C849D2" w:rsidRDefault="00C849D2">
      <w:pPr>
        <w:spacing w:before="240" w:after="24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02CA7"/>
    <w:multiLevelType w:val="hybridMultilevel"/>
    <w:tmpl w:val="9B164826"/>
    <w:lvl w:ilvl="0" w:tplc="0409000D">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start w:val="1"/>
      <w:numFmt w:val="bullet"/>
      <w:lvlText w:val=""/>
      <w:lvlJc w:val="left"/>
      <w:pPr>
        <w:ind w:left="2200" w:hanging="440"/>
      </w:pPr>
      <w:rPr>
        <w:rFonts w:ascii="Wingdings" w:hAnsi="Wingdings" w:hint="default"/>
      </w:rPr>
    </w:lvl>
    <w:lvl w:ilvl="5" w:tplc="04090005">
      <w:start w:val="1"/>
      <w:numFmt w:val="bullet"/>
      <w:lvlText w:val=""/>
      <w:lvlJc w:val="left"/>
      <w:pPr>
        <w:ind w:left="2640" w:hanging="440"/>
      </w:pPr>
      <w:rPr>
        <w:rFonts w:ascii="Wingdings" w:hAnsi="Wingdings" w:hint="default"/>
      </w:rPr>
    </w:lvl>
    <w:lvl w:ilvl="6" w:tplc="04090001">
      <w:start w:val="1"/>
      <w:numFmt w:val="bullet"/>
      <w:lvlText w:val=""/>
      <w:lvlJc w:val="left"/>
      <w:pPr>
        <w:ind w:left="3080" w:hanging="440"/>
      </w:pPr>
      <w:rPr>
        <w:rFonts w:ascii="Wingdings" w:hAnsi="Wingdings" w:hint="default"/>
      </w:rPr>
    </w:lvl>
    <w:lvl w:ilvl="7" w:tplc="04090003">
      <w:start w:val="1"/>
      <w:numFmt w:val="bullet"/>
      <w:lvlText w:val=""/>
      <w:lvlJc w:val="left"/>
      <w:pPr>
        <w:ind w:left="3520" w:hanging="440"/>
      </w:pPr>
      <w:rPr>
        <w:rFonts w:ascii="Wingdings" w:hAnsi="Wingdings" w:hint="default"/>
      </w:rPr>
    </w:lvl>
    <w:lvl w:ilvl="8" w:tplc="04090005">
      <w:start w:val="1"/>
      <w:numFmt w:val="bullet"/>
      <w:lvlText w:val=""/>
      <w:lvlJc w:val="left"/>
      <w:pPr>
        <w:ind w:left="3960" w:hanging="440"/>
      </w:pPr>
      <w:rPr>
        <w:rFonts w:ascii="Wingdings" w:hAnsi="Wingdings" w:hint="default"/>
      </w:rPr>
    </w:lvl>
  </w:abstractNum>
  <w:abstractNum w:abstractNumId="1" w15:restartNumberingAfterBreak="0">
    <w:nsid w:val="29C81395"/>
    <w:multiLevelType w:val="hybridMultilevel"/>
    <w:tmpl w:val="E7BCA656"/>
    <w:lvl w:ilvl="0" w:tplc="0409000D">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FFFFFFFF">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start w:val="1"/>
      <w:numFmt w:val="bullet"/>
      <w:lvlText w:val=""/>
      <w:lvlJc w:val="left"/>
      <w:pPr>
        <w:ind w:left="2200" w:hanging="440"/>
      </w:pPr>
      <w:rPr>
        <w:rFonts w:ascii="Wingdings" w:hAnsi="Wingdings" w:hint="default"/>
      </w:rPr>
    </w:lvl>
    <w:lvl w:ilvl="5" w:tplc="FFFFFFFF">
      <w:start w:val="1"/>
      <w:numFmt w:val="bullet"/>
      <w:lvlText w:val=""/>
      <w:lvlJc w:val="left"/>
      <w:pPr>
        <w:ind w:left="2640" w:hanging="440"/>
      </w:pPr>
      <w:rPr>
        <w:rFonts w:ascii="Wingdings" w:hAnsi="Wingdings" w:hint="default"/>
      </w:rPr>
    </w:lvl>
    <w:lvl w:ilvl="6" w:tplc="FFFFFFFF">
      <w:start w:val="1"/>
      <w:numFmt w:val="bullet"/>
      <w:lvlText w:val=""/>
      <w:lvlJc w:val="left"/>
      <w:pPr>
        <w:ind w:left="3080" w:hanging="440"/>
      </w:pPr>
      <w:rPr>
        <w:rFonts w:ascii="Wingdings" w:hAnsi="Wingdings" w:hint="default"/>
      </w:rPr>
    </w:lvl>
    <w:lvl w:ilvl="7" w:tplc="FFFFFFFF">
      <w:start w:val="1"/>
      <w:numFmt w:val="bullet"/>
      <w:lvlText w:val=""/>
      <w:lvlJc w:val="left"/>
      <w:pPr>
        <w:ind w:left="3520" w:hanging="440"/>
      </w:pPr>
      <w:rPr>
        <w:rFonts w:ascii="Wingdings" w:hAnsi="Wingdings" w:hint="default"/>
      </w:rPr>
    </w:lvl>
    <w:lvl w:ilvl="8" w:tplc="FFFFFFFF">
      <w:start w:val="1"/>
      <w:numFmt w:val="bullet"/>
      <w:lvlText w:val=""/>
      <w:lvlJc w:val="left"/>
      <w:pPr>
        <w:ind w:left="3960" w:hanging="440"/>
      </w:pPr>
      <w:rPr>
        <w:rFonts w:ascii="Wingdings" w:hAnsi="Wingdings" w:hint="default"/>
      </w:rPr>
    </w:lvl>
  </w:abstractNum>
  <w:abstractNum w:abstractNumId="2" w15:restartNumberingAfterBreak="0">
    <w:nsid w:val="2BC44661"/>
    <w:multiLevelType w:val="hybridMultilevel"/>
    <w:tmpl w:val="C6926332"/>
    <w:lvl w:ilvl="0" w:tplc="D2F49A02">
      <w:start w:val="1"/>
      <w:numFmt w:val="lowerLetter"/>
      <w:lvlText w:val="(%1)"/>
      <w:lvlJc w:val="left"/>
      <w:pPr>
        <w:ind w:left="360" w:hanging="360"/>
      </w:pPr>
      <w:rPr>
        <w:rFonts w:hint="default"/>
      </w:rPr>
    </w:lvl>
    <w:lvl w:ilvl="1" w:tplc="FA762FB0">
      <w:start w:val="1"/>
      <w:numFmt w:val="lowerLetter"/>
      <w:lvlText w:val="(%2)"/>
      <w:lvlJc w:val="left"/>
      <w:pPr>
        <w:ind w:left="800" w:hanging="360"/>
      </w:pPr>
      <w:rPr>
        <w:rFonts w:hint="default"/>
      </w:r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34E27D2E"/>
    <w:multiLevelType w:val="multilevel"/>
    <w:tmpl w:val="34E27D2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785736281">
    <w:abstractNumId w:val="3"/>
  </w:num>
  <w:num w:numId="2" w16cid:durableId="866018110">
    <w:abstractNumId w:val="0"/>
  </w:num>
  <w:num w:numId="3" w16cid:durableId="74403070">
    <w:abstractNumId w:val="2"/>
  </w:num>
  <w:num w:numId="4" w16cid:durableId="20688001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grammar="clean"/>
  <w:defaultTabStop w:val="7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0016"/>
    <w:rsid w:val="00011C51"/>
    <w:rsid w:val="0001270E"/>
    <w:rsid w:val="0001780D"/>
    <w:rsid w:val="00023FB0"/>
    <w:rsid w:val="00024496"/>
    <w:rsid w:val="00026229"/>
    <w:rsid w:val="0002729A"/>
    <w:rsid w:val="0002785F"/>
    <w:rsid w:val="00027C7A"/>
    <w:rsid w:val="00036C65"/>
    <w:rsid w:val="0004592B"/>
    <w:rsid w:val="0004605A"/>
    <w:rsid w:val="000564EF"/>
    <w:rsid w:val="00060220"/>
    <w:rsid w:val="0007262D"/>
    <w:rsid w:val="00076994"/>
    <w:rsid w:val="00095DCB"/>
    <w:rsid w:val="000A43FC"/>
    <w:rsid w:val="000B298E"/>
    <w:rsid w:val="000B5185"/>
    <w:rsid w:val="000C68B7"/>
    <w:rsid w:val="000F0697"/>
    <w:rsid w:val="000F2779"/>
    <w:rsid w:val="000F4B61"/>
    <w:rsid w:val="000F553B"/>
    <w:rsid w:val="0010255E"/>
    <w:rsid w:val="00104DF2"/>
    <w:rsid w:val="00114EB8"/>
    <w:rsid w:val="001239B8"/>
    <w:rsid w:val="001256AD"/>
    <w:rsid w:val="00137E65"/>
    <w:rsid w:val="001419FB"/>
    <w:rsid w:val="00156B92"/>
    <w:rsid w:val="00156DE5"/>
    <w:rsid w:val="001760C1"/>
    <w:rsid w:val="00182736"/>
    <w:rsid w:val="00182771"/>
    <w:rsid w:val="00192160"/>
    <w:rsid w:val="001A22A3"/>
    <w:rsid w:val="001A23D0"/>
    <w:rsid w:val="001A30BB"/>
    <w:rsid w:val="001C0C8B"/>
    <w:rsid w:val="001C1DF8"/>
    <w:rsid w:val="001C1E2E"/>
    <w:rsid w:val="001C2ABF"/>
    <w:rsid w:val="001D0544"/>
    <w:rsid w:val="001D3FA5"/>
    <w:rsid w:val="001F11B1"/>
    <w:rsid w:val="001F213C"/>
    <w:rsid w:val="001F57B7"/>
    <w:rsid w:val="001F5B49"/>
    <w:rsid w:val="001F6461"/>
    <w:rsid w:val="00217B78"/>
    <w:rsid w:val="0022003E"/>
    <w:rsid w:val="00227A50"/>
    <w:rsid w:val="00236B3B"/>
    <w:rsid w:val="00241301"/>
    <w:rsid w:val="00297631"/>
    <w:rsid w:val="002A339E"/>
    <w:rsid w:val="002B6ABE"/>
    <w:rsid w:val="002C29F2"/>
    <w:rsid w:val="002E2946"/>
    <w:rsid w:val="002F1E96"/>
    <w:rsid w:val="002F42AE"/>
    <w:rsid w:val="002F6B7D"/>
    <w:rsid w:val="0030091A"/>
    <w:rsid w:val="00310C37"/>
    <w:rsid w:val="003157DB"/>
    <w:rsid w:val="00320D9B"/>
    <w:rsid w:val="00327F17"/>
    <w:rsid w:val="00331BAD"/>
    <w:rsid w:val="00351534"/>
    <w:rsid w:val="00356C01"/>
    <w:rsid w:val="003736F7"/>
    <w:rsid w:val="0037706E"/>
    <w:rsid w:val="003B498C"/>
    <w:rsid w:val="003B5953"/>
    <w:rsid w:val="003C2EF7"/>
    <w:rsid w:val="003C3040"/>
    <w:rsid w:val="003C4D60"/>
    <w:rsid w:val="003D3251"/>
    <w:rsid w:val="003D6B78"/>
    <w:rsid w:val="003E4D57"/>
    <w:rsid w:val="00404671"/>
    <w:rsid w:val="0042262D"/>
    <w:rsid w:val="00442044"/>
    <w:rsid w:val="00451555"/>
    <w:rsid w:val="00452AE2"/>
    <w:rsid w:val="00461678"/>
    <w:rsid w:val="00474F98"/>
    <w:rsid w:val="00481731"/>
    <w:rsid w:val="0048497E"/>
    <w:rsid w:val="004C5C6F"/>
    <w:rsid w:val="004D7DD7"/>
    <w:rsid w:val="004D7E39"/>
    <w:rsid w:val="004F0DFD"/>
    <w:rsid w:val="004F6046"/>
    <w:rsid w:val="00512398"/>
    <w:rsid w:val="00515061"/>
    <w:rsid w:val="0052370A"/>
    <w:rsid w:val="005255F5"/>
    <w:rsid w:val="00526184"/>
    <w:rsid w:val="0053250D"/>
    <w:rsid w:val="005424E4"/>
    <w:rsid w:val="00567950"/>
    <w:rsid w:val="0058556A"/>
    <w:rsid w:val="00586B79"/>
    <w:rsid w:val="0058742C"/>
    <w:rsid w:val="00593FB9"/>
    <w:rsid w:val="005D617A"/>
    <w:rsid w:val="005E38B5"/>
    <w:rsid w:val="005E74BE"/>
    <w:rsid w:val="005F69CD"/>
    <w:rsid w:val="005F7368"/>
    <w:rsid w:val="006003AE"/>
    <w:rsid w:val="006123CE"/>
    <w:rsid w:val="00625083"/>
    <w:rsid w:val="00630C44"/>
    <w:rsid w:val="00630CC5"/>
    <w:rsid w:val="00645A7B"/>
    <w:rsid w:val="00647143"/>
    <w:rsid w:val="00660D16"/>
    <w:rsid w:val="00660F80"/>
    <w:rsid w:val="00672193"/>
    <w:rsid w:val="006765C9"/>
    <w:rsid w:val="00696FD8"/>
    <w:rsid w:val="006A4E1E"/>
    <w:rsid w:val="006B7D78"/>
    <w:rsid w:val="006D2E2A"/>
    <w:rsid w:val="006E25C3"/>
    <w:rsid w:val="006E37BD"/>
    <w:rsid w:val="006F5424"/>
    <w:rsid w:val="006F6B34"/>
    <w:rsid w:val="00704055"/>
    <w:rsid w:val="007060FC"/>
    <w:rsid w:val="00712808"/>
    <w:rsid w:val="00714499"/>
    <w:rsid w:val="007246BF"/>
    <w:rsid w:val="0073221D"/>
    <w:rsid w:val="0073273C"/>
    <w:rsid w:val="007372EB"/>
    <w:rsid w:val="00742A1A"/>
    <w:rsid w:val="00742ED8"/>
    <w:rsid w:val="00745E4B"/>
    <w:rsid w:val="00754FD2"/>
    <w:rsid w:val="007651B9"/>
    <w:rsid w:val="0077568D"/>
    <w:rsid w:val="00781FF2"/>
    <w:rsid w:val="007A0142"/>
    <w:rsid w:val="007A6F42"/>
    <w:rsid w:val="007A7C66"/>
    <w:rsid w:val="007C5133"/>
    <w:rsid w:val="007D4A03"/>
    <w:rsid w:val="007E0A9D"/>
    <w:rsid w:val="007E0B5E"/>
    <w:rsid w:val="007E2481"/>
    <w:rsid w:val="007F0A0A"/>
    <w:rsid w:val="007F603A"/>
    <w:rsid w:val="00807156"/>
    <w:rsid w:val="00817B02"/>
    <w:rsid w:val="00823385"/>
    <w:rsid w:val="00833FA9"/>
    <w:rsid w:val="00843CBD"/>
    <w:rsid w:val="00850505"/>
    <w:rsid w:val="00851F45"/>
    <w:rsid w:val="00857376"/>
    <w:rsid w:val="00872386"/>
    <w:rsid w:val="008729E1"/>
    <w:rsid w:val="00876746"/>
    <w:rsid w:val="008874B4"/>
    <w:rsid w:val="00887FE5"/>
    <w:rsid w:val="00890CCA"/>
    <w:rsid w:val="008A02B4"/>
    <w:rsid w:val="008C275E"/>
    <w:rsid w:val="008C4F8F"/>
    <w:rsid w:val="008D2800"/>
    <w:rsid w:val="008E6070"/>
    <w:rsid w:val="008F5BA6"/>
    <w:rsid w:val="009000FC"/>
    <w:rsid w:val="00906E6B"/>
    <w:rsid w:val="0091139E"/>
    <w:rsid w:val="00924B64"/>
    <w:rsid w:val="009337AB"/>
    <w:rsid w:val="00942116"/>
    <w:rsid w:val="00946750"/>
    <w:rsid w:val="00947827"/>
    <w:rsid w:val="0096306B"/>
    <w:rsid w:val="009657BE"/>
    <w:rsid w:val="009670C3"/>
    <w:rsid w:val="00967C4B"/>
    <w:rsid w:val="009747BD"/>
    <w:rsid w:val="00983231"/>
    <w:rsid w:val="00987E35"/>
    <w:rsid w:val="009B1678"/>
    <w:rsid w:val="009B2B16"/>
    <w:rsid w:val="009D3C23"/>
    <w:rsid w:val="009D5A5E"/>
    <w:rsid w:val="009D7247"/>
    <w:rsid w:val="009E0F53"/>
    <w:rsid w:val="009E1DCF"/>
    <w:rsid w:val="00A1528A"/>
    <w:rsid w:val="00A4388A"/>
    <w:rsid w:val="00A46343"/>
    <w:rsid w:val="00A7690B"/>
    <w:rsid w:val="00A8020A"/>
    <w:rsid w:val="00A8124E"/>
    <w:rsid w:val="00A8270D"/>
    <w:rsid w:val="00A90263"/>
    <w:rsid w:val="00A96763"/>
    <w:rsid w:val="00AC684B"/>
    <w:rsid w:val="00AC74C9"/>
    <w:rsid w:val="00AD62BF"/>
    <w:rsid w:val="00AE0EB8"/>
    <w:rsid w:val="00B10120"/>
    <w:rsid w:val="00B32237"/>
    <w:rsid w:val="00B344E2"/>
    <w:rsid w:val="00B34ED7"/>
    <w:rsid w:val="00B451A3"/>
    <w:rsid w:val="00B50706"/>
    <w:rsid w:val="00B5093A"/>
    <w:rsid w:val="00B61EEE"/>
    <w:rsid w:val="00B62290"/>
    <w:rsid w:val="00B6328F"/>
    <w:rsid w:val="00B90D01"/>
    <w:rsid w:val="00B9711A"/>
    <w:rsid w:val="00BA6C4B"/>
    <w:rsid w:val="00BA6C9B"/>
    <w:rsid w:val="00BD2419"/>
    <w:rsid w:val="00BE4005"/>
    <w:rsid w:val="00BE6203"/>
    <w:rsid w:val="00BF120E"/>
    <w:rsid w:val="00BF49EE"/>
    <w:rsid w:val="00BF5D94"/>
    <w:rsid w:val="00C10389"/>
    <w:rsid w:val="00C16E76"/>
    <w:rsid w:val="00C2465D"/>
    <w:rsid w:val="00C37795"/>
    <w:rsid w:val="00C40D2A"/>
    <w:rsid w:val="00C5651E"/>
    <w:rsid w:val="00C65925"/>
    <w:rsid w:val="00C66006"/>
    <w:rsid w:val="00C66999"/>
    <w:rsid w:val="00C704BD"/>
    <w:rsid w:val="00C72FEE"/>
    <w:rsid w:val="00C760A6"/>
    <w:rsid w:val="00C83B27"/>
    <w:rsid w:val="00C849D2"/>
    <w:rsid w:val="00C93F4E"/>
    <w:rsid w:val="00C9507D"/>
    <w:rsid w:val="00CC784D"/>
    <w:rsid w:val="00D03661"/>
    <w:rsid w:val="00D1151F"/>
    <w:rsid w:val="00D14EE9"/>
    <w:rsid w:val="00D30016"/>
    <w:rsid w:val="00D3746F"/>
    <w:rsid w:val="00D41C9C"/>
    <w:rsid w:val="00D54729"/>
    <w:rsid w:val="00D66552"/>
    <w:rsid w:val="00D8257E"/>
    <w:rsid w:val="00DA3CA6"/>
    <w:rsid w:val="00DB705E"/>
    <w:rsid w:val="00DB70E7"/>
    <w:rsid w:val="00DC5D21"/>
    <w:rsid w:val="00DF0F91"/>
    <w:rsid w:val="00DF1FC7"/>
    <w:rsid w:val="00DF4AC1"/>
    <w:rsid w:val="00DF4D15"/>
    <w:rsid w:val="00DF6A17"/>
    <w:rsid w:val="00DF7C88"/>
    <w:rsid w:val="00E023E8"/>
    <w:rsid w:val="00E05A2F"/>
    <w:rsid w:val="00E169A5"/>
    <w:rsid w:val="00E24DBB"/>
    <w:rsid w:val="00E24E72"/>
    <w:rsid w:val="00E3324F"/>
    <w:rsid w:val="00E34995"/>
    <w:rsid w:val="00E42E8E"/>
    <w:rsid w:val="00E6780B"/>
    <w:rsid w:val="00E71190"/>
    <w:rsid w:val="00E8258E"/>
    <w:rsid w:val="00E91B55"/>
    <w:rsid w:val="00E93BF1"/>
    <w:rsid w:val="00EA07A0"/>
    <w:rsid w:val="00EA4EA1"/>
    <w:rsid w:val="00EB01A6"/>
    <w:rsid w:val="00EB3441"/>
    <w:rsid w:val="00EB58F3"/>
    <w:rsid w:val="00EB667D"/>
    <w:rsid w:val="00ED640E"/>
    <w:rsid w:val="00EE3EA9"/>
    <w:rsid w:val="00EF26DC"/>
    <w:rsid w:val="00F05163"/>
    <w:rsid w:val="00F12B4F"/>
    <w:rsid w:val="00F150DB"/>
    <w:rsid w:val="00F24C5E"/>
    <w:rsid w:val="00F2736D"/>
    <w:rsid w:val="00F548B5"/>
    <w:rsid w:val="00F638CE"/>
    <w:rsid w:val="00F72397"/>
    <w:rsid w:val="00F77B8A"/>
    <w:rsid w:val="00F837E6"/>
    <w:rsid w:val="00F87E5F"/>
    <w:rsid w:val="00FA14A4"/>
    <w:rsid w:val="00FB19EC"/>
    <w:rsid w:val="00FB2C71"/>
    <w:rsid w:val="00FB31F7"/>
    <w:rsid w:val="00FC4CA5"/>
    <w:rsid w:val="00FE0414"/>
    <w:rsid w:val="00FF2FCF"/>
    <w:rsid w:val="01B94B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ED88DA4"/>
  <w15:docId w15:val="{6BC0F307-DB6D-4D6A-B7CD-C92120616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A6C4B"/>
    <w:pPr>
      <w:widowControl w:val="0"/>
      <w:spacing w:line="360" w:lineRule="auto"/>
      <w:ind w:firstLine="420"/>
      <w:jc w:val="both"/>
    </w:pPr>
    <w:rPr>
      <w:rFonts w:ascii="Times New Roman" w:hAnsi="Times New Roman"/>
      <w:kern w:val="2"/>
      <w:sz w:val="24"/>
      <w:szCs w:val="22"/>
    </w:rPr>
  </w:style>
  <w:style w:type="paragraph" w:styleId="1">
    <w:name w:val="heading 1"/>
    <w:basedOn w:val="a"/>
    <w:next w:val="a"/>
    <w:link w:val="10"/>
    <w:uiPriority w:val="9"/>
    <w:qFormat/>
    <w:rsid w:val="00F150DB"/>
    <w:pPr>
      <w:keepNext/>
      <w:keepLines/>
      <w:ind w:firstLine="0"/>
      <w:outlineLvl w:val="0"/>
    </w:pPr>
    <w:rPr>
      <w:rFonts w:eastAsiaTheme="majorEastAsia" w:cstheme="majorBidi"/>
      <w:b/>
      <w:sz w:val="28"/>
      <w:szCs w:val="40"/>
    </w:rPr>
  </w:style>
  <w:style w:type="paragraph" w:styleId="2">
    <w:name w:val="heading 2"/>
    <w:basedOn w:val="a"/>
    <w:next w:val="a"/>
    <w:link w:val="20"/>
    <w:uiPriority w:val="9"/>
    <w:unhideWhenUsed/>
    <w:qFormat/>
    <w:rsid w:val="00F150DB"/>
    <w:pPr>
      <w:keepNext/>
      <w:keepLines/>
      <w:spacing w:beforeLines="100" w:before="100" w:afterLines="100" w:after="100" w:line="240" w:lineRule="auto"/>
      <w:ind w:firstLine="0"/>
      <w:outlineLvl w:val="1"/>
    </w:pPr>
    <w:rPr>
      <w:rFonts w:eastAsiaTheme="majorEastAsia" w:cstheme="majorBidi"/>
      <w:b/>
      <w:szCs w:val="32"/>
    </w:rPr>
  </w:style>
  <w:style w:type="paragraph" w:styleId="3">
    <w:name w:val="heading 3"/>
    <w:basedOn w:val="a"/>
    <w:next w:val="a"/>
    <w:link w:val="30"/>
    <w:uiPriority w:val="9"/>
    <w:unhideWhenUsed/>
    <w:qFormat/>
    <w:pPr>
      <w:keepNext/>
      <w:keepLines/>
      <w:jc w:val="center"/>
      <w:outlineLvl w:val="2"/>
    </w:pPr>
    <w:rPr>
      <w:rFonts w:eastAsiaTheme="majorEastAsia" w:cstheme="majorBidi"/>
      <w:color w:val="000000" w:themeColor="text1"/>
      <w:szCs w:val="28"/>
    </w:rPr>
  </w:style>
  <w:style w:type="paragraph" w:styleId="4">
    <w:name w:val="heading 4"/>
    <w:basedOn w:val="a"/>
    <w:next w:val="a"/>
    <w:link w:val="40"/>
    <w:uiPriority w:val="9"/>
    <w:semiHidden/>
    <w:unhideWhenUsed/>
    <w:qFormat/>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pPr>
      <w:keepNext/>
      <w:keepLines/>
      <w:outlineLvl w:val="7"/>
    </w:pPr>
    <w:rPr>
      <w:rFonts w:eastAsiaTheme="majorEastAsia" w:cstheme="majorBidi"/>
      <w:i/>
      <w:iCs/>
      <w:color w:val="262626" w:themeColor="text1" w:themeTint="D9"/>
    </w:rPr>
  </w:style>
  <w:style w:type="paragraph" w:styleId="9">
    <w:name w:val="heading 9"/>
    <w:basedOn w:val="a"/>
    <w:next w:val="a"/>
    <w:link w:val="90"/>
    <w:uiPriority w:val="9"/>
    <w:semiHidden/>
    <w:unhideWhenUsed/>
    <w:qFormat/>
    <w:pPr>
      <w:keepNext/>
      <w:keepLines/>
      <w:outlineLvl w:val="8"/>
    </w:pPr>
    <w:rPr>
      <w:rFonts w:eastAsiaTheme="majorEastAsia" w:cstheme="majorBidi"/>
      <w:color w:val="262626" w:themeColor="text1" w:themeTint="D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pPr>
  </w:style>
  <w:style w:type="paragraph" w:styleId="a5">
    <w:name w:val="header"/>
    <w:basedOn w:val="a"/>
    <w:link w:val="a6"/>
    <w:uiPriority w:val="99"/>
    <w:unhideWhenUsed/>
    <w:pPr>
      <w:tabs>
        <w:tab w:val="center" w:pos="4153"/>
        <w:tab w:val="right" w:pos="8306"/>
      </w:tabs>
    </w:pPr>
  </w:style>
  <w:style w:type="paragraph" w:styleId="a7">
    <w:name w:val="Subtitle"/>
    <w:basedOn w:val="a"/>
    <w:next w:val="a"/>
    <w:link w:val="a8"/>
    <w:uiPriority w:val="11"/>
    <w:qFormat/>
    <w:pPr>
      <w:spacing w:after="160"/>
    </w:pPr>
    <w:rPr>
      <w:rFonts w:eastAsiaTheme="majorEastAsia" w:cstheme="majorBidi"/>
      <w:color w:val="595959" w:themeColor="text1" w:themeTint="A6"/>
      <w:spacing w:val="15"/>
      <w:sz w:val="28"/>
      <w:szCs w:val="28"/>
    </w:rPr>
  </w:style>
  <w:style w:type="paragraph" w:styleId="a9">
    <w:name w:val="Normal (Web)"/>
    <w:basedOn w:val="a"/>
    <w:uiPriority w:val="99"/>
    <w:semiHidden/>
    <w:unhideWhenUsed/>
    <w:pPr>
      <w:widowControl/>
      <w:spacing w:before="100" w:beforeAutospacing="1" w:after="100" w:afterAutospacing="1" w:line="240" w:lineRule="auto"/>
      <w:ind w:firstLine="0"/>
      <w:jc w:val="left"/>
    </w:pPr>
    <w:rPr>
      <w:rFonts w:eastAsia="Times New Roman" w:cs="Times New Roman"/>
      <w:kern w:val="0"/>
      <w:szCs w:val="24"/>
    </w:rPr>
  </w:style>
  <w:style w:type="paragraph" w:styleId="aa">
    <w:name w:val="Title"/>
    <w:basedOn w:val="a"/>
    <w:next w:val="a"/>
    <w:link w:val="ab"/>
    <w:uiPriority w:val="10"/>
    <w:qFormat/>
    <w:pPr>
      <w:spacing w:after="80"/>
      <w:contextualSpacing/>
    </w:pPr>
    <w:rPr>
      <w:rFonts w:asciiTheme="majorHAnsi" w:eastAsiaTheme="majorEastAsia" w:hAnsiTheme="majorHAnsi" w:cstheme="majorBidi"/>
      <w:spacing w:val="-10"/>
      <w:kern w:val="28"/>
      <w:sz w:val="56"/>
      <w:szCs w:val="56"/>
    </w:rPr>
  </w:style>
  <w:style w:type="table" w:styleId="ac">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basedOn w:val="a0"/>
    <w:unhideWhenUsed/>
    <w:qFormat/>
    <w:rPr>
      <w:color w:val="467886" w:themeColor="hyperlink"/>
      <w:u w:val="single"/>
    </w:rPr>
  </w:style>
  <w:style w:type="character" w:customStyle="1" w:styleId="10">
    <w:name w:val="标题 1 字符"/>
    <w:basedOn w:val="a0"/>
    <w:link w:val="1"/>
    <w:uiPriority w:val="9"/>
    <w:rsid w:val="00F150DB"/>
    <w:rPr>
      <w:rFonts w:ascii="Times New Roman" w:eastAsiaTheme="majorEastAsia" w:hAnsi="Times New Roman" w:cstheme="majorBidi"/>
      <w:b/>
      <w:kern w:val="2"/>
      <w:sz w:val="28"/>
      <w:szCs w:val="40"/>
    </w:rPr>
  </w:style>
  <w:style w:type="character" w:customStyle="1" w:styleId="20">
    <w:name w:val="标题 2 字符"/>
    <w:basedOn w:val="a0"/>
    <w:link w:val="2"/>
    <w:uiPriority w:val="9"/>
    <w:rsid w:val="00F150DB"/>
    <w:rPr>
      <w:rFonts w:ascii="Times New Roman" w:eastAsiaTheme="majorEastAsia" w:hAnsi="Times New Roman" w:cstheme="majorBidi"/>
      <w:b/>
      <w:kern w:val="2"/>
      <w:sz w:val="24"/>
      <w:szCs w:val="32"/>
    </w:rPr>
  </w:style>
  <w:style w:type="character" w:customStyle="1" w:styleId="30">
    <w:name w:val="标题 3 字符"/>
    <w:basedOn w:val="a0"/>
    <w:link w:val="3"/>
    <w:uiPriority w:val="9"/>
    <w:rPr>
      <w:rFonts w:ascii="Times New Roman" w:eastAsiaTheme="majorEastAsia" w:hAnsi="Times New Roman" w:cstheme="majorBidi"/>
      <w:color w:val="000000" w:themeColor="text1"/>
      <w:szCs w:val="28"/>
    </w:rPr>
  </w:style>
  <w:style w:type="character" w:customStyle="1" w:styleId="40">
    <w:name w:val="标题 4 字符"/>
    <w:basedOn w:val="a0"/>
    <w:link w:val="4"/>
    <w:uiPriority w:val="9"/>
    <w:semiHidden/>
    <w:rPr>
      <w:rFonts w:eastAsiaTheme="majorEastAsia" w:cstheme="majorBidi"/>
      <w:i/>
      <w:iCs/>
      <w:color w:val="0F4761" w:themeColor="accent1" w:themeShade="BF"/>
    </w:rPr>
  </w:style>
  <w:style w:type="character" w:customStyle="1" w:styleId="50">
    <w:name w:val="标题 5 字符"/>
    <w:basedOn w:val="a0"/>
    <w:link w:val="5"/>
    <w:uiPriority w:val="9"/>
    <w:semiHidden/>
    <w:rPr>
      <w:rFonts w:eastAsiaTheme="majorEastAsia" w:cstheme="majorBidi"/>
      <w:color w:val="0F4761" w:themeColor="accent1" w:themeShade="BF"/>
    </w:rPr>
  </w:style>
  <w:style w:type="character" w:customStyle="1" w:styleId="60">
    <w:name w:val="标题 6 字符"/>
    <w:basedOn w:val="a0"/>
    <w:link w:val="6"/>
    <w:uiPriority w:val="9"/>
    <w:semiHidden/>
    <w:rPr>
      <w:rFonts w:eastAsiaTheme="majorEastAsia" w:cstheme="majorBidi"/>
      <w:i/>
      <w:iCs/>
      <w:color w:val="595959" w:themeColor="text1" w:themeTint="A6"/>
    </w:rPr>
  </w:style>
  <w:style w:type="character" w:customStyle="1" w:styleId="70">
    <w:name w:val="标题 7 字符"/>
    <w:basedOn w:val="a0"/>
    <w:link w:val="7"/>
    <w:uiPriority w:val="9"/>
    <w:semiHidden/>
    <w:rPr>
      <w:rFonts w:eastAsiaTheme="majorEastAsia" w:cstheme="majorBidi"/>
      <w:color w:val="595959" w:themeColor="text1" w:themeTint="A6"/>
    </w:rPr>
  </w:style>
  <w:style w:type="character" w:customStyle="1" w:styleId="80">
    <w:name w:val="标题 8 字符"/>
    <w:basedOn w:val="a0"/>
    <w:link w:val="8"/>
    <w:uiPriority w:val="9"/>
    <w:semiHidden/>
    <w:rPr>
      <w:rFonts w:eastAsiaTheme="majorEastAsia" w:cstheme="majorBidi"/>
      <w:i/>
      <w:iCs/>
      <w:color w:val="262626" w:themeColor="text1" w:themeTint="D9"/>
    </w:rPr>
  </w:style>
  <w:style w:type="character" w:customStyle="1" w:styleId="90">
    <w:name w:val="标题 9 字符"/>
    <w:basedOn w:val="a0"/>
    <w:link w:val="9"/>
    <w:uiPriority w:val="9"/>
    <w:semiHidden/>
    <w:rPr>
      <w:rFonts w:eastAsiaTheme="majorEastAsia" w:cstheme="majorBidi"/>
      <w:color w:val="262626" w:themeColor="text1" w:themeTint="D9"/>
    </w:rPr>
  </w:style>
  <w:style w:type="character" w:customStyle="1" w:styleId="ab">
    <w:name w:val="标题 字符"/>
    <w:basedOn w:val="a0"/>
    <w:link w:val="aa"/>
    <w:uiPriority w:val="10"/>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rPr>
      <w:rFonts w:eastAsiaTheme="majorEastAsia" w:cstheme="majorBidi"/>
      <w:color w:val="595959" w:themeColor="text1" w:themeTint="A6"/>
      <w:spacing w:val="15"/>
      <w:sz w:val="28"/>
      <w:szCs w:val="28"/>
    </w:rPr>
  </w:style>
  <w:style w:type="paragraph" w:styleId="ae">
    <w:name w:val="Quote"/>
    <w:basedOn w:val="a"/>
    <w:next w:val="a"/>
    <w:link w:val="af"/>
    <w:uiPriority w:val="29"/>
    <w:qFormat/>
    <w:pPr>
      <w:spacing w:before="160" w:after="160"/>
      <w:jc w:val="center"/>
    </w:pPr>
    <w:rPr>
      <w:i/>
      <w:iCs/>
      <w:color w:val="404040" w:themeColor="text1" w:themeTint="BF"/>
    </w:rPr>
  </w:style>
  <w:style w:type="character" w:customStyle="1" w:styleId="af">
    <w:name w:val="引用 字符"/>
    <w:basedOn w:val="a0"/>
    <w:link w:val="ae"/>
    <w:uiPriority w:val="29"/>
    <w:rPr>
      <w:i/>
      <w:iCs/>
      <w:color w:val="404040" w:themeColor="text1" w:themeTint="BF"/>
    </w:rPr>
  </w:style>
  <w:style w:type="paragraph" w:styleId="af0">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1">
    <w:name w:val="Intense Quote"/>
    <w:basedOn w:val="a"/>
    <w:next w:val="a"/>
    <w:link w:val="af2"/>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2">
    <w:name w:val="明显引用 字符"/>
    <w:basedOn w:val="a0"/>
    <w:link w:val="af1"/>
    <w:uiPriority w:val="30"/>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style>
  <w:style w:type="character" w:customStyle="1" w:styleId="a4">
    <w:name w:val="页脚 字符"/>
    <w:basedOn w:val="a0"/>
    <w:link w:val="a3"/>
    <w:uiPriority w:val="99"/>
  </w:style>
  <w:style w:type="character" w:customStyle="1" w:styleId="13">
    <w:name w:val="未处理的提及1"/>
    <w:basedOn w:val="a0"/>
    <w:uiPriority w:val="99"/>
    <w:semiHidden/>
    <w:unhideWhenUsed/>
    <w:rPr>
      <w:color w:val="605E5C"/>
      <w:shd w:val="clear" w:color="auto" w:fill="E1DFDD"/>
    </w:rPr>
  </w:style>
  <w:style w:type="paragraph" w:customStyle="1" w:styleId="af3">
    <w:name w:val="公式"/>
    <w:basedOn w:val="a"/>
    <w:link w:val="af4"/>
    <w:qFormat/>
    <w:pPr>
      <w:tabs>
        <w:tab w:val="center" w:pos="4253"/>
        <w:tab w:val="right" w:pos="7938"/>
      </w:tabs>
      <w:ind w:firstLineChars="200" w:firstLine="480"/>
      <w:jc w:val="center"/>
    </w:pPr>
    <w:rPr>
      <w:rFonts w:eastAsia="宋体" w:cs="Times New Roman"/>
    </w:rPr>
  </w:style>
  <w:style w:type="character" w:customStyle="1" w:styleId="af4">
    <w:name w:val="公式 字符"/>
    <w:basedOn w:val="a0"/>
    <w:link w:val="af3"/>
    <w:rPr>
      <w:rFonts w:ascii="Times New Roman" w:eastAsia="宋体" w:hAnsi="Times New Roman" w:cs="Times New Roman"/>
    </w:rPr>
  </w:style>
  <w:style w:type="paragraph" w:styleId="af5">
    <w:name w:val="No Spacing"/>
    <w:uiPriority w:val="1"/>
    <w:pPr>
      <w:widowControl w:val="0"/>
      <w:jc w:val="both"/>
    </w:pPr>
    <w:rPr>
      <w:rFonts w:ascii="Times New Roman" w:hAnsi="Times New Roman"/>
      <w:kern w:val="2"/>
      <w:sz w:val="24"/>
      <w:szCs w:val="22"/>
    </w:rPr>
  </w:style>
  <w:style w:type="table" w:customStyle="1" w:styleId="21">
    <w:name w:val="无格式表格 21"/>
    <w:basedOn w:val="a1"/>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14">
    <w:name w:val="书目1"/>
    <w:basedOn w:val="a"/>
    <w:next w:val="a"/>
    <w:uiPriority w:val="37"/>
    <w:unhideWhenUsed/>
    <w:pPr>
      <w:tabs>
        <w:tab w:val="left" w:pos="264"/>
      </w:tabs>
      <w:spacing w:line="480" w:lineRule="auto"/>
      <w:ind w:left="264" w:hanging="264"/>
    </w:pPr>
  </w:style>
  <w:style w:type="character" w:styleId="af6">
    <w:name w:val="Subtle Emphasis"/>
    <w:basedOn w:val="a0"/>
    <w:uiPriority w:val="19"/>
    <w:qFormat/>
    <w:rsid w:val="00EB58F3"/>
    <w:rPr>
      <w:i/>
      <w:iCs/>
      <w:color w:val="404040" w:themeColor="text1" w:themeTint="BF"/>
    </w:rPr>
  </w:style>
  <w:style w:type="paragraph" w:styleId="af7">
    <w:name w:val="Revision"/>
    <w:hidden/>
    <w:uiPriority w:val="99"/>
    <w:unhideWhenUsed/>
    <w:rsid w:val="00BF120E"/>
    <w:rPr>
      <w:rFonts w:ascii="Times New Roman" w:hAnsi="Times New Roman"/>
      <w:kern w:val="2"/>
      <w:sz w:val="24"/>
      <w:szCs w:val="22"/>
    </w:rPr>
  </w:style>
  <w:style w:type="character" w:styleId="af8">
    <w:name w:val="annotation reference"/>
    <w:basedOn w:val="a0"/>
    <w:uiPriority w:val="99"/>
    <w:semiHidden/>
    <w:unhideWhenUsed/>
    <w:rsid w:val="00946750"/>
    <w:rPr>
      <w:sz w:val="21"/>
      <w:szCs w:val="21"/>
    </w:rPr>
  </w:style>
  <w:style w:type="paragraph" w:styleId="af9">
    <w:name w:val="annotation text"/>
    <w:basedOn w:val="a"/>
    <w:link w:val="afa"/>
    <w:uiPriority w:val="99"/>
    <w:unhideWhenUsed/>
    <w:rsid w:val="00946750"/>
    <w:pPr>
      <w:jc w:val="left"/>
    </w:pPr>
  </w:style>
  <w:style w:type="character" w:customStyle="1" w:styleId="afa">
    <w:name w:val="批注文字 字符"/>
    <w:basedOn w:val="a0"/>
    <w:link w:val="af9"/>
    <w:uiPriority w:val="99"/>
    <w:rsid w:val="00946750"/>
    <w:rPr>
      <w:rFonts w:ascii="Times New Roman" w:hAnsi="Times New Roman"/>
      <w:kern w:val="2"/>
      <w:sz w:val="24"/>
      <w:szCs w:val="22"/>
    </w:rPr>
  </w:style>
  <w:style w:type="paragraph" w:styleId="afb">
    <w:name w:val="annotation subject"/>
    <w:basedOn w:val="af9"/>
    <w:next w:val="af9"/>
    <w:link w:val="afc"/>
    <w:uiPriority w:val="99"/>
    <w:semiHidden/>
    <w:unhideWhenUsed/>
    <w:rsid w:val="00946750"/>
    <w:rPr>
      <w:b/>
      <w:bCs/>
    </w:rPr>
  </w:style>
  <w:style w:type="character" w:customStyle="1" w:styleId="afc">
    <w:name w:val="批注主题 字符"/>
    <w:basedOn w:val="afa"/>
    <w:link w:val="afb"/>
    <w:uiPriority w:val="99"/>
    <w:semiHidden/>
    <w:rsid w:val="00946750"/>
    <w:rPr>
      <w:rFonts w:ascii="Times New Roman" w:hAnsi="Times New Roman"/>
      <w:b/>
      <w:bCs/>
      <w:kern w:val="2"/>
      <w:sz w:val="24"/>
      <w:szCs w:val="22"/>
    </w:rPr>
  </w:style>
  <w:style w:type="paragraph" w:customStyle="1" w:styleId="BBAuthorName">
    <w:name w:val="BB_Author_Name"/>
    <w:basedOn w:val="a"/>
    <w:next w:val="a"/>
    <w:rsid w:val="00095DCB"/>
    <w:pPr>
      <w:widowControl/>
      <w:spacing w:before="100" w:beforeAutospacing="1" w:after="240" w:line="480" w:lineRule="auto"/>
      <w:ind w:firstLine="0"/>
      <w:jc w:val="center"/>
    </w:pPr>
    <w:rPr>
      <w:rFonts w:ascii="Times" w:eastAsia="宋体" w:hAnsi="Times" w:cs="Times New Roman"/>
      <w:i/>
      <w:kern w:val="0"/>
      <w:szCs w:val="24"/>
    </w:rPr>
  </w:style>
  <w:style w:type="paragraph" w:customStyle="1" w:styleId="BCAuthorAddress">
    <w:name w:val="BC_Author_Address"/>
    <w:basedOn w:val="a"/>
    <w:next w:val="a"/>
    <w:rsid w:val="00095DCB"/>
    <w:pPr>
      <w:widowControl/>
      <w:spacing w:before="100" w:beforeAutospacing="1" w:after="240" w:line="480" w:lineRule="auto"/>
      <w:ind w:firstLine="0"/>
      <w:jc w:val="center"/>
    </w:pPr>
    <w:rPr>
      <w:rFonts w:ascii="Times" w:eastAsia="宋体" w:hAnsi="Times" w:cs="Times New Roman"/>
      <w:kern w:val="0"/>
      <w:szCs w:val="24"/>
    </w:rPr>
  </w:style>
  <w:style w:type="paragraph" w:styleId="afd">
    <w:name w:val="Bibliography"/>
    <w:basedOn w:val="a"/>
    <w:next w:val="a"/>
    <w:uiPriority w:val="37"/>
    <w:unhideWhenUsed/>
    <w:rsid w:val="001760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873338">
      <w:bodyDiv w:val="1"/>
      <w:marLeft w:val="0"/>
      <w:marRight w:val="0"/>
      <w:marTop w:val="0"/>
      <w:marBottom w:val="0"/>
      <w:divBdr>
        <w:top w:val="none" w:sz="0" w:space="0" w:color="auto"/>
        <w:left w:val="none" w:sz="0" w:space="0" w:color="auto"/>
        <w:bottom w:val="none" w:sz="0" w:space="0" w:color="auto"/>
        <w:right w:val="none" w:sz="0" w:space="0" w:color="auto"/>
      </w:divBdr>
      <w:divsChild>
        <w:div w:id="799421227">
          <w:marLeft w:val="0"/>
          <w:marRight w:val="0"/>
          <w:marTop w:val="0"/>
          <w:marBottom w:val="0"/>
          <w:divBdr>
            <w:top w:val="single" w:sz="2" w:space="0" w:color="auto"/>
            <w:left w:val="single" w:sz="2" w:space="0" w:color="auto"/>
            <w:bottom w:val="single" w:sz="2" w:space="0" w:color="auto"/>
            <w:right w:val="single" w:sz="2" w:space="0" w:color="auto"/>
          </w:divBdr>
        </w:div>
      </w:divsChild>
    </w:div>
    <w:div w:id="928318490">
      <w:bodyDiv w:val="1"/>
      <w:marLeft w:val="0"/>
      <w:marRight w:val="0"/>
      <w:marTop w:val="0"/>
      <w:marBottom w:val="0"/>
      <w:divBdr>
        <w:top w:val="none" w:sz="0" w:space="0" w:color="auto"/>
        <w:left w:val="none" w:sz="0" w:space="0" w:color="auto"/>
        <w:bottom w:val="none" w:sz="0" w:space="0" w:color="auto"/>
        <w:right w:val="none" w:sz="0" w:space="0" w:color="auto"/>
      </w:divBdr>
      <w:divsChild>
        <w:div w:id="745804486">
          <w:marLeft w:val="0"/>
          <w:marRight w:val="0"/>
          <w:marTop w:val="0"/>
          <w:marBottom w:val="0"/>
          <w:divBdr>
            <w:top w:val="none" w:sz="0" w:space="0" w:color="auto"/>
            <w:left w:val="none" w:sz="0" w:space="0" w:color="auto"/>
            <w:bottom w:val="none" w:sz="0" w:space="0" w:color="auto"/>
            <w:right w:val="none" w:sz="0" w:space="0" w:color="auto"/>
          </w:divBdr>
        </w:div>
        <w:div w:id="1139686015">
          <w:marLeft w:val="0"/>
          <w:marRight w:val="0"/>
          <w:marTop w:val="0"/>
          <w:marBottom w:val="0"/>
          <w:divBdr>
            <w:top w:val="none" w:sz="0" w:space="0" w:color="auto"/>
            <w:left w:val="none" w:sz="0" w:space="0" w:color="auto"/>
            <w:bottom w:val="none" w:sz="0" w:space="0" w:color="auto"/>
            <w:right w:val="none" w:sz="0" w:space="0" w:color="auto"/>
          </w:divBdr>
        </w:div>
        <w:div w:id="933629644">
          <w:marLeft w:val="0"/>
          <w:marRight w:val="0"/>
          <w:marTop w:val="0"/>
          <w:marBottom w:val="0"/>
          <w:divBdr>
            <w:top w:val="none" w:sz="0" w:space="0" w:color="auto"/>
            <w:left w:val="none" w:sz="0" w:space="0" w:color="auto"/>
            <w:bottom w:val="none" w:sz="0" w:space="0" w:color="auto"/>
            <w:right w:val="none" w:sz="0" w:space="0" w:color="auto"/>
          </w:divBdr>
        </w:div>
        <w:div w:id="570820695">
          <w:marLeft w:val="0"/>
          <w:marRight w:val="0"/>
          <w:marTop w:val="0"/>
          <w:marBottom w:val="0"/>
          <w:divBdr>
            <w:top w:val="none" w:sz="0" w:space="0" w:color="auto"/>
            <w:left w:val="none" w:sz="0" w:space="0" w:color="auto"/>
            <w:bottom w:val="none" w:sz="0" w:space="0" w:color="auto"/>
            <w:right w:val="none" w:sz="0" w:space="0" w:color="auto"/>
          </w:divBdr>
        </w:div>
        <w:div w:id="181207083">
          <w:marLeft w:val="0"/>
          <w:marRight w:val="0"/>
          <w:marTop w:val="0"/>
          <w:marBottom w:val="0"/>
          <w:divBdr>
            <w:top w:val="none" w:sz="0" w:space="0" w:color="auto"/>
            <w:left w:val="none" w:sz="0" w:space="0" w:color="auto"/>
            <w:bottom w:val="none" w:sz="0" w:space="0" w:color="auto"/>
            <w:right w:val="none" w:sz="0" w:space="0" w:color="auto"/>
          </w:divBdr>
        </w:div>
        <w:div w:id="2026514973">
          <w:marLeft w:val="0"/>
          <w:marRight w:val="0"/>
          <w:marTop w:val="0"/>
          <w:marBottom w:val="0"/>
          <w:divBdr>
            <w:top w:val="none" w:sz="0" w:space="0" w:color="auto"/>
            <w:left w:val="none" w:sz="0" w:space="0" w:color="auto"/>
            <w:bottom w:val="none" w:sz="0" w:space="0" w:color="auto"/>
            <w:right w:val="none" w:sz="0" w:space="0" w:color="auto"/>
          </w:divBdr>
        </w:div>
        <w:div w:id="862934263">
          <w:marLeft w:val="0"/>
          <w:marRight w:val="0"/>
          <w:marTop w:val="0"/>
          <w:marBottom w:val="0"/>
          <w:divBdr>
            <w:top w:val="none" w:sz="0" w:space="0" w:color="auto"/>
            <w:left w:val="none" w:sz="0" w:space="0" w:color="auto"/>
            <w:bottom w:val="none" w:sz="0" w:space="0" w:color="auto"/>
            <w:right w:val="none" w:sz="0" w:space="0" w:color="auto"/>
          </w:divBdr>
        </w:div>
        <w:div w:id="512652243">
          <w:marLeft w:val="0"/>
          <w:marRight w:val="0"/>
          <w:marTop w:val="0"/>
          <w:marBottom w:val="0"/>
          <w:divBdr>
            <w:top w:val="none" w:sz="0" w:space="0" w:color="auto"/>
            <w:left w:val="none" w:sz="0" w:space="0" w:color="auto"/>
            <w:bottom w:val="none" w:sz="0" w:space="0" w:color="auto"/>
            <w:right w:val="none" w:sz="0" w:space="0" w:color="auto"/>
          </w:divBdr>
        </w:div>
        <w:div w:id="2124957360">
          <w:marLeft w:val="0"/>
          <w:marRight w:val="0"/>
          <w:marTop w:val="0"/>
          <w:marBottom w:val="0"/>
          <w:divBdr>
            <w:top w:val="none" w:sz="0" w:space="0" w:color="auto"/>
            <w:left w:val="none" w:sz="0" w:space="0" w:color="auto"/>
            <w:bottom w:val="none" w:sz="0" w:space="0" w:color="auto"/>
            <w:right w:val="none" w:sz="0" w:space="0" w:color="auto"/>
          </w:divBdr>
        </w:div>
        <w:div w:id="1753622308">
          <w:marLeft w:val="0"/>
          <w:marRight w:val="0"/>
          <w:marTop w:val="0"/>
          <w:marBottom w:val="0"/>
          <w:divBdr>
            <w:top w:val="none" w:sz="0" w:space="0" w:color="auto"/>
            <w:left w:val="none" w:sz="0" w:space="0" w:color="auto"/>
            <w:bottom w:val="none" w:sz="0" w:space="0" w:color="auto"/>
            <w:right w:val="none" w:sz="0" w:space="0" w:color="auto"/>
          </w:divBdr>
        </w:div>
        <w:div w:id="320275532">
          <w:marLeft w:val="0"/>
          <w:marRight w:val="0"/>
          <w:marTop w:val="0"/>
          <w:marBottom w:val="0"/>
          <w:divBdr>
            <w:top w:val="none" w:sz="0" w:space="0" w:color="auto"/>
            <w:left w:val="none" w:sz="0" w:space="0" w:color="auto"/>
            <w:bottom w:val="none" w:sz="0" w:space="0" w:color="auto"/>
            <w:right w:val="none" w:sz="0" w:space="0" w:color="auto"/>
          </w:divBdr>
        </w:div>
        <w:div w:id="1874149014">
          <w:marLeft w:val="0"/>
          <w:marRight w:val="0"/>
          <w:marTop w:val="0"/>
          <w:marBottom w:val="0"/>
          <w:divBdr>
            <w:top w:val="none" w:sz="0" w:space="0" w:color="auto"/>
            <w:left w:val="none" w:sz="0" w:space="0" w:color="auto"/>
            <w:bottom w:val="none" w:sz="0" w:space="0" w:color="auto"/>
            <w:right w:val="none" w:sz="0" w:space="0" w:color="auto"/>
          </w:divBdr>
        </w:div>
        <w:div w:id="636255891">
          <w:marLeft w:val="0"/>
          <w:marRight w:val="0"/>
          <w:marTop w:val="0"/>
          <w:marBottom w:val="0"/>
          <w:divBdr>
            <w:top w:val="none" w:sz="0" w:space="0" w:color="auto"/>
            <w:left w:val="none" w:sz="0" w:space="0" w:color="auto"/>
            <w:bottom w:val="none" w:sz="0" w:space="0" w:color="auto"/>
            <w:right w:val="none" w:sz="0" w:space="0" w:color="auto"/>
          </w:divBdr>
        </w:div>
        <w:div w:id="1886216000">
          <w:marLeft w:val="0"/>
          <w:marRight w:val="0"/>
          <w:marTop w:val="0"/>
          <w:marBottom w:val="0"/>
          <w:divBdr>
            <w:top w:val="none" w:sz="0" w:space="0" w:color="auto"/>
            <w:left w:val="none" w:sz="0" w:space="0" w:color="auto"/>
            <w:bottom w:val="none" w:sz="0" w:space="0" w:color="auto"/>
            <w:right w:val="none" w:sz="0" w:space="0" w:color="auto"/>
          </w:divBdr>
        </w:div>
      </w:divsChild>
    </w:div>
    <w:div w:id="1879077938">
      <w:bodyDiv w:val="1"/>
      <w:marLeft w:val="0"/>
      <w:marRight w:val="0"/>
      <w:marTop w:val="0"/>
      <w:marBottom w:val="0"/>
      <w:divBdr>
        <w:top w:val="none" w:sz="0" w:space="0" w:color="auto"/>
        <w:left w:val="none" w:sz="0" w:space="0" w:color="auto"/>
        <w:bottom w:val="none" w:sz="0" w:space="0" w:color="auto"/>
        <w:right w:val="none" w:sz="0" w:space="0" w:color="auto"/>
      </w:divBdr>
      <w:divsChild>
        <w:div w:id="920481403">
          <w:marLeft w:val="0"/>
          <w:marRight w:val="0"/>
          <w:marTop w:val="0"/>
          <w:marBottom w:val="0"/>
          <w:divBdr>
            <w:top w:val="none" w:sz="0" w:space="0" w:color="auto"/>
            <w:left w:val="none" w:sz="0" w:space="0" w:color="auto"/>
            <w:bottom w:val="none" w:sz="0" w:space="0" w:color="auto"/>
            <w:right w:val="none" w:sz="0" w:space="0" w:color="auto"/>
          </w:divBdr>
        </w:div>
        <w:div w:id="197939088">
          <w:marLeft w:val="0"/>
          <w:marRight w:val="0"/>
          <w:marTop w:val="0"/>
          <w:marBottom w:val="0"/>
          <w:divBdr>
            <w:top w:val="none" w:sz="0" w:space="0" w:color="auto"/>
            <w:left w:val="none" w:sz="0" w:space="0" w:color="auto"/>
            <w:bottom w:val="none" w:sz="0" w:space="0" w:color="auto"/>
            <w:right w:val="none" w:sz="0" w:space="0" w:color="auto"/>
          </w:divBdr>
        </w:div>
        <w:div w:id="1422918960">
          <w:marLeft w:val="0"/>
          <w:marRight w:val="0"/>
          <w:marTop w:val="0"/>
          <w:marBottom w:val="0"/>
          <w:divBdr>
            <w:top w:val="none" w:sz="0" w:space="0" w:color="auto"/>
            <w:left w:val="none" w:sz="0" w:space="0" w:color="auto"/>
            <w:bottom w:val="none" w:sz="0" w:space="0" w:color="auto"/>
            <w:right w:val="none" w:sz="0" w:space="0" w:color="auto"/>
          </w:divBdr>
        </w:div>
        <w:div w:id="2050301341">
          <w:marLeft w:val="0"/>
          <w:marRight w:val="0"/>
          <w:marTop w:val="0"/>
          <w:marBottom w:val="0"/>
          <w:divBdr>
            <w:top w:val="none" w:sz="0" w:space="0" w:color="auto"/>
            <w:left w:val="none" w:sz="0" w:space="0" w:color="auto"/>
            <w:bottom w:val="none" w:sz="0" w:space="0" w:color="auto"/>
            <w:right w:val="none" w:sz="0" w:space="0" w:color="auto"/>
          </w:divBdr>
        </w:div>
        <w:div w:id="291181555">
          <w:marLeft w:val="0"/>
          <w:marRight w:val="0"/>
          <w:marTop w:val="0"/>
          <w:marBottom w:val="0"/>
          <w:divBdr>
            <w:top w:val="none" w:sz="0" w:space="0" w:color="auto"/>
            <w:left w:val="none" w:sz="0" w:space="0" w:color="auto"/>
            <w:bottom w:val="none" w:sz="0" w:space="0" w:color="auto"/>
            <w:right w:val="none" w:sz="0" w:space="0" w:color="auto"/>
          </w:divBdr>
        </w:div>
        <w:div w:id="1757284087">
          <w:marLeft w:val="0"/>
          <w:marRight w:val="0"/>
          <w:marTop w:val="0"/>
          <w:marBottom w:val="0"/>
          <w:divBdr>
            <w:top w:val="none" w:sz="0" w:space="0" w:color="auto"/>
            <w:left w:val="none" w:sz="0" w:space="0" w:color="auto"/>
            <w:bottom w:val="none" w:sz="0" w:space="0" w:color="auto"/>
            <w:right w:val="none" w:sz="0" w:space="0" w:color="auto"/>
          </w:divBdr>
        </w:div>
        <w:div w:id="1221819900">
          <w:marLeft w:val="0"/>
          <w:marRight w:val="0"/>
          <w:marTop w:val="0"/>
          <w:marBottom w:val="0"/>
          <w:divBdr>
            <w:top w:val="none" w:sz="0" w:space="0" w:color="auto"/>
            <w:left w:val="none" w:sz="0" w:space="0" w:color="auto"/>
            <w:bottom w:val="none" w:sz="0" w:space="0" w:color="auto"/>
            <w:right w:val="none" w:sz="0" w:space="0" w:color="auto"/>
          </w:divBdr>
        </w:div>
        <w:div w:id="1377314409">
          <w:marLeft w:val="0"/>
          <w:marRight w:val="0"/>
          <w:marTop w:val="0"/>
          <w:marBottom w:val="0"/>
          <w:divBdr>
            <w:top w:val="none" w:sz="0" w:space="0" w:color="auto"/>
            <w:left w:val="none" w:sz="0" w:space="0" w:color="auto"/>
            <w:bottom w:val="none" w:sz="0" w:space="0" w:color="auto"/>
            <w:right w:val="none" w:sz="0" w:space="0" w:color="auto"/>
          </w:divBdr>
        </w:div>
        <w:div w:id="807625054">
          <w:marLeft w:val="0"/>
          <w:marRight w:val="0"/>
          <w:marTop w:val="0"/>
          <w:marBottom w:val="0"/>
          <w:divBdr>
            <w:top w:val="none" w:sz="0" w:space="0" w:color="auto"/>
            <w:left w:val="none" w:sz="0" w:space="0" w:color="auto"/>
            <w:bottom w:val="none" w:sz="0" w:space="0" w:color="auto"/>
            <w:right w:val="none" w:sz="0" w:space="0" w:color="auto"/>
          </w:divBdr>
        </w:div>
        <w:div w:id="2114595575">
          <w:marLeft w:val="0"/>
          <w:marRight w:val="0"/>
          <w:marTop w:val="0"/>
          <w:marBottom w:val="0"/>
          <w:divBdr>
            <w:top w:val="none" w:sz="0" w:space="0" w:color="auto"/>
            <w:left w:val="none" w:sz="0" w:space="0" w:color="auto"/>
            <w:bottom w:val="none" w:sz="0" w:space="0" w:color="auto"/>
            <w:right w:val="none" w:sz="0" w:space="0" w:color="auto"/>
          </w:divBdr>
        </w:div>
        <w:div w:id="1292174047">
          <w:marLeft w:val="0"/>
          <w:marRight w:val="0"/>
          <w:marTop w:val="0"/>
          <w:marBottom w:val="0"/>
          <w:divBdr>
            <w:top w:val="none" w:sz="0" w:space="0" w:color="auto"/>
            <w:left w:val="none" w:sz="0" w:space="0" w:color="auto"/>
            <w:bottom w:val="none" w:sz="0" w:space="0" w:color="auto"/>
            <w:right w:val="none" w:sz="0" w:space="0" w:color="auto"/>
          </w:divBdr>
        </w:div>
        <w:div w:id="468863294">
          <w:marLeft w:val="0"/>
          <w:marRight w:val="0"/>
          <w:marTop w:val="0"/>
          <w:marBottom w:val="0"/>
          <w:divBdr>
            <w:top w:val="none" w:sz="0" w:space="0" w:color="auto"/>
            <w:left w:val="none" w:sz="0" w:space="0" w:color="auto"/>
            <w:bottom w:val="none" w:sz="0" w:space="0" w:color="auto"/>
            <w:right w:val="none" w:sz="0" w:space="0" w:color="auto"/>
          </w:divBdr>
        </w:div>
        <w:div w:id="2070032672">
          <w:marLeft w:val="0"/>
          <w:marRight w:val="0"/>
          <w:marTop w:val="0"/>
          <w:marBottom w:val="0"/>
          <w:divBdr>
            <w:top w:val="none" w:sz="0" w:space="0" w:color="auto"/>
            <w:left w:val="none" w:sz="0" w:space="0" w:color="auto"/>
            <w:bottom w:val="none" w:sz="0" w:space="0" w:color="auto"/>
            <w:right w:val="none" w:sz="0" w:space="0" w:color="auto"/>
          </w:divBdr>
        </w:div>
        <w:div w:id="88899676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hanchenhui@imu.edu.cn" TargetMode="Externa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359D7-AAE6-4C03-BF0B-8BF3E3FC8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Pages>
  <Words>5246</Words>
  <Characters>29908</Characters>
  <Application>Microsoft Office Word</Application>
  <DocSecurity>0</DocSecurity>
  <Lines>249</Lines>
  <Paragraphs>70</Paragraphs>
  <ScaleCrop>false</ScaleCrop>
  <Company/>
  <LinksUpToDate>false</LinksUpToDate>
  <CharactersWithSpaces>35084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鸮 澪</dc:creator>
  <cp:lastModifiedBy>王一</cp:lastModifiedBy>
  <cp:revision>2</cp:revision>
  <dcterms:created xsi:type="dcterms:W3CDTF">2025-12-10T06:03:00Z</dcterms:created>
  <dcterms:modified xsi:type="dcterms:W3CDTF">2025-12-10T06:03:00Z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id="3gnY30i0"/&gt;&lt;style id="http://www.zotero.org/styles/nature" hasBibliography="1" bibliographyStyleHasBeenSet="1"/&gt;&lt;prefs&gt;&lt;pref name="fieldType" value="Field"/&gt;&lt;/prefs&gt;&lt;/data&gt;</vt:lpwstr>
  </property>
  <property fmtid="{D5CDD505-2E9C-101B-9397-08002B2CF9AE}" pid="3" name="KSOTemplateDocerSaveRecord">
    <vt:lpwstr>eyJoZGlkIjoiMmI3Zjk2ZDY0ZWIxMmMwZmI1ZWUxMmVmZmI0NmUwNTMiLCJ1c2VySWQiOiI1NzAwNDcwNTgifQ==</vt:lpwstr>
  </property>
  <property fmtid="{D5CDD505-2E9C-101B-9397-08002B2CF9AE}" pid="4" name="KSOProductBuildVer">
    <vt:lpwstr>2052-12.1.0.23539</vt:lpwstr>
  </property>
  <property fmtid="{D5CDD505-2E9C-101B-9397-08002B2CF9AE}" pid="5" name="ICV">
    <vt:lpwstr>2473DE7463F94327BECE010214EB504B_12</vt:lpwstr>
  </property>
</Properties>
</file>