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F8BBC" w14:textId="0D5826C1" w:rsidR="006F28B0" w:rsidRDefault="00A634E8" w:rsidP="00283951">
      <w:pPr>
        <w:pStyle w:val="aa"/>
      </w:pPr>
      <w:r>
        <w:t>Tables</w:t>
      </w:r>
    </w:p>
    <w:p w14:paraId="74608AFA" w14:textId="77777777" w:rsidR="006F28B0" w:rsidRDefault="006F28B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bookmarkStart w:id="0" w:name="OLE_LINK9"/>
      <w:r>
        <w:rPr>
          <w:rFonts w:ascii="Times New Roman" w:hAnsi="Times New Roman"/>
          <w:b/>
          <w:bCs/>
          <w:sz w:val="24"/>
        </w:rPr>
        <w:t xml:space="preserve">Facile synthesis of cadmium doped </w:t>
      </w:r>
      <w:r>
        <w:rPr>
          <w:rFonts w:ascii="Times New Roman" w:hAnsi="Times New Roman" w:hint="eastAsia"/>
          <w:b/>
          <w:bCs/>
          <w:sz w:val="24"/>
        </w:rPr>
        <w:t>g</w:t>
      </w:r>
      <w:r>
        <w:rPr>
          <w:rFonts w:ascii="Times New Roman" w:hAnsi="Times New Roman"/>
          <w:b/>
          <w:bCs/>
          <w:sz w:val="24"/>
        </w:rPr>
        <w:t xml:space="preserve">raphite carbon nitride for </w:t>
      </w:r>
      <w:r>
        <w:rPr>
          <w:rFonts w:ascii="Times New Roman" w:hAnsi="Times New Roman" w:hint="eastAsia"/>
          <w:b/>
          <w:bCs/>
          <w:sz w:val="24"/>
        </w:rPr>
        <w:t>phot</w:t>
      </w:r>
      <w:r>
        <w:rPr>
          <w:rFonts w:ascii="Times New Roman" w:hAnsi="Times New Roman"/>
          <w:b/>
          <w:bCs/>
          <w:sz w:val="24"/>
        </w:rPr>
        <w:t>ocatalytic degradation of tetracycline under visible light irradiation</w:t>
      </w:r>
    </w:p>
    <w:bookmarkEnd w:id="0"/>
    <w:p w14:paraId="6C6F4D1B" w14:textId="77777777" w:rsidR="006F28B0" w:rsidRDefault="006F28B0">
      <w:pPr>
        <w:spacing w:line="480" w:lineRule="auto"/>
        <w:rPr>
          <w:sz w:val="24"/>
        </w:rPr>
      </w:pPr>
    </w:p>
    <w:p w14:paraId="04EE04B7" w14:textId="77777777" w:rsidR="006F28B0" w:rsidRPr="006F28B0" w:rsidRDefault="006F28B0">
      <w:pPr>
        <w:spacing w:line="360" w:lineRule="auto"/>
        <w:rPr>
          <w:szCs w:val="21"/>
        </w:rPr>
      </w:pPr>
      <w:r w:rsidRPr="006F28B0">
        <w:rPr>
          <w:rFonts w:ascii="Times New Roman" w:hAnsi="Times New Roman" w:hint="eastAsia"/>
          <w:b/>
          <w:bCs/>
          <w:szCs w:val="21"/>
        </w:rPr>
        <w:t xml:space="preserve">Table S1. </w:t>
      </w:r>
      <w:bookmarkStart w:id="1" w:name="OLE_LINK2"/>
      <w:r w:rsidRPr="006F28B0">
        <w:rPr>
          <w:rFonts w:ascii="Times New Roman" w:hAnsi="Times New Roman" w:hint="eastAsia"/>
          <w:szCs w:val="21"/>
        </w:rPr>
        <w:t xml:space="preserve">The proportion of each element in the </w:t>
      </w:r>
      <w:r w:rsidRPr="006F28B0">
        <w:rPr>
          <w:rFonts w:ascii="Times New Roman" w:hAnsi="Times New Roman"/>
          <w:szCs w:val="21"/>
        </w:rPr>
        <w:t xml:space="preserve">10 </w:t>
      </w:r>
      <w:r w:rsidRPr="006F28B0">
        <w:rPr>
          <w:rFonts w:ascii="Times New Roman" w:hAnsi="Times New Roman" w:hint="eastAsia"/>
          <w:szCs w:val="21"/>
        </w:rPr>
        <w:t>Cd/g-C</w:t>
      </w:r>
      <w:r w:rsidRPr="006F28B0">
        <w:rPr>
          <w:rFonts w:ascii="Times New Roman" w:hAnsi="Times New Roman" w:hint="eastAsia"/>
          <w:szCs w:val="21"/>
          <w:vertAlign w:val="subscript"/>
        </w:rPr>
        <w:t>3</w:t>
      </w:r>
      <w:r w:rsidRPr="006F28B0">
        <w:rPr>
          <w:rFonts w:ascii="Times New Roman" w:hAnsi="Times New Roman" w:hint="eastAsia"/>
          <w:szCs w:val="21"/>
        </w:rPr>
        <w:t>N</w:t>
      </w:r>
      <w:r w:rsidRPr="006F28B0">
        <w:rPr>
          <w:rFonts w:ascii="Times New Roman" w:hAnsi="Times New Roman" w:hint="eastAsia"/>
          <w:szCs w:val="21"/>
          <w:vertAlign w:val="subscript"/>
        </w:rPr>
        <w:t>4</w:t>
      </w:r>
      <w:r w:rsidRPr="006F28B0">
        <w:rPr>
          <w:rFonts w:ascii="Times New Roman" w:hAnsi="Times New Roman" w:hint="eastAsia"/>
          <w:szCs w:val="21"/>
        </w:rPr>
        <w:t xml:space="preserve"> material.</w:t>
      </w:r>
      <w:bookmarkEnd w:id="1"/>
    </w:p>
    <w:tbl>
      <w:tblPr>
        <w:tblW w:w="8519" w:type="dxa"/>
        <w:tblInd w:w="78" w:type="dxa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306"/>
        <w:gridCol w:w="1655"/>
        <w:gridCol w:w="2103"/>
        <w:gridCol w:w="985"/>
        <w:gridCol w:w="1249"/>
        <w:gridCol w:w="1221"/>
      </w:tblGrid>
      <w:tr w:rsidR="006F28B0" w:rsidRPr="00AA1FF3" w14:paraId="1F927E45" w14:textId="77777777" w:rsidTr="009C2A11"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3A37965B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elements</w:t>
            </w:r>
          </w:p>
        </w:tc>
        <w:tc>
          <w:tcPr>
            <w:tcW w:w="1614" w:type="dxa"/>
            <w:tcBorders>
              <w:bottom w:val="single" w:sz="4" w:space="0" w:color="auto"/>
            </w:tcBorders>
            <w:shd w:val="clear" w:color="auto" w:fill="auto"/>
          </w:tcPr>
          <w:p w14:paraId="018FEB8B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Weight ratio%</w:t>
            </w:r>
          </w:p>
        </w:tc>
        <w:tc>
          <w:tcPr>
            <w:tcW w:w="2051" w:type="dxa"/>
            <w:tcBorders>
              <w:bottom w:val="single" w:sz="4" w:space="0" w:color="auto"/>
            </w:tcBorders>
            <w:shd w:val="clear" w:color="auto" w:fill="auto"/>
          </w:tcPr>
          <w:p w14:paraId="094BD5BE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Atomic percentage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</w:tcPr>
          <w:p w14:paraId="3D538DE0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Error%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14:paraId="4976A407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intensity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</w:tcPr>
          <w:p w14:paraId="677F7403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K ratio</w:t>
            </w:r>
          </w:p>
        </w:tc>
      </w:tr>
      <w:tr w:rsidR="006F28B0" w:rsidRPr="00AA1FF3" w14:paraId="67B31F3D" w14:textId="77777777" w:rsidTr="009C2A11">
        <w:trPr>
          <w:trHeight w:val="336"/>
        </w:trPr>
        <w:tc>
          <w:tcPr>
            <w:tcW w:w="127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02D51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C K</w:t>
            </w:r>
          </w:p>
        </w:tc>
        <w:tc>
          <w:tcPr>
            <w:tcW w:w="16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1B68E47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25.73</w:t>
            </w:r>
          </w:p>
        </w:tc>
        <w:tc>
          <w:tcPr>
            <w:tcW w:w="20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7D2457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32.09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E802AF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3.62</w:t>
            </w:r>
          </w:p>
        </w:tc>
        <w:tc>
          <w:tcPr>
            <w:tcW w:w="12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9BBCEB0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2391.51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F50AF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0.2314</w:t>
            </w:r>
          </w:p>
        </w:tc>
      </w:tr>
      <w:tr w:rsidR="006F28B0" w:rsidRPr="00AA1FF3" w14:paraId="6F6F2583" w14:textId="77777777" w:rsidTr="009C2A11">
        <w:tc>
          <w:tcPr>
            <w:tcW w:w="1274" w:type="dxa"/>
            <w:tcBorders>
              <w:top w:val="nil"/>
            </w:tcBorders>
            <w:shd w:val="clear" w:color="auto" w:fill="auto"/>
          </w:tcPr>
          <w:p w14:paraId="5DC2621E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N K</w:t>
            </w:r>
          </w:p>
        </w:tc>
        <w:tc>
          <w:tcPr>
            <w:tcW w:w="1614" w:type="dxa"/>
            <w:tcBorders>
              <w:top w:val="nil"/>
            </w:tcBorders>
            <w:shd w:val="clear" w:color="auto" w:fill="auto"/>
          </w:tcPr>
          <w:p w14:paraId="053AF584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61.98</w:t>
            </w:r>
          </w:p>
        </w:tc>
        <w:tc>
          <w:tcPr>
            <w:tcW w:w="2051" w:type="dxa"/>
            <w:tcBorders>
              <w:top w:val="nil"/>
            </w:tcBorders>
            <w:shd w:val="clear" w:color="auto" w:fill="auto"/>
          </w:tcPr>
          <w:p w14:paraId="41E9698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66.28</w:t>
            </w:r>
          </w:p>
        </w:tc>
        <w:tc>
          <w:tcPr>
            <w:tcW w:w="961" w:type="dxa"/>
            <w:tcBorders>
              <w:top w:val="nil"/>
            </w:tcBorders>
            <w:shd w:val="clear" w:color="auto" w:fill="auto"/>
          </w:tcPr>
          <w:p w14:paraId="3282FA39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7.98</w:t>
            </w:r>
          </w:p>
        </w:tc>
        <w:tc>
          <w:tcPr>
            <w:tcW w:w="1218" w:type="dxa"/>
            <w:tcBorders>
              <w:top w:val="nil"/>
            </w:tcBorders>
            <w:shd w:val="clear" w:color="auto" w:fill="auto"/>
          </w:tcPr>
          <w:p w14:paraId="65C638CB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2651.52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</w:tcPr>
          <w:p w14:paraId="007DA6A8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0.2666</w:t>
            </w:r>
          </w:p>
        </w:tc>
      </w:tr>
      <w:tr w:rsidR="006F28B0" w:rsidRPr="00AA1FF3" w14:paraId="452CED4B" w14:textId="77777777" w:rsidTr="00362A14">
        <w:tc>
          <w:tcPr>
            <w:tcW w:w="1274" w:type="dxa"/>
            <w:shd w:val="clear" w:color="auto" w:fill="auto"/>
          </w:tcPr>
          <w:p w14:paraId="15FF126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Cd L</w:t>
            </w:r>
          </w:p>
        </w:tc>
        <w:tc>
          <w:tcPr>
            <w:tcW w:w="1614" w:type="dxa"/>
            <w:shd w:val="clear" w:color="auto" w:fill="auto"/>
          </w:tcPr>
          <w:p w14:paraId="7572739A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12.28</w:t>
            </w:r>
          </w:p>
        </w:tc>
        <w:tc>
          <w:tcPr>
            <w:tcW w:w="2051" w:type="dxa"/>
            <w:shd w:val="clear" w:color="auto" w:fill="auto"/>
          </w:tcPr>
          <w:p w14:paraId="42C9C7E4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1.64</w:t>
            </w:r>
          </w:p>
        </w:tc>
        <w:tc>
          <w:tcPr>
            <w:tcW w:w="961" w:type="dxa"/>
            <w:shd w:val="clear" w:color="auto" w:fill="auto"/>
          </w:tcPr>
          <w:p w14:paraId="520653D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6.51</w:t>
            </w:r>
          </w:p>
        </w:tc>
        <w:tc>
          <w:tcPr>
            <w:tcW w:w="1218" w:type="dxa"/>
            <w:shd w:val="clear" w:color="auto" w:fill="auto"/>
          </w:tcPr>
          <w:p w14:paraId="57CC1D8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202.16</w:t>
            </w:r>
          </w:p>
        </w:tc>
        <w:tc>
          <w:tcPr>
            <w:tcW w:w="1191" w:type="dxa"/>
            <w:shd w:val="clear" w:color="auto" w:fill="auto"/>
          </w:tcPr>
          <w:p w14:paraId="4C968303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0.0802</w:t>
            </w:r>
          </w:p>
        </w:tc>
      </w:tr>
    </w:tbl>
    <w:p w14:paraId="638CC898" w14:textId="7EFDABF5" w:rsidR="006F28B0" w:rsidRPr="00A634E8" w:rsidRDefault="006F28B0" w:rsidP="00A634E8">
      <w:pPr>
        <w:spacing w:line="48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Table S1. </w:t>
      </w:r>
      <w:r>
        <w:rPr>
          <w:rFonts w:ascii="Times New Roman" w:hAnsi="Times New Roman"/>
          <w:sz w:val="24"/>
        </w:rPr>
        <w:t xml:space="preserve">The analysis of energy-dispersive X-ray spectra (EDS) directly </w:t>
      </w:r>
      <w:r>
        <w:rPr>
          <w:rFonts w:ascii="Times New Roman" w:hAnsi="Times New Roman" w:hint="eastAsia"/>
          <w:sz w:val="24"/>
        </w:rPr>
        <w:t>shows t</w:t>
      </w:r>
      <w:r>
        <w:rPr>
          <w:rFonts w:ascii="Times New Roman" w:hAnsi="Times New Roman"/>
          <w:sz w:val="24"/>
        </w:rPr>
        <w:t xml:space="preserve">he atomic concentrations of Cd in the samples of </w:t>
      </w:r>
      <w:r>
        <w:rPr>
          <w:rFonts w:ascii="Times New Roman" w:hAnsi="Times New Roman" w:hint="eastAsia"/>
          <w:sz w:val="24"/>
        </w:rPr>
        <w:t>Cd/g-C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>
        <w:rPr>
          <w:rFonts w:ascii="Times New Roman" w:hAnsi="Times New Roman" w:hint="eastAsia"/>
          <w:sz w:val="24"/>
        </w:rPr>
        <w:t xml:space="preserve"> sample are 1.64%</w:t>
      </w:r>
      <w:r>
        <w:rPr>
          <w:rFonts w:ascii="Times New Roman" w:hAnsi="Times New Roman"/>
          <w:sz w:val="24"/>
        </w:rPr>
        <w:t xml:space="preserve">. </w:t>
      </w:r>
      <w:r w:rsidRPr="00E70C6E">
        <w:rPr>
          <w:rFonts w:ascii="Times New Roman" w:hAnsi="Times New Roman"/>
          <w:sz w:val="24"/>
        </w:rPr>
        <w:t xml:space="preserve">Elemental mapping confirmed the uniform dispersion of </w:t>
      </w:r>
      <w:r>
        <w:rPr>
          <w:rFonts w:ascii="Times New Roman" w:hAnsi="Times New Roman"/>
          <w:sz w:val="24"/>
        </w:rPr>
        <w:t>Cd</w:t>
      </w:r>
      <w:r w:rsidRPr="00E70C6E">
        <w:rPr>
          <w:rFonts w:ascii="Times New Roman" w:hAnsi="Times New Roman"/>
          <w:sz w:val="24"/>
        </w:rPr>
        <w:t xml:space="preserve"> in the </w:t>
      </w:r>
      <w:r>
        <w:rPr>
          <w:rFonts w:ascii="Times New Roman" w:hAnsi="Times New Roman" w:hint="eastAsia"/>
          <w:sz w:val="24"/>
        </w:rPr>
        <w:t>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 w:rsidRPr="00E70C6E">
        <w:rPr>
          <w:rFonts w:ascii="Times New Roman" w:hAnsi="Times New Roman"/>
          <w:sz w:val="24"/>
        </w:rPr>
        <w:t xml:space="preserve"> layer structure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which illustrated that the cadmium w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 w:hint="eastAsia"/>
          <w:sz w:val="24"/>
        </w:rPr>
        <w:t xml:space="preserve"> well doped in the 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>
        <w:rPr>
          <w:rFonts w:ascii="Times New Roman" w:hAnsi="Times New Roman" w:hint="eastAsia"/>
          <w:sz w:val="24"/>
        </w:rPr>
        <w:t xml:space="preserve"> with a slight atomic ratio.</w:t>
      </w:r>
    </w:p>
    <w:p w14:paraId="13006BA6" w14:textId="77777777" w:rsidR="006F28B0" w:rsidRDefault="006F28B0">
      <w:pPr>
        <w:spacing w:line="480" w:lineRule="auto"/>
        <w:rPr>
          <w:sz w:val="24"/>
        </w:rPr>
      </w:pPr>
    </w:p>
    <w:p w14:paraId="122E7DCC" w14:textId="77777777" w:rsidR="006F28B0" w:rsidRPr="005054E9" w:rsidRDefault="006F28B0">
      <w:pPr>
        <w:rPr>
          <w:rFonts w:ascii="Times New Roman" w:eastAsia="黑体" w:hAnsi="Times New Roman"/>
          <w:szCs w:val="21"/>
          <w:lang w:bidi="ar"/>
        </w:rPr>
      </w:pPr>
      <w:r>
        <w:rPr>
          <w:rFonts w:ascii="Times New Roman" w:eastAsia="黑体" w:hAnsi="Times New Roman"/>
          <w:b/>
          <w:szCs w:val="21"/>
          <w:lang w:bidi="ar"/>
        </w:rPr>
        <w:t xml:space="preserve">Table S2 </w:t>
      </w:r>
      <w:r>
        <w:rPr>
          <w:rFonts w:ascii="Times New Roman" w:eastAsia="黑体" w:hAnsi="Times New Roman"/>
          <w:szCs w:val="21"/>
          <w:lang w:bidi="ar"/>
        </w:rPr>
        <w:t>Surface area, pore volume and pore size parameters for pure g-C</w:t>
      </w:r>
      <w:r>
        <w:rPr>
          <w:rFonts w:ascii="Times New Roman" w:eastAsia="黑体" w:hAnsi="Times New Roman"/>
          <w:szCs w:val="21"/>
          <w:vertAlign w:val="subscript"/>
          <w:lang w:bidi="ar"/>
        </w:rPr>
        <w:t>3</w:t>
      </w:r>
      <w:r>
        <w:rPr>
          <w:rFonts w:ascii="Times New Roman" w:eastAsia="黑体" w:hAnsi="Times New Roman"/>
          <w:szCs w:val="21"/>
          <w:lang w:bidi="ar"/>
        </w:rPr>
        <w:t>N</w:t>
      </w:r>
      <w:r>
        <w:rPr>
          <w:rFonts w:ascii="Times New Roman" w:eastAsia="黑体" w:hAnsi="Times New Roman"/>
          <w:szCs w:val="21"/>
          <w:vertAlign w:val="subscript"/>
          <w:lang w:bidi="ar"/>
        </w:rPr>
        <w:t>4</w:t>
      </w:r>
      <w:r>
        <w:rPr>
          <w:rFonts w:ascii="Times New Roman" w:eastAsia="黑体" w:hAnsi="Times New Roman"/>
          <w:szCs w:val="21"/>
          <w:lang w:bidi="ar"/>
        </w:rPr>
        <w:t xml:space="preserve"> and 10 Cd/g-C</w:t>
      </w:r>
      <w:r>
        <w:rPr>
          <w:rFonts w:ascii="Times New Roman" w:eastAsia="黑体" w:hAnsi="Times New Roman"/>
          <w:szCs w:val="21"/>
          <w:vertAlign w:val="subscript"/>
          <w:lang w:bidi="ar"/>
        </w:rPr>
        <w:t>3</w:t>
      </w:r>
      <w:r>
        <w:rPr>
          <w:rFonts w:ascii="Times New Roman" w:eastAsia="黑体" w:hAnsi="Times New Roman"/>
          <w:szCs w:val="21"/>
          <w:lang w:bidi="ar"/>
        </w:rPr>
        <w:t>N</w:t>
      </w:r>
      <w:r>
        <w:rPr>
          <w:rFonts w:ascii="Times New Roman" w:eastAsia="黑体" w:hAnsi="Times New Roman"/>
          <w:szCs w:val="21"/>
          <w:vertAlign w:val="subscript"/>
          <w:lang w:bidi="ar"/>
        </w:rPr>
        <w:t>4</w:t>
      </w:r>
      <w:r>
        <w:rPr>
          <w:rFonts w:ascii="Times New Roman" w:eastAsia="黑体" w:hAnsi="Times New Roman"/>
          <w:szCs w:val="21"/>
          <w:lang w:bidi="ar"/>
        </w:rPr>
        <w:t>.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2079"/>
        <w:gridCol w:w="2075"/>
        <w:gridCol w:w="2079"/>
        <w:gridCol w:w="2073"/>
      </w:tblGrid>
      <w:tr w:rsidR="006F28B0" w:rsidRPr="00362A14" w14:paraId="2D4F8369" w14:textId="77777777" w:rsidTr="009C2A11"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1C9CC152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Samples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44B121D5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Surface area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1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(m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2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/g) 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14:paraId="5A6BC75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Pore volume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2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(cm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/g)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14:paraId="73CA2738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Pore size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(nm) </w:t>
            </w:r>
          </w:p>
        </w:tc>
      </w:tr>
      <w:tr w:rsidR="006F28B0" w:rsidRPr="00362A14" w14:paraId="10812A25" w14:textId="77777777" w:rsidTr="009C2A11">
        <w:tc>
          <w:tcPr>
            <w:tcW w:w="21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E71148E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g-C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>N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2E7B61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13.467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9401261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0.077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DDA6B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22.131</w:t>
            </w:r>
          </w:p>
        </w:tc>
      </w:tr>
      <w:tr w:rsidR="006F28B0" w:rsidRPr="00362A14" w14:paraId="1C0488BE" w14:textId="77777777" w:rsidTr="009C2A11">
        <w:tc>
          <w:tcPr>
            <w:tcW w:w="2130" w:type="dxa"/>
            <w:tcBorders>
              <w:top w:val="nil"/>
            </w:tcBorders>
            <w:shd w:val="clear" w:color="auto" w:fill="auto"/>
          </w:tcPr>
          <w:p w14:paraId="463A76CD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Cd/g-C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>N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2130" w:type="dxa"/>
            <w:tcBorders>
              <w:top w:val="nil"/>
            </w:tcBorders>
            <w:shd w:val="clear" w:color="auto" w:fill="auto"/>
          </w:tcPr>
          <w:p w14:paraId="4BEC7A8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16.460</w:t>
            </w: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14:paraId="4A246D25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0.123</w:t>
            </w: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14:paraId="727C0CD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25.917</w:t>
            </w:r>
          </w:p>
        </w:tc>
      </w:tr>
    </w:tbl>
    <w:p w14:paraId="55E9776C" w14:textId="113AB37F" w:rsidR="00F257DF" w:rsidRDefault="00F257DF">
      <w:pPr>
        <w:rPr>
          <w:rFonts w:ascii="Times New Roman" w:hAnsi="Times New Roman"/>
          <w:szCs w:val="21"/>
        </w:rPr>
      </w:pPr>
    </w:p>
    <w:sectPr w:rsidR="00F257DF" w:rsidSect="00843A23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D1B69" w14:textId="77777777" w:rsidR="001042BF" w:rsidRDefault="001042BF">
      <w:r>
        <w:separator/>
      </w:r>
    </w:p>
  </w:endnote>
  <w:endnote w:type="continuationSeparator" w:id="0">
    <w:p w14:paraId="7D771C15" w14:textId="77777777" w:rsidR="001042BF" w:rsidRDefault="00104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8867349"/>
      <w:docPartObj>
        <w:docPartGallery w:val="Page Numbers (Bottom of Page)"/>
        <w:docPartUnique/>
      </w:docPartObj>
    </w:sdtPr>
    <w:sdtContent>
      <w:p w14:paraId="1EEA5103" w14:textId="1656A7B6" w:rsidR="001D39B9" w:rsidRDefault="001D39B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313F9D" w14:textId="77777777" w:rsidR="00571585" w:rsidRDefault="001042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53A84" w14:textId="77777777" w:rsidR="001042BF" w:rsidRDefault="001042BF">
      <w:r>
        <w:separator/>
      </w:r>
    </w:p>
  </w:footnote>
  <w:footnote w:type="continuationSeparator" w:id="0">
    <w:p w14:paraId="1DAA2B89" w14:textId="77777777" w:rsidR="001042BF" w:rsidRDefault="00104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F28B0"/>
    <w:rsid w:val="001042BF"/>
    <w:rsid w:val="00186C31"/>
    <w:rsid w:val="001A56B0"/>
    <w:rsid w:val="001D39B9"/>
    <w:rsid w:val="00283951"/>
    <w:rsid w:val="00462F92"/>
    <w:rsid w:val="00490F56"/>
    <w:rsid w:val="00573E94"/>
    <w:rsid w:val="00666B2B"/>
    <w:rsid w:val="006845F9"/>
    <w:rsid w:val="006F28B0"/>
    <w:rsid w:val="00737DD4"/>
    <w:rsid w:val="00843A23"/>
    <w:rsid w:val="009060A2"/>
    <w:rsid w:val="00A10FB0"/>
    <w:rsid w:val="00A439E0"/>
    <w:rsid w:val="00A634E8"/>
    <w:rsid w:val="00B36517"/>
    <w:rsid w:val="00B42232"/>
    <w:rsid w:val="00C60391"/>
    <w:rsid w:val="00CD2058"/>
    <w:rsid w:val="00DC26C2"/>
    <w:rsid w:val="00DF6859"/>
    <w:rsid w:val="00F257DF"/>
    <w:rsid w:val="00F3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55BC8"/>
  <w15:chartTrackingRefBased/>
  <w15:docId w15:val="{B882BFF8-76CB-4416-BCA7-DE8091E8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8B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rsid w:val="006F28B0"/>
  </w:style>
  <w:style w:type="character" w:customStyle="1" w:styleId="a4">
    <w:name w:val="页脚 字符"/>
    <w:link w:val="a5"/>
    <w:uiPriority w:val="99"/>
    <w:rsid w:val="006F28B0"/>
    <w:rPr>
      <w:sz w:val="18"/>
      <w:szCs w:val="24"/>
    </w:rPr>
  </w:style>
  <w:style w:type="paragraph" w:customStyle="1" w:styleId="TTPAuthors">
    <w:name w:val="TTP Author(s)"/>
    <w:basedOn w:val="a"/>
    <w:next w:val="a"/>
    <w:rsid w:val="006F28B0"/>
    <w:pPr>
      <w:widowControl/>
      <w:autoSpaceDE w:val="0"/>
      <w:autoSpaceDN w:val="0"/>
      <w:adjustRightInd w:val="0"/>
      <w:spacing w:before="120"/>
      <w:jc w:val="center"/>
      <w:textAlignment w:val="baseline"/>
    </w:pPr>
    <w:rPr>
      <w:rFonts w:ascii="Arial" w:hAnsi="Arial"/>
      <w:kern w:val="0"/>
      <w:sz w:val="28"/>
      <w:szCs w:val="28"/>
    </w:rPr>
  </w:style>
  <w:style w:type="paragraph" w:customStyle="1" w:styleId="CharCharCharChar">
    <w:name w:val="Char Char Char Char"/>
    <w:basedOn w:val="a"/>
    <w:semiHidden/>
    <w:rsid w:val="006F28B0"/>
  </w:style>
  <w:style w:type="paragraph" w:styleId="a6">
    <w:name w:val="header"/>
    <w:basedOn w:val="a"/>
    <w:link w:val="a7"/>
    <w:rsid w:val="006F28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7">
    <w:name w:val="页眉 字符"/>
    <w:basedOn w:val="a0"/>
    <w:link w:val="a6"/>
    <w:rsid w:val="006F28B0"/>
    <w:rPr>
      <w:rFonts w:ascii="Calibri" w:eastAsia="宋体" w:hAnsi="Calibri" w:cs="Times New Roman"/>
      <w:sz w:val="18"/>
      <w:szCs w:val="24"/>
    </w:rPr>
  </w:style>
  <w:style w:type="paragraph" w:styleId="a5">
    <w:name w:val="footer"/>
    <w:basedOn w:val="a"/>
    <w:link w:val="a4"/>
    <w:uiPriority w:val="99"/>
    <w:rsid w:val="006F28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1">
    <w:name w:val="页脚 字符1"/>
    <w:basedOn w:val="a0"/>
    <w:uiPriority w:val="99"/>
    <w:semiHidden/>
    <w:rsid w:val="006F28B0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rsid w:val="006F28B0"/>
    <w:rPr>
      <w:rFonts w:ascii="等线" w:eastAsia="等线" w:hAnsi="等线" w:cs="等线" w:hint="eastAsia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Classic 1"/>
    <w:basedOn w:val="a1"/>
    <w:rsid w:val="006F28B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6F28B0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F28B0"/>
    <w:rPr>
      <w:rFonts w:ascii="Calibri" w:eastAsia="宋体" w:hAnsi="Calibri" w:cs="Calibri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6F28B0"/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F28B0"/>
    <w:rPr>
      <w:rFonts w:ascii="Calibri" w:eastAsia="宋体" w:hAnsi="Calibri" w:cs="Calibri"/>
      <w:noProof/>
      <w:sz w:val="20"/>
      <w:szCs w:val="24"/>
    </w:rPr>
  </w:style>
  <w:style w:type="character" w:styleId="a9">
    <w:name w:val="Subtle Emphasis"/>
    <w:basedOn w:val="a0"/>
    <w:uiPriority w:val="19"/>
    <w:qFormat/>
    <w:rsid w:val="00283951"/>
    <w:rPr>
      <w:i/>
      <w:iCs/>
      <w:color w:val="404040" w:themeColor="text1" w:themeTint="BF"/>
    </w:rPr>
  </w:style>
  <w:style w:type="paragraph" w:styleId="aa">
    <w:name w:val="Subtitle"/>
    <w:basedOn w:val="a"/>
    <w:next w:val="a"/>
    <w:link w:val="ab"/>
    <w:uiPriority w:val="11"/>
    <w:qFormat/>
    <w:rsid w:val="00283951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28395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73D69-2087-47DF-AC9A-1ECC33018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yin</dc:creator>
  <cp:keywords/>
  <dc:description/>
  <cp:lastModifiedBy>zhao yin</cp:lastModifiedBy>
  <cp:revision>3</cp:revision>
  <dcterms:created xsi:type="dcterms:W3CDTF">2021-08-23T09:11:00Z</dcterms:created>
  <dcterms:modified xsi:type="dcterms:W3CDTF">2021-08-23T09:12:00Z</dcterms:modified>
</cp:coreProperties>
</file>