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32319">
      <w:pPr>
        <w:spacing w:line="360" w:lineRule="auto"/>
        <w:jc w:val="center"/>
        <w:rPr>
          <w:rFonts w:hint="eastAsia" w:ascii="Times New Roman" w:hAnsi="Times New Roman" w:eastAsia="宋体" w:cs="Times New Roman"/>
          <w:b/>
          <w:bCs/>
          <w:color w:val="auto"/>
          <w:sz w:val="24"/>
          <w:lang w:eastAsia="zh-CN"/>
        </w:rPr>
      </w:pPr>
      <w:bookmarkStart w:id="0" w:name="_GoBack"/>
      <w:r>
        <w:rPr>
          <w:rFonts w:hint="eastAsia" w:ascii="Times New Roman" w:hAnsi="Times New Roman" w:eastAsia="宋体" w:cs="Times New Roman"/>
          <w:b/>
          <w:bCs/>
          <w:color w:val="auto"/>
          <w:sz w:val="24"/>
          <w:lang w:eastAsia="zh-CN"/>
        </w:rPr>
        <w:drawing>
          <wp:inline distT="0" distB="0" distL="114300" distR="114300">
            <wp:extent cx="6118225" cy="8373745"/>
            <wp:effectExtent l="0" t="0" r="3175" b="8255"/>
            <wp:docPr id="8" name="图片 8" descr="S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Fig1A"/>
                    <pic:cNvPicPr>
                      <a:picLocks noChangeAspect="1"/>
                    </pic:cNvPicPr>
                  </pic:nvPicPr>
                  <pic:blipFill>
                    <a:blip r:embed="rId4"/>
                    <a:stretch>
                      <a:fillRect/>
                    </a:stretch>
                  </pic:blipFill>
                  <pic:spPr>
                    <a:xfrm>
                      <a:off x="0" y="0"/>
                      <a:ext cx="6118225" cy="8373745"/>
                    </a:xfrm>
                    <a:prstGeom prst="rect">
                      <a:avLst/>
                    </a:prstGeom>
                  </pic:spPr>
                </pic:pic>
              </a:graphicData>
            </a:graphic>
          </wp:inline>
        </w:drawing>
      </w:r>
      <w:bookmarkEnd w:id="0"/>
    </w:p>
    <w:p w14:paraId="09FBD569">
      <w:pPr>
        <w:spacing w:line="360" w:lineRule="auto"/>
        <w:rPr>
          <w:rFonts w:hint="eastAsia" w:ascii="Times New Roman" w:hAnsi="Times New Roman" w:eastAsia="Times New Roman" w:cs="Times New Roman"/>
          <w:strike w:val="0"/>
          <w:dstrike w:val="0"/>
          <w:color w:val="auto"/>
          <w:sz w:val="24"/>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S1</w:t>
      </w:r>
      <w:r>
        <w:rPr>
          <w:rFonts w:hint="eastAsia" w:ascii="Times New Roman" w:hAnsi="Times New Roman" w:eastAsia="Times New Roman" w:cs="Times New Roman"/>
          <w:color w:val="auto"/>
          <w:sz w:val="24"/>
        </w:rPr>
        <w:t xml:space="preserve"> </w:t>
      </w:r>
      <w:r>
        <w:rPr>
          <w:rFonts w:hint="eastAsia" w:ascii="Times New Roman" w:hAnsi="Times New Roman" w:eastAsia="Times New Roman" w:cs="Times New Roman"/>
          <w:strike w:val="0"/>
          <w:dstrike w:val="0"/>
          <w:color w:val="auto"/>
          <w:sz w:val="24"/>
        </w:rPr>
        <w:t>Bioinformatic</w:t>
      </w:r>
      <w:r>
        <w:rPr>
          <w:rFonts w:hint="eastAsia" w:ascii="Times New Roman" w:hAnsi="Times New Roman" w:eastAsia="Times New Roman" w:cs="Times New Roman"/>
          <w:color w:val="auto"/>
          <w:sz w:val="24"/>
        </w:rPr>
        <w:t xml:space="preserve"> analysis of prolamins in foxtail millet and other species: (</w:t>
      </w:r>
      <w:r>
        <w:rPr>
          <w:rFonts w:hint="eastAsia" w:ascii="Times New Roman" w:hAnsi="Times New Roman" w:eastAsia="宋体" w:cs="Times New Roman"/>
          <w:color w:val="auto"/>
          <w:sz w:val="24"/>
          <w:lang w:val="en-US" w:eastAsia="zh-CN"/>
        </w:rPr>
        <w:t>a</w:t>
      </w:r>
      <w:r>
        <w:rPr>
          <w:rFonts w:hint="eastAsia" w:ascii="Times New Roman" w:hAnsi="Times New Roman" w:eastAsia="Times New Roman" w:cs="Times New Roman"/>
          <w:color w:val="auto"/>
          <w:sz w:val="24"/>
        </w:rPr>
        <w:t>) gene structure, (</w:t>
      </w:r>
      <w:r>
        <w:rPr>
          <w:rFonts w:hint="eastAsia" w:ascii="Times New Roman" w:hAnsi="Times New Roman" w:eastAsia="宋体" w:cs="Times New Roman"/>
          <w:color w:val="auto"/>
          <w:sz w:val="24"/>
          <w:lang w:val="en-US" w:eastAsia="zh-CN"/>
        </w:rPr>
        <w:t>b</w:t>
      </w:r>
      <w:r>
        <w:rPr>
          <w:rFonts w:hint="eastAsia" w:ascii="Times New Roman" w:hAnsi="Times New Roman" w:eastAsia="Times New Roman" w:cs="Times New Roman"/>
          <w:color w:val="auto"/>
          <w:sz w:val="24"/>
        </w:rPr>
        <w:t>) conserved motifs, (</w:t>
      </w:r>
      <w:r>
        <w:rPr>
          <w:rFonts w:hint="eastAsia" w:ascii="Times New Roman" w:hAnsi="Times New Roman" w:eastAsia="宋体" w:cs="Times New Roman"/>
          <w:color w:val="auto"/>
          <w:sz w:val="24"/>
          <w:lang w:val="en-US" w:eastAsia="zh-CN"/>
        </w:rPr>
        <w:t>c</w:t>
      </w:r>
      <w:r>
        <w:rPr>
          <w:rFonts w:hint="eastAsia" w:ascii="Times New Roman" w:hAnsi="Times New Roman" w:eastAsia="Times New Roman" w:cs="Times New Roman"/>
          <w:color w:val="auto"/>
          <w:sz w:val="24"/>
        </w:rPr>
        <w:t>) domain</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Times New Roman" w:cs="Times New Roman"/>
          <w:color w:val="auto"/>
          <w:sz w:val="24"/>
        </w:rPr>
        <w:t>analysis, (</w:t>
      </w:r>
      <w:r>
        <w:rPr>
          <w:rFonts w:hint="eastAsia" w:ascii="Times New Roman" w:hAnsi="Times New Roman" w:eastAsia="宋体" w:cs="Times New Roman"/>
          <w:color w:val="auto"/>
          <w:sz w:val="24"/>
          <w:lang w:val="en-US" w:eastAsia="zh-CN"/>
        </w:rPr>
        <w:t>d</w:t>
      </w:r>
      <w:r>
        <w:rPr>
          <w:rFonts w:hint="eastAsia" w:ascii="Times New Roman" w:hAnsi="Times New Roman" w:eastAsia="Times New Roman" w:cs="Times New Roman"/>
          <w:color w:val="auto"/>
          <w:sz w:val="24"/>
        </w:rPr>
        <w:t>) gene location, (</w:t>
      </w:r>
      <w:r>
        <w:rPr>
          <w:rFonts w:hint="eastAsia" w:ascii="Times New Roman" w:hAnsi="Times New Roman" w:eastAsia="宋体" w:cs="Times New Roman"/>
          <w:color w:val="auto"/>
          <w:sz w:val="24"/>
          <w:lang w:val="en-US" w:eastAsia="zh-CN"/>
        </w:rPr>
        <w:t>e</w:t>
      </w:r>
      <w:r>
        <w:rPr>
          <w:rFonts w:hint="eastAsia" w:ascii="Times New Roman" w:hAnsi="Times New Roman" w:eastAsia="Times New Roman" w:cs="Times New Roman"/>
          <w:color w:val="auto"/>
          <w:sz w:val="24"/>
        </w:rPr>
        <w:t>) cis-acting elements, and (</w:t>
      </w:r>
      <w:r>
        <w:rPr>
          <w:rFonts w:hint="eastAsia" w:ascii="Times New Roman" w:hAnsi="Times New Roman" w:eastAsia="宋体" w:cs="Times New Roman"/>
          <w:color w:val="auto"/>
          <w:sz w:val="24"/>
          <w:lang w:val="en-US" w:eastAsia="zh-CN"/>
        </w:rPr>
        <w:t>f</w:t>
      </w:r>
      <w:r>
        <w:rPr>
          <w:rFonts w:hint="eastAsia" w:ascii="Times New Roman" w:hAnsi="Times New Roman" w:eastAsia="Times New Roman" w:cs="Times New Roman"/>
          <w:color w:val="auto"/>
          <w:sz w:val="24"/>
        </w:rPr>
        <w:t>) collinearity analysis.</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Times New Roman" w:cs="Times New Roman"/>
          <w:strike w:val="0"/>
          <w:dstrike w:val="0"/>
          <w:color w:val="auto"/>
          <w:sz w:val="24"/>
        </w:rPr>
        <w:t>The red lines represent interspecies collinear gene pairs, with “Si”</w:t>
      </w:r>
      <w:r>
        <w:rPr>
          <w:rFonts w:hint="eastAsia" w:ascii="Times New Roman" w:hAnsi="Times New Roman" w:eastAsia="宋体" w:cs="Times New Roman"/>
          <w:strike w:val="0"/>
          <w:dstrike w:val="0"/>
          <w:color w:val="auto"/>
          <w:sz w:val="24"/>
        </w:rPr>
        <w:t xml:space="preserve"> </w:t>
      </w:r>
      <w:r>
        <w:rPr>
          <w:rFonts w:hint="eastAsia" w:ascii="Times New Roman" w:hAnsi="Times New Roman" w:eastAsia="Times New Roman" w:cs="Times New Roman"/>
          <w:strike w:val="0"/>
          <w:dstrike w:val="0"/>
          <w:color w:val="auto"/>
          <w:sz w:val="24"/>
        </w:rPr>
        <w:t xml:space="preserve">for </w:t>
      </w:r>
      <w:r>
        <w:rPr>
          <w:rFonts w:hint="eastAsia" w:ascii="Times New Roman" w:hAnsi="Times New Roman" w:eastAsia="Times New Roman"/>
          <w:strike w:val="0"/>
          <w:dstrike w:val="0"/>
          <w:color w:val="auto"/>
          <w:sz w:val="24"/>
          <w:szCs w:val="28"/>
        </w:rPr>
        <w:t xml:space="preserve">foxtail </w:t>
      </w:r>
      <w:r>
        <w:rPr>
          <w:rFonts w:hint="eastAsia" w:ascii="Times New Roman" w:hAnsi="Times New Roman" w:eastAsia="Times New Roman" w:cs="Times New Roman"/>
          <w:strike w:val="0"/>
          <w:dstrike w:val="0"/>
          <w:color w:val="auto"/>
          <w:sz w:val="24"/>
        </w:rPr>
        <w:t>millet, “Sb”</w:t>
      </w:r>
      <w:r>
        <w:rPr>
          <w:rFonts w:hint="eastAsia" w:ascii="Times New Roman" w:hAnsi="Times New Roman" w:eastAsia="宋体" w:cs="Times New Roman"/>
          <w:strike w:val="0"/>
          <w:dstrike w:val="0"/>
          <w:color w:val="auto"/>
          <w:sz w:val="24"/>
        </w:rPr>
        <w:t xml:space="preserve"> </w:t>
      </w:r>
      <w:r>
        <w:rPr>
          <w:rFonts w:hint="eastAsia" w:ascii="Times New Roman" w:hAnsi="Times New Roman" w:eastAsia="Times New Roman" w:cs="Times New Roman"/>
          <w:strike w:val="0"/>
          <w:dstrike w:val="0"/>
          <w:color w:val="auto"/>
          <w:sz w:val="24"/>
        </w:rPr>
        <w:t>for sorghm and</w:t>
      </w:r>
      <w:r>
        <w:rPr>
          <w:rFonts w:hint="eastAsia" w:ascii="Times New Roman" w:hAnsi="Times New Roman" w:eastAsia="宋体" w:cs="Times New Roman"/>
          <w:strike w:val="0"/>
          <w:dstrike w:val="0"/>
          <w:color w:val="auto"/>
          <w:sz w:val="24"/>
        </w:rPr>
        <w:t xml:space="preserve"> </w:t>
      </w:r>
      <w:r>
        <w:rPr>
          <w:rFonts w:hint="eastAsia" w:ascii="Times New Roman" w:hAnsi="Times New Roman" w:eastAsia="Times New Roman" w:cs="Times New Roman"/>
          <w:strike w:val="0"/>
          <w:dstrike w:val="0"/>
          <w:color w:val="auto"/>
          <w:sz w:val="24"/>
        </w:rPr>
        <w:t>“Zm”</w:t>
      </w:r>
      <w:r>
        <w:rPr>
          <w:rFonts w:hint="eastAsia" w:ascii="Times New Roman" w:hAnsi="Times New Roman" w:eastAsia="宋体" w:cs="Times New Roman"/>
          <w:strike w:val="0"/>
          <w:dstrike w:val="0"/>
          <w:color w:val="auto"/>
          <w:sz w:val="24"/>
        </w:rPr>
        <w:t xml:space="preserve"> </w:t>
      </w:r>
      <w:r>
        <w:rPr>
          <w:rFonts w:hint="eastAsia" w:ascii="Times New Roman" w:hAnsi="Times New Roman" w:eastAsia="Times New Roman" w:cs="Times New Roman"/>
          <w:strike w:val="0"/>
          <w:dstrike w:val="0"/>
          <w:color w:val="auto"/>
          <w:sz w:val="24"/>
        </w:rPr>
        <w:t>for maize.</w:t>
      </w:r>
    </w:p>
    <w:p w14:paraId="48B7C597">
      <w:pPr>
        <w:spacing w:line="360" w:lineRule="auto"/>
        <w:jc w:val="center"/>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drawing>
          <wp:inline distT="0" distB="0" distL="114300" distR="114300">
            <wp:extent cx="5981700" cy="5461000"/>
            <wp:effectExtent l="0" t="0" r="0" b="0"/>
            <wp:docPr id="6" name="图片 6" descr="s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Fig2B"/>
                    <pic:cNvPicPr>
                      <a:picLocks noChangeAspect="1"/>
                    </pic:cNvPicPr>
                  </pic:nvPicPr>
                  <pic:blipFill>
                    <a:blip r:embed="rId5"/>
                    <a:stretch>
                      <a:fillRect/>
                    </a:stretch>
                  </pic:blipFill>
                  <pic:spPr>
                    <a:xfrm>
                      <a:off x="0" y="0"/>
                      <a:ext cx="5981700" cy="5461000"/>
                    </a:xfrm>
                    <a:prstGeom prst="rect">
                      <a:avLst/>
                    </a:prstGeom>
                  </pic:spPr>
                </pic:pic>
              </a:graphicData>
            </a:graphic>
          </wp:inline>
        </w:drawing>
      </w:r>
    </w:p>
    <w:p w14:paraId="07A2E2E2">
      <w:pPr>
        <w:spacing w:line="360" w:lineRule="auto"/>
        <w:jc w:val="both"/>
        <w:rPr>
          <w:rFonts w:ascii="Times New Roman" w:hAnsi="Times New Roman" w:eastAsia="Times New Roman" w:cs="Times New Roman"/>
          <w:color w:val="auto"/>
          <w:sz w:val="24"/>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w:t>
      </w:r>
      <w:r>
        <w:rPr>
          <w:rFonts w:hint="eastAsia" w:ascii="Times New Roman" w:hAnsi="Times New Roman" w:eastAsia="宋体" w:cs="Times New Roman"/>
          <w:b/>
          <w:bCs/>
          <w:color w:val="auto"/>
          <w:sz w:val="24"/>
          <w:lang w:val="en-US" w:eastAsia="zh-CN"/>
        </w:rPr>
        <w:t>2</w:t>
      </w:r>
      <w:r>
        <w:rPr>
          <w:rFonts w:hint="eastAsia" w:ascii="Times New Roman" w:hAnsi="Times New Roman" w:eastAsia="Times New Roman" w:cs="Times New Roman"/>
          <w:color w:val="auto"/>
          <w:sz w:val="24"/>
        </w:rPr>
        <w:t xml:space="preserve"> </w:t>
      </w:r>
      <w:r>
        <w:rPr>
          <w:rFonts w:hint="eastAsia" w:ascii="Times New Roman" w:hAnsi="Times New Roman" w:eastAsia="Times New Roman"/>
          <w:color w:val="auto"/>
          <w:sz w:val="24"/>
          <w:szCs w:val="28"/>
        </w:rPr>
        <w:t xml:space="preserve">Sequences and peaks of representative heterozygous mutation types of base editing of </w:t>
      </w:r>
      <w:r>
        <w:rPr>
          <w:rFonts w:hint="eastAsia" w:ascii="Times New Roman" w:hAnsi="Times New Roman" w:eastAsia="Times New Roman"/>
          <w:i/>
          <w:iCs/>
          <w:color w:val="auto"/>
          <w:sz w:val="24"/>
          <w:szCs w:val="28"/>
        </w:rPr>
        <w:t>Seita.8G190200</w:t>
      </w:r>
      <w:r>
        <w:rPr>
          <w:rFonts w:hint="eastAsia" w:ascii="Times New Roman" w:hAnsi="Times New Roman" w:eastAsia="Times New Roman"/>
          <w:color w:val="auto"/>
          <w:sz w:val="24"/>
          <w:szCs w:val="28"/>
        </w:rPr>
        <w:t xml:space="preserve"> </w:t>
      </w:r>
      <w:r>
        <w:rPr>
          <w:rFonts w:hint="eastAsia" w:ascii="Times New Roman" w:hAnsi="Times New Roman" w:eastAsia="宋体"/>
          <w:color w:val="auto"/>
          <w:sz w:val="24"/>
          <w:szCs w:val="28"/>
          <w:lang w:val="en-US" w:eastAsia="zh-CN"/>
        </w:rPr>
        <w:t xml:space="preserve">in </w:t>
      </w:r>
      <w:r>
        <w:rPr>
          <w:rFonts w:hint="eastAsia" w:ascii="Times New Roman" w:hAnsi="Times New Roman" w:eastAsia="宋体"/>
          <w:i/>
          <w:iCs/>
          <w:color w:val="auto"/>
          <w:sz w:val="24"/>
          <w:szCs w:val="28"/>
          <w:lang w:val="en-US" w:eastAsia="zh-CN"/>
        </w:rPr>
        <w:t>ko3</w:t>
      </w:r>
      <w:r>
        <w:rPr>
          <w:rFonts w:hint="eastAsia" w:ascii="Times New Roman" w:hAnsi="Times New Roman" w:eastAsia="宋体"/>
          <w:color w:val="auto"/>
          <w:sz w:val="24"/>
          <w:szCs w:val="28"/>
          <w:lang w:val="en-US" w:eastAsia="zh-CN"/>
        </w:rPr>
        <w:t xml:space="preserve">, </w:t>
      </w:r>
      <w:r>
        <w:rPr>
          <w:rFonts w:hint="eastAsia" w:ascii="Times New Roman" w:hAnsi="Times New Roman" w:eastAsia="宋体"/>
          <w:i/>
          <w:iCs/>
          <w:color w:val="auto"/>
          <w:sz w:val="24"/>
          <w:szCs w:val="28"/>
          <w:lang w:val="en-US" w:eastAsia="zh-CN"/>
        </w:rPr>
        <w:t>ko4</w:t>
      </w:r>
      <w:r>
        <w:rPr>
          <w:rFonts w:hint="eastAsia" w:ascii="Times New Roman" w:hAnsi="Times New Roman" w:eastAsia="宋体"/>
          <w:color w:val="auto"/>
          <w:sz w:val="24"/>
          <w:szCs w:val="28"/>
          <w:lang w:val="en-US" w:eastAsia="zh-CN"/>
        </w:rPr>
        <w:t>, and</w:t>
      </w:r>
      <w:r>
        <w:rPr>
          <w:rFonts w:hint="eastAsia" w:ascii="Times New Roman" w:hAnsi="Times New Roman" w:eastAsia="宋体"/>
          <w:i/>
          <w:iCs/>
          <w:color w:val="auto"/>
          <w:sz w:val="24"/>
          <w:szCs w:val="28"/>
          <w:lang w:val="en-US" w:eastAsia="zh-CN"/>
        </w:rPr>
        <w:t xml:space="preserve"> ko5</w:t>
      </w:r>
      <w:r>
        <w:rPr>
          <w:rFonts w:hint="eastAsia" w:ascii="Times New Roman" w:hAnsi="Times New Roman" w:eastAsia="Times New Roman"/>
          <w:color w:val="auto"/>
          <w:sz w:val="24"/>
          <w:szCs w:val="28"/>
        </w:rPr>
        <w:t xml:space="preserve">. Graphical representation of the guide RNA sequence with protospacer adjacent motif (PAM) and a putative cutting site on the vector used to generate </w:t>
      </w:r>
      <w:r>
        <w:rPr>
          <w:rFonts w:ascii="Times New Roman" w:hAnsi="Times New Roman" w:eastAsia="Times New Roman"/>
          <w:color w:val="auto"/>
          <w:sz w:val="24"/>
          <w:szCs w:val="28"/>
        </w:rPr>
        <w:t>α-</w:t>
      </w:r>
      <w:r>
        <w:rPr>
          <w:rFonts w:hint="eastAsia" w:ascii="Times New Roman" w:hAnsi="Times New Roman" w:eastAsia="宋体" w:cs="Times New Roman"/>
          <w:color w:val="auto"/>
          <w:sz w:val="24"/>
          <w:szCs w:val="28"/>
        </w:rPr>
        <w:t>prolamin</w:t>
      </w:r>
      <w:r>
        <w:rPr>
          <w:rFonts w:hint="eastAsia" w:ascii="Times New Roman" w:hAnsi="Times New Roman" w:eastAsia="Times New Roman"/>
          <w:color w:val="auto"/>
          <w:sz w:val="24"/>
          <w:szCs w:val="28"/>
        </w:rPr>
        <w:t xml:space="preserve"> CRISPR/Cas9 mutants.</w:t>
      </w:r>
      <w:r>
        <w:rPr>
          <w:rFonts w:hint="eastAsia" w:ascii="Times New Roman" w:hAnsi="Times New Roman"/>
          <w:color w:val="auto"/>
          <w:sz w:val="24"/>
          <w:szCs w:val="28"/>
        </w:rPr>
        <w:t xml:space="preserve"> </w:t>
      </w:r>
      <w:r>
        <w:rPr>
          <w:rFonts w:hint="eastAsia" w:ascii="Times New Roman" w:hAnsi="Times New Roman" w:eastAsia="Times New Roman"/>
          <w:color w:val="auto"/>
          <w:sz w:val="24"/>
          <w:szCs w:val="28"/>
        </w:rPr>
        <w:t>The black boxes and solid black lines represent gene exons and chromosomes, respectively. Nucleotides in blue represent the target sequences. Nucleotides are underlined for the PAM.</w:t>
      </w:r>
      <w:r>
        <w:rPr>
          <w:rFonts w:hint="eastAsia" w:ascii="Times New Roman" w:hAnsi="Times New Roman" w:eastAsia="宋体"/>
          <w:color w:val="auto"/>
          <w:sz w:val="24"/>
          <w:szCs w:val="28"/>
        </w:rPr>
        <w:t xml:space="preserve"> </w:t>
      </w:r>
      <w:r>
        <w:rPr>
          <w:rFonts w:hint="eastAsia" w:ascii="Times New Roman" w:hAnsi="Times New Roman" w:eastAsia="Times New Roman"/>
          <w:color w:val="auto"/>
          <w:sz w:val="24"/>
          <w:szCs w:val="28"/>
        </w:rPr>
        <w:t xml:space="preserve">The red </w:t>
      </w:r>
      <w:r>
        <w:rPr>
          <w:rFonts w:ascii="Times New Roman" w:hAnsi="Times New Roman" w:eastAsia="Times New Roman"/>
          <w:color w:val="auto"/>
          <w:sz w:val="24"/>
          <w:szCs w:val="28"/>
        </w:rPr>
        <w:t>indicates</w:t>
      </w:r>
      <w:r>
        <w:rPr>
          <w:rFonts w:hint="eastAsia" w:ascii="Times New Roman" w:hAnsi="Times New Roman" w:eastAsia="Times New Roman"/>
          <w:color w:val="auto"/>
          <w:sz w:val="24"/>
          <w:szCs w:val="28"/>
        </w:rPr>
        <w:t xml:space="preserve"> the positions of these base editing mutations.</w:t>
      </w:r>
    </w:p>
    <w:p w14:paraId="4A7AD737">
      <w:pPr>
        <w:spacing w:line="360" w:lineRule="auto"/>
        <w:jc w:val="center"/>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drawing>
          <wp:inline distT="0" distB="0" distL="114300" distR="114300">
            <wp:extent cx="5269865" cy="5654040"/>
            <wp:effectExtent l="0" t="0" r="635" b="10160"/>
            <wp:docPr id="1" name="图片 1" descr="S3-8G种子染色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3-8G种子染色图"/>
                    <pic:cNvPicPr>
                      <a:picLocks noChangeAspect="1"/>
                    </pic:cNvPicPr>
                  </pic:nvPicPr>
                  <pic:blipFill>
                    <a:blip r:embed="rId6"/>
                    <a:stretch>
                      <a:fillRect/>
                    </a:stretch>
                  </pic:blipFill>
                  <pic:spPr>
                    <a:xfrm>
                      <a:off x="0" y="0"/>
                      <a:ext cx="5269865" cy="5654040"/>
                    </a:xfrm>
                    <a:prstGeom prst="rect">
                      <a:avLst/>
                    </a:prstGeom>
                  </pic:spPr>
                </pic:pic>
              </a:graphicData>
            </a:graphic>
          </wp:inline>
        </w:drawing>
      </w:r>
    </w:p>
    <w:p w14:paraId="44D50178">
      <w:p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w:t>
      </w:r>
      <w:r>
        <w:rPr>
          <w:rFonts w:hint="eastAsia" w:ascii="Times New Roman" w:hAnsi="Times New Roman" w:eastAsia="宋体" w:cs="Times New Roman"/>
          <w:b/>
          <w:bCs/>
          <w:color w:val="auto"/>
          <w:sz w:val="24"/>
          <w:lang w:val="en-US" w:eastAsia="zh-CN"/>
        </w:rPr>
        <w:t>3</w:t>
      </w:r>
      <w:r>
        <w:rPr>
          <w:rFonts w:hint="eastAsia" w:ascii="Times New Roman" w:hAnsi="Times New Roman" w:eastAsia="Times New Roman" w:cs="Times New Roman"/>
          <w:color w:val="auto"/>
          <w:sz w:val="24"/>
        </w:rPr>
        <w:t xml:space="preserve"> Staining analysis of storage product accumulation of the foxtail millet hulled grain. (</w:t>
      </w:r>
      <w:r>
        <w:rPr>
          <w:rFonts w:hint="eastAsia" w:ascii="Times New Roman" w:hAnsi="Times New Roman" w:eastAsia="宋体" w:cs="Times New Roman"/>
          <w:color w:val="auto"/>
          <w:sz w:val="24"/>
          <w:lang w:val="en-US" w:eastAsia="zh-CN"/>
        </w:rPr>
        <w:t>a</w:t>
      </w:r>
      <w:r>
        <w:rPr>
          <w:rFonts w:hint="eastAsia" w:ascii="Times New Roman" w:hAnsi="Times New Roman" w:eastAsia="Times New Roman" w:cs="Times New Roman"/>
          <w:color w:val="auto"/>
          <w:sz w:val="24"/>
        </w:rPr>
        <w:t>) Transversely sectioned hulled grain of WT</w:t>
      </w:r>
      <w:r>
        <w:rPr>
          <w:rFonts w:hint="eastAsia" w:ascii="Times New Roman" w:hAnsi="Times New Roman" w:eastAsia="宋体" w:cs="Times New Roman"/>
          <w:color w:val="auto"/>
          <w:sz w:val="24"/>
        </w:rPr>
        <w:t xml:space="preserve">, </w:t>
      </w:r>
      <w:r>
        <w:rPr>
          <w:rFonts w:hint="eastAsia" w:ascii="Times New Roman" w:hAnsi="Times New Roman" w:eastAsia="Times New Roman" w:cs="Times New Roman"/>
          <w:i/>
          <w:iCs/>
          <w:color w:val="auto"/>
          <w:sz w:val="24"/>
        </w:rPr>
        <w:t>ko1</w:t>
      </w:r>
      <w:r>
        <w:rPr>
          <w:rFonts w:hint="eastAsia" w:ascii="Times New Roman" w:hAnsi="Times New Roman" w:eastAsia="Times New Roman" w:cs="Times New Roman"/>
          <w:color w:val="auto"/>
          <w:sz w:val="24"/>
        </w:rPr>
        <w:t xml:space="preserve"> and </w:t>
      </w:r>
      <w:r>
        <w:rPr>
          <w:rFonts w:hint="eastAsia" w:ascii="Times New Roman" w:hAnsi="Times New Roman" w:eastAsia="Times New Roman" w:cs="Times New Roman"/>
          <w:i/>
          <w:iCs/>
          <w:color w:val="auto"/>
          <w:sz w:val="24"/>
        </w:rPr>
        <w:t>ko2</w:t>
      </w:r>
      <w:r>
        <w:rPr>
          <w:rFonts w:hint="eastAsia" w:ascii="Times New Roman" w:hAnsi="Times New Roman" w:eastAsia="Times New Roman" w:cs="Times New Roman"/>
          <w:color w:val="auto"/>
          <w:sz w:val="24"/>
        </w:rPr>
        <w:t>. (</w:t>
      </w:r>
      <w:r>
        <w:rPr>
          <w:rFonts w:hint="eastAsia" w:ascii="Times New Roman" w:hAnsi="Times New Roman" w:eastAsia="宋体" w:cs="Times New Roman"/>
          <w:color w:val="auto"/>
          <w:sz w:val="24"/>
          <w:lang w:val="en-US" w:eastAsia="zh-CN"/>
        </w:rPr>
        <w:t>b</w:t>
      </w:r>
      <w:r>
        <w:rPr>
          <w:rFonts w:hint="eastAsia" w:ascii="Times New Roman" w:hAnsi="Times New Roman" w:eastAsia="Times New Roman" w:cs="Times New Roman"/>
          <w:color w:val="auto"/>
          <w:sz w:val="24"/>
        </w:rPr>
        <w:t>) Transversely sectioned hulled grain of WT</w:t>
      </w:r>
      <w:r>
        <w:rPr>
          <w:rFonts w:hint="eastAsia" w:ascii="Times New Roman" w:hAnsi="Times New Roman" w:eastAsia="宋体" w:cs="Times New Roman"/>
          <w:color w:val="auto"/>
          <w:sz w:val="24"/>
        </w:rPr>
        <w:t xml:space="preserve">, </w:t>
      </w:r>
      <w:r>
        <w:rPr>
          <w:rFonts w:hint="eastAsia" w:ascii="Times New Roman" w:hAnsi="Times New Roman" w:eastAsia="Times New Roman" w:cs="Times New Roman"/>
          <w:i/>
          <w:iCs/>
          <w:color w:val="auto"/>
          <w:sz w:val="24"/>
        </w:rPr>
        <w:t>ko1</w:t>
      </w:r>
      <w:r>
        <w:rPr>
          <w:rFonts w:hint="eastAsia" w:ascii="Times New Roman" w:hAnsi="Times New Roman" w:eastAsia="Times New Roman" w:cs="Times New Roman"/>
          <w:color w:val="auto"/>
          <w:sz w:val="24"/>
        </w:rPr>
        <w:t xml:space="preserve"> and </w:t>
      </w:r>
      <w:r>
        <w:rPr>
          <w:rFonts w:hint="eastAsia" w:ascii="Times New Roman" w:hAnsi="Times New Roman" w:eastAsia="Times New Roman" w:cs="Times New Roman"/>
          <w:i/>
          <w:iCs/>
          <w:color w:val="auto"/>
          <w:sz w:val="24"/>
        </w:rPr>
        <w:t>ko2</w:t>
      </w:r>
      <w:r>
        <w:rPr>
          <w:rFonts w:hint="eastAsia" w:ascii="Times New Roman" w:hAnsi="Times New Roman" w:eastAsia="Times New Roman" w:cs="Times New Roman"/>
          <w:color w:val="auto"/>
          <w:sz w:val="24"/>
        </w:rPr>
        <w:t xml:space="preserve"> stained with Lugol's iodine for analysis of starch accumulation. (</w:t>
      </w:r>
      <w:r>
        <w:rPr>
          <w:rFonts w:hint="eastAsia" w:ascii="Times New Roman" w:hAnsi="Times New Roman" w:eastAsia="宋体" w:cs="Times New Roman"/>
          <w:color w:val="auto"/>
          <w:sz w:val="24"/>
          <w:lang w:val="en-US" w:eastAsia="zh-CN"/>
        </w:rPr>
        <w:t>c</w:t>
      </w:r>
      <w:r>
        <w:rPr>
          <w:rFonts w:hint="eastAsia" w:ascii="Times New Roman" w:hAnsi="Times New Roman" w:eastAsia="Times New Roman" w:cs="Times New Roman"/>
          <w:color w:val="auto"/>
          <w:sz w:val="24"/>
        </w:rPr>
        <w:t>) Transversely sectioned hulled grain of WT</w:t>
      </w:r>
      <w:r>
        <w:rPr>
          <w:rFonts w:hint="eastAsia" w:ascii="Times New Roman" w:hAnsi="Times New Roman" w:eastAsia="宋体" w:cs="Times New Roman"/>
          <w:color w:val="auto"/>
          <w:sz w:val="24"/>
        </w:rPr>
        <w:t xml:space="preserve">, </w:t>
      </w:r>
      <w:r>
        <w:rPr>
          <w:rFonts w:hint="eastAsia" w:ascii="Times New Roman" w:hAnsi="Times New Roman" w:eastAsia="Times New Roman" w:cs="Times New Roman"/>
          <w:i/>
          <w:iCs/>
          <w:color w:val="auto"/>
          <w:sz w:val="24"/>
        </w:rPr>
        <w:t>ko1</w:t>
      </w:r>
      <w:r>
        <w:rPr>
          <w:rFonts w:hint="eastAsia" w:ascii="Times New Roman" w:hAnsi="Times New Roman" w:eastAsia="Times New Roman" w:cs="Times New Roman"/>
          <w:color w:val="auto"/>
          <w:sz w:val="24"/>
        </w:rPr>
        <w:t xml:space="preserve"> and </w:t>
      </w:r>
      <w:r>
        <w:rPr>
          <w:rFonts w:hint="eastAsia" w:ascii="Times New Roman" w:hAnsi="Times New Roman" w:eastAsia="Times New Roman" w:cs="Times New Roman"/>
          <w:i/>
          <w:iCs/>
          <w:color w:val="auto"/>
          <w:sz w:val="24"/>
        </w:rPr>
        <w:t>ko2</w:t>
      </w:r>
      <w:r>
        <w:rPr>
          <w:rFonts w:hint="eastAsia" w:ascii="Times New Roman" w:hAnsi="Times New Roman" w:eastAsia="Times New Roman" w:cs="Times New Roman"/>
          <w:color w:val="auto"/>
          <w:sz w:val="24"/>
        </w:rPr>
        <w:t xml:space="preserve"> stained with toluidine blue to observe the accumulation of endosperm storage products. (</w:t>
      </w:r>
      <w:r>
        <w:rPr>
          <w:rFonts w:hint="eastAsia" w:ascii="Times New Roman" w:hAnsi="Times New Roman" w:eastAsia="宋体" w:cs="Times New Roman"/>
          <w:color w:val="auto"/>
          <w:sz w:val="24"/>
          <w:lang w:val="en-US" w:eastAsia="zh-CN"/>
        </w:rPr>
        <w:t>d</w:t>
      </w:r>
      <w:r>
        <w:rPr>
          <w:rFonts w:hint="eastAsia" w:ascii="Times New Roman" w:hAnsi="Times New Roman" w:eastAsia="Times New Roman" w:cs="Times New Roman"/>
          <w:color w:val="auto"/>
          <w:sz w:val="24"/>
        </w:rPr>
        <w:t>) Transversely sectioned hulled grain of WT</w:t>
      </w:r>
      <w:r>
        <w:rPr>
          <w:rFonts w:hint="eastAsia" w:ascii="Times New Roman" w:hAnsi="Times New Roman" w:eastAsia="宋体" w:cs="Times New Roman"/>
          <w:color w:val="auto"/>
          <w:sz w:val="24"/>
        </w:rPr>
        <w:t xml:space="preserve">, </w:t>
      </w:r>
      <w:r>
        <w:rPr>
          <w:rFonts w:hint="eastAsia" w:ascii="Times New Roman" w:hAnsi="Times New Roman" w:eastAsia="Times New Roman" w:cs="Times New Roman"/>
          <w:i/>
          <w:iCs/>
          <w:color w:val="auto"/>
          <w:sz w:val="24"/>
        </w:rPr>
        <w:t>ko1</w:t>
      </w:r>
      <w:r>
        <w:rPr>
          <w:rFonts w:hint="eastAsia" w:ascii="Times New Roman" w:hAnsi="Times New Roman" w:eastAsia="Times New Roman" w:cs="Times New Roman"/>
          <w:color w:val="auto"/>
          <w:sz w:val="24"/>
        </w:rPr>
        <w:t xml:space="preserve"> and </w:t>
      </w:r>
      <w:r>
        <w:rPr>
          <w:rFonts w:hint="eastAsia" w:ascii="Times New Roman" w:hAnsi="Times New Roman" w:eastAsia="Times New Roman" w:cs="Times New Roman"/>
          <w:i/>
          <w:iCs/>
          <w:color w:val="auto"/>
          <w:sz w:val="24"/>
        </w:rPr>
        <w:t>ko2</w:t>
      </w:r>
      <w:r>
        <w:rPr>
          <w:rFonts w:hint="eastAsia" w:ascii="Times New Roman" w:hAnsi="Times New Roman" w:eastAsia="Times New Roman" w:cs="Times New Roman"/>
          <w:color w:val="auto"/>
          <w:sz w:val="24"/>
        </w:rPr>
        <w:t xml:space="preserve"> stained with Sudan red IV for lipid accumulation.</w:t>
      </w:r>
      <w:r>
        <w:rPr>
          <w:rFonts w:hint="eastAsia" w:ascii="Times New Roman" w:hAnsi="Times New Roman" w:eastAsia="Times New Roman" w:cs="Times New Roman"/>
          <w:color w:val="auto"/>
          <w:sz w:val="24"/>
          <w:szCs w:val="28"/>
        </w:rPr>
        <w:t xml:space="preserve"> Scale bar</w:t>
      </w:r>
      <w:r>
        <w:rPr>
          <w:rFonts w:ascii="Times New Roman" w:hAnsi="Times New Roman" w:eastAsia="Times New Roman" w:cs="Times New Roman"/>
          <w:color w:val="auto"/>
          <w:sz w:val="24"/>
          <w:szCs w:val="28"/>
        </w:rPr>
        <w:t>=</w:t>
      </w:r>
      <w:r>
        <w:rPr>
          <w:rFonts w:hint="eastAsia" w:ascii="Times New Roman" w:hAnsi="Times New Roman" w:eastAsia="Times New Roman" w:cs="Times New Roman"/>
          <w:color w:val="auto"/>
          <w:sz w:val="24"/>
          <w:szCs w:val="28"/>
        </w:rPr>
        <w:t xml:space="preserve">1 </w:t>
      </w:r>
      <w:r>
        <w:rPr>
          <w:rFonts w:hint="eastAsia" w:ascii="Times New Roman" w:hAnsi="Times New Roman" w:eastAsia="Times New Roman" w:cs="Times New Roman"/>
          <w:i w:val="0"/>
          <w:iCs w:val="0"/>
          <w:color w:val="auto"/>
          <w:sz w:val="24"/>
          <w:szCs w:val="28"/>
          <w:highlight w:val="none"/>
          <w:lang w:val="en-US" w:eastAsia="zh-CN"/>
        </w:rPr>
        <w:t>µ</w:t>
      </w:r>
      <w:r>
        <w:rPr>
          <w:rFonts w:hint="eastAsia" w:ascii="Times New Roman" w:hAnsi="Times New Roman" w:eastAsia="Times New Roman" w:cs="Times New Roman"/>
          <w:color w:val="auto"/>
          <w:sz w:val="24"/>
          <w:szCs w:val="28"/>
        </w:rPr>
        <w:t>m</w:t>
      </w:r>
    </w:p>
    <w:p w14:paraId="3AA62F96">
      <w:pPr>
        <w:spacing w:line="360" w:lineRule="auto"/>
        <w:jc w:val="center"/>
        <w:rPr>
          <w:rFonts w:hint="eastAsia" w:ascii="Times New Roman" w:hAnsi="Times New Roman" w:eastAsia="宋体" w:cs="Times New Roman"/>
          <w:b/>
          <w:color w:val="auto"/>
          <w:kern w:val="44"/>
          <w:sz w:val="24"/>
          <w:szCs w:val="22"/>
          <w:lang w:eastAsia="zh-CN"/>
        </w:rPr>
      </w:pPr>
      <w:r>
        <w:rPr>
          <w:rFonts w:hint="eastAsia" w:ascii="Times New Roman" w:hAnsi="Times New Roman" w:eastAsia="宋体" w:cs="Times New Roman"/>
          <w:b/>
          <w:color w:val="auto"/>
          <w:kern w:val="44"/>
          <w:sz w:val="24"/>
          <w:szCs w:val="22"/>
          <w:lang w:eastAsia="zh-CN"/>
        </w:rPr>
        <w:drawing>
          <wp:inline distT="0" distB="0" distL="114300" distR="114300">
            <wp:extent cx="5268595" cy="3859530"/>
            <wp:effectExtent l="0" t="0" r="1905" b="1270"/>
            <wp:docPr id="10" name="图片 10" descr="SFig6F-近红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Fig6F-近红外"/>
                    <pic:cNvPicPr>
                      <a:picLocks noChangeAspect="1"/>
                    </pic:cNvPicPr>
                  </pic:nvPicPr>
                  <pic:blipFill>
                    <a:blip r:embed="rId7"/>
                    <a:stretch>
                      <a:fillRect/>
                    </a:stretch>
                  </pic:blipFill>
                  <pic:spPr>
                    <a:xfrm>
                      <a:off x="0" y="0"/>
                      <a:ext cx="5268595" cy="3859530"/>
                    </a:xfrm>
                    <a:prstGeom prst="rect">
                      <a:avLst/>
                    </a:prstGeom>
                  </pic:spPr>
                </pic:pic>
              </a:graphicData>
            </a:graphic>
          </wp:inline>
        </w:drawing>
      </w:r>
    </w:p>
    <w:p w14:paraId="147C62EA">
      <w:pPr>
        <w:spacing w:line="360" w:lineRule="auto"/>
        <w:rPr>
          <w:rFonts w:ascii="Times New Roman" w:hAnsi="Times New Roman" w:eastAsia="Times New Roman"/>
          <w:color w:val="auto"/>
          <w:sz w:val="24"/>
          <w:szCs w:val="28"/>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w:t>
      </w:r>
      <w:r>
        <w:rPr>
          <w:rFonts w:hint="eastAsia" w:ascii="Times New Roman" w:hAnsi="Times New Roman" w:eastAsia="宋体" w:cs="Times New Roman"/>
          <w:b/>
          <w:bCs/>
          <w:color w:val="auto"/>
          <w:sz w:val="24"/>
          <w:lang w:val="en-US" w:eastAsia="zh-CN"/>
        </w:rPr>
        <w:t>4</w:t>
      </w:r>
      <w:r>
        <w:rPr>
          <w:rFonts w:hint="eastAsia" w:ascii="Times New Roman" w:hAnsi="Times New Roman" w:eastAsia="Times New Roman" w:cs="Times New Roman"/>
          <w:b/>
          <w:bCs/>
          <w:color w:val="auto"/>
          <w:sz w:val="24"/>
        </w:rPr>
        <w:t xml:space="preserve"> </w:t>
      </w:r>
      <w:r>
        <w:rPr>
          <w:rFonts w:hint="eastAsia" w:ascii="Times New Roman" w:hAnsi="Times New Roman" w:eastAsia="Times New Roman" w:cs="Times New Roman"/>
          <w:color w:val="auto"/>
          <w:sz w:val="24"/>
        </w:rPr>
        <w:t xml:space="preserve">The components of WT, </w:t>
      </w:r>
      <w:r>
        <w:rPr>
          <w:rFonts w:hint="eastAsia" w:ascii="Times New Roman" w:hAnsi="Times New Roman" w:eastAsia="Times New Roman" w:cs="Times New Roman"/>
          <w:i/>
          <w:iCs/>
          <w:color w:val="auto"/>
          <w:sz w:val="24"/>
        </w:rPr>
        <w:t>ko1</w:t>
      </w:r>
      <w:r>
        <w:rPr>
          <w:rFonts w:hint="eastAsia" w:ascii="Times New Roman" w:hAnsi="Times New Roman" w:eastAsia="Times New Roman" w:cs="Times New Roman"/>
          <w:color w:val="auto"/>
          <w:sz w:val="24"/>
        </w:rPr>
        <w:t xml:space="preserve"> and</w:t>
      </w:r>
      <w:r>
        <w:rPr>
          <w:rFonts w:hint="eastAsia" w:ascii="Times New Roman" w:hAnsi="Times New Roman" w:eastAsia="Times New Roman" w:cs="Times New Roman"/>
          <w:i/>
          <w:iCs/>
          <w:color w:val="auto"/>
          <w:sz w:val="24"/>
        </w:rPr>
        <w:t xml:space="preserve"> ko2</w:t>
      </w:r>
      <w:r>
        <w:rPr>
          <w:rFonts w:hint="eastAsia" w:ascii="Times New Roman" w:hAnsi="Times New Roman" w:eastAsia="Times New Roman" w:cs="Times New Roman"/>
          <w:color w:val="auto"/>
          <w:sz w:val="24"/>
        </w:rPr>
        <w:t xml:space="preserve"> were detected and compared by near infrared spectrometer (NIRS). Comparison of predicted moisture, ash, coarse fiber (</w:t>
      </w:r>
      <w:r>
        <w:rPr>
          <w:rFonts w:hint="eastAsia" w:ascii="Times New Roman" w:hAnsi="Times New Roman" w:eastAsia="宋体" w:cs="Times New Roman"/>
          <w:color w:val="auto"/>
          <w:sz w:val="24"/>
          <w:lang w:val="en-US" w:eastAsia="zh-CN"/>
        </w:rPr>
        <w:t>a</w:t>
      </w:r>
      <w:r>
        <w:rPr>
          <w:rFonts w:hint="eastAsia" w:ascii="Times New Roman" w:hAnsi="Times New Roman" w:eastAsia="Times New Roman" w:cs="Times New Roman"/>
          <w:color w:val="auto"/>
          <w:sz w:val="24"/>
        </w:rPr>
        <w:t>), carbohydrate content (</w:t>
      </w:r>
      <w:r>
        <w:rPr>
          <w:rFonts w:hint="eastAsia" w:ascii="Times New Roman" w:hAnsi="Times New Roman" w:eastAsia="宋体" w:cs="Times New Roman"/>
          <w:color w:val="auto"/>
          <w:sz w:val="24"/>
          <w:lang w:val="en-US" w:eastAsia="zh-CN"/>
        </w:rPr>
        <w:t>b</w:t>
      </w:r>
      <w:r>
        <w:rPr>
          <w:rFonts w:hint="eastAsia" w:ascii="Times New Roman" w:hAnsi="Times New Roman" w:eastAsia="Times New Roman" w:cs="Times New Roman"/>
          <w:color w:val="auto"/>
          <w:sz w:val="24"/>
        </w:rPr>
        <w:t>), protein wet base (</w:t>
      </w:r>
      <w:r>
        <w:rPr>
          <w:rFonts w:hint="eastAsia" w:ascii="Times New Roman" w:hAnsi="Times New Roman" w:eastAsia="宋体" w:cs="Times New Roman"/>
          <w:color w:val="auto"/>
          <w:sz w:val="24"/>
          <w:lang w:val="en-US" w:eastAsia="zh-CN"/>
        </w:rPr>
        <w:t>c</w:t>
      </w:r>
      <w:r>
        <w:rPr>
          <w:rFonts w:hint="eastAsia" w:ascii="Times New Roman" w:hAnsi="Times New Roman" w:eastAsia="Times New Roman" w:cs="Times New Roman"/>
          <w:color w:val="auto"/>
          <w:sz w:val="24"/>
        </w:rPr>
        <w:t>), starch dry base (</w:t>
      </w:r>
      <w:r>
        <w:rPr>
          <w:rFonts w:hint="eastAsia" w:ascii="Times New Roman" w:hAnsi="Times New Roman" w:eastAsia="宋体" w:cs="Times New Roman"/>
          <w:color w:val="auto"/>
          <w:sz w:val="24"/>
          <w:lang w:val="en-US" w:eastAsia="zh-CN"/>
        </w:rPr>
        <w:t>d</w:t>
      </w:r>
      <w:r>
        <w:rPr>
          <w:rFonts w:hint="eastAsia" w:ascii="Times New Roman" w:hAnsi="Times New Roman" w:eastAsia="Times New Roman" w:cs="Times New Roman"/>
          <w:color w:val="auto"/>
          <w:sz w:val="24"/>
        </w:rPr>
        <w:t>), amylose (</w:t>
      </w:r>
      <w:r>
        <w:rPr>
          <w:rFonts w:hint="eastAsia" w:ascii="Times New Roman" w:hAnsi="Times New Roman" w:eastAsia="宋体" w:cs="Times New Roman"/>
          <w:color w:val="auto"/>
          <w:sz w:val="24"/>
          <w:lang w:val="en-US" w:eastAsia="zh-CN"/>
        </w:rPr>
        <w:t>e</w:t>
      </w:r>
      <w:r>
        <w:rPr>
          <w:rFonts w:hint="eastAsia" w:ascii="Times New Roman" w:hAnsi="Times New Roman" w:eastAsia="Times New Roman" w:cs="Times New Roman"/>
          <w:color w:val="auto"/>
          <w:sz w:val="24"/>
        </w:rPr>
        <w:t>), amylopectin (</w:t>
      </w:r>
      <w:r>
        <w:rPr>
          <w:rFonts w:hint="eastAsia" w:ascii="Times New Roman" w:hAnsi="Times New Roman" w:eastAsia="宋体" w:cs="Times New Roman"/>
          <w:color w:val="auto"/>
          <w:sz w:val="24"/>
          <w:lang w:val="en-US" w:eastAsia="zh-CN"/>
        </w:rPr>
        <w:t>f</w:t>
      </w:r>
      <w:r>
        <w:rPr>
          <w:rFonts w:hint="eastAsia" w:ascii="Times New Roman" w:hAnsi="Times New Roman" w:eastAsia="Times New Roman" w:cs="Times New Roman"/>
          <w:color w:val="auto"/>
          <w:sz w:val="24"/>
        </w:rPr>
        <w:t>) and oil content (</w:t>
      </w:r>
      <w:r>
        <w:rPr>
          <w:rFonts w:hint="eastAsia" w:ascii="Times New Roman" w:hAnsi="Times New Roman" w:eastAsia="宋体" w:cs="Times New Roman"/>
          <w:color w:val="auto"/>
          <w:sz w:val="24"/>
          <w:lang w:val="en-US" w:eastAsia="zh-CN"/>
        </w:rPr>
        <w:t>g</w:t>
      </w:r>
      <w:r>
        <w:rPr>
          <w:rFonts w:hint="eastAsia" w:ascii="Times New Roman" w:hAnsi="Times New Roman" w:eastAsia="Times New Roman" w:cs="Times New Roman"/>
          <w:color w:val="auto"/>
          <w:sz w:val="24"/>
        </w:rPr>
        <w:t xml:space="preserve">). </w:t>
      </w:r>
      <w:r>
        <w:rPr>
          <w:rFonts w:hint="eastAsia" w:ascii="Times New Roman" w:hAnsi="Times New Roman" w:eastAsia="宋体" w:cs="Times New Roman"/>
          <w:color w:val="auto"/>
          <w:sz w:val="24"/>
          <w:szCs w:val="28"/>
          <w:lang w:val="en-US" w:eastAsia="zh-CN"/>
        </w:rPr>
        <w:t>The mean ± SE of three biological replicates are shown.</w:t>
      </w:r>
      <w:r>
        <w:rPr>
          <w:rFonts w:hint="eastAsia" w:ascii="Times New Roman" w:hAnsi="Times New Roman" w:eastAsia="Times New Roman"/>
          <w:color w:val="auto"/>
          <w:sz w:val="24"/>
          <w:szCs w:val="28"/>
        </w:rPr>
        <w:t xml:space="preserve"> The significant differences are established by Tukey multiple comparison test. Each little circle indicates phenotype value of each sample in (</w:t>
      </w:r>
      <w:r>
        <w:rPr>
          <w:rFonts w:hint="eastAsia" w:ascii="Times New Roman" w:hAnsi="Times New Roman" w:eastAsia="宋体"/>
          <w:color w:val="auto"/>
          <w:sz w:val="24"/>
          <w:szCs w:val="28"/>
          <w:lang w:val="en-US" w:eastAsia="zh-CN"/>
        </w:rPr>
        <w:t>a</w:t>
      </w:r>
      <w:r>
        <w:rPr>
          <w:rFonts w:hint="eastAsia" w:ascii="Times New Roman" w:hAnsi="Times New Roman" w:eastAsia="Times New Roman"/>
          <w:color w:val="auto"/>
          <w:sz w:val="24"/>
          <w:szCs w:val="28"/>
        </w:rPr>
        <w:t>-</w:t>
      </w:r>
      <w:r>
        <w:rPr>
          <w:rFonts w:hint="eastAsia" w:ascii="Times New Roman" w:hAnsi="Times New Roman" w:eastAsia="宋体"/>
          <w:color w:val="auto"/>
          <w:sz w:val="24"/>
          <w:szCs w:val="28"/>
          <w:lang w:val="en-US" w:eastAsia="zh-CN"/>
        </w:rPr>
        <w:t>g</w:t>
      </w:r>
      <w:r>
        <w:rPr>
          <w:rFonts w:hint="eastAsia" w:ascii="Times New Roman" w:hAnsi="Times New Roman" w:eastAsia="Times New Roman"/>
          <w:color w:val="auto"/>
          <w:sz w:val="24"/>
          <w:szCs w:val="28"/>
        </w:rPr>
        <w:t>). *</w:t>
      </w:r>
      <w:r>
        <w:rPr>
          <w:rFonts w:hint="eastAsia" w:ascii="Times New Roman" w:hAnsi="Times New Roman" w:eastAsia="Times New Roman"/>
          <w:i/>
          <w:iCs/>
          <w:color w:val="auto"/>
          <w:sz w:val="24"/>
          <w:szCs w:val="28"/>
        </w:rPr>
        <w:t>P</w:t>
      </w:r>
      <w:r>
        <w:rPr>
          <w:rFonts w:hint="eastAsia" w:ascii="Times New Roman" w:hAnsi="Times New Roman" w:eastAsia="Times New Roman"/>
          <w:color w:val="auto"/>
          <w:sz w:val="24"/>
          <w:szCs w:val="28"/>
        </w:rPr>
        <w:t xml:space="preserve"> &lt; 0.05. **</w:t>
      </w:r>
      <w:r>
        <w:rPr>
          <w:rFonts w:hint="eastAsia" w:ascii="Times New Roman" w:hAnsi="Times New Roman" w:eastAsia="Times New Roman"/>
          <w:i/>
          <w:iCs/>
          <w:color w:val="auto"/>
          <w:sz w:val="24"/>
          <w:szCs w:val="28"/>
        </w:rPr>
        <w:t xml:space="preserve">P </w:t>
      </w:r>
      <w:r>
        <w:rPr>
          <w:rFonts w:hint="eastAsia" w:ascii="Times New Roman" w:hAnsi="Times New Roman" w:eastAsia="Times New Roman"/>
          <w:color w:val="auto"/>
          <w:sz w:val="24"/>
          <w:szCs w:val="28"/>
        </w:rPr>
        <w:t>&lt; 0.01. ***</w:t>
      </w:r>
      <w:r>
        <w:rPr>
          <w:rFonts w:hint="eastAsia" w:ascii="Times New Roman" w:hAnsi="Times New Roman" w:eastAsia="Times New Roman"/>
          <w:i/>
          <w:iCs/>
          <w:color w:val="auto"/>
          <w:sz w:val="24"/>
          <w:szCs w:val="28"/>
        </w:rPr>
        <w:t>P</w:t>
      </w:r>
      <w:r>
        <w:rPr>
          <w:rFonts w:hint="eastAsia" w:ascii="Times New Roman" w:hAnsi="Times New Roman" w:eastAsia="Times New Roman"/>
          <w:color w:val="auto"/>
          <w:sz w:val="24"/>
          <w:szCs w:val="28"/>
        </w:rPr>
        <w:t xml:space="preserve"> &lt; 0.001. ****</w:t>
      </w:r>
      <w:r>
        <w:rPr>
          <w:rFonts w:hint="eastAsia" w:ascii="Times New Roman" w:hAnsi="Times New Roman" w:eastAsia="Times New Roman"/>
          <w:i/>
          <w:iCs/>
          <w:color w:val="auto"/>
          <w:sz w:val="24"/>
          <w:szCs w:val="28"/>
        </w:rPr>
        <w:t>P</w:t>
      </w:r>
      <w:r>
        <w:rPr>
          <w:rFonts w:hint="eastAsia" w:ascii="Times New Roman" w:hAnsi="Times New Roman" w:eastAsia="宋体"/>
          <w:color w:val="auto"/>
          <w:sz w:val="24"/>
          <w:szCs w:val="28"/>
        </w:rPr>
        <w:t xml:space="preserve"> </w:t>
      </w:r>
      <w:r>
        <w:rPr>
          <w:rFonts w:hint="eastAsia" w:ascii="Times New Roman" w:hAnsi="Times New Roman" w:eastAsia="Times New Roman"/>
          <w:color w:val="auto"/>
          <w:sz w:val="24"/>
          <w:szCs w:val="28"/>
        </w:rPr>
        <w:t>&lt;</w:t>
      </w:r>
      <w:r>
        <w:rPr>
          <w:rFonts w:hint="eastAsia" w:ascii="Times New Roman" w:hAnsi="Times New Roman" w:eastAsia="宋体"/>
          <w:color w:val="auto"/>
          <w:sz w:val="24"/>
          <w:szCs w:val="28"/>
        </w:rPr>
        <w:t xml:space="preserve"> </w:t>
      </w:r>
      <w:r>
        <w:rPr>
          <w:rFonts w:hint="eastAsia" w:ascii="Times New Roman" w:hAnsi="Times New Roman" w:eastAsia="Times New Roman"/>
          <w:color w:val="auto"/>
          <w:sz w:val="24"/>
          <w:szCs w:val="28"/>
        </w:rPr>
        <w:t>0.0001. ns, no significant difference.</w:t>
      </w:r>
    </w:p>
    <w:p w14:paraId="02EB612F">
      <w:pPr>
        <w:spacing w:line="360" w:lineRule="auto"/>
        <w:rPr>
          <w:rFonts w:ascii="Times New Roman" w:hAnsi="Times New Roman" w:eastAsia="Times New Roman" w:cs="Times New Roman"/>
          <w:color w:val="auto"/>
          <w:sz w:val="24"/>
        </w:rPr>
      </w:pPr>
    </w:p>
    <w:p w14:paraId="1AFC0811">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drawing>
          <wp:inline distT="0" distB="0" distL="114300" distR="114300">
            <wp:extent cx="5268595" cy="5724525"/>
            <wp:effectExtent l="0" t="0" r="1905" b="3175"/>
            <wp:docPr id="3" name="图片 3" descr="S氨基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氨基酸"/>
                    <pic:cNvPicPr>
                      <a:picLocks noChangeAspect="1"/>
                    </pic:cNvPicPr>
                  </pic:nvPicPr>
                  <pic:blipFill>
                    <a:blip r:embed="rId8"/>
                    <a:stretch>
                      <a:fillRect/>
                    </a:stretch>
                  </pic:blipFill>
                  <pic:spPr>
                    <a:xfrm>
                      <a:off x="0" y="0"/>
                      <a:ext cx="5268595" cy="5724525"/>
                    </a:xfrm>
                    <a:prstGeom prst="rect">
                      <a:avLst/>
                    </a:prstGeom>
                  </pic:spPr>
                </pic:pic>
              </a:graphicData>
            </a:graphic>
          </wp:inline>
        </w:drawing>
      </w:r>
    </w:p>
    <w:p w14:paraId="6D865252">
      <w:pPr>
        <w:spacing w:line="360" w:lineRule="auto"/>
        <w:rPr>
          <w:rFonts w:hint="eastAsia" w:ascii="Times New Roman" w:hAnsi="Times New Roman" w:eastAsia="宋体" w:cs="Times New Roman"/>
          <w:color w:val="auto"/>
          <w:sz w:val="24"/>
          <w:lang w:eastAsia="zh-CN"/>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w:t>
      </w:r>
      <w:r>
        <w:rPr>
          <w:rFonts w:hint="eastAsia" w:ascii="Times New Roman" w:hAnsi="Times New Roman" w:eastAsia="宋体" w:cs="Times New Roman"/>
          <w:b/>
          <w:bCs/>
          <w:color w:val="auto"/>
          <w:sz w:val="24"/>
          <w:lang w:val="en-US" w:eastAsia="zh-CN"/>
        </w:rPr>
        <w:t>5</w:t>
      </w:r>
      <w:r>
        <w:rPr>
          <w:rFonts w:hint="eastAsia" w:ascii="Times New Roman" w:hAnsi="Times New Roman" w:eastAsia="Times New Roman" w:cs="Times New Roman"/>
          <w:b/>
          <w:bCs/>
          <w:color w:val="auto"/>
          <w:sz w:val="24"/>
        </w:rPr>
        <w:t xml:space="preserve"> </w:t>
      </w:r>
      <w:r>
        <w:rPr>
          <w:rFonts w:hint="eastAsia" w:ascii="Times New Roman" w:hAnsi="Times New Roman" w:eastAsia="Times New Roman" w:cs="Times New Roman"/>
          <w:b w:val="0"/>
          <w:bCs w:val="0"/>
          <w:color w:val="auto"/>
          <w:sz w:val="24"/>
        </w:rPr>
        <w:t>Cluster heatmap of residual amino acids and their derivatives in wild</w:t>
      </w:r>
      <w:r>
        <w:rPr>
          <w:rFonts w:hint="eastAsia" w:ascii="Times New Roman" w:hAnsi="Times New Roman" w:eastAsia="宋体" w:cs="Times New Roman"/>
          <w:b w:val="0"/>
          <w:bCs w:val="0"/>
          <w:color w:val="auto"/>
          <w:sz w:val="24"/>
          <w:lang w:val="en-US" w:eastAsia="zh-CN"/>
        </w:rPr>
        <w:t xml:space="preserve"> </w:t>
      </w:r>
      <w:r>
        <w:rPr>
          <w:rFonts w:hint="eastAsia" w:ascii="Times New Roman" w:hAnsi="Times New Roman" w:eastAsia="Times New Roman" w:cs="Times New Roman"/>
          <w:b w:val="0"/>
          <w:bCs w:val="0"/>
          <w:color w:val="auto"/>
          <w:sz w:val="24"/>
        </w:rPr>
        <w:t>type versus gene</w:t>
      </w:r>
      <w:r>
        <w:rPr>
          <w:rFonts w:hint="eastAsia" w:ascii="Times New Roman" w:hAnsi="Times New Roman" w:eastAsia="宋体" w:cs="Times New Roman"/>
          <w:b w:val="0"/>
          <w:bCs w:val="0"/>
          <w:color w:val="auto"/>
          <w:sz w:val="24"/>
          <w:lang w:val="en-US" w:eastAsia="zh-CN"/>
        </w:rPr>
        <w:t xml:space="preserve"> </w:t>
      </w:r>
      <w:r>
        <w:rPr>
          <w:rFonts w:hint="eastAsia" w:ascii="Times New Roman" w:hAnsi="Times New Roman" w:eastAsia="Times New Roman" w:cs="Times New Roman"/>
          <w:b w:val="0"/>
          <w:bCs w:val="0"/>
          <w:color w:val="auto"/>
          <w:sz w:val="24"/>
        </w:rPr>
        <w:t>edit</w:t>
      </w:r>
      <w:r>
        <w:rPr>
          <w:rFonts w:hint="eastAsia" w:ascii="Times New Roman" w:hAnsi="Times New Roman" w:eastAsia="宋体" w:cs="Times New Roman"/>
          <w:b w:val="0"/>
          <w:bCs w:val="0"/>
          <w:color w:val="auto"/>
          <w:sz w:val="24"/>
          <w:lang w:val="en-US" w:eastAsia="zh-CN"/>
        </w:rPr>
        <w:t>ing</w:t>
      </w:r>
      <w:r>
        <w:rPr>
          <w:rFonts w:hint="eastAsia" w:ascii="Times New Roman" w:hAnsi="Times New Roman" w:eastAsia="Times New Roman" w:cs="Times New Roman"/>
          <w:b w:val="0"/>
          <w:bCs w:val="0"/>
          <w:color w:val="auto"/>
          <w:sz w:val="24"/>
        </w:rPr>
        <w:t xml:space="preserve"> lines.</w:t>
      </w:r>
      <w:r>
        <w:rPr>
          <w:rFonts w:hint="eastAsia" w:ascii="Times New Roman" w:hAnsi="Times New Roman" w:eastAsia="Times New Roman" w:cs="Times New Roman"/>
          <w:color w:val="auto"/>
          <w:sz w:val="24"/>
        </w:rPr>
        <w:t xml:space="preserve"> </w:t>
      </w:r>
    </w:p>
    <w:p w14:paraId="0A548A79">
      <w:pPr>
        <w:spacing w:line="360" w:lineRule="auto"/>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drawing>
          <wp:inline distT="0" distB="0" distL="114300" distR="114300">
            <wp:extent cx="4561840" cy="5027930"/>
            <wp:effectExtent l="0" t="0" r="10160" b="1270"/>
            <wp:docPr id="7" name="图片 7" descr="附图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糖"/>
                    <pic:cNvPicPr>
                      <a:picLocks noChangeAspect="1"/>
                    </pic:cNvPicPr>
                  </pic:nvPicPr>
                  <pic:blipFill>
                    <a:blip r:embed="rId9"/>
                    <a:stretch>
                      <a:fillRect/>
                    </a:stretch>
                  </pic:blipFill>
                  <pic:spPr>
                    <a:xfrm>
                      <a:off x="0" y="0"/>
                      <a:ext cx="4561840" cy="5027930"/>
                    </a:xfrm>
                    <a:prstGeom prst="rect">
                      <a:avLst/>
                    </a:prstGeom>
                  </pic:spPr>
                </pic:pic>
              </a:graphicData>
            </a:graphic>
          </wp:inline>
        </w:drawing>
      </w:r>
    </w:p>
    <w:p w14:paraId="056DCD1F">
      <w:pPr>
        <w:spacing w:line="360" w:lineRule="auto"/>
        <w:rPr>
          <w:rFonts w:hint="default" w:ascii="Times New Roman" w:hAnsi="Times New Roman" w:eastAsia="Times New Roman"/>
          <w:b w:val="0"/>
          <w:bCs w:val="0"/>
          <w:color w:val="auto"/>
          <w:sz w:val="24"/>
          <w:szCs w:val="28"/>
          <w:lang w:val="en-US"/>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w:t>
      </w:r>
      <w:r>
        <w:rPr>
          <w:rFonts w:hint="eastAsia" w:ascii="Times New Roman" w:hAnsi="Times New Roman" w:eastAsia="宋体" w:cs="Times New Roman"/>
          <w:b/>
          <w:bCs/>
          <w:color w:val="auto"/>
          <w:sz w:val="24"/>
          <w:lang w:val="en-US" w:eastAsia="zh-CN"/>
        </w:rPr>
        <w:t xml:space="preserve">6 </w:t>
      </w:r>
      <w:r>
        <w:rPr>
          <w:rFonts w:hint="eastAsia" w:ascii="Times New Roman" w:hAnsi="Times New Roman" w:eastAsia="宋体" w:cs="Times New Roman"/>
          <w:b w:val="0"/>
          <w:bCs w:val="0"/>
          <w:color w:val="auto"/>
          <w:sz w:val="24"/>
          <w:lang w:val="en-US" w:eastAsia="zh-CN"/>
        </w:rPr>
        <w:t>Clustered heatmap of monosaccharide and disaccharide content in wild type and gene editing lines.</w:t>
      </w:r>
    </w:p>
    <w:p w14:paraId="0BBFE305">
      <w:pPr>
        <w:spacing w:line="360" w:lineRule="auto"/>
        <w:jc w:val="center"/>
        <w:rPr>
          <w:rFonts w:hint="eastAsia" w:ascii="Times New Roman" w:hAnsi="Times New Roman" w:eastAsia="宋体"/>
          <w:color w:val="auto"/>
          <w:sz w:val="24"/>
          <w:szCs w:val="28"/>
          <w:lang w:eastAsia="zh-CN"/>
        </w:rPr>
      </w:pPr>
      <w:r>
        <w:rPr>
          <w:rFonts w:hint="eastAsia" w:ascii="Times New Roman" w:hAnsi="Times New Roman" w:eastAsia="宋体"/>
          <w:color w:val="auto"/>
          <w:sz w:val="24"/>
          <w:szCs w:val="28"/>
          <w:lang w:eastAsia="zh-CN"/>
        </w:rPr>
        <w:drawing>
          <wp:inline distT="0" distB="0" distL="114300" distR="114300">
            <wp:extent cx="5269230" cy="3901440"/>
            <wp:effectExtent l="0" t="0" r="1270" b="10160"/>
            <wp:docPr id="12" name="图片 12"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G"/>
                    <pic:cNvPicPr>
                      <a:picLocks noChangeAspect="1"/>
                    </pic:cNvPicPr>
                  </pic:nvPicPr>
                  <pic:blipFill>
                    <a:blip r:embed="rId10"/>
                    <a:stretch>
                      <a:fillRect/>
                    </a:stretch>
                  </pic:blipFill>
                  <pic:spPr>
                    <a:xfrm>
                      <a:off x="0" y="0"/>
                      <a:ext cx="5269230" cy="3901440"/>
                    </a:xfrm>
                    <a:prstGeom prst="rect">
                      <a:avLst/>
                    </a:prstGeom>
                  </pic:spPr>
                </pic:pic>
              </a:graphicData>
            </a:graphic>
          </wp:inline>
        </w:drawing>
      </w:r>
    </w:p>
    <w:p w14:paraId="5B74F5E8">
      <w:pPr>
        <w:spacing w:line="360" w:lineRule="auto"/>
        <w:rPr>
          <w:rFonts w:ascii="Times New Roman" w:hAnsi="Times New Roman" w:eastAsia="Times New Roman" w:cs="Times New Roman"/>
          <w:color w:val="auto"/>
          <w:sz w:val="24"/>
          <w:szCs w:val="28"/>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w:t>
      </w:r>
      <w:r>
        <w:rPr>
          <w:rFonts w:hint="eastAsia" w:ascii="Times New Roman" w:hAnsi="Times New Roman" w:eastAsia="宋体" w:cs="Times New Roman"/>
          <w:b/>
          <w:bCs/>
          <w:color w:val="auto"/>
          <w:sz w:val="24"/>
          <w:lang w:val="en-US" w:eastAsia="zh-CN"/>
        </w:rPr>
        <w:t>7</w:t>
      </w:r>
      <w:r>
        <w:rPr>
          <w:rFonts w:hint="eastAsia" w:ascii="Times New Roman" w:hAnsi="Times New Roman" w:eastAsia="Times New Roman" w:cs="Times New Roman"/>
          <w:b/>
          <w:bCs/>
          <w:color w:val="auto"/>
          <w:sz w:val="24"/>
        </w:rPr>
        <w:t xml:space="preserve"> </w:t>
      </w:r>
      <w:r>
        <w:rPr>
          <w:rFonts w:ascii="Times New Roman" w:hAnsi="Times New Roman" w:eastAsia="Times New Roman" w:cs="Times New Roman"/>
          <w:color w:val="auto"/>
          <w:sz w:val="24"/>
          <w:szCs w:val="28"/>
        </w:rPr>
        <w:t>RVA analysis of wild type and the gene editing lines</w:t>
      </w:r>
      <w:r>
        <w:rPr>
          <w:rFonts w:ascii="Times New Roman" w:hAnsi="Times New Roman" w:eastAsia="Times New Roman" w:cs="Times New Roman"/>
          <w:i/>
          <w:iCs/>
          <w:color w:val="auto"/>
          <w:sz w:val="24"/>
          <w:szCs w:val="28"/>
        </w:rPr>
        <w:t xml:space="preserve">. </w:t>
      </w:r>
      <w:r>
        <w:rPr>
          <w:rFonts w:ascii="Times New Roman" w:hAnsi="Times New Roman" w:eastAsia="Times New Roman" w:cs="Times New Roman"/>
          <w:color w:val="auto"/>
          <w:sz w:val="24"/>
          <w:szCs w:val="28"/>
        </w:rPr>
        <w:t>(</w:t>
      </w:r>
      <w:r>
        <w:rPr>
          <w:rFonts w:hint="eastAsia" w:ascii="Times New Roman" w:hAnsi="Times New Roman" w:eastAsia="宋体" w:cs="Times New Roman"/>
          <w:color w:val="auto"/>
          <w:sz w:val="24"/>
          <w:szCs w:val="28"/>
          <w:lang w:val="en-US" w:eastAsia="zh-CN"/>
        </w:rPr>
        <w:t>a</w:t>
      </w:r>
      <w:r>
        <w:rPr>
          <w:rFonts w:hint="eastAsia" w:ascii="Times New Roman" w:hAnsi="Times New Roman" w:eastAsia="宋体" w:cs="Times New Roman"/>
          <w:color w:val="auto"/>
          <w:sz w:val="24"/>
          <w:szCs w:val="28"/>
        </w:rPr>
        <w:t>-</w:t>
      </w:r>
      <w:r>
        <w:rPr>
          <w:rFonts w:hint="eastAsia" w:ascii="Times New Roman" w:hAnsi="Times New Roman" w:eastAsia="宋体" w:cs="Times New Roman"/>
          <w:color w:val="auto"/>
          <w:sz w:val="24"/>
          <w:szCs w:val="28"/>
          <w:lang w:val="en-US" w:eastAsia="zh-CN"/>
        </w:rPr>
        <w:t>e</w:t>
      </w:r>
      <w:r>
        <w:rPr>
          <w:rFonts w:ascii="Times New Roman" w:hAnsi="Times New Roman" w:eastAsia="Times New Roman" w:cs="Times New Roman"/>
          <w:color w:val="auto"/>
          <w:sz w:val="24"/>
          <w:szCs w:val="28"/>
        </w:rPr>
        <w:t>) Peak viscosity (</w:t>
      </w:r>
      <w:r>
        <w:rPr>
          <w:rFonts w:hint="eastAsia" w:ascii="Times New Roman" w:hAnsi="Times New Roman" w:eastAsia="宋体" w:cs="Times New Roman"/>
          <w:color w:val="auto"/>
          <w:sz w:val="24"/>
          <w:szCs w:val="28"/>
          <w:lang w:val="en-US" w:eastAsia="zh-CN"/>
        </w:rPr>
        <w:t>a</w:t>
      </w:r>
      <w:r>
        <w:rPr>
          <w:rFonts w:ascii="Times New Roman" w:hAnsi="Times New Roman" w:eastAsia="Times New Roman" w:cs="Times New Roman"/>
          <w:color w:val="auto"/>
          <w:sz w:val="24"/>
          <w:szCs w:val="28"/>
        </w:rPr>
        <w:t>), trough viscosity (</w:t>
      </w:r>
      <w:r>
        <w:rPr>
          <w:rFonts w:hint="eastAsia" w:ascii="Times New Roman" w:hAnsi="Times New Roman" w:eastAsia="宋体" w:cs="Times New Roman"/>
          <w:color w:val="auto"/>
          <w:sz w:val="24"/>
          <w:szCs w:val="28"/>
          <w:lang w:val="en-US" w:eastAsia="zh-CN"/>
        </w:rPr>
        <w:t>b</w:t>
      </w:r>
      <w:r>
        <w:rPr>
          <w:rFonts w:ascii="Times New Roman" w:hAnsi="Times New Roman" w:eastAsia="Times New Roman" w:cs="Times New Roman"/>
          <w:color w:val="auto"/>
          <w:sz w:val="24"/>
          <w:szCs w:val="28"/>
        </w:rPr>
        <w:t>) and final viscosity (</w:t>
      </w:r>
      <w:r>
        <w:rPr>
          <w:rFonts w:hint="eastAsia" w:ascii="Times New Roman" w:hAnsi="Times New Roman" w:eastAsia="宋体" w:cs="Times New Roman"/>
          <w:color w:val="auto"/>
          <w:sz w:val="24"/>
          <w:szCs w:val="28"/>
          <w:lang w:val="en-US" w:eastAsia="zh-CN"/>
        </w:rPr>
        <w:t>c</w:t>
      </w:r>
      <w:r>
        <w:rPr>
          <w:rFonts w:ascii="Times New Roman" w:hAnsi="Times New Roman" w:eastAsia="Times New Roman" w:cs="Times New Roman"/>
          <w:color w:val="auto"/>
          <w:sz w:val="24"/>
          <w:szCs w:val="28"/>
        </w:rPr>
        <w:t xml:space="preserve">) of </w:t>
      </w:r>
      <w:r>
        <w:rPr>
          <w:rFonts w:ascii="Times New Roman" w:hAnsi="Times New Roman" w:eastAsia="Times New Roman" w:cs="Times New Roman"/>
          <w:i/>
          <w:iCs/>
          <w:color w:val="auto"/>
          <w:sz w:val="24"/>
          <w:szCs w:val="28"/>
        </w:rPr>
        <w:t>ko1</w:t>
      </w:r>
      <w:r>
        <w:rPr>
          <w:rFonts w:ascii="Times New Roman" w:hAnsi="Times New Roman" w:eastAsia="Times New Roman" w:cs="Times New Roman"/>
          <w:color w:val="auto"/>
          <w:sz w:val="24"/>
          <w:szCs w:val="28"/>
        </w:rPr>
        <w:t xml:space="preserve"> and </w:t>
      </w:r>
      <w:r>
        <w:rPr>
          <w:rFonts w:ascii="Times New Roman" w:hAnsi="Times New Roman" w:eastAsia="Times New Roman" w:cs="Times New Roman"/>
          <w:i/>
          <w:iCs/>
          <w:color w:val="auto"/>
          <w:sz w:val="24"/>
          <w:szCs w:val="28"/>
        </w:rPr>
        <w:t>ko2</w:t>
      </w:r>
      <w:r>
        <w:rPr>
          <w:rFonts w:ascii="Times New Roman" w:hAnsi="Times New Roman" w:eastAsia="Times New Roman" w:cs="Times New Roman"/>
          <w:color w:val="auto"/>
          <w:sz w:val="24"/>
          <w:szCs w:val="28"/>
        </w:rPr>
        <w:t xml:space="preserve"> were all significantly higher compared to wild</w:t>
      </w:r>
      <w:r>
        <w:rPr>
          <w:rFonts w:ascii="Times New Roman" w:hAnsi="Times New Roman" w:eastAsia="宋体" w:cs="Times New Roman"/>
          <w:color w:val="auto"/>
          <w:sz w:val="24"/>
          <w:szCs w:val="28"/>
        </w:rPr>
        <w:t xml:space="preserve"> </w:t>
      </w:r>
      <w:r>
        <w:rPr>
          <w:rFonts w:ascii="Times New Roman" w:hAnsi="Times New Roman" w:eastAsia="Times New Roman" w:cs="Times New Roman"/>
          <w:color w:val="auto"/>
          <w:sz w:val="24"/>
          <w:szCs w:val="28"/>
        </w:rPr>
        <w:t>type plants, while setback (</w:t>
      </w:r>
      <w:r>
        <w:rPr>
          <w:rFonts w:hint="eastAsia" w:ascii="Times New Roman" w:hAnsi="Times New Roman" w:eastAsia="宋体" w:cs="Times New Roman"/>
          <w:color w:val="auto"/>
          <w:sz w:val="24"/>
          <w:szCs w:val="28"/>
          <w:lang w:val="en-US" w:eastAsia="zh-CN"/>
        </w:rPr>
        <w:t>d</w:t>
      </w:r>
      <w:r>
        <w:rPr>
          <w:rFonts w:ascii="Times New Roman" w:hAnsi="Times New Roman" w:eastAsia="Times New Roman" w:cs="Times New Roman"/>
          <w:color w:val="auto"/>
          <w:sz w:val="24"/>
          <w:szCs w:val="28"/>
        </w:rPr>
        <w:t>) and breakdown (</w:t>
      </w:r>
      <w:r>
        <w:rPr>
          <w:rFonts w:hint="eastAsia" w:ascii="Times New Roman" w:hAnsi="Times New Roman" w:eastAsia="宋体" w:cs="Times New Roman"/>
          <w:color w:val="auto"/>
          <w:sz w:val="24"/>
          <w:szCs w:val="28"/>
          <w:lang w:val="en-US" w:eastAsia="zh-CN"/>
        </w:rPr>
        <w:t>e</w:t>
      </w:r>
      <w:r>
        <w:rPr>
          <w:rFonts w:ascii="Times New Roman" w:hAnsi="Times New Roman" w:eastAsia="Times New Roman" w:cs="Times New Roman"/>
          <w:color w:val="auto"/>
          <w:sz w:val="24"/>
          <w:szCs w:val="28"/>
        </w:rPr>
        <w:t xml:space="preserve">) did not change significantly. </w:t>
      </w:r>
      <w:r>
        <w:rPr>
          <w:rFonts w:hint="eastAsia" w:ascii="Times New Roman" w:hAnsi="Times New Roman" w:eastAsia="宋体" w:cs="Times New Roman"/>
          <w:color w:val="auto"/>
          <w:sz w:val="24"/>
          <w:szCs w:val="28"/>
          <w:lang w:val="en-US" w:eastAsia="zh-CN"/>
        </w:rPr>
        <w:t>The mean ± SE of three biological replicates are shown.</w:t>
      </w:r>
      <w:r>
        <w:rPr>
          <w:rFonts w:ascii="Times New Roman" w:hAnsi="Times New Roman" w:eastAsia="Times New Roman" w:cs="Times New Roman"/>
          <w:color w:val="auto"/>
          <w:sz w:val="24"/>
          <w:szCs w:val="28"/>
        </w:rPr>
        <w:t xml:space="preserve"> The significant differences are established by Tukey multiple comparison test. Each little circle indicates phenotype value of each sample in (</w:t>
      </w:r>
      <w:r>
        <w:rPr>
          <w:rFonts w:hint="eastAsia" w:ascii="Times New Roman" w:hAnsi="Times New Roman" w:eastAsia="宋体" w:cs="Times New Roman"/>
          <w:color w:val="auto"/>
          <w:sz w:val="24"/>
          <w:szCs w:val="28"/>
          <w:lang w:val="en-US" w:eastAsia="zh-CN"/>
        </w:rPr>
        <w:t>a</w:t>
      </w:r>
      <w:r>
        <w:rPr>
          <w:rFonts w:ascii="Times New Roman" w:hAnsi="Times New Roman" w:eastAsia="Times New Roman" w:cs="Times New Roman"/>
          <w:color w:val="auto"/>
          <w:sz w:val="24"/>
          <w:szCs w:val="28"/>
        </w:rPr>
        <w:t>-</w:t>
      </w:r>
      <w:r>
        <w:rPr>
          <w:rFonts w:hint="eastAsia" w:ascii="Times New Roman" w:hAnsi="Times New Roman" w:eastAsia="宋体" w:cs="Times New Roman"/>
          <w:color w:val="auto"/>
          <w:sz w:val="24"/>
          <w:szCs w:val="28"/>
          <w:lang w:val="en-US" w:eastAsia="zh-CN"/>
        </w:rPr>
        <w:t>e</w:t>
      </w:r>
      <w:r>
        <w:rPr>
          <w:rFonts w:ascii="Times New Roman" w:hAnsi="Times New Roman" w:eastAsia="Times New Roman" w:cs="Times New Roman"/>
          <w:color w:val="auto"/>
          <w:sz w:val="24"/>
          <w:szCs w:val="28"/>
        </w:rPr>
        <w:t>). *</w:t>
      </w:r>
      <w:r>
        <w:rPr>
          <w:rFonts w:ascii="Times New Roman" w:hAnsi="Times New Roman" w:eastAsia="Times New Roman" w:cs="Times New Roman"/>
          <w:i/>
          <w:iCs/>
          <w:color w:val="auto"/>
          <w:sz w:val="24"/>
          <w:szCs w:val="28"/>
        </w:rPr>
        <w:t>P</w:t>
      </w:r>
      <w:r>
        <w:rPr>
          <w:rFonts w:ascii="Times New Roman" w:hAnsi="Times New Roman" w:eastAsia="Times New Roman" w:cs="Times New Roman"/>
          <w:color w:val="auto"/>
          <w:sz w:val="24"/>
          <w:szCs w:val="28"/>
        </w:rPr>
        <w:t xml:space="preserve"> &lt; 0.05. ns, no significant difference.</w:t>
      </w:r>
    </w:p>
    <w:p w14:paraId="310A9CE0">
      <w:pPr>
        <w:spacing w:line="360" w:lineRule="auto"/>
        <w:jc w:val="center"/>
        <w:rPr>
          <w:rFonts w:hint="eastAsia" w:ascii="Times New Roman" w:hAnsi="Times New Roman" w:eastAsia="宋体" w:cs="Times New Roman"/>
          <w:color w:val="auto"/>
          <w:sz w:val="24"/>
          <w:szCs w:val="28"/>
          <w:lang w:eastAsia="zh-CN"/>
        </w:rPr>
      </w:pPr>
      <w:r>
        <w:rPr>
          <w:rFonts w:hint="eastAsia" w:ascii="Times New Roman" w:hAnsi="Times New Roman" w:eastAsia="宋体" w:cs="Times New Roman"/>
          <w:color w:val="auto"/>
          <w:sz w:val="24"/>
          <w:szCs w:val="28"/>
          <w:lang w:eastAsia="zh-CN"/>
        </w:rPr>
        <w:drawing>
          <wp:inline distT="0" distB="0" distL="114300" distR="114300">
            <wp:extent cx="5272405" cy="1638935"/>
            <wp:effectExtent l="0" t="0" r="10795" b="12065"/>
            <wp:docPr id="2" name="图片 2" descr="SFig成熟植株表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Fig成熟植株表型1"/>
                    <pic:cNvPicPr>
                      <a:picLocks noChangeAspect="1"/>
                    </pic:cNvPicPr>
                  </pic:nvPicPr>
                  <pic:blipFill>
                    <a:blip r:embed="rId11"/>
                    <a:stretch>
                      <a:fillRect/>
                    </a:stretch>
                  </pic:blipFill>
                  <pic:spPr>
                    <a:xfrm>
                      <a:off x="0" y="0"/>
                      <a:ext cx="5272405" cy="1638935"/>
                    </a:xfrm>
                    <a:prstGeom prst="rect">
                      <a:avLst/>
                    </a:prstGeom>
                  </pic:spPr>
                </pic:pic>
              </a:graphicData>
            </a:graphic>
          </wp:inline>
        </w:drawing>
      </w:r>
    </w:p>
    <w:p w14:paraId="7F30FDCF">
      <w:pPr>
        <w:spacing w:line="360" w:lineRule="auto"/>
        <w:rPr>
          <w:rFonts w:ascii="Times New Roman" w:hAnsi="Times New Roman" w:eastAsia="宋体" w:cs="Times New Roman"/>
          <w:b/>
          <w:bCs/>
          <w:color w:val="auto"/>
          <w:sz w:val="24"/>
        </w:rPr>
      </w:pPr>
      <w:r>
        <w:rPr>
          <w:rFonts w:hint="eastAsia" w:ascii="Times New Roman" w:hAnsi="Times New Roman" w:eastAsia="Times New Roman" w:cs="Times New Roman"/>
          <w:b/>
          <w:bCs/>
          <w:color w:val="auto"/>
          <w:sz w:val="24"/>
        </w:rPr>
        <w:t>Supplementary Fig</w:t>
      </w:r>
      <w:r>
        <w:rPr>
          <w:rFonts w:hint="eastAsia" w:ascii="Times New Roman" w:hAnsi="Times New Roman" w:eastAsia="宋体" w:cs="Times New Roman"/>
          <w:b/>
          <w:bCs/>
          <w:color w:val="auto"/>
          <w:sz w:val="24"/>
          <w:lang w:val="en-US" w:eastAsia="zh-CN"/>
        </w:rPr>
        <w:t>.</w:t>
      </w:r>
      <w:r>
        <w:rPr>
          <w:rFonts w:hint="eastAsia" w:ascii="Times New Roman" w:hAnsi="Times New Roman" w:eastAsia="Times New Roman" w:cs="Times New Roman"/>
          <w:b/>
          <w:bCs/>
          <w:color w:val="auto"/>
          <w:sz w:val="24"/>
        </w:rPr>
        <w:t xml:space="preserve"> S</w:t>
      </w:r>
      <w:r>
        <w:rPr>
          <w:rFonts w:hint="eastAsia" w:ascii="Times New Roman" w:hAnsi="Times New Roman" w:eastAsia="宋体" w:cs="Times New Roman"/>
          <w:b/>
          <w:bCs/>
          <w:color w:val="auto"/>
          <w:sz w:val="24"/>
          <w:lang w:val="en-US" w:eastAsia="zh-CN"/>
        </w:rPr>
        <w:t>8</w:t>
      </w:r>
      <w:r>
        <w:rPr>
          <w:rFonts w:hint="eastAsia" w:ascii="Times New Roman" w:hAnsi="Times New Roman" w:eastAsia="宋体" w:cs="Times New Roman"/>
          <w:b/>
          <w:bCs/>
          <w:color w:val="auto"/>
          <w:sz w:val="24"/>
        </w:rPr>
        <w:t xml:space="preserve"> </w:t>
      </w:r>
      <w:r>
        <w:rPr>
          <w:rFonts w:hint="eastAsia" w:ascii="Times New Roman" w:hAnsi="Times New Roman" w:eastAsia="Times New Roman" w:cs="Times New Roman"/>
          <w:color w:val="auto"/>
          <w:sz w:val="24"/>
          <w:szCs w:val="28"/>
        </w:rPr>
        <w:t xml:space="preserve">Panicle and flag leaf analysis of the wild type, </w:t>
      </w:r>
      <w:r>
        <w:rPr>
          <w:rFonts w:hint="eastAsia" w:ascii="Times New Roman" w:hAnsi="Times New Roman" w:eastAsia="Times New Roman" w:cs="Times New Roman"/>
          <w:i/>
          <w:iCs/>
          <w:color w:val="auto"/>
          <w:sz w:val="24"/>
          <w:szCs w:val="28"/>
        </w:rPr>
        <w:t>ko1</w:t>
      </w:r>
      <w:r>
        <w:rPr>
          <w:rFonts w:hint="eastAsia" w:ascii="Times New Roman" w:hAnsi="Times New Roman" w:eastAsia="Times New Roman" w:cs="Times New Roman"/>
          <w:color w:val="auto"/>
          <w:sz w:val="24"/>
          <w:szCs w:val="28"/>
        </w:rPr>
        <w:t xml:space="preserve"> and </w:t>
      </w:r>
      <w:r>
        <w:rPr>
          <w:rFonts w:hint="eastAsia" w:ascii="Times New Roman" w:hAnsi="Times New Roman" w:eastAsia="Times New Roman" w:cs="Times New Roman"/>
          <w:i/>
          <w:iCs/>
          <w:color w:val="auto"/>
          <w:sz w:val="24"/>
          <w:szCs w:val="28"/>
        </w:rPr>
        <w:t>ko2</w:t>
      </w:r>
      <w:r>
        <w:rPr>
          <w:rFonts w:hint="eastAsia" w:ascii="Times New Roman" w:hAnsi="Times New Roman" w:eastAsia="Times New Roman" w:cs="Times New Roman"/>
          <w:color w:val="auto"/>
          <w:sz w:val="24"/>
          <w:szCs w:val="28"/>
        </w:rPr>
        <w:t>. Scale bar</w:t>
      </w:r>
      <w:r>
        <w:rPr>
          <w:rFonts w:ascii="Times New Roman" w:hAnsi="Times New Roman" w:eastAsia="Times New Roman" w:cs="Times New Roman"/>
          <w:color w:val="auto"/>
          <w:sz w:val="24"/>
          <w:szCs w:val="28"/>
        </w:rPr>
        <w:t>=</w:t>
      </w:r>
      <w:r>
        <w:rPr>
          <w:rFonts w:hint="eastAsia" w:ascii="Times New Roman" w:hAnsi="Times New Roman" w:eastAsia="Times New Roman" w:cs="Times New Roman"/>
          <w:color w:val="auto"/>
          <w:sz w:val="24"/>
          <w:szCs w:val="28"/>
        </w:rPr>
        <w:t>1 cm.</w:t>
      </w:r>
      <w:r>
        <w:rPr>
          <w:rFonts w:hint="eastAsia" w:ascii="Times New Roman" w:hAnsi="Times New Roman" w:eastAsia="宋体" w:cs="Times New Roman"/>
          <w:i/>
          <w:iCs/>
          <w:color w:val="auto"/>
          <w:sz w:val="24"/>
          <w:szCs w:val="28"/>
        </w:rPr>
        <w:t xml:space="preserve"> </w:t>
      </w:r>
      <w:r>
        <w:rPr>
          <w:rFonts w:hint="eastAsia" w:ascii="Times New Roman" w:hAnsi="Times New Roman" w:eastAsia="宋体" w:cs="Times New Roman"/>
          <w:color w:val="auto"/>
          <w:sz w:val="24"/>
          <w:szCs w:val="28"/>
          <w:lang w:val="en-US" w:eastAsia="zh-CN"/>
        </w:rPr>
        <w:t>The mean ± SE of twenty biological replicates are shown.</w:t>
      </w:r>
      <w:r>
        <w:rPr>
          <w:rFonts w:ascii="Times New Roman" w:hAnsi="Times New Roman" w:eastAsia="Times New Roman" w:cs="Times New Roman"/>
          <w:color w:val="auto"/>
          <w:sz w:val="24"/>
          <w:szCs w:val="28"/>
        </w:rPr>
        <w:t xml:space="preserve"> The significant differences are established by Tukey multiple comparison test. Each little circle indicates phenotype value of each sample.</w:t>
      </w:r>
      <w:r>
        <w:rPr>
          <w:rFonts w:ascii="Times New Roman" w:hAnsi="Times New Roman" w:eastAsia="宋体" w:cs="Times New Roman"/>
          <w:color w:val="auto"/>
          <w:sz w:val="24"/>
          <w:szCs w:val="28"/>
        </w:rPr>
        <w:t xml:space="preserve"> </w:t>
      </w:r>
      <w:r>
        <w:rPr>
          <w:rFonts w:ascii="Times New Roman" w:hAnsi="Times New Roman" w:eastAsia="Times New Roman" w:cs="Times New Roman"/>
          <w:color w:val="auto"/>
          <w:sz w:val="24"/>
          <w:szCs w:val="28"/>
        </w:rPr>
        <w:t>ns, no significant difference.</w:t>
      </w:r>
    </w:p>
    <w:p w14:paraId="0FC26BF9">
      <w:pPr>
        <w:spacing w:line="360" w:lineRule="auto"/>
        <w:rPr>
          <w:rFonts w:hint="eastAsia" w:ascii="Times New Roman" w:hAnsi="Times New Roman" w:eastAsia="宋体" w:cs="Times New Roman"/>
          <w:b/>
          <w:bCs/>
          <w:color w:val="auto"/>
          <w:sz w:val="24"/>
          <w:szCs w:val="28"/>
        </w:rPr>
      </w:pPr>
      <w:r>
        <w:rPr>
          <w:rFonts w:hint="eastAsia" w:ascii="Times New Roman" w:hAnsi="Times New Roman" w:eastAsia="宋体" w:cs="Times New Roman"/>
          <w:b/>
          <w:bCs/>
          <w:color w:val="auto"/>
          <w:sz w:val="24"/>
          <w:szCs w:val="28"/>
        </w:rPr>
        <w:t>Supplementary Table S</w:t>
      </w:r>
      <w:r>
        <w:rPr>
          <w:rFonts w:hint="eastAsia" w:ascii="Times New Roman" w:hAnsi="Times New Roman" w:eastAsia="宋体" w:cs="Times New Roman"/>
          <w:b/>
          <w:bCs/>
          <w:color w:val="auto"/>
          <w:sz w:val="24"/>
          <w:szCs w:val="28"/>
          <w:lang w:val="en-US" w:eastAsia="zh-CN"/>
        </w:rPr>
        <w:t xml:space="preserve">1 </w:t>
      </w:r>
      <w:r>
        <w:rPr>
          <w:rFonts w:hint="eastAsia" w:ascii="Times New Roman" w:hAnsi="Times New Roman" w:eastAsia="宋体" w:cs="Times New Roman"/>
          <w:b/>
          <w:bCs/>
          <w:color w:val="auto"/>
          <w:sz w:val="24"/>
          <w:szCs w:val="28"/>
        </w:rPr>
        <w:t xml:space="preserve">Potential off-target effects of gRNA used for </w:t>
      </w:r>
      <w:r>
        <w:rPr>
          <w:rFonts w:hint="eastAsia" w:ascii="Times New Roman" w:hAnsi="Times New Roman" w:eastAsia="宋体" w:cs="Times New Roman"/>
          <w:b/>
          <w:bCs/>
          <w:i/>
          <w:iCs/>
          <w:color w:val="auto"/>
          <w:sz w:val="24"/>
          <w:szCs w:val="28"/>
        </w:rPr>
        <w:t>Seita.8G190200</w:t>
      </w:r>
      <w:r>
        <w:rPr>
          <w:rFonts w:hint="eastAsia" w:ascii="Times New Roman" w:hAnsi="Times New Roman" w:eastAsia="宋体" w:cs="Times New Roman"/>
          <w:b/>
          <w:bCs/>
          <w:color w:val="auto"/>
          <w:sz w:val="24"/>
          <w:szCs w:val="28"/>
        </w:rPr>
        <w:t xml:space="preserve"> mutation.</w:t>
      </w:r>
    </w:p>
    <w:tbl>
      <w:tblPr>
        <w:tblStyle w:val="6"/>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4"/>
        <w:gridCol w:w="1427"/>
        <w:gridCol w:w="1164"/>
        <w:gridCol w:w="3084"/>
        <w:gridCol w:w="1152"/>
        <w:gridCol w:w="972"/>
        <w:gridCol w:w="931"/>
      </w:tblGrid>
      <w:tr w14:paraId="0E58972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jc w:val="center"/>
        </w:trPr>
        <w:tc>
          <w:tcPr>
            <w:tcW w:w="570" w:type="pct"/>
            <w:tcBorders>
              <w:top w:val="single" w:color="auto" w:sz="8" w:space="0"/>
              <w:bottom w:val="single" w:color="auto" w:sz="8" w:space="0"/>
            </w:tcBorders>
            <w:vAlign w:val="center"/>
          </w:tcPr>
          <w:p w14:paraId="1ADDAC1C">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Target</w:t>
            </w:r>
          </w:p>
        </w:tc>
        <w:tc>
          <w:tcPr>
            <w:tcW w:w="724" w:type="pct"/>
            <w:tcBorders>
              <w:top w:val="single" w:color="auto" w:sz="8" w:space="0"/>
              <w:bottom w:val="single" w:color="auto" w:sz="8" w:space="0"/>
            </w:tcBorders>
            <w:vAlign w:val="center"/>
          </w:tcPr>
          <w:p w14:paraId="452073EE">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Target site and potential off-target site</w:t>
            </w:r>
          </w:p>
        </w:tc>
        <w:tc>
          <w:tcPr>
            <w:tcW w:w="590" w:type="pct"/>
            <w:tcBorders>
              <w:top w:val="single" w:color="auto" w:sz="8" w:space="0"/>
              <w:bottom w:val="single" w:color="auto" w:sz="8" w:space="0"/>
            </w:tcBorders>
            <w:vAlign w:val="center"/>
          </w:tcPr>
          <w:p w14:paraId="10E5BD9D">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Putative off-target locus</w:t>
            </w:r>
          </w:p>
        </w:tc>
        <w:tc>
          <w:tcPr>
            <w:tcW w:w="1564" w:type="pct"/>
            <w:tcBorders>
              <w:top w:val="single" w:color="auto" w:sz="8" w:space="0"/>
              <w:bottom w:val="single" w:color="auto" w:sz="8" w:space="0"/>
            </w:tcBorders>
            <w:vAlign w:val="center"/>
          </w:tcPr>
          <w:p w14:paraId="090C4F6D">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Target region</w:t>
            </w:r>
          </w:p>
        </w:tc>
        <w:tc>
          <w:tcPr>
            <w:tcW w:w="584" w:type="pct"/>
            <w:tcBorders>
              <w:top w:val="single" w:color="auto" w:sz="8" w:space="0"/>
              <w:bottom w:val="single" w:color="auto" w:sz="8" w:space="0"/>
            </w:tcBorders>
            <w:vAlign w:val="center"/>
          </w:tcPr>
          <w:p w14:paraId="64A74551">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No. of mismatching bases</w:t>
            </w:r>
          </w:p>
        </w:tc>
        <w:tc>
          <w:tcPr>
            <w:tcW w:w="493" w:type="pct"/>
            <w:tcBorders>
              <w:top w:val="single" w:color="auto" w:sz="8" w:space="0"/>
              <w:bottom w:val="single" w:color="auto" w:sz="8" w:space="0"/>
            </w:tcBorders>
            <w:vAlign w:val="center"/>
          </w:tcPr>
          <w:p w14:paraId="001B1743">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No. of plants sequenced</w:t>
            </w:r>
          </w:p>
        </w:tc>
        <w:tc>
          <w:tcPr>
            <w:tcW w:w="472" w:type="pct"/>
            <w:tcBorders>
              <w:top w:val="single" w:color="auto" w:sz="8" w:space="0"/>
              <w:bottom w:val="single" w:color="auto" w:sz="8" w:space="0"/>
            </w:tcBorders>
            <w:vAlign w:val="center"/>
          </w:tcPr>
          <w:p w14:paraId="2A5808DC">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No. of plants with mutations</w:t>
            </w:r>
          </w:p>
        </w:tc>
      </w:tr>
      <w:tr w14:paraId="090F06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570" w:type="pct"/>
            <w:vMerge w:val="restart"/>
            <w:tcBorders>
              <w:top w:val="single" w:color="auto" w:sz="8" w:space="0"/>
              <w:bottom w:val="nil"/>
            </w:tcBorders>
            <w:vAlign w:val="center"/>
          </w:tcPr>
          <w:p w14:paraId="77AB49A5">
            <w:pPr>
              <w:jc w:val="both"/>
              <w:rPr>
                <w:rFonts w:ascii="Times New Roman" w:hAnsi="Times New Roman" w:cs="Times New Roman"/>
                <w:color w:val="auto"/>
                <w:sz w:val="24"/>
                <w:szCs w:val="24"/>
                <w:shd w:val="clear" w:color="auto" w:fill="FFFFFF"/>
              </w:rPr>
            </w:pPr>
            <w:r>
              <w:rPr>
                <w:rFonts w:hint="eastAsia" w:ascii="Times New Roman" w:hAnsi="Times New Roman" w:cs="Times New Roman"/>
                <w:i/>
                <w:iCs/>
                <w:color w:val="auto"/>
                <w:sz w:val="24"/>
                <w:szCs w:val="24"/>
              </w:rPr>
              <w:t>Seita.8G190200</w:t>
            </w:r>
          </w:p>
        </w:tc>
        <w:tc>
          <w:tcPr>
            <w:tcW w:w="724" w:type="pct"/>
            <w:tcBorders>
              <w:top w:val="single" w:color="auto" w:sz="8" w:space="0"/>
              <w:bottom w:val="nil"/>
            </w:tcBorders>
            <w:vAlign w:val="center"/>
          </w:tcPr>
          <w:p w14:paraId="01352BAB">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On-target</w:t>
            </w:r>
          </w:p>
        </w:tc>
        <w:tc>
          <w:tcPr>
            <w:tcW w:w="590" w:type="pct"/>
            <w:tcBorders>
              <w:top w:val="single" w:color="auto" w:sz="8" w:space="0"/>
              <w:bottom w:val="nil"/>
            </w:tcBorders>
            <w:vAlign w:val="center"/>
          </w:tcPr>
          <w:p w14:paraId="3F92DEF0">
            <w:pPr>
              <w:jc w:val="both"/>
              <w:rPr>
                <w:rFonts w:ascii="Times New Roman" w:hAnsi="Times New Roman" w:cs="Times New Roman"/>
                <w:i/>
                <w:iCs/>
                <w:color w:val="auto"/>
                <w:sz w:val="24"/>
                <w:szCs w:val="24"/>
              </w:rPr>
            </w:pPr>
            <w:r>
              <w:rPr>
                <w:rFonts w:hint="eastAsia" w:ascii="Times New Roman" w:hAnsi="Times New Roman" w:cs="Times New Roman"/>
                <w:i/>
                <w:iCs/>
                <w:color w:val="auto"/>
                <w:sz w:val="24"/>
                <w:szCs w:val="24"/>
              </w:rPr>
              <w:t>Seita.8G190200</w:t>
            </w:r>
          </w:p>
        </w:tc>
        <w:tc>
          <w:tcPr>
            <w:tcW w:w="1564" w:type="pct"/>
            <w:tcBorders>
              <w:top w:val="single" w:color="auto" w:sz="8" w:space="0"/>
              <w:bottom w:val="nil"/>
            </w:tcBorders>
            <w:vAlign w:val="center"/>
          </w:tcPr>
          <w:p w14:paraId="6FD8E1CF">
            <w:pPr>
              <w:jc w:val="both"/>
              <w:rPr>
                <w:rFonts w:hint="default" w:ascii="Times New Roman" w:hAnsi="Times New Roman" w:cs="Times New Roman" w:eastAsiaTheme="minorEastAsia"/>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rPr>
              <w:t>TACAACAACAGTCTGCCCTG</w:t>
            </w:r>
            <w:r>
              <w:rPr>
                <w:rFonts w:hint="eastAsia" w:ascii="Times New Roman" w:hAnsi="Times New Roman" w:cs="Times New Roman"/>
                <w:color w:val="92D050"/>
                <w:sz w:val="24"/>
                <w:szCs w:val="24"/>
                <w:highlight w:val="none"/>
                <w:shd w:val="clear" w:color="auto" w:fill="FFFFFF"/>
                <w:lang w:val="en-US" w:eastAsia="zh-CN"/>
              </w:rPr>
              <w:t>TGG</w:t>
            </w:r>
          </w:p>
        </w:tc>
        <w:tc>
          <w:tcPr>
            <w:tcW w:w="584" w:type="pct"/>
            <w:tcBorders>
              <w:top w:val="single" w:color="auto" w:sz="8" w:space="0"/>
              <w:bottom w:val="nil"/>
            </w:tcBorders>
            <w:vAlign w:val="center"/>
          </w:tcPr>
          <w:p w14:paraId="51D06008">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w:t>
            </w:r>
          </w:p>
        </w:tc>
        <w:tc>
          <w:tcPr>
            <w:tcW w:w="493" w:type="pct"/>
            <w:tcBorders>
              <w:top w:val="single" w:color="auto" w:sz="8" w:space="0"/>
              <w:bottom w:val="nil"/>
            </w:tcBorders>
            <w:vAlign w:val="center"/>
          </w:tcPr>
          <w:p w14:paraId="4200FF54">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w:t>
            </w:r>
          </w:p>
        </w:tc>
        <w:tc>
          <w:tcPr>
            <w:tcW w:w="472" w:type="pct"/>
            <w:tcBorders>
              <w:top w:val="single" w:color="auto" w:sz="8" w:space="0"/>
              <w:bottom w:val="nil"/>
            </w:tcBorders>
            <w:vAlign w:val="center"/>
          </w:tcPr>
          <w:p w14:paraId="3B500CFD">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w:t>
            </w:r>
          </w:p>
        </w:tc>
      </w:tr>
      <w:tr w14:paraId="63E3EB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570" w:type="pct"/>
            <w:vMerge w:val="continue"/>
            <w:tcBorders>
              <w:top w:val="nil"/>
              <w:bottom w:val="nil"/>
            </w:tcBorders>
            <w:vAlign w:val="center"/>
          </w:tcPr>
          <w:p w14:paraId="2081C59E">
            <w:pPr>
              <w:jc w:val="both"/>
              <w:rPr>
                <w:rFonts w:ascii="Times New Roman" w:hAnsi="Times New Roman" w:cs="Times New Roman"/>
                <w:color w:val="auto"/>
                <w:sz w:val="24"/>
                <w:szCs w:val="24"/>
                <w:shd w:val="clear" w:color="auto" w:fill="FFFFFF"/>
              </w:rPr>
            </w:pPr>
          </w:p>
        </w:tc>
        <w:tc>
          <w:tcPr>
            <w:tcW w:w="724" w:type="pct"/>
            <w:tcBorders>
              <w:top w:val="nil"/>
              <w:bottom w:val="nil"/>
            </w:tcBorders>
            <w:vAlign w:val="center"/>
          </w:tcPr>
          <w:p w14:paraId="2D871325">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Off-target 1</w:t>
            </w:r>
          </w:p>
        </w:tc>
        <w:tc>
          <w:tcPr>
            <w:tcW w:w="590" w:type="pct"/>
            <w:tcBorders>
              <w:top w:val="nil"/>
              <w:bottom w:val="nil"/>
            </w:tcBorders>
            <w:vAlign w:val="center"/>
          </w:tcPr>
          <w:p w14:paraId="3508F916">
            <w:pPr>
              <w:jc w:val="both"/>
              <w:rPr>
                <w:rFonts w:ascii="Times New Roman" w:hAnsi="Times New Roman" w:cs="Times New Roman"/>
                <w:i/>
                <w:iCs/>
                <w:color w:val="auto"/>
                <w:sz w:val="24"/>
                <w:szCs w:val="24"/>
              </w:rPr>
            </w:pPr>
            <w:r>
              <w:rPr>
                <w:rFonts w:hint="eastAsia" w:ascii="Times New Roman" w:hAnsi="Times New Roman" w:cs="Times New Roman"/>
                <w:i/>
                <w:iCs/>
                <w:color w:val="auto"/>
                <w:sz w:val="24"/>
                <w:szCs w:val="24"/>
              </w:rPr>
              <w:t>Seita.5G335300</w:t>
            </w:r>
          </w:p>
        </w:tc>
        <w:tc>
          <w:tcPr>
            <w:tcW w:w="1564" w:type="pct"/>
            <w:tcBorders>
              <w:top w:val="nil"/>
              <w:bottom w:val="nil"/>
            </w:tcBorders>
            <w:vAlign w:val="center"/>
          </w:tcPr>
          <w:p w14:paraId="31F636A1">
            <w:pPr>
              <w:jc w:val="both"/>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TA</w:t>
            </w:r>
            <w:r>
              <w:rPr>
                <w:rFonts w:hint="eastAsia" w:ascii="Times New Roman" w:hAnsi="Times New Roman" w:cs="Times New Roman"/>
                <w:color w:val="FF0000"/>
                <w:sz w:val="24"/>
                <w:szCs w:val="24"/>
                <w:shd w:val="clear" w:color="auto" w:fill="FFFFFF"/>
                <w:lang w:val="en-US" w:eastAsia="zh-CN"/>
              </w:rPr>
              <w:t>G</w:t>
            </w:r>
            <w:r>
              <w:rPr>
                <w:rFonts w:hint="eastAsia" w:ascii="Times New Roman" w:hAnsi="Times New Roman" w:cs="Times New Roman"/>
                <w:color w:val="auto"/>
                <w:sz w:val="24"/>
                <w:szCs w:val="24"/>
                <w:shd w:val="clear" w:color="auto" w:fill="FFFFFF"/>
              </w:rPr>
              <w:t>AA</w:t>
            </w:r>
            <w:r>
              <w:rPr>
                <w:rFonts w:hint="eastAsia" w:ascii="Times New Roman" w:hAnsi="Times New Roman" w:cs="Times New Roman"/>
                <w:color w:val="FF0000"/>
                <w:sz w:val="24"/>
                <w:szCs w:val="24"/>
                <w:shd w:val="clear" w:color="auto" w:fill="FFFFFF"/>
                <w:lang w:val="en-US" w:eastAsia="zh-CN"/>
              </w:rPr>
              <w:t>G</w:t>
            </w:r>
            <w:r>
              <w:rPr>
                <w:rFonts w:hint="eastAsia" w:ascii="Times New Roman" w:hAnsi="Times New Roman" w:cs="Times New Roman"/>
                <w:color w:val="auto"/>
                <w:sz w:val="24"/>
                <w:szCs w:val="24"/>
                <w:shd w:val="clear" w:color="auto" w:fill="FFFFFF"/>
              </w:rPr>
              <w:t>AA</w:t>
            </w:r>
            <w:r>
              <w:rPr>
                <w:rFonts w:hint="eastAsia" w:ascii="Times New Roman" w:hAnsi="Times New Roman" w:cs="Times New Roman"/>
                <w:color w:val="FF0000"/>
                <w:sz w:val="24"/>
                <w:szCs w:val="24"/>
                <w:shd w:val="clear" w:color="auto" w:fill="FFFFFF"/>
                <w:lang w:val="en-US" w:eastAsia="zh-CN"/>
              </w:rPr>
              <w:t>AT</w:t>
            </w:r>
            <w:r>
              <w:rPr>
                <w:rFonts w:hint="eastAsia" w:ascii="Times New Roman" w:hAnsi="Times New Roman" w:cs="Times New Roman"/>
                <w:color w:val="auto"/>
                <w:sz w:val="24"/>
                <w:szCs w:val="24"/>
                <w:shd w:val="clear" w:color="auto" w:fill="FFFFFF"/>
              </w:rPr>
              <w:t>GTCT</w:t>
            </w:r>
            <w:r>
              <w:rPr>
                <w:rFonts w:hint="eastAsia" w:ascii="Times New Roman" w:hAnsi="Times New Roman" w:cs="Times New Roman"/>
                <w:color w:val="FF0000"/>
                <w:sz w:val="24"/>
                <w:szCs w:val="24"/>
                <w:shd w:val="clear" w:color="auto" w:fill="FFFFFF"/>
                <w:lang w:val="en-US" w:eastAsia="zh-CN"/>
              </w:rPr>
              <w:t>A</w:t>
            </w:r>
            <w:r>
              <w:rPr>
                <w:rFonts w:hint="eastAsia" w:ascii="Times New Roman" w:hAnsi="Times New Roman" w:cs="Times New Roman"/>
                <w:color w:val="auto"/>
                <w:sz w:val="24"/>
                <w:szCs w:val="24"/>
                <w:shd w:val="clear" w:color="auto" w:fill="FFFFFF"/>
              </w:rPr>
              <w:t>CCCTG</w:t>
            </w:r>
            <w:r>
              <w:rPr>
                <w:rFonts w:hint="eastAsia" w:ascii="Times New Roman" w:hAnsi="Times New Roman" w:cs="Times New Roman"/>
                <w:color w:val="92D050"/>
                <w:sz w:val="24"/>
                <w:szCs w:val="24"/>
                <w:highlight w:val="none"/>
                <w:shd w:val="clear" w:color="auto" w:fill="FFFFFF"/>
                <w:lang w:val="en-US" w:eastAsia="zh-CN"/>
              </w:rPr>
              <w:t>TGG</w:t>
            </w:r>
          </w:p>
        </w:tc>
        <w:tc>
          <w:tcPr>
            <w:tcW w:w="584" w:type="pct"/>
            <w:tcBorders>
              <w:top w:val="nil"/>
              <w:bottom w:val="nil"/>
            </w:tcBorders>
            <w:vAlign w:val="center"/>
          </w:tcPr>
          <w:p w14:paraId="3AC20F01">
            <w:pPr>
              <w:jc w:val="both"/>
              <w:rPr>
                <w:rFonts w:hint="eastAsia" w:ascii="Times New Roman" w:hAnsi="Times New Roman" w:cs="Times New Roman" w:eastAsiaTheme="minorEastAsia"/>
                <w:color w:val="auto"/>
                <w:sz w:val="24"/>
                <w:szCs w:val="24"/>
                <w:shd w:val="clear" w:color="auto" w:fill="FFFFFF"/>
                <w:lang w:eastAsia="zh-CN"/>
              </w:rPr>
            </w:pPr>
            <w:r>
              <w:rPr>
                <w:rFonts w:hint="eastAsia" w:ascii="Times New Roman" w:hAnsi="Times New Roman" w:cs="Times New Roman"/>
                <w:color w:val="auto"/>
                <w:sz w:val="24"/>
                <w:szCs w:val="24"/>
                <w:shd w:val="clear" w:color="auto" w:fill="FFFFFF"/>
                <w:lang w:val="en-US" w:eastAsia="zh-CN"/>
              </w:rPr>
              <w:t>5</w:t>
            </w:r>
          </w:p>
        </w:tc>
        <w:tc>
          <w:tcPr>
            <w:tcW w:w="493" w:type="pct"/>
            <w:tcBorders>
              <w:top w:val="nil"/>
              <w:bottom w:val="nil"/>
            </w:tcBorders>
            <w:vAlign w:val="center"/>
          </w:tcPr>
          <w:p w14:paraId="41C66E68">
            <w:pPr>
              <w:jc w:val="both"/>
              <w:rPr>
                <w:rFonts w:hint="eastAsia" w:ascii="Times New Roman" w:hAnsi="Times New Roman" w:cs="Times New Roman" w:eastAsiaTheme="minorEastAsia"/>
                <w:color w:val="auto"/>
                <w:sz w:val="24"/>
                <w:szCs w:val="24"/>
                <w:shd w:val="clear" w:color="auto" w:fill="FFFFFF"/>
                <w:lang w:val="en-US" w:eastAsia="zh-CN"/>
              </w:rPr>
            </w:pPr>
            <w:r>
              <w:rPr>
                <w:rFonts w:ascii="Times New Roman" w:hAnsi="Times New Roman" w:cs="Times New Roman"/>
                <w:color w:val="auto"/>
                <w:sz w:val="24"/>
                <w:szCs w:val="24"/>
                <w:shd w:val="clear" w:color="auto" w:fill="FFFFFF"/>
              </w:rPr>
              <w:t>1</w:t>
            </w:r>
            <w:r>
              <w:rPr>
                <w:rFonts w:hint="eastAsia" w:ascii="Times New Roman" w:hAnsi="Times New Roman" w:cs="Times New Roman"/>
                <w:color w:val="auto"/>
                <w:sz w:val="24"/>
                <w:szCs w:val="24"/>
                <w:shd w:val="clear" w:color="auto" w:fill="FFFFFF"/>
                <w:lang w:val="en-US" w:eastAsia="zh-CN"/>
              </w:rPr>
              <w:t>4</w:t>
            </w:r>
          </w:p>
        </w:tc>
        <w:tc>
          <w:tcPr>
            <w:tcW w:w="472" w:type="pct"/>
            <w:tcBorders>
              <w:top w:val="nil"/>
              <w:bottom w:val="nil"/>
            </w:tcBorders>
            <w:vAlign w:val="center"/>
          </w:tcPr>
          <w:p w14:paraId="74866BD6">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0</w:t>
            </w:r>
          </w:p>
        </w:tc>
      </w:tr>
      <w:tr w14:paraId="477C53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570" w:type="pct"/>
            <w:vMerge w:val="continue"/>
            <w:tcBorders>
              <w:top w:val="nil"/>
              <w:bottom w:val="single" w:color="auto" w:sz="8" w:space="0"/>
            </w:tcBorders>
            <w:vAlign w:val="center"/>
          </w:tcPr>
          <w:p w14:paraId="39D60EB7">
            <w:pPr>
              <w:jc w:val="both"/>
              <w:rPr>
                <w:rFonts w:ascii="Times New Roman" w:hAnsi="Times New Roman" w:cs="Times New Roman"/>
                <w:color w:val="auto"/>
                <w:sz w:val="24"/>
                <w:szCs w:val="24"/>
                <w:shd w:val="clear" w:color="auto" w:fill="FFFFFF"/>
              </w:rPr>
            </w:pPr>
          </w:p>
        </w:tc>
        <w:tc>
          <w:tcPr>
            <w:tcW w:w="724" w:type="pct"/>
            <w:tcBorders>
              <w:top w:val="nil"/>
              <w:bottom w:val="single" w:color="auto" w:sz="8" w:space="0"/>
            </w:tcBorders>
            <w:vAlign w:val="center"/>
          </w:tcPr>
          <w:p w14:paraId="63FF5067">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Off-target 2</w:t>
            </w:r>
          </w:p>
        </w:tc>
        <w:tc>
          <w:tcPr>
            <w:tcW w:w="590" w:type="pct"/>
            <w:tcBorders>
              <w:top w:val="nil"/>
              <w:bottom w:val="single" w:color="auto" w:sz="8" w:space="0"/>
            </w:tcBorders>
            <w:vAlign w:val="center"/>
          </w:tcPr>
          <w:p w14:paraId="5FB96271">
            <w:pPr>
              <w:jc w:val="both"/>
              <w:rPr>
                <w:rFonts w:ascii="Times New Roman" w:hAnsi="Times New Roman" w:cs="Times New Roman"/>
                <w:i/>
                <w:iCs/>
                <w:color w:val="auto"/>
                <w:sz w:val="24"/>
                <w:szCs w:val="24"/>
              </w:rPr>
            </w:pPr>
            <w:r>
              <w:rPr>
                <w:rFonts w:hint="eastAsia" w:ascii="Times New Roman" w:hAnsi="Times New Roman" w:cs="Times New Roman"/>
                <w:i/>
                <w:iCs/>
                <w:color w:val="auto"/>
                <w:sz w:val="24"/>
                <w:szCs w:val="24"/>
              </w:rPr>
              <w:t>Seita.3G022600</w:t>
            </w:r>
          </w:p>
        </w:tc>
        <w:tc>
          <w:tcPr>
            <w:tcW w:w="1564" w:type="pct"/>
            <w:tcBorders>
              <w:top w:val="nil"/>
              <w:bottom w:val="single" w:color="auto" w:sz="8" w:space="0"/>
            </w:tcBorders>
            <w:vAlign w:val="center"/>
          </w:tcPr>
          <w:p w14:paraId="54BC7C06">
            <w:pPr>
              <w:jc w:val="both"/>
              <w:rPr>
                <w:rFonts w:ascii="Times New Roman" w:hAnsi="Times New Roman" w:cs="Times New Roman"/>
                <w:color w:val="auto"/>
                <w:sz w:val="24"/>
                <w:szCs w:val="24"/>
                <w:shd w:val="clear" w:color="auto" w:fill="FFFFFF"/>
              </w:rPr>
            </w:pPr>
            <w:r>
              <w:rPr>
                <w:rFonts w:hint="eastAsia" w:ascii="Times New Roman" w:hAnsi="Times New Roman" w:cs="Times New Roman"/>
                <w:color w:val="FF0000"/>
                <w:sz w:val="24"/>
                <w:szCs w:val="24"/>
                <w:shd w:val="clear" w:color="auto" w:fill="FFFFFF"/>
                <w:lang w:val="en-US" w:eastAsia="zh-CN"/>
              </w:rPr>
              <w:t>G</w:t>
            </w:r>
            <w:r>
              <w:rPr>
                <w:rFonts w:hint="eastAsia" w:ascii="Times New Roman" w:hAnsi="Times New Roman" w:cs="Times New Roman"/>
                <w:color w:val="auto"/>
                <w:sz w:val="24"/>
                <w:szCs w:val="24"/>
                <w:shd w:val="clear" w:color="auto" w:fill="FFFFFF"/>
              </w:rPr>
              <w:t>ACAACAAC</w:t>
            </w:r>
            <w:r>
              <w:rPr>
                <w:rFonts w:hint="eastAsia" w:ascii="Times New Roman" w:hAnsi="Times New Roman" w:cs="Times New Roman"/>
                <w:color w:val="FF0000"/>
                <w:sz w:val="24"/>
                <w:szCs w:val="24"/>
                <w:shd w:val="clear" w:color="auto" w:fill="FFFFFF"/>
                <w:lang w:val="en-US" w:eastAsia="zh-CN"/>
              </w:rPr>
              <w:t>G</w:t>
            </w:r>
            <w:r>
              <w:rPr>
                <w:rFonts w:hint="eastAsia" w:ascii="Times New Roman" w:hAnsi="Times New Roman" w:cs="Times New Roman"/>
                <w:color w:val="auto"/>
                <w:sz w:val="24"/>
                <w:szCs w:val="24"/>
                <w:shd w:val="clear" w:color="auto" w:fill="FFFFFF"/>
              </w:rPr>
              <w:t>GT</w:t>
            </w:r>
            <w:r>
              <w:rPr>
                <w:rFonts w:hint="eastAsia" w:ascii="Times New Roman" w:hAnsi="Times New Roman" w:cs="Times New Roman"/>
                <w:color w:val="FF0000"/>
                <w:sz w:val="24"/>
                <w:szCs w:val="24"/>
                <w:shd w:val="clear" w:color="auto" w:fill="FFFFFF"/>
                <w:lang w:val="en-US" w:eastAsia="zh-CN"/>
              </w:rPr>
              <w:t>G</w:t>
            </w:r>
            <w:r>
              <w:rPr>
                <w:rFonts w:hint="eastAsia" w:ascii="Times New Roman" w:hAnsi="Times New Roman" w:cs="Times New Roman"/>
                <w:color w:val="auto"/>
                <w:sz w:val="24"/>
                <w:szCs w:val="24"/>
                <w:shd w:val="clear" w:color="auto" w:fill="FFFFFF"/>
              </w:rPr>
              <w:t>TGCCCTG</w:t>
            </w:r>
            <w:r>
              <w:rPr>
                <w:rFonts w:hint="eastAsia" w:ascii="Times New Roman" w:hAnsi="Times New Roman" w:cs="Times New Roman"/>
                <w:color w:val="92D050"/>
                <w:sz w:val="24"/>
                <w:szCs w:val="24"/>
                <w:highlight w:val="none"/>
                <w:shd w:val="clear" w:color="auto" w:fill="FFFFFF"/>
                <w:lang w:val="en-US" w:eastAsia="zh-CN"/>
              </w:rPr>
              <w:t>TGG</w:t>
            </w:r>
          </w:p>
        </w:tc>
        <w:tc>
          <w:tcPr>
            <w:tcW w:w="584" w:type="pct"/>
            <w:tcBorders>
              <w:top w:val="nil"/>
              <w:bottom w:val="single" w:color="auto" w:sz="8" w:space="0"/>
            </w:tcBorders>
            <w:vAlign w:val="center"/>
          </w:tcPr>
          <w:p w14:paraId="2D7A48F7">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3</w:t>
            </w:r>
          </w:p>
        </w:tc>
        <w:tc>
          <w:tcPr>
            <w:tcW w:w="493" w:type="pct"/>
            <w:tcBorders>
              <w:top w:val="nil"/>
              <w:bottom w:val="single" w:color="auto" w:sz="8" w:space="0"/>
            </w:tcBorders>
            <w:vAlign w:val="center"/>
          </w:tcPr>
          <w:p w14:paraId="474DE7F9">
            <w:pPr>
              <w:jc w:val="both"/>
              <w:rPr>
                <w:rFonts w:hint="eastAsia" w:ascii="Times New Roman" w:hAnsi="Times New Roman" w:cs="Times New Roman" w:eastAsiaTheme="minorEastAsia"/>
                <w:color w:val="auto"/>
                <w:sz w:val="24"/>
                <w:szCs w:val="24"/>
                <w:shd w:val="clear" w:color="auto" w:fill="FFFFFF"/>
                <w:lang w:val="en-US" w:eastAsia="zh-CN"/>
              </w:rPr>
            </w:pPr>
            <w:r>
              <w:rPr>
                <w:rFonts w:ascii="Times New Roman" w:hAnsi="Times New Roman" w:cs="Times New Roman"/>
                <w:color w:val="auto"/>
                <w:sz w:val="24"/>
                <w:szCs w:val="24"/>
                <w:shd w:val="clear" w:color="auto" w:fill="FFFFFF"/>
              </w:rPr>
              <w:t>1</w:t>
            </w:r>
            <w:r>
              <w:rPr>
                <w:rFonts w:hint="eastAsia" w:ascii="Times New Roman" w:hAnsi="Times New Roman" w:cs="Times New Roman"/>
                <w:color w:val="auto"/>
                <w:sz w:val="24"/>
                <w:szCs w:val="24"/>
                <w:shd w:val="clear" w:color="auto" w:fill="FFFFFF"/>
                <w:lang w:val="en-US" w:eastAsia="zh-CN"/>
              </w:rPr>
              <w:t>4</w:t>
            </w:r>
          </w:p>
        </w:tc>
        <w:tc>
          <w:tcPr>
            <w:tcW w:w="472" w:type="pct"/>
            <w:tcBorders>
              <w:top w:val="nil"/>
              <w:bottom w:val="single" w:color="auto" w:sz="8" w:space="0"/>
            </w:tcBorders>
            <w:vAlign w:val="center"/>
          </w:tcPr>
          <w:p w14:paraId="12C916CC">
            <w:pPr>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0</w:t>
            </w:r>
          </w:p>
        </w:tc>
      </w:tr>
    </w:tbl>
    <w:p w14:paraId="2492B218">
      <w:pPr>
        <w:jc w:val="both"/>
        <w:rPr>
          <w:rFonts w:ascii="Times New Roman" w:hAnsi="Times New Roman" w:cs="Times New Roman"/>
          <w:color w:val="auto"/>
          <w:sz w:val="18"/>
          <w:szCs w:val="18"/>
          <w:shd w:val="clear" w:color="auto" w:fill="FFFFFF"/>
        </w:rPr>
      </w:pPr>
    </w:p>
    <w:p w14:paraId="316C346F">
      <w:pPr>
        <w:rPr>
          <w:rFonts w:ascii="Times New Roman" w:hAnsi="Times New Roman" w:eastAsia="宋体" w:cs="Times New Roman"/>
          <w:b/>
          <w:bCs/>
          <w:color w:val="auto"/>
          <w:sz w:val="24"/>
        </w:rPr>
      </w:pPr>
      <w:r>
        <w:rPr>
          <w:rFonts w:ascii="Times New Roman" w:hAnsi="Times New Roman" w:cs="Times New Roman"/>
          <w:color w:val="auto"/>
          <w:sz w:val="24"/>
          <w:szCs w:val="24"/>
          <w:shd w:val="clear" w:color="auto" w:fill="FFFFFF"/>
        </w:rPr>
        <w:t xml:space="preserve">The PAM sequences and the mismatches to the target sequence in the potential off-target region are highlighted in green and red, respectively. </w:t>
      </w:r>
    </w:p>
    <w:p w14:paraId="4F4E2932">
      <w:pPr>
        <w:spacing w:line="360" w:lineRule="auto"/>
        <w:rPr>
          <w:rFonts w:hint="eastAsia" w:ascii="Times New Roman" w:hAnsi="Times New Roman" w:eastAsia="宋体" w:cs="Times New Roman"/>
          <w:b/>
          <w:bCs/>
          <w:color w:val="auto"/>
          <w:sz w:val="24"/>
          <w:szCs w:val="28"/>
        </w:rPr>
      </w:pPr>
      <w:r>
        <w:rPr>
          <w:rFonts w:hint="eastAsia" w:ascii="Times New Roman" w:hAnsi="Times New Roman" w:eastAsia="宋体" w:cs="Times New Roman"/>
          <w:b/>
          <w:bCs/>
          <w:color w:val="auto"/>
          <w:sz w:val="24"/>
          <w:szCs w:val="28"/>
        </w:rPr>
        <w:t>Supplementary Table S</w:t>
      </w:r>
      <w:r>
        <w:rPr>
          <w:rFonts w:hint="eastAsia" w:ascii="Times New Roman" w:hAnsi="Times New Roman" w:eastAsia="宋体" w:cs="Times New Roman"/>
          <w:b/>
          <w:bCs/>
          <w:color w:val="auto"/>
          <w:sz w:val="24"/>
          <w:szCs w:val="28"/>
          <w:lang w:val="en-US" w:eastAsia="zh-CN"/>
        </w:rPr>
        <w:t xml:space="preserve">2 </w:t>
      </w:r>
      <w:r>
        <w:rPr>
          <w:rFonts w:hint="eastAsia" w:ascii="Times New Roman" w:hAnsi="Times New Roman" w:eastAsia="宋体" w:cs="Times New Roman"/>
          <w:b/>
          <w:bCs/>
          <w:color w:val="auto"/>
          <w:sz w:val="24"/>
          <w:szCs w:val="28"/>
        </w:rPr>
        <w:t>Primer sequences used in this study.</w:t>
      </w:r>
    </w:p>
    <w:tbl>
      <w:tblPr>
        <w:tblStyle w:val="5"/>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8557"/>
      </w:tblGrid>
      <w:tr w14:paraId="0D1E8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97" w:type="dxa"/>
            <w:tcBorders>
              <w:left w:val="nil"/>
            </w:tcBorders>
            <w:shd w:val="clear" w:color="auto" w:fill="auto"/>
            <w:vAlign w:val="center"/>
          </w:tcPr>
          <w:p w14:paraId="048F52D0">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Name</w:t>
            </w:r>
          </w:p>
        </w:tc>
        <w:tc>
          <w:tcPr>
            <w:tcW w:w="8557" w:type="dxa"/>
            <w:tcBorders>
              <w:right w:val="nil"/>
            </w:tcBorders>
            <w:shd w:val="clear" w:color="auto" w:fill="auto"/>
            <w:vAlign w:val="center"/>
          </w:tcPr>
          <w:p w14:paraId="09689B68">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Sequence (5′-3′)</w:t>
            </w:r>
          </w:p>
        </w:tc>
      </w:tr>
      <w:tr w14:paraId="3C455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854" w:type="dxa"/>
            <w:gridSpan w:val="2"/>
            <w:tcBorders>
              <w:left w:val="nil"/>
              <w:right w:val="nil"/>
            </w:tcBorders>
            <w:shd w:val="clear" w:color="auto" w:fill="auto"/>
            <w:noWrap/>
            <w:vAlign w:val="center"/>
          </w:tcPr>
          <w:p w14:paraId="68345F9F">
            <w:pPr>
              <w:widowControl/>
              <w:jc w:val="left"/>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Primers for constructing knockout vector.</w:t>
            </w:r>
          </w:p>
        </w:tc>
      </w:tr>
      <w:tr w14:paraId="69D50E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297" w:type="dxa"/>
            <w:tcBorders>
              <w:left w:val="nil"/>
            </w:tcBorders>
            <w:shd w:val="clear" w:color="auto" w:fill="auto"/>
            <w:noWrap/>
            <w:vAlign w:val="center"/>
          </w:tcPr>
          <w:p w14:paraId="4AB038B4">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MT1T2-F</w:t>
            </w:r>
          </w:p>
        </w:tc>
        <w:tc>
          <w:tcPr>
            <w:tcW w:w="8557" w:type="dxa"/>
            <w:tcBorders>
              <w:right w:val="nil"/>
            </w:tcBorders>
            <w:shd w:val="clear" w:color="auto" w:fill="auto"/>
            <w:vAlign w:val="center"/>
          </w:tcPr>
          <w:p w14:paraId="657C3A4A">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AATAATGGTCTCAGGCG</w:t>
            </w:r>
            <w:r>
              <w:rPr>
                <w:rFonts w:hint="eastAsia" w:ascii="Times New Roman" w:hAnsi="Times New Roman" w:eastAsia="宋体" w:cs="Times New Roman"/>
                <w:color w:val="auto"/>
                <w:kern w:val="0"/>
                <w:sz w:val="24"/>
                <w:lang w:bidi="ar"/>
              </w:rPr>
              <w:t>TACAACAACAGTCTGCCCTG</w:t>
            </w:r>
            <w:r>
              <w:rPr>
                <w:rFonts w:ascii="Times New Roman" w:hAnsi="Times New Roman" w:eastAsia="宋体" w:cs="Times New Roman"/>
                <w:color w:val="auto"/>
                <w:kern w:val="0"/>
                <w:sz w:val="24"/>
                <w:lang w:bidi="ar"/>
              </w:rPr>
              <w:t>GTTTTAGAGCTAGAAATAGC</w:t>
            </w:r>
          </w:p>
        </w:tc>
      </w:tr>
      <w:tr w14:paraId="31417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297" w:type="dxa"/>
            <w:tcBorders>
              <w:left w:val="nil"/>
            </w:tcBorders>
            <w:shd w:val="clear" w:color="auto" w:fill="auto"/>
            <w:noWrap/>
            <w:vAlign w:val="center"/>
          </w:tcPr>
          <w:p w14:paraId="2D8B3139">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MT1T2-R</w:t>
            </w:r>
          </w:p>
        </w:tc>
        <w:tc>
          <w:tcPr>
            <w:tcW w:w="8557" w:type="dxa"/>
            <w:tcBorders>
              <w:right w:val="nil"/>
            </w:tcBorders>
            <w:shd w:val="clear" w:color="auto" w:fill="auto"/>
            <w:vAlign w:val="center"/>
          </w:tcPr>
          <w:p w14:paraId="4FEC2482">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ATTATTGGTCTCTAAACCAGGGCAGACTGTTGTTGTACGCTTCTTGGTGCC</w:t>
            </w:r>
          </w:p>
        </w:tc>
      </w:tr>
      <w:tr w14:paraId="150510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854" w:type="dxa"/>
            <w:gridSpan w:val="2"/>
            <w:tcBorders>
              <w:left w:val="nil"/>
              <w:right w:val="nil"/>
            </w:tcBorders>
            <w:shd w:val="clear" w:color="auto" w:fill="auto"/>
            <w:noWrap/>
            <w:vAlign w:val="center"/>
          </w:tcPr>
          <w:p w14:paraId="3673D6D2">
            <w:pPr>
              <w:widowControl/>
              <w:jc w:val="left"/>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Primers for identification of transgenic seedlings.</w:t>
            </w:r>
          </w:p>
        </w:tc>
      </w:tr>
      <w:tr w14:paraId="75C650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97" w:type="dxa"/>
            <w:tcBorders>
              <w:left w:val="nil"/>
            </w:tcBorders>
            <w:shd w:val="clear" w:color="auto" w:fill="auto"/>
            <w:noWrap/>
            <w:vAlign w:val="center"/>
          </w:tcPr>
          <w:p w14:paraId="31C7E210">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19CR-F</w:t>
            </w:r>
          </w:p>
        </w:tc>
        <w:tc>
          <w:tcPr>
            <w:tcW w:w="8557" w:type="dxa"/>
            <w:tcBorders>
              <w:right w:val="nil"/>
            </w:tcBorders>
            <w:shd w:val="clear" w:color="auto" w:fill="auto"/>
            <w:noWrap/>
            <w:vAlign w:val="center"/>
          </w:tcPr>
          <w:p w14:paraId="5C384545">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GACCCAGTAGCAGAAATTGAAACCCAC</w:t>
            </w:r>
          </w:p>
        </w:tc>
      </w:tr>
      <w:tr w14:paraId="3BE5BC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97" w:type="dxa"/>
            <w:tcBorders>
              <w:left w:val="nil"/>
            </w:tcBorders>
            <w:shd w:val="clear" w:color="auto" w:fill="auto"/>
            <w:noWrap/>
            <w:vAlign w:val="center"/>
          </w:tcPr>
          <w:p w14:paraId="540BB9BC">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19CR-R</w:t>
            </w:r>
          </w:p>
        </w:tc>
        <w:tc>
          <w:tcPr>
            <w:tcW w:w="8557" w:type="dxa"/>
            <w:tcBorders>
              <w:right w:val="nil"/>
            </w:tcBorders>
            <w:shd w:val="clear" w:color="auto" w:fill="auto"/>
            <w:noWrap/>
            <w:vAlign w:val="center"/>
          </w:tcPr>
          <w:p w14:paraId="60E13CC8">
            <w:pPr>
              <w:widowControl/>
              <w:textAlignment w:val="center"/>
              <w:rPr>
                <w:rFonts w:ascii="Times New Roman" w:hAnsi="Times New Roman" w:eastAsia="宋体" w:cs="Times New Roman"/>
                <w:color w:val="auto"/>
                <w:sz w:val="24"/>
              </w:rPr>
            </w:pPr>
            <w:r>
              <w:rPr>
                <w:rFonts w:ascii="Times New Roman" w:hAnsi="Times New Roman" w:eastAsia="宋体" w:cs="Times New Roman"/>
                <w:color w:val="auto"/>
                <w:kern w:val="0"/>
                <w:sz w:val="24"/>
                <w:lang w:bidi="ar"/>
              </w:rPr>
              <w:t>GCAGTTGTTGACGGAAGACATTCGC</w:t>
            </w:r>
          </w:p>
        </w:tc>
      </w:tr>
    </w:tbl>
    <w:p w14:paraId="5B2E9FBE">
      <w:pPr>
        <w:pStyle w:val="2"/>
        <w:rPr>
          <w:rFonts w:eastAsia="Times New Roman"/>
          <w:color w:val="auto"/>
          <w:sz w:val="24"/>
        </w:rPr>
      </w:pPr>
      <w:r>
        <w:rPr>
          <w:rFonts w:eastAsia="Times New Roman"/>
          <w:color w:val="auto"/>
          <w:sz w:val="24"/>
        </w:rPr>
        <w:t>Material and methods</w:t>
      </w:r>
    </w:p>
    <w:p w14:paraId="26B32D8B">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1.</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 xml:space="preserve">Phylogenetic analysis of </w:t>
      </w:r>
      <w:r>
        <w:rPr>
          <w:rFonts w:ascii="Times New Roman" w:hAnsi="Times New Roman" w:eastAsia="Times New Roman" w:cs="Times New Roman"/>
          <w:b/>
          <w:bCs/>
          <w:i/>
          <w:iCs/>
          <w:color w:val="auto"/>
          <w:sz w:val="24"/>
          <w:szCs w:val="28"/>
        </w:rPr>
        <w:t>Seita.8G190200</w:t>
      </w:r>
      <w:r>
        <w:rPr>
          <w:rFonts w:ascii="Times New Roman" w:hAnsi="Times New Roman" w:eastAsia="Times New Roman" w:cs="Times New Roman"/>
          <w:b/>
          <w:bCs/>
          <w:color w:val="auto"/>
          <w:sz w:val="24"/>
          <w:szCs w:val="28"/>
        </w:rPr>
        <w:t xml:space="preserve"> gene families in foxtail millet</w:t>
      </w:r>
    </w:p>
    <w:p w14:paraId="42E6E817">
      <w:pPr>
        <w:spacing w:line="360" w:lineRule="auto"/>
        <w:ind w:firstLine="480" w:firstLineChars="200"/>
        <w:rPr>
          <w:rFonts w:ascii="Times New Roman" w:hAnsi="Times New Roman" w:eastAsia="Times New Roman" w:cs="Times New Roman"/>
          <w:color w:val="auto"/>
          <w:sz w:val="24"/>
        </w:rPr>
      </w:pPr>
      <w:r>
        <w:rPr>
          <w:rFonts w:ascii="Times New Roman" w:hAnsi="Times New Roman" w:eastAsia="Times New Roman" w:cs="Times New Roman"/>
          <w:color w:val="auto"/>
          <w:sz w:val="24"/>
          <w:szCs w:val="28"/>
        </w:rPr>
        <w:t xml:space="preserve">First, we used the phytozome website (https://phytozome-next.jgi.doe.gov/) to download the genome sequence and amino acid sequence of foxtail millet, sorghum and maize. The protein sequences of </w:t>
      </w:r>
      <w:r>
        <w:rPr>
          <w:rFonts w:ascii="Times New Roman" w:hAnsi="Times New Roman" w:eastAsia="Times New Roman" w:cs="Times New Roman"/>
          <w:i/>
          <w:iCs/>
          <w:color w:val="auto"/>
          <w:sz w:val="24"/>
          <w:szCs w:val="28"/>
        </w:rPr>
        <w:t>Seita.8G190200</w:t>
      </w:r>
      <w:r>
        <w:rPr>
          <w:rFonts w:ascii="Times New Roman" w:hAnsi="Times New Roman" w:eastAsia="Times New Roman" w:cs="Times New Roman"/>
          <w:color w:val="auto"/>
          <w:sz w:val="24"/>
          <w:szCs w:val="28"/>
        </w:rPr>
        <w:t xml:space="preserve"> were queried, and the whole cereal genome was blasted using tb tools. The threshold was set to be less than 1×10</w:t>
      </w:r>
      <w:r>
        <w:rPr>
          <w:rFonts w:ascii="Times New Roman" w:hAnsi="Times New Roman" w:eastAsia="Times New Roman" w:cs="Times New Roman"/>
          <w:color w:val="auto"/>
          <w:sz w:val="24"/>
          <w:szCs w:val="28"/>
          <w:vertAlign w:val="superscript"/>
        </w:rPr>
        <w:t>−5</w:t>
      </w:r>
      <w:r>
        <w:rPr>
          <w:rFonts w:ascii="Times New Roman" w:hAnsi="Times New Roman" w:eastAsia="Times New Roman" w:cs="Times New Roman"/>
          <w:color w:val="auto"/>
          <w:sz w:val="24"/>
          <w:szCs w:val="28"/>
        </w:rPr>
        <w:t>. MEGA11 software was employed to establish an evolutionary tree including members of the</w:t>
      </w:r>
      <w:r>
        <w:rPr>
          <w:rFonts w:ascii="Times New Roman" w:hAnsi="Times New Roman" w:eastAsia="Times New Roman" w:cs="Times New Roman"/>
          <w:i/>
          <w:iCs/>
          <w:color w:val="auto"/>
          <w:sz w:val="24"/>
          <w:szCs w:val="28"/>
        </w:rPr>
        <w:t xml:space="preserve"> Seita.8G190200</w:t>
      </w:r>
      <w:r>
        <w:rPr>
          <w:rFonts w:ascii="Times New Roman" w:hAnsi="Times New Roman" w:eastAsia="Times New Roman" w:cs="Times New Roman"/>
          <w:color w:val="auto"/>
          <w:sz w:val="24"/>
          <w:szCs w:val="28"/>
        </w:rPr>
        <w:t xml:space="preserve"> gene families, and the evolutionary tree was beautified using ITOL online website (https://itol.embl.de/).</w:t>
      </w:r>
    </w:p>
    <w:p w14:paraId="2F6295D8">
      <w:pPr>
        <w:spacing w:line="360" w:lineRule="auto"/>
        <w:rPr>
          <w:rFonts w:ascii="Times New Roman" w:hAnsi="Times New Roman" w:eastAsia="Times New Roman" w:cs="Times New Roman"/>
          <w:b/>
          <w:bCs/>
          <w:color w:val="auto"/>
          <w:sz w:val="24"/>
        </w:rPr>
      </w:pPr>
      <w:r>
        <w:rPr>
          <w:rFonts w:hint="eastAsia" w:ascii="Times New Roman" w:hAnsi="Times New Roman" w:eastAsia="宋体" w:cs="Times New Roman"/>
          <w:b/>
          <w:bCs/>
          <w:color w:val="auto"/>
          <w:sz w:val="24"/>
        </w:rPr>
        <w:t>2.</w:t>
      </w:r>
      <w:r>
        <w:rPr>
          <w:rFonts w:ascii="Times New Roman" w:hAnsi="Times New Roman" w:eastAsia="宋体" w:cs="Times New Roman"/>
          <w:b/>
          <w:bCs/>
          <w:color w:val="auto"/>
          <w:sz w:val="24"/>
        </w:rPr>
        <w:t xml:space="preserve"> </w:t>
      </w:r>
      <w:r>
        <w:rPr>
          <w:rFonts w:ascii="Times New Roman" w:hAnsi="Times New Roman" w:eastAsia="Times New Roman" w:cs="Times New Roman"/>
          <w:b/>
          <w:bCs/>
          <w:color w:val="auto"/>
          <w:sz w:val="24"/>
        </w:rPr>
        <w:t xml:space="preserve">The conserved motifs, domains, gene structures and cis-acting regulatory elements of </w:t>
      </w:r>
      <w:r>
        <w:rPr>
          <w:rFonts w:ascii="Times New Roman" w:hAnsi="Times New Roman" w:eastAsia="Times New Roman" w:cs="Times New Roman"/>
          <w:b/>
          <w:bCs/>
          <w:i/>
          <w:iCs/>
          <w:color w:val="auto"/>
          <w:sz w:val="24"/>
        </w:rPr>
        <w:t>Seita.8G190200</w:t>
      </w:r>
      <w:r>
        <w:rPr>
          <w:rFonts w:ascii="Times New Roman" w:hAnsi="Times New Roman" w:eastAsia="Times New Roman" w:cs="Times New Roman"/>
          <w:b/>
          <w:bCs/>
          <w:color w:val="auto"/>
          <w:sz w:val="24"/>
        </w:rPr>
        <w:t xml:space="preserve"> gene families were analyzed</w:t>
      </w:r>
    </w:p>
    <w:p w14:paraId="741B50FD">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rPr>
        <w:t xml:space="preserve">TBtools software was used to analyze the </w:t>
      </w:r>
      <w:r>
        <w:rPr>
          <w:rFonts w:ascii="Times New Roman" w:hAnsi="Times New Roman" w:eastAsia="Times New Roman" w:cs="Times New Roman"/>
          <w:color w:val="auto"/>
          <w:sz w:val="24"/>
          <w:szCs w:val="28"/>
        </w:rPr>
        <w:t xml:space="preserve">foxtail </w:t>
      </w:r>
      <w:r>
        <w:rPr>
          <w:rFonts w:ascii="Times New Roman" w:hAnsi="Times New Roman" w:eastAsia="Times New Roman" w:cs="Times New Roman"/>
          <w:color w:val="auto"/>
          <w:sz w:val="24"/>
        </w:rPr>
        <w:t xml:space="preserve">millet Gff3 file, extract the </w:t>
      </w:r>
      <w:r>
        <w:rPr>
          <w:rFonts w:ascii="Times New Roman" w:hAnsi="Times New Roman" w:eastAsia="Times New Roman" w:cs="Times New Roman"/>
          <w:i/>
          <w:iCs/>
          <w:color w:val="auto"/>
          <w:sz w:val="24"/>
        </w:rPr>
        <w:t>Seita.8G190200</w:t>
      </w:r>
      <w:r>
        <w:rPr>
          <w:rFonts w:ascii="Times New Roman" w:hAnsi="Times New Roman" w:eastAsia="Times New Roman" w:cs="Times New Roman"/>
          <w:color w:val="auto"/>
          <w:sz w:val="24"/>
        </w:rPr>
        <w:t xml:space="preserve"> gene sequence, and complete the visual analysis of gene structure. The identification and characterization of conserved protein motifs in foxtail millet were performed using the MEME (https://meme-suite.org/index.html)</w:t>
      </w:r>
      <w:r>
        <w:rPr>
          <w:rFonts w:ascii="Times New Roman" w:hAnsi="Times New Roman" w:eastAsia="Times New Roman" w:cs="Times New Roman"/>
          <w:color w:val="auto"/>
          <w:sz w:val="24"/>
        </w:rPr>
        <w:fldChar w:fldCharType="begin"/>
      </w:r>
      <w:r>
        <w:rPr>
          <w:rFonts w:hint="eastAsia" w:ascii="Times New Roman" w:hAnsi="Times New Roman" w:eastAsia="宋体" w:cs="Times New Roman"/>
          <w:color w:val="auto"/>
          <w:sz w:val="24"/>
          <w:lang w:eastAsia="zh-CN"/>
        </w:rPr>
        <w:instrText xml:space="preserve"> ADDIN EN.CITE &lt;EndNote&gt;&lt;Cite&gt;&lt;Author&gt;Bailey&lt;/Author&gt;&lt;Year&gt;2009&lt;/Year&gt;&lt;RecNum&gt;122&lt;/RecNum&gt;&lt;DisplayText&gt;&lt;style face="superscript"&gt;[1]&lt;/style&gt;&lt;/DisplayText&gt;&lt;record&gt;&lt;rec-number&gt;122&lt;/rec-number&gt;&lt;foreign-keys&gt;&lt;key app="EN" db-id="0taswwz2r29zr3e0zeope0wfrpa555dvft2a" timestamp="1740967467"&gt;122&lt;/key&gt;&lt;/foreign-keys&gt;&lt;ref-type name="Journal Article"&gt;17&lt;/ref-type&gt;&lt;contributors&gt;&lt;authors&gt;&lt;author&gt;Bailey, Timothy L&lt;/author&gt;&lt;author&gt;Boden, Mikael&lt;/author&gt;&lt;author&gt;Buske, Fabian A&lt;/author&gt;&lt;author&gt;Frith, Martin&lt;/author&gt;&lt;author&gt;Grant, Charles E&lt;/author&gt;&lt;author&gt;Clementi, Luca&lt;/author&gt;&lt;author&gt;Ren, Jingyuan&lt;/author&gt;&lt;author&gt;Li, Wilfred W&lt;/author&gt;&lt;author&gt;Noble, William S&lt;/author&gt;&lt;/authors&gt;&lt;/contributors&gt;&lt;titles&gt;&lt;title&gt;MEME SUITE: tools for motif discovery and searching&lt;/title&gt;&lt;secondary-title&gt;Nucleic acids research&lt;/secondary-title&gt;&lt;/titles&gt;&lt;periodical&gt;&lt;full-title&gt;Nucleic acids research&lt;/full-title&gt;&lt;/periodical&gt;&lt;pages&gt;W202-W208&lt;/pages&gt;&lt;volume&gt;37&lt;/volume&gt;&lt;number&gt;suppl_2&lt;/number&gt;&lt;dates&gt;&lt;year&gt;2009&lt;/year&gt;&lt;/dates&gt;&lt;isbn&gt;1362-4962&lt;/isbn&gt;&lt;urls&gt;&lt;/urls&gt;&lt;/record&gt;&lt;/Cite&gt;&lt;Cite&gt;&lt;Author&gt;Bailey&lt;/Author&gt;&lt;Year&gt;2009&lt;/Year&gt;&lt;RecNum&gt;122&lt;/RecNum&gt;&lt;record&gt;&lt;rec-number&gt;122&lt;/rec-number&gt;&lt;foreign-keys&gt;&lt;key app="EN" db-id="0taswwz2r29zr3e0zeope0wfrpa555dvft2a" timestamp="1740967467"&gt;122&lt;/key&gt;&lt;/foreign-keys&gt;&lt;ref-type name="Journal Article"&gt;17&lt;/ref-type&gt;&lt;contributors&gt;&lt;authors&gt;&lt;author&gt;Bailey, Timothy L&lt;/author&gt;&lt;author&gt;Boden, Mikael&lt;/author&gt;&lt;author&gt;Buske, Fabian A&lt;/author&gt;&lt;author&gt;Frith, Martin&lt;/author&gt;&lt;author&gt;Grant, Charles E&lt;/author&gt;&lt;author&gt;Clementi, Luca&lt;/author&gt;&lt;author&gt;Ren, Jingyuan&lt;/author&gt;&lt;author&gt;Li, Wilfred W&lt;/author&gt;&lt;author&gt;Noble, William S&lt;/author&gt;&lt;/authors&gt;&lt;/contributors&gt;&lt;titles&gt;&lt;title&gt;MEME SUITE: tools for motif discovery and searching&lt;/title&gt;&lt;secondary-title&gt;Nucleic acids research&lt;/secondary-title&gt;&lt;/titles&gt;&lt;periodical&gt;&lt;full-title&gt;Nucleic acids research&lt;/full-title&gt;&lt;/periodical&gt;&lt;pages&gt;W202-W208&lt;/pages&gt;&lt;volume&gt;37&lt;/volume&gt;&lt;number&gt;suppl_2&lt;/number&gt;&lt;dates&gt;&lt;year&gt;2009&lt;/year&gt;&lt;/dates&gt;&lt;isbn&gt;1362-4962&lt;/isbn&gt;&lt;urls&gt;&lt;/urls&gt;&lt;/record&gt;&lt;/Cite&gt;&lt;/EndNote&gt;</w:instrText>
      </w:r>
      <w:r>
        <w:rPr>
          <w:rFonts w:ascii="Times New Roman" w:hAnsi="Times New Roman" w:eastAsia="Times New Roman" w:cs="Times New Roman"/>
          <w:color w:val="auto"/>
          <w:sz w:val="24"/>
        </w:rPr>
        <w:fldChar w:fldCharType="separate"/>
      </w:r>
      <w:r>
        <w:rPr>
          <w:rFonts w:hint="eastAsia" w:ascii="Times New Roman" w:hAnsi="Times New Roman" w:eastAsia="Times New Roman" w:cs="Times New Roman"/>
          <w:color w:val="auto"/>
          <w:kern w:val="2"/>
          <w:sz w:val="24"/>
          <w:szCs w:val="24"/>
          <w:vertAlign w:val="superscript"/>
          <w:lang w:val="en-US" w:eastAsia="zh-CN" w:bidi="ar-SA"/>
        </w:rPr>
        <w:t>[1]</w:t>
      </w:r>
      <w:r>
        <w:rPr>
          <w:rFonts w:ascii="Times New Roman" w:hAnsi="Times New Roman" w:eastAsia="Times New Roman" w:cs="Times New Roman"/>
          <w:color w:val="auto"/>
          <w:sz w:val="24"/>
        </w:rPr>
        <w:fldChar w:fldCharType="end"/>
      </w:r>
      <w:r>
        <w:rPr>
          <w:rFonts w:ascii="Times New Roman" w:hAnsi="Times New Roman" w:eastAsia="Times New Roman" w:cs="Times New Roman"/>
          <w:color w:val="auto"/>
          <w:sz w:val="24"/>
        </w:rPr>
        <w:t xml:space="preserve"> for computational analysis. The result were subsequently visualized and annotated through TBtools, enabling detailed structural and functional interpretation of the identified conserved domains. TBtools software is utilized to extract </w:t>
      </w:r>
      <w:r>
        <w:rPr>
          <w:rFonts w:ascii="Times New Roman" w:hAnsi="Times New Roman" w:eastAsia="Times New Roman" w:cs="Times New Roman"/>
          <w:i/>
          <w:iCs/>
          <w:color w:val="auto"/>
          <w:sz w:val="24"/>
        </w:rPr>
        <w:t>Seita.8G190200</w:t>
      </w:r>
      <w:r>
        <w:rPr>
          <w:rFonts w:ascii="Times New Roman" w:hAnsi="Times New Roman" w:eastAsia="Times New Roman" w:cs="Times New Roman"/>
          <w:color w:val="auto"/>
          <w:sz w:val="24"/>
        </w:rPr>
        <w:t xml:space="preserve"> gene upstream members start codon 2000 bp sequence, in PlantCARE (http://bioinformatics.psb.ugent.be/)</w:t>
      </w:r>
      <w:r>
        <w:rPr>
          <w:rFonts w:ascii="Times New Roman" w:hAnsi="Times New Roman" w:eastAsia="Times New Roman" w:cs="Times New Roman"/>
          <w:color w:val="auto"/>
          <w:sz w:val="24"/>
        </w:rPr>
        <w:fldChar w:fldCharType="begin"/>
      </w:r>
      <w:r>
        <w:rPr>
          <w:rFonts w:hint="eastAsia" w:ascii="Times New Roman" w:hAnsi="Times New Roman" w:eastAsia="宋体" w:cs="Times New Roman"/>
          <w:color w:val="auto"/>
          <w:sz w:val="24"/>
          <w:lang w:eastAsia="zh-CN"/>
        </w:rPr>
        <w:instrText xml:space="preserve"> ADDIN EN.CITE &lt;EndNote&gt;&lt;Cite&gt;&lt;Author&gt;Lescot&lt;/Author&gt;&lt;Year&gt;2002&lt;/Year&gt;&lt;RecNum&gt;123&lt;/RecNum&gt;&lt;DisplayText&gt;&lt;style face="superscript"&gt;[2]&lt;/style&gt;&lt;/DisplayText&gt;&lt;record&gt;&lt;rec-number&gt;123&lt;/rec-number&gt;&lt;foreign-keys&gt;&lt;key app="EN" db-id="0taswwz2r29zr3e0zeope0wfrpa555dvft2a" timestamp="1740967469"&gt;123&lt;/key&gt;&lt;/foreign-keys&gt;&lt;ref-type name="Journal Article"&gt;17&lt;/ref-type&gt;&lt;contributors&gt;&lt;authors&gt;&lt;author&gt;Lescot, Magali&lt;/author&gt;&lt;author&gt;Déhais, Patrice&lt;/author&gt;&lt;author&gt;Thijs, Gert&lt;/author&gt;&lt;author&gt;Marchal, Kathleen&lt;/author&gt;&lt;author&gt;Moreau, Yves&lt;/author&gt;&lt;author&gt;Van de Peer, Yves&lt;/author&gt;&lt;author&gt;Rouzé, Pierre&lt;/author&gt;&lt;author&gt;Rombauts, Stephane&lt;/author&gt;&lt;/authors&gt;&lt;/contributors&gt;&lt;titles&gt;&lt;title&gt;PlantCARE, a database of plant cis-acting regulatory elements and a portal to tools for in silico analysis of promoter sequences&lt;/title&gt;&lt;secondary-title&gt;Nucleic acids research&lt;/secondary-title&gt;&lt;/titles&gt;&lt;periodical&gt;&lt;full-title&gt;Nucleic acids research&lt;/full-title&gt;&lt;/periodical&gt;&lt;pages&gt;325-327&lt;/pages&gt;&lt;volume&gt;30&lt;/volume&gt;&lt;number&gt;1&lt;/number&gt;&lt;dates&gt;&lt;year&gt;2002&lt;/year&gt;&lt;/dates&gt;&lt;isbn&gt;1362-4962&lt;/isbn&gt;&lt;urls&gt;&lt;/urls&gt;&lt;/record&gt;&lt;/Cite&gt;&lt;/EndNote&gt;</w:instrText>
      </w:r>
      <w:r>
        <w:rPr>
          <w:rFonts w:ascii="Times New Roman" w:hAnsi="Times New Roman" w:eastAsia="Times New Roman" w:cs="Times New Roman"/>
          <w:color w:val="auto"/>
          <w:sz w:val="24"/>
        </w:rPr>
        <w:fldChar w:fldCharType="separate"/>
      </w:r>
      <w:r>
        <w:rPr>
          <w:rFonts w:hint="eastAsia" w:ascii="Times New Roman" w:hAnsi="Times New Roman" w:eastAsia="Times New Roman" w:cs="Times New Roman"/>
          <w:color w:val="auto"/>
          <w:kern w:val="2"/>
          <w:sz w:val="24"/>
          <w:szCs w:val="24"/>
          <w:vertAlign w:val="superscript"/>
          <w:lang w:val="en-US" w:eastAsia="zh-CN" w:bidi="ar-SA"/>
        </w:rPr>
        <w:t>[2]</w:t>
      </w:r>
      <w:r>
        <w:rPr>
          <w:rFonts w:ascii="Times New Roman" w:hAnsi="Times New Roman" w:eastAsia="Times New Roman" w:cs="Times New Roman"/>
          <w:color w:val="auto"/>
          <w:sz w:val="24"/>
        </w:rPr>
        <w:fldChar w:fldCharType="end"/>
      </w:r>
      <w:r>
        <w:rPr>
          <w:rFonts w:ascii="Times New Roman" w:hAnsi="Times New Roman" w:eastAsia="Times New Roman" w:cs="Times New Roman"/>
          <w:color w:val="auto"/>
          <w:sz w:val="24"/>
        </w:rPr>
        <w:t xml:space="preserve"> online website predict the cis element, it is also visualized by TBtools software.</w:t>
      </w:r>
    </w:p>
    <w:p w14:paraId="56FEEBBA">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3.</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 xml:space="preserve">Chromosomal localization and collinearity analysis of </w:t>
      </w:r>
      <w:r>
        <w:rPr>
          <w:rFonts w:ascii="Times New Roman" w:hAnsi="Times New Roman" w:eastAsia="Times New Roman" w:cs="Times New Roman"/>
          <w:b/>
          <w:bCs/>
          <w:i/>
          <w:iCs/>
          <w:color w:val="auto"/>
          <w:sz w:val="24"/>
          <w:szCs w:val="28"/>
        </w:rPr>
        <w:t>Seita.8G190200</w:t>
      </w:r>
      <w:r>
        <w:rPr>
          <w:rFonts w:ascii="Times New Roman" w:hAnsi="Times New Roman" w:eastAsia="Times New Roman" w:cs="Times New Roman"/>
          <w:b/>
          <w:bCs/>
          <w:color w:val="auto"/>
          <w:sz w:val="24"/>
          <w:szCs w:val="28"/>
        </w:rPr>
        <w:t xml:space="preserve"> gene family members</w:t>
      </w:r>
    </w:p>
    <w:p w14:paraId="0CA6151E">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 xml:space="preserve">The chromosome locations of </w:t>
      </w:r>
      <w:r>
        <w:rPr>
          <w:rFonts w:ascii="Times New Roman" w:hAnsi="Times New Roman" w:eastAsia="Times New Roman" w:cs="Times New Roman"/>
          <w:i/>
          <w:iCs/>
          <w:color w:val="auto"/>
          <w:sz w:val="24"/>
          <w:szCs w:val="28"/>
        </w:rPr>
        <w:t>Seita.8G190200</w:t>
      </w:r>
      <w:r>
        <w:rPr>
          <w:rFonts w:ascii="Times New Roman" w:hAnsi="Times New Roman" w:eastAsia="Times New Roman" w:cs="Times New Roman"/>
          <w:color w:val="auto"/>
          <w:sz w:val="24"/>
          <w:szCs w:val="28"/>
        </w:rPr>
        <w:t xml:space="preserve"> were located using the GTF/GFF gene location visualization tool in TBtools. In addition, collinearity analysis of </w:t>
      </w:r>
      <w:r>
        <w:rPr>
          <w:rFonts w:ascii="Times New Roman" w:hAnsi="Times New Roman" w:eastAsia="Times New Roman" w:cs="Times New Roman"/>
          <w:i/>
          <w:iCs/>
          <w:color w:val="auto"/>
          <w:sz w:val="24"/>
          <w:szCs w:val="28"/>
        </w:rPr>
        <w:t>Seita.8G190200</w:t>
      </w:r>
      <w:r>
        <w:rPr>
          <w:rFonts w:ascii="Times New Roman" w:hAnsi="Times New Roman" w:eastAsia="Times New Roman" w:cs="Times New Roman"/>
          <w:color w:val="auto"/>
          <w:sz w:val="24"/>
          <w:szCs w:val="28"/>
        </w:rPr>
        <w:t xml:space="preserve"> family genes was performed using one-step MCScanX</w:t>
      </w:r>
      <w:r>
        <w:rPr>
          <w:rFonts w:ascii="Times New Roman" w:hAnsi="Times New Roman" w:eastAsia="Times New Roman" w:cs="Times New Roman"/>
          <w:color w:val="auto"/>
          <w:sz w:val="24"/>
          <w:szCs w:val="28"/>
        </w:rPr>
        <w:fldChar w:fldCharType="begin"/>
      </w:r>
      <w:r>
        <w:rPr>
          <w:rFonts w:hint="eastAsia" w:ascii="Times New Roman" w:hAnsi="Times New Roman" w:eastAsia="宋体" w:cs="Times New Roman"/>
          <w:color w:val="auto"/>
          <w:sz w:val="24"/>
          <w:szCs w:val="28"/>
          <w:lang w:eastAsia="zh-CN"/>
        </w:rPr>
        <w:instrText xml:space="preserve"> ADDIN EN.CITE &lt;EndNote&gt;&lt;Cite&gt;&lt;Author&gt;Wang&lt;/Author&gt;&lt;Year&gt;2012&lt;/Year&gt;&lt;RecNum&gt;124&lt;/RecNum&gt;&lt;DisplayText&gt;&lt;style face="superscript"&gt;[3]&lt;/style&gt;&lt;/DisplayText&gt;&lt;record&gt;&lt;rec-number&gt;124&lt;/rec-number&gt;&lt;foreign-keys&gt;&lt;key app="EN" db-id="0taswwz2r29zr3e0zeope0wfrpa555dvft2a" timestamp="1740967472"&gt;124&lt;/key&gt;&lt;/foreign-keys&gt;&lt;ref-type name="Journal Article"&gt;17&lt;/ref-type&gt;&lt;contributors&gt;&lt;authors&gt;&lt;author&gt;Wang, Yupeng&lt;/author&gt;&lt;author&gt;Tang, Haibao&lt;/author&gt;&lt;author&gt;DeBarry, Jeremy D&lt;/author&gt;&lt;author&gt;Tan, Xu&lt;/author&gt;&lt;author&gt;Li, Jingping&lt;/author&gt;&lt;author&gt;Wang, Xiyin&lt;/author&gt;&lt;author&gt;Lee, Tae-ho&lt;/author&gt;&lt;author&gt;Jin, Huizhe&lt;/author&gt;&lt;author&gt;Marler, Barry&lt;/author&gt;&lt;author&gt;Guo, Hui&lt;/author&gt;&lt;/authors&gt;&lt;/contributors&gt;&lt;titles&gt;&lt;title&gt;MCScanX: a toolkit for detection and evolutionary analysis of gene synteny and collinearity&lt;/title&gt;&lt;secondary-title&gt;Nucleic acids research&lt;/secondary-title&gt;&lt;/titles&gt;&lt;periodical&gt;&lt;full-title&gt;Nucleic acids research&lt;/full-title&gt;&lt;/periodical&gt;&lt;pages&gt;e49-e49&lt;/pages&gt;&lt;volume&gt;40&lt;/volume&gt;&lt;number&gt;7&lt;/number&gt;&lt;dates&gt;&lt;year&gt;2012&lt;/year&gt;&lt;/dates&gt;&lt;isbn&gt;1362-4962&lt;/isbn&gt;&lt;urls&gt;&lt;/urls&gt;&lt;/record&gt;&lt;/Cite&gt;&lt;/EndNote&gt;</w:instrText>
      </w:r>
      <w:r>
        <w:rPr>
          <w:rFonts w:ascii="Times New Roman" w:hAnsi="Times New Roman" w:eastAsia="Times New Roman" w:cs="Times New Roman"/>
          <w:color w:val="auto"/>
          <w:sz w:val="24"/>
          <w:szCs w:val="28"/>
        </w:rPr>
        <w:fldChar w:fldCharType="separate"/>
      </w:r>
      <w:r>
        <w:rPr>
          <w:rFonts w:hint="eastAsia" w:ascii="Times New Roman" w:hAnsi="Times New Roman" w:eastAsia="Times New Roman" w:cs="Times New Roman"/>
          <w:color w:val="auto"/>
          <w:kern w:val="2"/>
          <w:sz w:val="24"/>
          <w:szCs w:val="28"/>
          <w:vertAlign w:val="superscript"/>
          <w:lang w:val="en-US" w:eastAsia="zh-CN" w:bidi="ar-SA"/>
        </w:rPr>
        <w:t>[3]</w:t>
      </w:r>
      <w:r>
        <w:rPr>
          <w:rFonts w:ascii="Times New Roman" w:hAnsi="Times New Roman" w:eastAsia="Times New Roman" w:cs="Times New Roman"/>
          <w:color w:val="auto"/>
          <w:sz w:val="24"/>
          <w:szCs w:val="28"/>
        </w:rPr>
        <w:fldChar w:fldCharType="end"/>
      </w:r>
      <w:r>
        <w:rPr>
          <w:rFonts w:ascii="Times New Roman" w:hAnsi="Times New Roman" w:eastAsia="Times New Roman" w:cs="Times New Roman"/>
          <w:color w:val="auto"/>
          <w:sz w:val="24"/>
          <w:szCs w:val="28"/>
        </w:rPr>
        <w:t>, and the results were visualized using TBtools' Advanced Circos program.</w:t>
      </w:r>
    </w:p>
    <w:p w14:paraId="5A84CB81">
      <w:pPr>
        <w:spacing w:line="360" w:lineRule="auto"/>
        <w:rPr>
          <w:rFonts w:ascii="Times New Roman" w:hAnsi="Times New Roman" w:eastAsia="Times New Roman" w:cs="Times New Roman"/>
          <w:color w:val="auto"/>
          <w:sz w:val="24"/>
          <w:szCs w:val="28"/>
        </w:rPr>
      </w:pPr>
      <w:r>
        <w:rPr>
          <w:rFonts w:hint="eastAsia" w:ascii="Times New Roman" w:hAnsi="Times New Roman" w:eastAsia="宋体" w:cs="Times New Roman"/>
          <w:b/>
          <w:bCs/>
          <w:color w:val="auto"/>
          <w:sz w:val="24"/>
          <w:szCs w:val="28"/>
        </w:rPr>
        <w:t>4.</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Plasmid construction and functional verification of transgenic seedlings in foxtail millet</w:t>
      </w:r>
    </w:p>
    <w:p w14:paraId="33800921">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 xml:space="preserve">Targeted to knock out </w:t>
      </w:r>
      <w:r>
        <w:rPr>
          <w:rFonts w:ascii="Times New Roman" w:hAnsi="Times New Roman" w:eastAsia="Times New Roman" w:cs="Times New Roman"/>
          <w:i/>
          <w:iCs/>
          <w:color w:val="auto"/>
          <w:sz w:val="24"/>
          <w:szCs w:val="28"/>
        </w:rPr>
        <w:t>Seita.8G19</w:t>
      </w:r>
      <w:r>
        <w:rPr>
          <w:rFonts w:hint="eastAsia" w:ascii="Times New Roman" w:hAnsi="Times New Roman" w:eastAsia="宋体" w:cs="Times New Roman"/>
          <w:i/>
          <w:iCs/>
          <w:color w:val="auto"/>
          <w:sz w:val="24"/>
          <w:szCs w:val="28"/>
          <w:lang w:val="en-US" w:eastAsia="zh-CN"/>
        </w:rPr>
        <w:t>02</w:t>
      </w:r>
      <w:r>
        <w:rPr>
          <w:rFonts w:ascii="Times New Roman" w:hAnsi="Times New Roman" w:eastAsia="Times New Roman" w:cs="Times New Roman"/>
          <w:i/>
          <w:iCs/>
          <w:color w:val="auto"/>
          <w:sz w:val="24"/>
          <w:szCs w:val="28"/>
        </w:rPr>
        <w:t>00</w:t>
      </w:r>
      <w:r>
        <w:rPr>
          <w:rFonts w:ascii="Times New Roman" w:hAnsi="Times New Roman" w:eastAsia="Times New Roman" w:cs="Times New Roman"/>
          <w:color w:val="auto"/>
          <w:sz w:val="24"/>
          <w:szCs w:val="28"/>
        </w:rPr>
        <w:t>, a platform (https://home.firefoxchina.cn/) is used to design sgRNA oligonucleotides. It was cloned into the CRISPR/Cas9 vector pHUE411 to create the pHUE411-Cas9 knockout construct. They were transformed into Escherichia coli, identified by PCR, sent for sequencing, and then shaken to extract plasmid. Then the plasmid was sent to Wuhan BioRun Bio-Tech Co.,</w:t>
      </w:r>
      <w:r>
        <w:rPr>
          <w:rFonts w:hint="eastAsia" w:ascii="Times New Roman" w:hAnsi="Times New Roman" w:cs="Times New Roman"/>
          <w:color w:val="auto"/>
          <w:sz w:val="24"/>
          <w:szCs w:val="28"/>
        </w:rPr>
        <w:t xml:space="preserve"> </w:t>
      </w:r>
      <w:r>
        <w:rPr>
          <w:rFonts w:ascii="Times New Roman" w:hAnsi="Times New Roman" w:eastAsia="Times New Roman" w:cs="Times New Roman"/>
          <w:color w:val="auto"/>
          <w:sz w:val="24"/>
          <w:szCs w:val="28"/>
        </w:rPr>
        <w:t>Ltd and transformed into callus induced by mature seeds of foxtail millet variety Ci846 for genetic transformation using the Agrobacterium tumefaciens-mediated (EHA105) transformation method</w:t>
      </w:r>
      <w:r>
        <w:rPr>
          <w:rFonts w:ascii="Times New Roman" w:hAnsi="Times New Roman" w:eastAsia="Times New Roman" w:cs="Times New Roman"/>
          <w:color w:val="auto"/>
          <w:sz w:val="24"/>
        </w:rPr>
        <w:fldChar w:fldCharType="begin"/>
      </w:r>
      <w:r>
        <w:rPr>
          <w:rFonts w:hint="eastAsia" w:ascii="Times New Roman" w:hAnsi="Times New Roman" w:eastAsia="宋体" w:cs="Times New Roman"/>
          <w:color w:val="auto"/>
          <w:sz w:val="24"/>
          <w:lang w:eastAsia="zh-CN"/>
        </w:rPr>
        <w:instrText xml:space="preserve"> ADDIN EN.CITE &lt;EndNote&gt;&lt;Cite&gt;&lt;Author&gt;Santos&lt;/Author&gt;&lt;Year&gt;2020&lt;/Year&gt;&lt;RecNum&gt;125&lt;/RecNum&gt;&lt;DisplayText&gt;&lt;style face="superscript"&gt;[4]&lt;/style&gt;&lt;/DisplayText&gt;&lt;record&gt;&lt;rec-number&gt;125&lt;/rec-number&gt;&lt;foreign-keys&gt;&lt;key app="EN" db-id="0taswwz2r29zr3e0zeope0wfrpa555dvft2a" timestamp="1740967475"&gt;125&lt;/key&gt;&lt;/foreign-keys&gt;&lt;ref-type name="Journal Article"&gt;17&lt;/ref-type&gt;&lt;contributors&gt;&lt;authors&gt;&lt;author&gt;Santos, CM&lt;/author&gt;&lt;author&gt;Romeiro, D&lt;/author&gt;&lt;author&gt;Silva, JP&lt;/author&gt;&lt;author&gt;Basso, MF&lt;/author&gt;&lt;author&gt;Molinari, HBC&lt;/author&gt;&lt;author&gt;Centeno, DC&lt;/author&gt;&lt;/authors&gt;&lt;/contributors&gt;&lt;titles&gt;&lt;title&gt;An improved protocol for efficient transformation and regeneration of Setaria italica&lt;/title&gt;&lt;secondary-title&gt;Plant Cell Reports&lt;/secondary-title&gt;&lt;/titles&gt;&lt;periodical&gt;&lt;full-title&gt;Plant Cell Reports&lt;/full-title&gt;&lt;/periodical&gt;&lt;pages&gt;501-510&lt;/pages&gt;&lt;volume&gt;39&lt;/volume&gt;&lt;dates&gt;&lt;year&gt;2020&lt;/year&gt;&lt;/dates&gt;&lt;isbn&gt;0721-7714&lt;/isbn&gt;&lt;urls&gt;&lt;/urls&gt;&lt;/record&gt;&lt;/Cite&gt;&lt;/EndNote&gt;</w:instrText>
      </w:r>
      <w:r>
        <w:rPr>
          <w:rFonts w:ascii="Times New Roman" w:hAnsi="Times New Roman" w:eastAsia="Times New Roman" w:cs="Times New Roman"/>
          <w:color w:val="auto"/>
          <w:sz w:val="24"/>
        </w:rPr>
        <w:fldChar w:fldCharType="separate"/>
      </w:r>
      <w:r>
        <w:rPr>
          <w:rFonts w:hint="eastAsia" w:ascii="Times New Roman" w:hAnsi="Times New Roman" w:eastAsia="Times New Roman" w:cs="Times New Roman"/>
          <w:color w:val="auto"/>
          <w:kern w:val="2"/>
          <w:sz w:val="24"/>
          <w:szCs w:val="24"/>
          <w:vertAlign w:val="superscript"/>
          <w:lang w:val="en-US" w:eastAsia="zh-CN" w:bidi="ar-SA"/>
        </w:rPr>
        <w:t>[4]</w:t>
      </w:r>
      <w:r>
        <w:rPr>
          <w:rFonts w:ascii="Times New Roman" w:hAnsi="Times New Roman" w:eastAsia="Times New Roman" w:cs="Times New Roman"/>
          <w:color w:val="auto"/>
          <w:sz w:val="24"/>
        </w:rPr>
        <w:fldChar w:fldCharType="end"/>
      </w:r>
      <w:r>
        <w:rPr>
          <w:rFonts w:ascii="Times New Roman" w:hAnsi="Times New Roman" w:eastAsia="Times New Roman" w:cs="Times New Roman"/>
          <w:color w:val="auto"/>
          <w:sz w:val="24"/>
        </w:rPr>
        <w:t>.</w:t>
      </w:r>
      <w:r>
        <w:rPr>
          <w:rFonts w:ascii="Times New Roman" w:hAnsi="Times New Roman" w:eastAsia="Times New Roman" w:cs="Times New Roman"/>
          <w:color w:val="auto"/>
          <w:sz w:val="24"/>
          <w:szCs w:val="28"/>
        </w:rPr>
        <w:t xml:space="preserve"> All transgenic lines were confirmed by targeted genome sequencing. Primers of plasmid vector construction for genome editing of </w:t>
      </w:r>
      <w:r>
        <w:rPr>
          <w:rFonts w:ascii="Times New Roman" w:hAnsi="Times New Roman" w:eastAsia="Times New Roman" w:cs="Times New Roman"/>
          <w:i/>
          <w:iCs/>
          <w:color w:val="auto"/>
          <w:sz w:val="24"/>
          <w:szCs w:val="28"/>
        </w:rPr>
        <w:t>Seita.8G190200</w:t>
      </w:r>
      <w:r>
        <w:rPr>
          <w:rFonts w:ascii="Times New Roman" w:hAnsi="Times New Roman" w:eastAsia="Times New Roman" w:cs="Times New Roman"/>
          <w:color w:val="auto"/>
          <w:sz w:val="24"/>
          <w:szCs w:val="28"/>
        </w:rPr>
        <w:t xml:space="preserve"> are listed in </w:t>
      </w:r>
      <w:r>
        <w:rPr>
          <w:rFonts w:hint="eastAsia" w:ascii="Times New Roman" w:hAnsi="Times New Roman" w:eastAsia="Times New Roman" w:cs="Times New Roman"/>
          <w:b w:val="0"/>
          <w:bCs w:val="0"/>
          <w:color w:val="auto"/>
          <w:sz w:val="24"/>
        </w:rPr>
        <w:t>Supplementary Table S</w:t>
      </w:r>
      <w:r>
        <w:rPr>
          <w:rFonts w:hint="eastAsia" w:ascii="Times New Roman" w:hAnsi="Times New Roman" w:eastAsia="宋体" w:cs="Times New Roman"/>
          <w:b w:val="0"/>
          <w:bCs w:val="0"/>
          <w:color w:val="auto"/>
          <w:sz w:val="24"/>
          <w:lang w:val="en-US" w:eastAsia="zh-CN"/>
        </w:rPr>
        <w:t>2</w:t>
      </w:r>
      <w:r>
        <w:rPr>
          <w:rFonts w:ascii="Times New Roman" w:hAnsi="Times New Roman" w:eastAsia="Times New Roman" w:cs="Times New Roman"/>
          <w:color w:val="auto"/>
          <w:sz w:val="24"/>
          <w:szCs w:val="28"/>
        </w:rPr>
        <w:t>.</w:t>
      </w:r>
    </w:p>
    <w:p w14:paraId="51EAF4BA">
      <w:pPr>
        <w:spacing w:line="360" w:lineRule="auto"/>
        <w:rPr>
          <w:rFonts w:ascii="Times New Roman" w:hAnsi="Times New Roman" w:eastAsia="Times New Roman" w:cs="Times New Roman"/>
          <w:color w:val="auto"/>
          <w:sz w:val="24"/>
          <w:szCs w:val="28"/>
        </w:rPr>
      </w:pPr>
      <w:r>
        <w:rPr>
          <w:rFonts w:hint="eastAsia" w:ascii="Times New Roman" w:hAnsi="Times New Roman" w:eastAsia="宋体" w:cs="Times New Roman"/>
          <w:b/>
          <w:bCs/>
          <w:color w:val="auto"/>
          <w:sz w:val="24"/>
          <w:szCs w:val="28"/>
        </w:rPr>
        <w:t>5.</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Plant materials and growth conditions</w:t>
      </w:r>
    </w:p>
    <w:p w14:paraId="3DBB772F">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During the 2024 growing season (May-October), the experimental materials, including Ci846 along with</w:t>
      </w:r>
      <w:r>
        <w:rPr>
          <w:rFonts w:ascii="Times New Roman" w:hAnsi="Times New Roman" w:eastAsia="Times New Roman" w:cs="Times New Roman"/>
          <w:i/>
          <w:iCs/>
          <w:color w:val="auto"/>
          <w:sz w:val="24"/>
          <w:szCs w:val="28"/>
        </w:rPr>
        <w:t xml:space="preserve"> ko1</w:t>
      </w:r>
      <w:r>
        <w:rPr>
          <w:rFonts w:ascii="Times New Roman" w:hAnsi="Times New Roman" w:eastAsia="Times New Roman" w:cs="Times New Roman"/>
          <w:color w:val="auto"/>
          <w:sz w:val="24"/>
          <w:szCs w:val="28"/>
        </w:rPr>
        <w:t xml:space="preserve"> and </w:t>
      </w:r>
      <w:r>
        <w:rPr>
          <w:rFonts w:ascii="Times New Roman" w:hAnsi="Times New Roman" w:eastAsia="Times New Roman" w:cs="Times New Roman"/>
          <w:i/>
          <w:iCs/>
          <w:color w:val="auto"/>
          <w:sz w:val="24"/>
          <w:szCs w:val="28"/>
        </w:rPr>
        <w:t>ko2</w:t>
      </w:r>
      <w:r>
        <w:rPr>
          <w:rFonts w:ascii="Times New Roman" w:hAnsi="Times New Roman" w:eastAsia="Times New Roman" w:cs="Times New Roman"/>
          <w:color w:val="auto"/>
          <w:sz w:val="24"/>
          <w:szCs w:val="28"/>
        </w:rPr>
        <w:t>, were cultivated at the Shenfeng experimental station located in Jinzhong City, Shanxi Province, China (geographical coordinates: 37°25′ N, 112°35′ E). For comprehensive phenotypic evaluation, ten randomly selected seeds from both the wild type and the gene editing lines were subjected to detailed morphological characterization. Quantitative measurements of key agronomic traits, including grain length, grain width and 1000-</w:t>
      </w:r>
      <w:r>
        <w:rPr>
          <w:rFonts w:ascii="Times New Roman" w:hAnsi="Times New Roman" w:eastAsia="宋体" w:cs="Times New Roman"/>
          <w:color w:val="auto"/>
          <w:sz w:val="24"/>
          <w:szCs w:val="28"/>
        </w:rPr>
        <w:t>grain</w:t>
      </w:r>
      <w:r>
        <w:rPr>
          <w:rFonts w:ascii="Times New Roman" w:hAnsi="Times New Roman" w:eastAsia="Times New Roman" w:cs="Times New Roman"/>
          <w:color w:val="auto"/>
          <w:sz w:val="24"/>
          <w:szCs w:val="28"/>
        </w:rPr>
        <w:t xml:space="preserve"> weight, were performed using the automated seed analysis system (Model SC-G, Wanshen).</w:t>
      </w:r>
    </w:p>
    <w:p w14:paraId="5BD82A54">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6.</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Genotyping of edited plants</w:t>
      </w:r>
    </w:p>
    <w:p w14:paraId="0EDCB3B5">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To identify of the gene editing lines, genomic DNA extraction was performed using the standardized CTAB (cetyltrimethylammonium bromide) protocol</w:t>
      </w:r>
      <w:r>
        <w:rPr>
          <w:rFonts w:ascii="Times New Roman" w:hAnsi="Times New Roman" w:eastAsia="Times New Roman" w:cs="Times New Roman"/>
          <w:color w:val="auto"/>
          <w:sz w:val="24"/>
          <w:szCs w:val="28"/>
        </w:rPr>
        <w:fldChar w:fldCharType="begin"/>
      </w:r>
      <w:r>
        <w:rPr>
          <w:rFonts w:hint="eastAsia" w:ascii="Times New Roman" w:hAnsi="Times New Roman" w:eastAsia="宋体" w:cs="Times New Roman"/>
          <w:color w:val="auto"/>
          <w:sz w:val="24"/>
          <w:szCs w:val="28"/>
          <w:lang w:eastAsia="zh-CN"/>
        </w:rPr>
        <w:instrText xml:space="preserve"> ADDIN EN.CITE &lt;EndNote&gt;&lt;Cite&gt;&lt;Author&gt;Murray&lt;/Author&gt;&lt;Year&gt;1980&lt;/Year&gt;&lt;RecNum&gt;126&lt;/RecNum&gt;&lt;DisplayText&gt;&lt;style face="superscript"&gt;[5]&lt;/style&gt;&lt;/DisplayText&gt;&lt;record&gt;&lt;rec-number&gt;126&lt;/rec-number&gt;&lt;foreign-keys&gt;&lt;key app="EN" db-id="0taswwz2r29zr3e0zeope0wfrpa555dvft2a" timestamp="1740967478"&gt;126&lt;/key&gt;&lt;/foreign-keys&gt;&lt;ref-type name="Journal Article"&gt;17&lt;/ref-type&gt;&lt;contributors&gt;&lt;authors&gt;&lt;author&gt;Murray, MG&lt;/author&gt;&lt;author&gt;Thompson, WF324241&lt;/author&gt;&lt;/authors&gt;&lt;/contributors&gt;&lt;titles&gt;&lt;title&gt;Rapid isolation of high molecular weight plant DNA&lt;/title&gt;&lt;secondary-title&gt;Nucleic acids research&lt;/secondary-title&gt;&lt;/titles&gt;&lt;periodical&gt;&lt;full-title&gt;Nucleic acids research&lt;/full-title&gt;&lt;/periodical&gt;&lt;pages&gt;4321-4326&lt;/pages&gt;&lt;volume&gt;8&lt;/volume&gt;&lt;number&gt;19&lt;/number&gt;&lt;dates&gt;&lt;year&gt;1980&lt;/year&gt;&lt;/dates&gt;&lt;isbn&gt;1362-4962&lt;/isbn&gt;&lt;urls&gt;&lt;/urls&gt;&lt;/record&gt;&lt;/Cite&gt;&lt;/EndNote&gt;</w:instrText>
      </w:r>
      <w:r>
        <w:rPr>
          <w:rFonts w:ascii="Times New Roman" w:hAnsi="Times New Roman" w:eastAsia="Times New Roman" w:cs="Times New Roman"/>
          <w:color w:val="auto"/>
          <w:sz w:val="24"/>
          <w:szCs w:val="28"/>
        </w:rPr>
        <w:fldChar w:fldCharType="separate"/>
      </w:r>
      <w:r>
        <w:rPr>
          <w:rFonts w:hint="eastAsia" w:ascii="Times New Roman" w:hAnsi="Times New Roman" w:eastAsia="Times New Roman" w:cs="Times New Roman"/>
          <w:color w:val="auto"/>
          <w:kern w:val="2"/>
          <w:sz w:val="24"/>
          <w:szCs w:val="28"/>
          <w:vertAlign w:val="superscript"/>
          <w:lang w:val="en-US" w:eastAsia="zh-CN" w:bidi="ar-SA"/>
        </w:rPr>
        <w:t>[5]</w:t>
      </w:r>
      <w:r>
        <w:rPr>
          <w:rFonts w:ascii="Times New Roman" w:hAnsi="Times New Roman" w:eastAsia="Times New Roman" w:cs="Times New Roman"/>
          <w:color w:val="auto"/>
          <w:sz w:val="24"/>
          <w:szCs w:val="28"/>
        </w:rPr>
        <w:fldChar w:fldCharType="end"/>
      </w:r>
      <w:r>
        <w:rPr>
          <w:rFonts w:ascii="Times New Roman" w:hAnsi="Times New Roman" w:eastAsia="Times New Roman" w:cs="Times New Roman"/>
          <w:color w:val="auto"/>
          <w:sz w:val="24"/>
          <w:szCs w:val="28"/>
        </w:rPr>
        <w:t>. Amplification of genomic regions flanking CRISPR/Cas9 target sites was achieved through PCR using specific primers (</w:t>
      </w:r>
      <w:r>
        <w:rPr>
          <w:rFonts w:hint="eastAsia" w:ascii="Times New Roman" w:hAnsi="Times New Roman" w:eastAsia="Times New Roman" w:cs="Times New Roman"/>
          <w:b w:val="0"/>
          <w:bCs w:val="0"/>
          <w:color w:val="auto"/>
          <w:sz w:val="24"/>
        </w:rPr>
        <w:t>Supplementary Table S</w:t>
      </w:r>
      <w:r>
        <w:rPr>
          <w:rFonts w:hint="eastAsia" w:ascii="Times New Roman" w:hAnsi="Times New Roman" w:eastAsia="宋体" w:cs="Times New Roman"/>
          <w:b w:val="0"/>
          <w:bCs w:val="0"/>
          <w:color w:val="auto"/>
          <w:sz w:val="24"/>
          <w:lang w:val="en-US" w:eastAsia="zh-CN"/>
        </w:rPr>
        <w:t>1</w:t>
      </w:r>
      <w:r>
        <w:rPr>
          <w:rFonts w:ascii="Times New Roman" w:hAnsi="Times New Roman" w:eastAsia="Times New Roman" w:cs="Times New Roman"/>
          <w:color w:val="auto"/>
          <w:sz w:val="24"/>
          <w:szCs w:val="28"/>
        </w:rPr>
        <w:t>). The resulting amplicons were subjected to Sanger sequencing, and the electrophoretograms were subsequently analyzed using the Degenerate Sequence Decoding algorithm to precisely identify and characterize the mutation</w:t>
      </w:r>
      <w:r>
        <w:rPr>
          <w:rFonts w:ascii="Times New Roman" w:hAnsi="Times New Roman" w:eastAsia="Times New Roman" w:cs="Times New Roman"/>
          <w:color w:val="auto"/>
          <w:sz w:val="24"/>
          <w:szCs w:val="28"/>
        </w:rPr>
        <w:fldChar w:fldCharType="begin"/>
      </w:r>
      <w:r>
        <w:rPr>
          <w:rFonts w:hint="eastAsia" w:ascii="Times New Roman" w:hAnsi="Times New Roman" w:eastAsia="宋体" w:cs="Times New Roman"/>
          <w:color w:val="auto"/>
          <w:sz w:val="24"/>
          <w:szCs w:val="28"/>
          <w:lang w:eastAsia="zh-CN"/>
        </w:rPr>
        <w:instrText xml:space="preserve"> ADDIN EN.CITE &lt;EndNote&gt;&lt;Cite&gt;&lt;Author&gt;Liu&lt;/Author&gt;&lt;Year&gt;2015&lt;/Year&gt;&lt;RecNum&gt;127&lt;/RecNum&gt;&lt;DisplayText&gt;&lt;style face="superscript"&gt;[6]&lt;/style&gt;&lt;/DisplayText&gt;&lt;record&gt;&lt;rec-number&gt;127&lt;/rec-number&gt;&lt;foreign-keys&gt;&lt;key app="EN" db-id="0taswwz2r29zr3e0zeope0wfrpa555dvft2a" timestamp="1740967481"&gt;127&lt;/key&gt;&lt;/foreign-keys&gt;&lt;ref-type name="Journal Article"&gt;17&lt;/ref-type&gt;&lt;contributors&gt;&lt;authors&gt;&lt;author&gt;Liu, Weizhi&lt;/author&gt;&lt;author&gt;Xie, Xianrong&lt;/author&gt;&lt;author&gt;Ma, Xingliang&lt;/author&gt;&lt;author&gt;Li, Jun&lt;/author&gt;&lt;author&gt;Chen, Jiehu&lt;/author&gt;&lt;author&gt;Liu, Yao-Guang&lt;/author&gt;&lt;/authors&gt;&lt;/contributors&gt;&lt;titles&gt;&lt;title&gt;DSDecode: a web-based tool for decoding of sequencing chromatograms for genotyping of targeted mutations&lt;/title&gt;&lt;secondary-title&gt;Molecular plant&lt;/secondary-title&gt;&lt;/titles&gt;&lt;periodical&gt;&lt;full-title&gt;Molecular Plant&lt;/full-title&gt;&lt;/periodical&gt;&lt;pages&gt;1431-1433&lt;/pages&gt;&lt;volume&gt;8&lt;/volume&gt;&lt;number&gt;9&lt;/number&gt;&lt;dates&gt;&lt;year&gt;2015&lt;/year&gt;&lt;/dates&gt;&lt;isbn&gt;1674-2052&lt;/isbn&gt;&lt;urls&gt;&lt;/urls&gt;&lt;/record&gt;&lt;/Cite&gt;&lt;/EndNote&gt;</w:instrText>
      </w:r>
      <w:r>
        <w:rPr>
          <w:rFonts w:ascii="Times New Roman" w:hAnsi="Times New Roman" w:eastAsia="Times New Roman" w:cs="Times New Roman"/>
          <w:color w:val="auto"/>
          <w:sz w:val="24"/>
          <w:szCs w:val="28"/>
        </w:rPr>
        <w:fldChar w:fldCharType="separate"/>
      </w:r>
      <w:r>
        <w:rPr>
          <w:rFonts w:hint="eastAsia" w:ascii="Times New Roman" w:hAnsi="Times New Roman" w:eastAsia="Times New Roman" w:cs="Times New Roman"/>
          <w:color w:val="auto"/>
          <w:kern w:val="2"/>
          <w:sz w:val="24"/>
          <w:szCs w:val="28"/>
          <w:vertAlign w:val="superscript"/>
          <w:lang w:val="en-US" w:eastAsia="zh-CN" w:bidi="ar-SA"/>
        </w:rPr>
        <w:t>[6]</w:t>
      </w:r>
      <w:r>
        <w:rPr>
          <w:rFonts w:ascii="Times New Roman" w:hAnsi="Times New Roman" w:eastAsia="Times New Roman" w:cs="Times New Roman"/>
          <w:color w:val="auto"/>
          <w:sz w:val="24"/>
          <w:szCs w:val="28"/>
        </w:rPr>
        <w:fldChar w:fldCharType="end"/>
      </w:r>
      <w:r>
        <w:rPr>
          <w:rFonts w:ascii="Times New Roman" w:hAnsi="Times New Roman" w:eastAsia="Times New Roman" w:cs="Times New Roman"/>
          <w:color w:val="auto"/>
          <w:sz w:val="24"/>
          <w:szCs w:val="28"/>
        </w:rPr>
        <w:t>.</w:t>
      </w:r>
    </w:p>
    <w:p w14:paraId="43E6DC67">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7.</w:t>
      </w:r>
      <w:r>
        <w:rPr>
          <w:rFonts w:ascii="Times New Roman" w:hAnsi="Times New Roman" w:eastAsia="宋体" w:cs="Times New Roman"/>
          <w:b/>
          <w:bCs/>
          <w:color w:val="auto"/>
          <w:sz w:val="24"/>
          <w:szCs w:val="28"/>
        </w:rPr>
        <w:t xml:space="preserve"> Prolamin protein</w:t>
      </w:r>
      <w:r>
        <w:rPr>
          <w:rFonts w:ascii="Times New Roman" w:hAnsi="Times New Roman" w:eastAsia="Times New Roman" w:cs="Times New Roman"/>
          <w:b/>
          <w:bCs/>
          <w:color w:val="auto"/>
          <w:sz w:val="24"/>
          <w:szCs w:val="28"/>
        </w:rPr>
        <w:t xml:space="preserve"> measurement</w:t>
      </w:r>
    </w:p>
    <w:p w14:paraId="0AA2375C">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 xml:space="preserve">A total of 50 mg grains were precisely weighed from individual samples of both wild type and gene editing lines. </w:t>
      </w:r>
      <w:r>
        <w:rPr>
          <w:rFonts w:ascii="Times New Roman" w:hAnsi="Times New Roman" w:eastAsia="宋体" w:cs="Times New Roman"/>
          <w:color w:val="auto"/>
          <w:sz w:val="24"/>
          <w:szCs w:val="28"/>
        </w:rPr>
        <w:t>Prolamin</w:t>
      </w:r>
      <w:r>
        <w:rPr>
          <w:rFonts w:ascii="Times New Roman" w:hAnsi="Times New Roman" w:eastAsia="Times New Roman" w:cs="Times New Roman"/>
          <w:color w:val="auto"/>
          <w:sz w:val="24"/>
          <w:szCs w:val="28"/>
        </w:rPr>
        <w:t xml:space="preserve"> protein quantification was performed according to the manufacturer's protocol using a commercial Plant Gliadin ELISA Kit</w:t>
      </w:r>
      <w:r>
        <w:rPr>
          <w:rFonts w:ascii="Times New Roman" w:hAnsi="Times New Roman" w:eastAsia="宋体" w:cs="Times New Roman"/>
          <w:color w:val="auto"/>
          <w:sz w:val="24"/>
          <w:szCs w:val="28"/>
        </w:rPr>
        <w:t xml:space="preserve"> (JINZHIYAN Biotechnology Co.,</w:t>
      </w:r>
      <w:r>
        <w:rPr>
          <w:rFonts w:hint="eastAsia" w:ascii="Times New Roman" w:hAnsi="Times New Roman" w:eastAsia="宋体" w:cs="Times New Roman"/>
          <w:color w:val="auto"/>
          <w:sz w:val="24"/>
          <w:szCs w:val="28"/>
        </w:rPr>
        <w:t xml:space="preserve"> </w:t>
      </w:r>
      <w:r>
        <w:rPr>
          <w:rFonts w:ascii="Times New Roman" w:hAnsi="Times New Roman" w:eastAsia="宋体" w:cs="Times New Roman"/>
          <w:color w:val="auto"/>
          <w:sz w:val="24"/>
          <w:szCs w:val="28"/>
        </w:rPr>
        <w:t xml:space="preserve">Ltd., </w:t>
      </w:r>
      <w:r>
        <w:rPr>
          <w:rFonts w:ascii="Times New Roman" w:hAnsi="Times New Roman" w:eastAsia="Times New Roman" w:cs="Times New Roman"/>
          <w:color w:val="auto"/>
          <w:sz w:val="24"/>
          <w:szCs w:val="28"/>
        </w:rPr>
        <w:t>Beijing</w:t>
      </w:r>
      <w:r>
        <w:rPr>
          <w:rFonts w:ascii="Times New Roman" w:hAnsi="Times New Roman" w:eastAsia="宋体" w:cs="Times New Roman"/>
          <w:color w:val="auto"/>
          <w:sz w:val="24"/>
          <w:szCs w:val="28"/>
        </w:rPr>
        <w:t>)</w:t>
      </w:r>
      <w:r>
        <w:rPr>
          <w:rFonts w:ascii="Times New Roman" w:hAnsi="Times New Roman" w:eastAsia="Times New Roman" w:cs="Times New Roman"/>
          <w:color w:val="auto"/>
          <w:sz w:val="24"/>
          <w:szCs w:val="28"/>
        </w:rPr>
        <w:t>.</w:t>
      </w:r>
    </w:p>
    <w:p w14:paraId="0C327308">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8.</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Amino acid metabolites profling</w:t>
      </w:r>
    </w:p>
    <w:p w14:paraId="0673ACA3">
      <w:pPr>
        <w:spacing w:line="360" w:lineRule="auto"/>
        <w:ind w:firstLine="480" w:firstLineChars="200"/>
        <w:rPr>
          <w:rFonts w:ascii="Times New Roman" w:hAnsi="Times New Roman" w:eastAsia="Times New Roman" w:cs="Times New Roman"/>
          <w:color w:val="auto"/>
          <w:sz w:val="24"/>
        </w:rPr>
      </w:pPr>
      <w:r>
        <w:rPr>
          <w:rFonts w:ascii="Times New Roman" w:hAnsi="Times New Roman" w:eastAsia="Times New Roman" w:cs="Times New Roman"/>
          <w:color w:val="auto"/>
          <w:sz w:val="24"/>
        </w:rPr>
        <w:t xml:space="preserve">Amino acids and their metabolites were analyzed utilizing the AB Sciex QTRAP 6500 LC-MS/MS platform through collaboration with MetWare (http://www.metware.cn/). Seed samples from the wild type and </w:t>
      </w:r>
      <w:r>
        <w:rPr>
          <w:rFonts w:ascii="Times New Roman" w:hAnsi="Times New Roman" w:eastAsia="Times New Roman" w:cs="Times New Roman"/>
          <w:color w:val="auto"/>
          <w:sz w:val="24"/>
          <w:szCs w:val="28"/>
        </w:rPr>
        <w:t>the gene editing lines</w:t>
      </w:r>
      <w:r>
        <w:rPr>
          <w:rFonts w:ascii="Times New Roman" w:hAnsi="Times New Roman" w:eastAsia="Times New Roman" w:cs="Times New Roman"/>
          <w:color w:val="auto"/>
          <w:sz w:val="24"/>
        </w:rPr>
        <w:t xml:space="preserve"> were initially thawed and mechanically homogenized. For extraction, 0.05 g aliquots of homogenized samples were mixed with 500 µL of 70% methanol aqueous solution. Following vortex mixing at 2500 rpm for 3 minutes, the samples were centrifuged at 12000 rpm (4 °C) for 10 minutes. A 300 μL aliquot of the resulting supernatant was transferred to a fresh centrifuge tube and incubated at -20 °C for 30 minutes. Subsequent centrifugation was performed under identical conditions (12000 rpm, 4 °C, 10 minutes). Finally, 200 μL of the clarified supernatant was filtered through a protein precipitation plate prior to LC-MS analysis.</w:t>
      </w:r>
    </w:p>
    <w:p w14:paraId="1EB29B92">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9.</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The sugar metabolites profling</w:t>
      </w:r>
    </w:p>
    <w:p w14:paraId="4506E5EA">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Sugar contents were detected by MetWare (http://www.metware.cn/) based on the Agilent 8890-5977B platform. Seed samples from both wild</w:t>
      </w:r>
      <w:r>
        <w:rPr>
          <w:rFonts w:ascii="Times New Roman" w:hAnsi="Times New Roman" w:eastAsia="宋体" w:cs="Times New Roman"/>
          <w:color w:val="auto"/>
          <w:sz w:val="24"/>
          <w:szCs w:val="28"/>
        </w:rPr>
        <w:t xml:space="preserve"> </w:t>
      </w:r>
      <w:r>
        <w:rPr>
          <w:rFonts w:ascii="Times New Roman" w:hAnsi="Times New Roman" w:eastAsia="Times New Roman" w:cs="Times New Roman"/>
          <w:color w:val="auto"/>
          <w:sz w:val="24"/>
          <w:szCs w:val="28"/>
        </w:rPr>
        <w:t>type and gene editing lines were homogenized using a Retsch MM 400 mixer mill equipped with zirconia beads (30 Hz, 1.5 min). A 20 mg aliquot of the resulting powder was extracted with 500 μL of methanol: isopropanol: water (3:3:2, v/v/v) through sequential vortexing (3 min) and ultrasonication (30 min). Following centrifugation (12,000 rpm, 4 °C, 3 min), 50 μL of supernatant was combined with 20 μL internal standard solution (1000 μg/mL) and concentrated under nitrogen. The concentrated extract was lyophilized, and the resulting residue was reserved for subsequent derivatization.</w:t>
      </w:r>
    </w:p>
    <w:p w14:paraId="34AF0C7D">
      <w:pPr>
        <w:spacing w:line="360" w:lineRule="auto"/>
        <w:ind w:firstLine="480" w:firstLineChars="200"/>
        <w:rPr>
          <w:rFonts w:ascii="Times New Roman" w:hAnsi="Times New Roman" w:eastAsia="Times New Roman" w:cs="Times New Roman"/>
          <w:color w:val="auto"/>
          <w:sz w:val="24"/>
        </w:rPr>
      </w:pPr>
      <w:r>
        <w:rPr>
          <w:rFonts w:ascii="Times New Roman" w:hAnsi="Times New Roman" w:eastAsia="Times New Roman" w:cs="Times New Roman"/>
          <w:color w:val="auto"/>
          <w:sz w:val="24"/>
        </w:rPr>
        <w:t>Derivatization was performed by sequentially adding 100 μL of methoxyamine hydrochloride in pyridine (15 mg/mL) to each sample, followed by incubation at 37 °C for 2 hours. Subsequently, 100 μL of BSTFA was introduced, and the mixture was vortexed and maintained at 37 °C for an additional 30 minutes. The derivatized samples were diluted to optimal concentrations for GC-MS analysis, following established protocols</w:t>
      </w:r>
      <w:r>
        <w:rPr>
          <w:rFonts w:ascii="Times New Roman" w:hAnsi="Times New Roman" w:eastAsia="Times New Roman" w:cs="Times New Roman"/>
          <w:color w:val="auto"/>
          <w:sz w:val="24"/>
          <w:szCs w:val="28"/>
        </w:rPr>
        <w:fldChar w:fldCharType="begin">
          <w:fldData xml:space="preserve">PEVuZE5vdGU+PENpdGU+PEF1dGhvcj5XdTwvQXV0aG9yPjxZZWFyPjIwMTY8L1llYXI+PFJlY051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</w:fldData>
        </w:fldChar>
      </w:r>
      <w:r>
        <w:rPr>
          <w:rFonts w:hint="eastAsia" w:ascii="Times New Roman" w:hAnsi="Times New Roman" w:eastAsia="宋体" w:cs="Times New Roman"/>
          <w:color w:val="auto"/>
          <w:sz w:val="24"/>
          <w:szCs w:val="28"/>
          <w:lang w:eastAsia="zh-CN"/>
        </w:rPr>
        <w:instrText xml:space="preserve"> ADDIN EN.CITE </w:instrText>
      </w:r>
      <w:r>
        <w:rPr>
          <w:rFonts w:hint="eastAsia" w:ascii="Times New Roman" w:hAnsi="Times New Roman" w:eastAsia="宋体" w:cs="Times New Roman"/>
          <w:color w:val="auto"/>
          <w:sz w:val="24"/>
          <w:szCs w:val="28"/>
          <w:lang w:eastAsia="zh-CN"/>
        </w:rPr>
        <w:fldChar w:fldCharType="begin">
          <w:fldData xml:space="preserve">PEVuZE5vdGU+PENpdGU+PEF1dGhvcj5XdTwvQXV0aG9yPjxZZWFyPjIwMTY8L1llYXI+PFJlY051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</w:fldData>
        </w:fldChar>
      </w:r>
      <w:r>
        <w:rPr>
          <w:rFonts w:hint="eastAsia" w:ascii="Times New Roman" w:hAnsi="Times New Roman" w:eastAsia="宋体" w:cs="Times New Roman"/>
          <w:color w:val="auto"/>
          <w:sz w:val="24"/>
          <w:szCs w:val="28"/>
          <w:lang w:eastAsia="zh-CN"/>
        </w:rPr>
        <w:instrText xml:space="preserve"> ADDIN EN.CITE.DATA </w:instrText>
      </w:r>
      <w:r>
        <w:rPr>
          <w:rFonts w:hint="eastAsia" w:ascii="Times New Roman" w:hAnsi="Times New Roman" w:eastAsia="宋体" w:cs="Times New Roman"/>
          <w:color w:val="auto"/>
          <w:sz w:val="24"/>
          <w:szCs w:val="28"/>
          <w:lang w:eastAsia="zh-CN"/>
        </w:rPr>
        <w:fldChar w:fldCharType="separate"/>
      </w:r>
      <w:r>
        <w:rPr>
          <w:rFonts w:hint="eastAsia" w:ascii="Times New Roman" w:hAnsi="Times New Roman" w:eastAsia="宋体" w:cs="Times New Roman"/>
          <w:color w:val="auto"/>
          <w:sz w:val="24"/>
          <w:szCs w:val="28"/>
          <w:lang w:eastAsia="zh-CN"/>
        </w:rPr>
        <w:fldChar w:fldCharType="end"/>
      </w:r>
      <w:r>
        <w:rPr>
          <w:rFonts w:ascii="Times New Roman" w:hAnsi="Times New Roman" w:eastAsia="Times New Roman" w:cs="Times New Roman"/>
          <w:color w:val="auto"/>
          <w:sz w:val="24"/>
          <w:szCs w:val="28"/>
        </w:rPr>
        <w:fldChar w:fldCharType="separate"/>
      </w:r>
      <w:r>
        <w:rPr>
          <w:rFonts w:hint="eastAsia" w:ascii="Times New Roman" w:hAnsi="Times New Roman" w:eastAsia="Times New Roman" w:cs="Times New Roman"/>
          <w:color w:val="auto"/>
          <w:kern w:val="2"/>
          <w:sz w:val="24"/>
          <w:szCs w:val="28"/>
          <w:vertAlign w:val="superscript"/>
          <w:lang w:val="en-US" w:eastAsia="zh-CN" w:bidi="ar-SA"/>
        </w:rPr>
        <w:t>[7-10]</w:t>
      </w:r>
      <w:r>
        <w:rPr>
          <w:rFonts w:ascii="Times New Roman" w:hAnsi="Times New Roman" w:eastAsia="Times New Roman" w:cs="Times New Roman"/>
          <w:color w:val="auto"/>
          <w:sz w:val="24"/>
          <w:szCs w:val="28"/>
        </w:rPr>
        <w:fldChar w:fldCharType="end"/>
      </w:r>
      <w:r>
        <w:rPr>
          <w:rFonts w:ascii="Times New Roman" w:hAnsi="Times New Roman" w:eastAsia="Times New Roman" w:cs="Times New Roman"/>
          <w:color w:val="auto"/>
          <w:sz w:val="24"/>
          <w:szCs w:val="28"/>
        </w:rPr>
        <w:t xml:space="preserve">. </w:t>
      </w:r>
      <w:r>
        <w:rPr>
          <w:rFonts w:ascii="Times New Roman" w:hAnsi="Times New Roman" w:eastAsia="Times New Roman" w:cs="Times New Roman"/>
          <w:color w:val="auto"/>
          <w:sz w:val="24"/>
        </w:rPr>
        <w:t>All analyses were conducted in triplicate.</w:t>
      </w:r>
    </w:p>
    <w:p w14:paraId="3A7EE004">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10.</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Near infrared analyzer</w:t>
      </w:r>
    </w:p>
    <w:p w14:paraId="3064D3AB">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The contents of moisture, ash, oil, protein, coarse fiber, starch, amylose</w:t>
      </w:r>
      <w:r>
        <w:rPr>
          <w:rFonts w:hint="eastAsia" w:ascii="Times New Roman" w:hAnsi="Times New Roman" w:eastAsia="宋体" w:cs="Times New Roman"/>
          <w:color w:val="auto"/>
          <w:sz w:val="24"/>
          <w:szCs w:val="28"/>
          <w:lang w:val="en-US" w:eastAsia="zh-CN"/>
        </w:rPr>
        <w:t>,</w:t>
      </w:r>
      <w:r>
        <w:rPr>
          <w:rFonts w:ascii="Times New Roman" w:hAnsi="Times New Roman" w:eastAsia="Times New Roman" w:cs="Times New Roman"/>
          <w:color w:val="auto"/>
          <w:sz w:val="24"/>
          <w:szCs w:val="28"/>
        </w:rPr>
        <w:t xml:space="preserve"> amylopectin</w:t>
      </w:r>
      <w:r>
        <w:rPr>
          <w:rFonts w:hint="eastAsia" w:ascii="Times New Roman" w:hAnsi="Times New Roman" w:eastAsia="宋体" w:cs="Times New Roman"/>
          <w:color w:val="auto"/>
          <w:sz w:val="24"/>
          <w:szCs w:val="28"/>
          <w:lang w:val="en-US" w:eastAsia="zh-CN"/>
        </w:rPr>
        <w:t>,</w:t>
      </w:r>
      <w:r>
        <w:rPr>
          <w:rFonts w:ascii="Times New Roman" w:hAnsi="Times New Roman" w:eastAsia="Times New Roman" w:cs="Times New Roman"/>
          <w:color w:val="auto"/>
          <w:sz w:val="24"/>
          <w:szCs w:val="28"/>
        </w:rPr>
        <w:t xml:space="preserve"> and carbohydrate in foxtail millet were determined by near infrared analyzer (NIRS, DA7250, </w:t>
      </w:r>
      <w:r>
        <w:rPr>
          <w:rFonts w:hint="eastAsia" w:ascii="Times New Roman" w:hAnsi="Times New Roman" w:eastAsia="宋体" w:cs="Times New Roman"/>
          <w:color w:val="auto"/>
          <w:sz w:val="24"/>
          <w:szCs w:val="28"/>
          <w:highlight w:val="none"/>
          <w:lang w:val="en-US" w:eastAsia="zh-CN"/>
        </w:rPr>
        <w:t>PerkinElmer</w:t>
      </w:r>
      <w:r>
        <w:rPr>
          <w:rFonts w:ascii="Times New Roman" w:hAnsi="Times New Roman" w:eastAsia="Times New Roman" w:cs="Times New Roman"/>
          <w:color w:val="auto"/>
          <w:sz w:val="24"/>
          <w:szCs w:val="28"/>
        </w:rPr>
        <w:t>).</w:t>
      </w:r>
    </w:p>
    <w:p w14:paraId="27191546">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11.</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Paste viscosity</w:t>
      </w:r>
    </w:p>
    <w:p w14:paraId="0851E338">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Paste characteristics were analyzed using a Ingredient Performance Analyzerr (Perkinelmer, America). A precisely weighed 3 g (dry basis) of foxtail millet flour was combined with distilled water in an RVA canister to achieve a total mass of 28 g. The mixture was homogenized using a specialized plastic paddle and subjected to a controlled thermal cycle at constant shear rate. The temperature protocol consisted of: initial equilibration at 50 °C (1 min), heating to 95 °C (12 °C/min), maintenance at 95 °C (2.5 min), cooling to 50 °C (12 °C/min), and final equilibration at 50 °C (2 min).</w:t>
      </w:r>
    </w:p>
    <w:p w14:paraId="48868514">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12.</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Stereo microscopic analysis</w:t>
      </w:r>
    </w:p>
    <w:p w14:paraId="6BAC30C5">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 xml:space="preserve">The changes of starch or lipid in WT, </w:t>
      </w:r>
      <w:r>
        <w:rPr>
          <w:rFonts w:ascii="Times New Roman" w:hAnsi="Times New Roman" w:eastAsia="Times New Roman" w:cs="Times New Roman"/>
          <w:i/>
          <w:iCs/>
          <w:color w:val="auto"/>
          <w:sz w:val="24"/>
          <w:szCs w:val="28"/>
        </w:rPr>
        <w:t>ko1</w:t>
      </w:r>
      <w:r>
        <w:rPr>
          <w:rFonts w:ascii="Times New Roman" w:hAnsi="Times New Roman" w:eastAsia="Times New Roman" w:cs="Times New Roman"/>
          <w:color w:val="auto"/>
          <w:sz w:val="24"/>
          <w:szCs w:val="28"/>
        </w:rPr>
        <w:t xml:space="preserve"> and </w:t>
      </w:r>
      <w:r>
        <w:rPr>
          <w:rFonts w:ascii="Times New Roman" w:hAnsi="Times New Roman" w:eastAsia="Times New Roman" w:cs="Times New Roman"/>
          <w:i/>
          <w:iCs/>
          <w:color w:val="auto"/>
          <w:sz w:val="24"/>
          <w:szCs w:val="28"/>
        </w:rPr>
        <w:t>ko2</w:t>
      </w:r>
      <w:r>
        <w:rPr>
          <w:rFonts w:ascii="Times New Roman" w:hAnsi="Times New Roman" w:eastAsia="Times New Roman" w:cs="Times New Roman"/>
          <w:color w:val="auto"/>
          <w:sz w:val="24"/>
          <w:szCs w:val="28"/>
        </w:rPr>
        <w:t xml:space="preserve"> grains were compared by stereo microscope (SZX16, Olympus, Japan). Median transverse sections of foxtail millet grains were manually prepared using a razor blade for histological analysis. The sections were sequentially stained with Lugol's iodine for starch detection, 0.1% (w/v) toluidine blue for general tissue visualization, and 0.5% (w/v) Sudan IV in chloroform for lipid identification. Stained sections were immediately examined and imaged using a microscope (BX51, Olympus, Japan).</w:t>
      </w:r>
    </w:p>
    <w:p w14:paraId="47D7F3F8">
      <w:pPr>
        <w:spacing w:line="360" w:lineRule="auto"/>
        <w:rPr>
          <w:rFonts w:ascii="Times New Roman" w:hAnsi="Times New Roman" w:eastAsia="Times New Roman" w:cs="Times New Roman"/>
          <w:b/>
          <w:bCs/>
          <w:color w:val="auto"/>
          <w:sz w:val="24"/>
          <w:szCs w:val="28"/>
        </w:rPr>
      </w:pPr>
      <w:r>
        <w:rPr>
          <w:rFonts w:hint="eastAsia" w:ascii="Times New Roman" w:hAnsi="Times New Roman" w:eastAsia="宋体" w:cs="Times New Roman"/>
          <w:b/>
          <w:bCs/>
          <w:color w:val="auto"/>
          <w:sz w:val="24"/>
          <w:szCs w:val="28"/>
        </w:rPr>
        <w:t>13.</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Staining procedures</w:t>
      </w:r>
    </w:p>
    <w:p w14:paraId="42B75B6B">
      <w:pPr>
        <w:spacing w:line="360" w:lineRule="auto"/>
        <w:ind w:firstLine="480" w:firstLineChars="200"/>
        <w:rPr>
          <w:rFonts w:ascii="Times New Roman" w:hAnsi="Times New Roman" w:eastAsia="Times New Roman" w:cs="Times New Roman"/>
          <w:color w:val="auto"/>
          <w:sz w:val="24"/>
          <w:szCs w:val="28"/>
        </w:rPr>
      </w:pPr>
      <w:r>
        <w:rPr>
          <w:rFonts w:ascii="Times New Roman" w:hAnsi="Times New Roman" w:eastAsia="Times New Roman" w:cs="Times New Roman"/>
          <w:color w:val="auto"/>
          <w:sz w:val="24"/>
          <w:szCs w:val="28"/>
        </w:rPr>
        <w:t>Hand sections are done with a sharp razor. Histochemical staining was performed using toluidine blue (0.1%), Sudan IV (0.5%), and Lugol's iodine (Coolaber, Beijing, China) following established protocols with minor modifications</w:t>
      </w:r>
      <w:r>
        <w:rPr>
          <w:rFonts w:ascii="Times New Roman" w:hAnsi="Times New Roman" w:eastAsia="Times New Roman" w:cs="Times New Roman"/>
          <w:color w:val="auto"/>
          <w:sz w:val="24"/>
          <w:szCs w:val="28"/>
        </w:rPr>
        <w:fldChar w:fldCharType="begin"/>
      </w:r>
      <w:r>
        <w:rPr>
          <w:rFonts w:hint="eastAsia" w:ascii="Times New Roman" w:hAnsi="Times New Roman" w:eastAsia="宋体" w:cs="Times New Roman"/>
          <w:color w:val="auto"/>
          <w:sz w:val="24"/>
          <w:szCs w:val="28"/>
          <w:lang w:eastAsia="zh-CN"/>
        </w:rPr>
        <w:instrText xml:space="preserve"> ADDIN EN.CITE &lt;EndNote&gt;&lt;Cite&gt;&lt;Author&gt;Wu&lt;/Author&gt;&lt;Year&gt;2016&lt;/Year&gt;&lt;RecNum&gt;132&lt;/RecNum&gt;&lt;DisplayText&gt;&lt;style face="superscript"&gt;[11,12]&lt;/style&gt;&lt;/DisplayText&gt;&lt;record&gt;&lt;rec-number&gt;132&lt;/rec-number&gt;&lt;foreign-keys&gt;&lt;key app="EN" db-id="0taswwz2r29zr3e0zeope0wfrpa555dvft2a" timestamp="1740967497"&gt;132&lt;/key&gt;&lt;/foreign-keys&gt;&lt;ref-type name="Journal Article"&gt;17&lt;/ref-type&gt;&lt;contributors&gt;&lt;authors&gt;&lt;author&gt;Wu, Xiaoba&lt;/author&gt;&lt;author&gt;Liu, Jinxin&lt;/author&gt;&lt;author&gt;Li, Dongqi&lt;/author&gt;&lt;author&gt;Liu, Chun‐Ming&lt;/author&gt;&lt;/authors&gt;&lt;/contributors&gt;&lt;titles&gt;&lt;title&gt;Rice caryopsis development I: dynamic changes in different cell layers&lt;/title&gt;&lt;secondary-title&gt;Journal of Integrative Plant Biology&lt;/secondary-title&gt;&lt;/titles&gt;&lt;periodical&gt;&lt;full-title&gt;Journal of integrative plant biology&lt;/full-title&gt;&lt;/periodical&gt;&lt;pages&gt;772-785&lt;/pages&gt;&lt;volume&gt;58&lt;/volume&gt;&lt;number&gt;9&lt;/number&gt;&lt;dates&gt;&lt;year&gt;2016&lt;/year&gt;&lt;/dates&gt;&lt;isbn&gt;1672-9072&lt;/isbn&gt;&lt;urls&gt;&lt;/urls&gt;&lt;/record&gt;&lt;/Cite&gt;&lt;Cite&gt;&lt;Author&gt;Grimault&lt;/Author&gt;&lt;Year&gt;2015&lt;/Year&gt;&lt;RecNum&gt;133&lt;/RecNum&gt;&lt;record&gt;&lt;rec-number&gt;133&lt;/rec-number&gt;&lt;foreign-keys&gt;&lt;key app="EN" db-id="0taswwz2r29zr3e0zeope0wfrpa555dvft2a" timestamp="1740967500"&gt;133&lt;/key&gt;&lt;/foreign-keys&gt;&lt;ref-type name="Journal Article"&gt;17&lt;/ref-type&gt;&lt;contributors&gt;&lt;authors&gt;&lt;author&gt;Grimault, Aurélie&lt;/author&gt;&lt;author&gt;Gendrot, Ghislaine&lt;/author&gt;&lt;author&gt;Chamot, Sophy&lt;/author&gt;&lt;author&gt;Widiez, Thomas&lt;/author&gt;&lt;author&gt;Rabillé, Hervé&lt;/author&gt;&lt;author&gt;Gérentes, Marie‐France&lt;/author&gt;&lt;author&gt;Creff, Audrey&lt;/author&gt;&lt;author&gt;Thévenin, Johanne&lt;/author&gt;&lt;author&gt;Dubreucq, Bertrand&lt;/author&gt;&lt;author&gt;Ingram, Gwyneth C&lt;/author&gt;&lt;/authors&gt;&lt;/contributors&gt;&lt;titles&gt;&lt;title&gt;Zm ZHOUPI, an endosperm‐specific basic helix–loop–helix transcription factor involved in maize seed development&lt;/title&gt;&lt;secondary-title&gt;The Plant Journal&lt;/secondary-title&gt;&lt;/titles&gt;&lt;periodical&gt;&lt;full-title&gt;The Plant Journal&lt;/full-title&gt;&lt;/periodical&gt;&lt;pages&gt;574-586&lt;/pages&gt;&lt;volume&gt;84&lt;/volume&gt;&lt;number&gt;3&lt;/number&gt;&lt;dates&gt;&lt;year&gt;2015&lt;/year&gt;&lt;/dates&gt;&lt;isbn&gt;0960-7412&lt;/isbn&gt;&lt;urls&gt;&lt;/urls&gt;&lt;/record&gt;&lt;/Cite&gt;&lt;/EndNote&gt;</w:instrText>
      </w:r>
      <w:r>
        <w:rPr>
          <w:rFonts w:ascii="Times New Roman" w:hAnsi="Times New Roman" w:eastAsia="Times New Roman" w:cs="Times New Roman"/>
          <w:color w:val="auto"/>
          <w:sz w:val="24"/>
          <w:szCs w:val="28"/>
        </w:rPr>
        <w:fldChar w:fldCharType="separate"/>
      </w:r>
      <w:r>
        <w:rPr>
          <w:rFonts w:hint="eastAsia" w:ascii="Times New Roman" w:hAnsi="Times New Roman" w:eastAsia="Times New Roman" w:cs="Times New Roman"/>
          <w:color w:val="auto"/>
          <w:kern w:val="2"/>
          <w:sz w:val="24"/>
          <w:szCs w:val="28"/>
          <w:vertAlign w:val="superscript"/>
          <w:lang w:val="en-US" w:eastAsia="zh-CN" w:bidi="ar-SA"/>
        </w:rPr>
        <w:t>[11,12]</w:t>
      </w:r>
      <w:r>
        <w:rPr>
          <w:rFonts w:ascii="Times New Roman" w:hAnsi="Times New Roman" w:eastAsia="Times New Roman" w:cs="Times New Roman"/>
          <w:color w:val="auto"/>
          <w:sz w:val="24"/>
          <w:szCs w:val="28"/>
        </w:rPr>
        <w:fldChar w:fldCharType="end"/>
      </w:r>
      <w:r>
        <w:rPr>
          <w:rFonts w:ascii="Times New Roman" w:hAnsi="Times New Roman" w:eastAsia="Times New Roman" w:cs="Times New Roman"/>
          <w:color w:val="auto"/>
          <w:sz w:val="24"/>
        </w:rPr>
        <w:t>.</w:t>
      </w:r>
      <w:r>
        <w:rPr>
          <w:rFonts w:ascii="Times New Roman" w:hAnsi="Times New Roman" w:eastAsia="Times New Roman" w:cs="Times New Roman"/>
          <w:color w:val="auto"/>
          <w:sz w:val="24"/>
          <w:szCs w:val="28"/>
        </w:rPr>
        <w:t xml:space="preserve"> Tissue sections were treated with toluidine blue (4 h) and Lugol's iodine (5 min), followed by distilled water rinsing. For lipid visualization, sections were stained with Sudan IV (24 h), washed with 70% alcohol, and transferred to distilled water. All stained sections were examined and documented using a microscope (BX51, Olympus, Japan).</w:t>
      </w:r>
    </w:p>
    <w:p w14:paraId="0F3AE80C">
      <w:pPr>
        <w:spacing w:line="360" w:lineRule="auto"/>
        <w:rPr>
          <w:rFonts w:ascii="Times New Roman" w:hAnsi="Times New Roman" w:eastAsia="Times New Roman" w:cs="Times New Roman"/>
          <w:color w:val="auto"/>
          <w:sz w:val="24"/>
          <w:szCs w:val="28"/>
        </w:rPr>
      </w:pPr>
      <w:r>
        <w:rPr>
          <w:rFonts w:hint="eastAsia" w:ascii="Times New Roman" w:hAnsi="Times New Roman" w:eastAsia="宋体" w:cs="Times New Roman"/>
          <w:b/>
          <w:bCs/>
          <w:color w:val="auto"/>
          <w:sz w:val="24"/>
          <w:szCs w:val="28"/>
        </w:rPr>
        <w:t>14.</w:t>
      </w:r>
      <w:r>
        <w:rPr>
          <w:rFonts w:ascii="Times New Roman" w:hAnsi="Times New Roman" w:eastAsia="宋体" w:cs="Times New Roman"/>
          <w:b/>
          <w:bCs/>
          <w:color w:val="auto"/>
          <w:sz w:val="24"/>
          <w:szCs w:val="28"/>
        </w:rPr>
        <w:t xml:space="preserve"> </w:t>
      </w:r>
      <w:r>
        <w:rPr>
          <w:rFonts w:ascii="Times New Roman" w:hAnsi="Times New Roman" w:eastAsia="Times New Roman" w:cs="Times New Roman"/>
          <w:b/>
          <w:bCs/>
          <w:color w:val="auto"/>
          <w:sz w:val="24"/>
          <w:szCs w:val="28"/>
        </w:rPr>
        <w:t>Statistical analysis</w:t>
      </w:r>
    </w:p>
    <w:p w14:paraId="61E4D578">
      <w:pPr>
        <w:spacing w:line="360" w:lineRule="auto"/>
        <w:ind w:firstLine="480" w:firstLineChars="200"/>
        <w:rPr>
          <w:rFonts w:ascii="Times New Roman" w:hAnsi="Times New Roman" w:eastAsia="宋体" w:cs="Times New Roman"/>
          <w:color w:val="auto"/>
          <w:sz w:val="24"/>
        </w:rPr>
      </w:pPr>
      <w:r>
        <w:rPr>
          <w:rFonts w:ascii="Times New Roman" w:hAnsi="Times New Roman" w:eastAsia="Times New Roman" w:cs="Times New Roman"/>
          <w:color w:val="auto"/>
          <w:sz w:val="24"/>
        </w:rPr>
        <w:t>Statistical analysis was performed using Prism 8.0 software (GraphPad Software, INC., USA). Data significance was assessed through one-way ANOVA, with Duncan's multiple comparison test applied for post-hoc analysis. A p-value threshold of less than 0.05 was set to determine statistical significance.</w:t>
      </w:r>
    </w:p>
    <w:p w14:paraId="22DE56E1">
      <w:pPr>
        <w:pStyle w:val="2"/>
        <w:rPr>
          <w:color w:val="auto"/>
          <w:sz w:val="24"/>
        </w:rPr>
      </w:pPr>
      <w:r>
        <w:rPr>
          <w:rFonts w:eastAsia="Times New Roman"/>
          <w:color w:val="auto"/>
          <w:sz w:val="24"/>
        </w:rPr>
        <w:t>References</w:t>
      </w:r>
    </w:p>
    <w:p w14:paraId="3EA05100">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ADDIN EN.REFLIST </w:instrText>
      </w:r>
      <w:r>
        <w:rPr>
          <w:rFonts w:hint="default" w:ascii="Times New Roman" w:hAnsi="Times New Roman" w:eastAsia="宋体" w:cs="Times New Roman"/>
          <w:color w:val="auto"/>
          <w:sz w:val="24"/>
          <w:szCs w:val="24"/>
        </w:rPr>
        <w:fldChar w:fldCharType="separate"/>
      </w:r>
      <w:r>
        <w:rPr>
          <w:rFonts w:hint="default" w:ascii="Times New Roman" w:hAnsi="Times New Roman" w:cs="Times New Roman" w:eastAsiaTheme="minorEastAsia"/>
          <w:color w:val="auto"/>
          <w:kern w:val="2"/>
          <w:sz w:val="24"/>
          <w:szCs w:val="24"/>
          <w:lang w:val="en-US" w:eastAsia="zh-CN" w:bidi="ar-SA"/>
        </w:rPr>
        <w:t>[1]</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Bailey TL, Boden M, Buske FA, Frith M, Grant CE, et al. 2009. MEME SUITE: tools for motif discovery and searching. </w:t>
      </w:r>
      <w:r>
        <w:rPr>
          <w:rFonts w:hint="default" w:ascii="Times New Roman" w:hAnsi="Times New Roman" w:cs="Times New Roman" w:eastAsiaTheme="minorEastAsia"/>
          <w:i/>
          <w:color w:val="auto"/>
          <w:kern w:val="2"/>
          <w:sz w:val="24"/>
          <w:szCs w:val="24"/>
          <w:lang w:val="en-US" w:eastAsia="zh-CN" w:bidi="ar-SA"/>
        </w:rPr>
        <w:t>Nucleic acids research</w:t>
      </w:r>
      <w:r>
        <w:rPr>
          <w:rFonts w:hint="default" w:ascii="Times New Roman" w:hAnsi="Times New Roman" w:cs="Times New Roman" w:eastAsiaTheme="minorEastAsia"/>
          <w:color w:val="auto"/>
          <w:kern w:val="2"/>
          <w:sz w:val="24"/>
          <w:szCs w:val="24"/>
          <w:lang w:val="en-US" w:eastAsia="zh-CN" w:bidi="ar-SA"/>
        </w:rPr>
        <w:t xml:space="preserve"> 37:W202-W08</w:t>
      </w:r>
    </w:p>
    <w:p w14:paraId="25BF2517">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[2]</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Lescot M, Déhais P, Thijs G, Marchal K, Moreau Y, et al. 2002. PlantCARE, a database of plant cis-acting regulatory elements and a portal to tools for in silico analysis of promoter sequences. </w:t>
      </w:r>
      <w:r>
        <w:rPr>
          <w:rFonts w:hint="default" w:ascii="Times New Roman" w:hAnsi="Times New Roman" w:cs="Times New Roman" w:eastAsiaTheme="minorEastAsia"/>
          <w:i/>
          <w:color w:val="auto"/>
          <w:kern w:val="2"/>
          <w:sz w:val="24"/>
          <w:szCs w:val="24"/>
          <w:lang w:val="en-US" w:eastAsia="zh-CN" w:bidi="ar-SA"/>
        </w:rPr>
        <w:t>Nucleic acids research</w:t>
      </w:r>
      <w:r>
        <w:rPr>
          <w:rFonts w:hint="default" w:ascii="Times New Roman" w:hAnsi="Times New Roman" w:cs="Times New Roman" w:eastAsiaTheme="minorEastAsia"/>
          <w:color w:val="auto"/>
          <w:kern w:val="2"/>
          <w:sz w:val="24"/>
          <w:szCs w:val="24"/>
          <w:lang w:val="en-US" w:eastAsia="zh-CN" w:bidi="ar-SA"/>
        </w:rPr>
        <w:t xml:space="preserve"> 30:325-27</w:t>
      </w:r>
    </w:p>
    <w:p w14:paraId="3CA26914">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[3]</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Wang Y, Tang H, DeBarry JD, Tan X, Li J, et al. 2012. MCScanX: a toolkit for detection and evolutionary analysis of gene synteny and collinearity. </w:t>
      </w:r>
      <w:r>
        <w:rPr>
          <w:rFonts w:hint="default" w:ascii="Times New Roman" w:hAnsi="Times New Roman" w:cs="Times New Roman" w:eastAsiaTheme="minorEastAsia"/>
          <w:i/>
          <w:color w:val="auto"/>
          <w:kern w:val="2"/>
          <w:sz w:val="24"/>
          <w:szCs w:val="24"/>
          <w:lang w:val="en-US" w:eastAsia="zh-CN" w:bidi="ar-SA"/>
        </w:rPr>
        <w:t>Nucleic acids research</w:t>
      </w:r>
      <w:r>
        <w:rPr>
          <w:rFonts w:hint="default" w:ascii="Times New Roman" w:hAnsi="Times New Roman" w:cs="Times New Roman" w:eastAsiaTheme="minorEastAsia"/>
          <w:color w:val="auto"/>
          <w:kern w:val="2"/>
          <w:sz w:val="24"/>
          <w:szCs w:val="24"/>
          <w:lang w:val="en-US" w:eastAsia="zh-CN" w:bidi="ar-SA"/>
        </w:rPr>
        <w:t xml:space="preserve"> 40:e49-e49</w:t>
      </w:r>
    </w:p>
    <w:p w14:paraId="480C989D">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[4]</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Santos C, Romeiro D, Silva J, Basso M, Molinari H, Centeno D. 2020. An improved protocol for efficient transformation and regeneration of Setaria italica. </w:t>
      </w:r>
      <w:r>
        <w:rPr>
          <w:rFonts w:hint="default" w:ascii="Times New Roman" w:hAnsi="Times New Roman" w:cs="Times New Roman" w:eastAsiaTheme="minorEastAsia"/>
          <w:i/>
          <w:color w:val="auto"/>
          <w:kern w:val="2"/>
          <w:sz w:val="24"/>
          <w:szCs w:val="24"/>
          <w:lang w:val="en-US" w:eastAsia="zh-CN" w:bidi="ar-SA"/>
        </w:rPr>
        <w:t>Plant Cell Reports</w:t>
      </w:r>
      <w:r>
        <w:rPr>
          <w:rFonts w:hint="default" w:ascii="Times New Roman" w:hAnsi="Times New Roman" w:cs="Times New Roman" w:eastAsiaTheme="minorEastAsia"/>
          <w:color w:val="auto"/>
          <w:kern w:val="2"/>
          <w:sz w:val="24"/>
          <w:szCs w:val="24"/>
          <w:lang w:val="en-US" w:eastAsia="zh-CN" w:bidi="ar-SA"/>
        </w:rPr>
        <w:t xml:space="preserve"> 39:501-10</w:t>
      </w:r>
    </w:p>
    <w:p w14:paraId="65D91A36">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[5]</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Murray M, Thompson W. 1980. Rapid isolation of high molecular weight plant DNA. </w:t>
      </w:r>
      <w:r>
        <w:rPr>
          <w:rFonts w:hint="default" w:ascii="Times New Roman" w:hAnsi="Times New Roman" w:cs="Times New Roman" w:eastAsiaTheme="minorEastAsia"/>
          <w:i/>
          <w:color w:val="auto"/>
          <w:kern w:val="2"/>
          <w:sz w:val="24"/>
          <w:szCs w:val="24"/>
          <w:lang w:val="en-US" w:eastAsia="zh-CN" w:bidi="ar-SA"/>
        </w:rPr>
        <w:t>Nucleic acids research</w:t>
      </w:r>
      <w:r>
        <w:rPr>
          <w:rFonts w:hint="default" w:ascii="Times New Roman" w:hAnsi="Times New Roman" w:cs="Times New Roman" w:eastAsiaTheme="minorEastAsia"/>
          <w:color w:val="auto"/>
          <w:kern w:val="2"/>
          <w:sz w:val="24"/>
          <w:szCs w:val="24"/>
          <w:lang w:val="en-US" w:eastAsia="zh-CN" w:bidi="ar-SA"/>
        </w:rPr>
        <w:t xml:space="preserve"> 8:4321-26</w:t>
      </w:r>
    </w:p>
    <w:p w14:paraId="20CBCC16">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[6]</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Liu W, Xie X, Ma X, Li J, Chen J, Liu Y-G. 2015. DSDecode: a web-based tool for decoding of sequencing chromatograms for genotyping of targeted mutations. </w:t>
      </w:r>
      <w:r>
        <w:rPr>
          <w:rFonts w:hint="default" w:ascii="Times New Roman" w:hAnsi="Times New Roman" w:cs="Times New Roman" w:eastAsiaTheme="minorEastAsia"/>
          <w:i/>
          <w:color w:val="auto"/>
          <w:kern w:val="2"/>
          <w:sz w:val="24"/>
          <w:szCs w:val="24"/>
          <w:lang w:val="en-US" w:eastAsia="zh-CN" w:bidi="ar-SA"/>
        </w:rPr>
        <w:t>Molecular Plant</w:t>
      </w:r>
      <w:r>
        <w:rPr>
          <w:rFonts w:hint="default" w:ascii="Times New Roman" w:hAnsi="Times New Roman" w:cs="Times New Roman" w:eastAsiaTheme="minorEastAsia"/>
          <w:color w:val="auto"/>
          <w:kern w:val="2"/>
          <w:sz w:val="24"/>
          <w:szCs w:val="24"/>
          <w:lang w:val="en-US" w:eastAsia="zh-CN" w:bidi="ar-SA"/>
        </w:rPr>
        <w:t xml:space="preserve"> 8:1431-33</w:t>
      </w:r>
    </w:p>
    <w:p w14:paraId="53173A46">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[7]</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Wu X, Liu J, Li D, Liu CM. 2016. Rice caryopsis development II: Dynamic changes in the endosperm. </w:t>
      </w:r>
      <w:r>
        <w:rPr>
          <w:rFonts w:hint="default" w:ascii="Times New Roman" w:hAnsi="Times New Roman" w:cs="Times New Roman" w:eastAsiaTheme="minorEastAsia"/>
          <w:i/>
          <w:color w:val="auto"/>
          <w:kern w:val="2"/>
          <w:sz w:val="24"/>
          <w:szCs w:val="24"/>
          <w:lang w:val="en-US" w:eastAsia="zh-CN" w:bidi="ar-SA"/>
        </w:rPr>
        <w:t>Journal of integrative plant biology</w:t>
      </w:r>
      <w:r>
        <w:rPr>
          <w:rFonts w:hint="default" w:ascii="Times New Roman" w:hAnsi="Times New Roman" w:cs="Times New Roman" w:eastAsiaTheme="minorEastAsia"/>
          <w:color w:val="auto"/>
          <w:kern w:val="2"/>
          <w:sz w:val="24"/>
          <w:szCs w:val="24"/>
          <w:lang w:val="en-US" w:eastAsia="zh-CN" w:bidi="ar-SA"/>
        </w:rPr>
        <w:t xml:space="preserve"> 58:786-98</w:t>
      </w:r>
    </w:p>
    <w:p w14:paraId="7D003C50">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[8]</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Zheng H, Zhang Q, Quan J, Zheng Q, Xi W. 2016. Determination of sugars, organic acids, aroma components, and carotenoids in grapefruit pulps. </w:t>
      </w:r>
      <w:r>
        <w:rPr>
          <w:rFonts w:hint="default" w:ascii="Times New Roman" w:hAnsi="Times New Roman" w:cs="Times New Roman" w:eastAsiaTheme="minorEastAsia"/>
          <w:i/>
          <w:color w:val="auto"/>
          <w:kern w:val="2"/>
          <w:sz w:val="24"/>
          <w:szCs w:val="24"/>
          <w:lang w:val="en-US" w:eastAsia="zh-CN" w:bidi="ar-SA"/>
        </w:rPr>
        <w:t>Food Chemistry</w:t>
      </w:r>
      <w:r>
        <w:rPr>
          <w:rFonts w:hint="default" w:ascii="Times New Roman" w:hAnsi="Times New Roman" w:cs="Times New Roman" w:eastAsiaTheme="minorEastAsia"/>
          <w:color w:val="auto"/>
          <w:kern w:val="2"/>
          <w:sz w:val="24"/>
          <w:szCs w:val="24"/>
          <w:lang w:val="en-US" w:eastAsia="zh-CN" w:bidi="ar-SA"/>
        </w:rPr>
        <w:t xml:space="preserve"> 205:112-21</w:t>
      </w:r>
    </w:p>
    <w:p w14:paraId="7C965FAD">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[9]</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Medeiros PM, Simoneit BR. 2007. Analysis of sugars in environmental samples by gas chromatography–mass spectrometry. </w:t>
      </w:r>
      <w:r>
        <w:rPr>
          <w:rFonts w:hint="default" w:ascii="Times New Roman" w:hAnsi="Times New Roman" w:cs="Times New Roman" w:eastAsiaTheme="minorEastAsia"/>
          <w:i/>
          <w:color w:val="auto"/>
          <w:kern w:val="2"/>
          <w:sz w:val="24"/>
          <w:szCs w:val="24"/>
          <w:lang w:val="en-US" w:eastAsia="zh-CN" w:bidi="ar-SA"/>
        </w:rPr>
        <w:t>Journal of Chromatography A</w:t>
      </w:r>
      <w:r>
        <w:rPr>
          <w:rFonts w:hint="default" w:ascii="Times New Roman" w:hAnsi="Times New Roman" w:cs="Times New Roman" w:eastAsiaTheme="minorEastAsia"/>
          <w:color w:val="auto"/>
          <w:kern w:val="2"/>
          <w:sz w:val="24"/>
          <w:szCs w:val="24"/>
          <w:lang w:val="en-US" w:eastAsia="zh-CN" w:bidi="ar-SA"/>
        </w:rPr>
        <w:t xml:space="preserve"> 1141:271-78</w:t>
      </w:r>
    </w:p>
    <w:p w14:paraId="69C00BB8">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[10]</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Gómez-González S, Ruiz-Jimenez J, Priego-Capote F, Luque de Castro MaD. 2010. Qualitative and quantitative sugar profiling in olive fruits, leaves, and stems by gas chromatography− tandem mass spectrometry (GC-MS/MS) after ultrasound-assisted leaching. </w:t>
      </w:r>
      <w:r>
        <w:rPr>
          <w:rFonts w:hint="default" w:ascii="Times New Roman" w:hAnsi="Times New Roman" w:cs="Times New Roman" w:eastAsiaTheme="minorEastAsia"/>
          <w:i/>
          <w:color w:val="auto"/>
          <w:kern w:val="2"/>
          <w:sz w:val="24"/>
          <w:szCs w:val="24"/>
          <w:lang w:val="en-US" w:eastAsia="zh-CN" w:bidi="ar-SA"/>
        </w:rPr>
        <w:t>Journal of agricultural and food chemistry</w:t>
      </w:r>
      <w:r>
        <w:rPr>
          <w:rFonts w:hint="default" w:ascii="Times New Roman" w:hAnsi="Times New Roman" w:cs="Times New Roman" w:eastAsiaTheme="minorEastAsia"/>
          <w:color w:val="auto"/>
          <w:kern w:val="2"/>
          <w:sz w:val="24"/>
          <w:szCs w:val="24"/>
          <w:lang w:val="en-US" w:eastAsia="zh-CN" w:bidi="ar-SA"/>
        </w:rPr>
        <w:t xml:space="preserve"> 58:12292-99</w:t>
      </w:r>
    </w:p>
    <w:p w14:paraId="32B485DF">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[11]</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Wu X, Liu J, Li D, Liu CM. 2016. Rice caryopsis development I: dynamic changes in different cell layers. </w:t>
      </w:r>
      <w:r>
        <w:rPr>
          <w:rFonts w:hint="default" w:ascii="Times New Roman" w:hAnsi="Times New Roman" w:cs="Times New Roman" w:eastAsiaTheme="minorEastAsia"/>
          <w:i/>
          <w:color w:val="auto"/>
          <w:kern w:val="2"/>
          <w:sz w:val="24"/>
          <w:szCs w:val="24"/>
          <w:lang w:val="en-US" w:eastAsia="zh-CN" w:bidi="ar-SA"/>
        </w:rPr>
        <w:t>Journal of integrative plant biology</w:t>
      </w:r>
      <w:r>
        <w:rPr>
          <w:rFonts w:hint="default" w:ascii="Times New Roman" w:hAnsi="Times New Roman" w:cs="Times New Roman" w:eastAsiaTheme="minorEastAsia"/>
          <w:color w:val="auto"/>
          <w:kern w:val="2"/>
          <w:sz w:val="24"/>
          <w:szCs w:val="24"/>
          <w:lang w:val="en-US" w:eastAsia="zh-CN" w:bidi="ar-SA"/>
        </w:rPr>
        <w:t xml:space="preserve"> 58:772-85</w:t>
      </w:r>
    </w:p>
    <w:p w14:paraId="57968188">
      <w:pPr>
        <w:pStyle w:val="12"/>
        <w:keepNext w:val="0"/>
        <w:keepLines w:val="0"/>
        <w:pageBreakBefore w:val="0"/>
        <w:kinsoku/>
        <w:wordWrap/>
        <w:overflowPunct/>
        <w:topLinePunct w:val="0"/>
        <w:autoSpaceDE/>
        <w:autoSpaceDN/>
        <w:bidi w:val="0"/>
        <w:adjustRightInd/>
        <w:snapToGrid/>
        <w:ind w:left="480" w:hanging="480" w:hanging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[12]</w:t>
      </w:r>
      <w:r>
        <w:rPr>
          <w:rFonts w:hint="default" w:ascii="Times New Roman" w:hAnsi="Times New Roman" w:cs="Times New Roman" w:eastAsiaTheme="minorEastAsia"/>
          <w:color w:val="auto"/>
          <w:kern w:val="2"/>
          <w:sz w:val="24"/>
          <w:szCs w:val="24"/>
          <w:lang w:val="en-US" w:eastAsia="zh-CN" w:bidi="ar-SA"/>
        </w:rPr>
        <w:tab/>
      </w:r>
      <w:r>
        <w:rPr>
          <w:rFonts w:hint="default" w:ascii="Times New Roman" w:hAnsi="Times New Roman" w:cs="Times New Roman" w:eastAsiaTheme="minorEastAsia"/>
          <w:color w:val="auto"/>
          <w:kern w:val="2"/>
          <w:sz w:val="24"/>
          <w:szCs w:val="24"/>
          <w:lang w:val="en-US" w:eastAsia="zh-CN" w:bidi="ar-SA"/>
        </w:rPr>
        <w:t xml:space="preserve">Grimault A, Gendrot G, Chamot S, Widiez T, Rabillé H, et al. 2015. Zm ZHOUPI, an endosperm‐specific basic helix–loop–helix transcription factor involved in maize seed development. </w:t>
      </w:r>
      <w:r>
        <w:rPr>
          <w:rFonts w:hint="default" w:ascii="Times New Roman" w:hAnsi="Times New Roman" w:cs="Times New Roman" w:eastAsiaTheme="minorEastAsia"/>
          <w:i/>
          <w:color w:val="auto"/>
          <w:kern w:val="2"/>
          <w:sz w:val="24"/>
          <w:szCs w:val="24"/>
          <w:lang w:val="en-US" w:eastAsia="zh-CN" w:bidi="ar-SA"/>
        </w:rPr>
        <w:t>The Plant Journal</w:t>
      </w:r>
      <w:r>
        <w:rPr>
          <w:rFonts w:hint="default" w:ascii="Times New Roman" w:hAnsi="Times New Roman" w:cs="Times New Roman" w:eastAsiaTheme="minorEastAsia"/>
          <w:color w:val="auto"/>
          <w:kern w:val="2"/>
          <w:sz w:val="24"/>
          <w:szCs w:val="24"/>
          <w:lang w:val="en-US" w:eastAsia="zh-CN" w:bidi="ar-SA"/>
        </w:rPr>
        <w:t xml:space="preserve"> 84:574-86</w:t>
      </w:r>
    </w:p>
    <w:p w14:paraId="59B3898B">
      <w:pPr>
        <w:keepNext w:val="0"/>
        <w:keepLines w:val="0"/>
        <w:pageBreakBefore w:val="0"/>
        <w:kinsoku/>
        <w:wordWrap/>
        <w:overflowPunct/>
        <w:topLinePunct w:val="0"/>
        <w:autoSpaceDE/>
        <w:autoSpaceDN/>
        <w:bidi w:val="0"/>
        <w:adjustRightInd/>
        <w:snapToGrid/>
        <w:spacing w:line="360" w:lineRule="auto"/>
        <w:ind w:left="480" w:hanging="480" w:hanging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end"/>
      </w:r>
    </w:p>
    <w:p w14:paraId="164A68E0">
      <w:pPr>
        <w:keepNext w:val="0"/>
        <w:keepLines w:val="0"/>
        <w:pageBreakBefore w:val="0"/>
        <w:kinsoku/>
        <w:wordWrap/>
        <w:overflowPunct/>
        <w:topLinePunct w:val="0"/>
        <w:autoSpaceDE/>
        <w:autoSpaceDN/>
        <w:bidi w:val="0"/>
        <w:adjustRightInd/>
        <w:snapToGrid/>
        <w:spacing w:line="360" w:lineRule="auto"/>
        <w:ind w:left="480" w:hanging="480" w:hangingChars="200"/>
        <w:textAlignment w:val="auto"/>
        <w:rPr>
          <w:rFonts w:hint="eastAsia" w:ascii="Times New Roman" w:hAnsi="Times New Roman" w:eastAsia="宋体" w:cs="Times New Roman"/>
          <w:color w:val="auto"/>
          <w:sz w:val="24"/>
          <w:szCs w:val="24"/>
        </w:rPr>
      </w:pPr>
    </w:p>
    <w:sectPr>
      <w:pgSz w:w="11906" w:h="16838"/>
      <w:pgMar w:top="1440" w:right="1134" w:bottom="1440" w:left="1134"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p_journal-updated Copy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aswwz2r29zr3e0zeope0wfrpa555dvft2a&quot;&gt;我的 EndNote 库&lt;record-ids&gt;&lt;item&gt;122&lt;/item&gt;&lt;item&gt;123&lt;/item&gt;&lt;item&gt;124&lt;/item&gt;&lt;item&gt;125&lt;/item&gt;&lt;item&gt;126&lt;/item&gt;&lt;item&gt;127&lt;/item&gt;&lt;item&gt;128&lt;/item&gt;&lt;item&gt;129&lt;/item&gt;&lt;item&gt;130&lt;/item&gt;&lt;item&gt;131&lt;/item&gt;&lt;item&gt;132&lt;/item&gt;&lt;item&gt;133&lt;/item&gt;&lt;/record-ids&gt;&lt;/item&gt;&lt;/Libraries&gt;"/>
  </w:docVars>
  <w:rsids>
    <w:rsidRoot w:val="00CB28E1"/>
    <w:rsid w:val="002C73A6"/>
    <w:rsid w:val="00395005"/>
    <w:rsid w:val="00A67EEF"/>
    <w:rsid w:val="00CB28E1"/>
    <w:rsid w:val="00DB056A"/>
    <w:rsid w:val="00F62130"/>
    <w:rsid w:val="024D1A96"/>
    <w:rsid w:val="02FA0ADF"/>
    <w:rsid w:val="03741C85"/>
    <w:rsid w:val="03934A27"/>
    <w:rsid w:val="048A6A6A"/>
    <w:rsid w:val="04E13A54"/>
    <w:rsid w:val="0527193C"/>
    <w:rsid w:val="05BF74F0"/>
    <w:rsid w:val="066D1D7B"/>
    <w:rsid w:val="06FC7E32"/>
    <w:rsid w:val="07BB3757"/>
    <w:rsid w:val="088272FC"/>
    <w:rsid w:val="08AE1E9F"/>
    <w:rsid w:val="08D30BA6"/>
    <w:rsid w:val="098A2E73"/>
    <w:rsid w:val="098E102A"/>
    <w:rsid w:val="09B557D5"/>
    <w:rsid w:val="0A33774E"/>
    <w:rsid w:val="0A7E35B0"/>
    <w:rsid w:val="0A876C58"/>
    <w:rsid w:val="0B9918D6"/>
    <w:rsid w:val="0C126BE9"/>
    <w:rsid w:val="0E1F5EB6"/>
    <w:rsid w:val="0E921BE2"/>
    <w:rsid w:val="10FA0A8C"/>
    <w:rsid w:val="117E7EE0"/>
    <w:rsid w:val="12485112"/>
    <w:rsid w:val="13577A89"/>
    <w:rsid w:val="17333CD7"/>
    <w:rsid w:val="17C40C25"/>
    <w:rsid w:val="17D567AE"/>
    <w:rsid w:val="198D795A"/>
    <w:rsid w:val="19C25A85"/>
    <w:rsid w:val="1A1A57FE"/>
    <w:rsid w:val="1A530427"/>
    <w:rsid w:val="1AE56BF7"/>
    <w:rsid w:val="1B3319F7"/>
    <w:rsid w:val="1B5833E8"/>
    <w:rsid w:val="1B5D54AB"/>
    <w:rsid w:val="1C0824CB"/>
    <w:rsid w:val="1C090BBB"/>
    <w:rsid w:val="1C255300"/>
    <w:rsid w:val="1CD17E66"/>
    <w:rsid w:val="1E4D775C"/>
    <w:rsid w:val="200C5398"/>
    <w:rsid w:val="203B78E7"/>
    <w:rsid w:val="203E2EDD"/>
    <w:rsid w:val="20FF3793"/>
    <w:rsid w:val="227D1CD7"/>
    <w:rsid w:val="22B8169F"/>
    <w:rsid w:val="2318468D"/>
    <w:rsid w:val="23FB7A52"/>
    <w:rsid w:val="245821F3"/>
    <w:rsid w:val="288C2DBC"/>
    <w:rsid w:val="28C206E7"/>
    <w:rsid w:val="294E6773"/>
    <w:rsid w:val="29A224FA"/>
    <w:rsid w:val="2A065EEE"/>
    <w:rsid w:val="2AC24762"/>
    <w:rsid w:val="2B4223AE"/>
    <w:rsid w:val="2BBE036E"/>
    <w:rsid w:val="2DAA2442"/>
    <w:rsid w:val="2DAC63ED"/>
    <w:rsid w:val="2E3C3A84"/>
    <w:rsid w:val="2F38047D"/>
    <w:rsid w:val="3099481D"/>
    <w:rsid w:val="316D3DD0"/>
    <w:rsid w:val="32537101"/>
    <w:rsid w:val="33DD01A6"/>
    <w:rsid w:val="346076B1"/>
    <w:rsid w:val="34BB38DB"/>
    <w:rsid w:val="353B6284"/>
    <w:rsid w:val="360F564D"/>
    <w:rsid w:val="37B76F35"/>
    <w:rsid w:val="38646DDA"/>
    <w:rsid w:val="39774C9B"/>
    <w:rsid w:val="3A2133F1"/>
    <w:rsid w:val="3A2E38E1"/>
    <w:rsid w:val="3ADB7A26"/>
    <w:rsid w:val="3AEC66D3"/>
    <w:rsid w:val="3AFF24C4"/>
    <w:rsid w:val="3B19180F"/>
    <w:rsid w:val="3B436E55"/>
    <w:rsid w:val="3BA40D0D"/>
    <w:rsid w:val="3C1D6AA3"/>
    <w:rsid w:val="3CC94213"/>
    <w:rsid w:val="3FE67D54"/>
    <w:rsid w:val="40F462E2"/>
    <w:rsid w:val="41326EA5"/>
    <w:rsid w:val="43313DD4"/>
    <w:rsid w:val="445832B4"/>
    <w:rsid w:val="4463521D"/>
    <w:rsid w:val="45E82A98"/>
    <w:rsid w:val="46EF7152"/>
    <w:rsid w:val="480242CF"/>
    <w:rsid w:val="48482A6F"/>
    <w:rsid w:val="4972759E"/>
    <w:rsid w:val="4A5B4839"/>
    <w:rsid w:val="4A8C1428"/>
    <w:rsid w:val="4AA220FE"/>
    <w:rsid w:val="4AC650B6"/>
    <w:rsid w:val="4B55797D"/>
    <w:rsid w:val="4B68491B"/>
    <w:rsid w:val="4C0875E3"/>
    <w:rsid w:val="4D9626D8"/>
    <w:rsid w:val="4E9A001B"/>
    <w:rsid w:val="4F3B034C"/>
    <w:rsid w:val="4F8038F2"/>
    <w:rsid w:val="4F8D78B8"/>
    <w:rsid w:val="50261582"/>
    <w:rsid w:val="503C735D"/>
    <w:rsid w:val="50BC5E26"/>
    <w:rsid w:val="50D55BE6"/>
    <w:rsid w:val="52A04728"/>
    <w:rsid w:val="530D6324"/>
    <w:rsid w:val="53BC0116"/>
    <w:rsid w:val="53F103E9"/>
    <w:rsid w:val="5422686A"/>
    <w:rsid w:val="542368E7"/>
    <w:rsid w:val="54B3499A"/>
    <w:rsid w:val="550167C3"/>
    <w:rsid w:val="55F126B1"/>
    <w:rsid w:val="560F1925"/>
    <w:rsid w:val="5686591A"/>
    <w:rsid w:val="58500FC6"/>
    <w:rsid w:val="5AAC3332"/>
    <w:rsid w:val="5C6A0DAE"/>
    <w:rsid w:val="5DA0717E"/>
    <w:rsid w:val="5E352478"/>
    <w:rsid w:val="5EC953EE"/>
    <w:rsid w:val="60D61108"/>
    <w:rsid w:val="62581C80"/>
    <w:rsid w:val="62DB3242"/>
    <w:rsid w:val="633B5CB4"/>
    <w:rsid w:val="63A728E8"/>
    <w:rsid w:val="64357481"/>
    <w:rsid w:val="6466674A"/>
    <w:rsid w:val="65094F79"/>
    <w:rsid w:val="651F7642"/>
    <w:rsid w:val="65222BDE"/>
    <w:rsid w:val="65B46354"/>
    <w:rsid w:val="66EE64E1"/>
    <w:rsid w:val="6844732F"/>
    <w:rsid w:val="6A193207"/>
    <w:rsid w:val="6A312134"/>
    <w:rsid w:val="6B4565F1"/>
    <w:rsid w:val="6C4C54AA"/>
    <w:rsid w:val="6D78799A"/>
    <w:rsid w:val="6DC91EFE"/>
    <w:rsid w:val="6DD55333"/>
    <w:rsid w:val="6EEF60FD"/>
    <w:rsid w:val="6F314216"/>
    <w:rsid w:val="6FB50061"/>
    <w:rsid w:val="6FDE3B35"/>
    <w:rsid w:val="701C72EB"/>
    <w:rsid w:val="701D4E16"/>
    <w:rsid w:val="71237A52"/>
    <w:rsid w:val="724C15C8"/>
    <w:rsid w:val="73A53EB8"/>
    <w:rsid w:val="73B47284"/>
    <w:rsid w:val="74474464"/>
    <w:rsid w:val="758D7D54"/>
    <w:rsid w:val="761539AE"/>
    <w:rsid w:val="76377AFB"/>
    <w:rsid w:val="77256240"/>
    <w:rsid w:val="78597FC3"/>
    <w:rsid w:val="78AC5638"/>
    <w:rsid w:val="79997DD2"/>
    <w:rsid w:val="7AB517B5"/>
    <w:rsid w:val="7B1B2F7B"/>
    <w:rsid w:val="7B484D21"/>
    <w:rsid w:val="7CCA2EAF"/>
    <w:rsid w:val="7D2C6F0C"/>
    <w:rsid w:val="7D7E4105"/>
    <w:rsid w:val="7DA95783"/>
    <w:rsid w:val="7E04739F"/>
    <w:rsid w:val="7E4D5684"/>
    <w:rsid w:val="7E974A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0"/>
    <w:qFormat/>
    <w:uiPriority w:val="9"/>
    <w:pPr>
      <w:keepNext/>
      <w:keepLines/>
      <w:spacing w:before="340" w:after="330" w:line="360" w:lineRule="auto"/>
      <w:outlineLvl w:val="0"/>
    </w:pPr>
    <w:rPr>
      <w:rFonts w:ascii="Times New Roman" w:hAnsi="Times New Roman" w:eastAsia="宋体" w:cs="Times New Roman"/>
      <w:b/>
      <w:kern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4"/>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line number"/>
    <w:basedOn w:val="7"/>
    <w:qFormat/>
    <w:uiPriority w:val="0"/>
  </w:style>
  <w:style w:type="character" w:customStyle="1" w:styleId="10">
    <w:name w:val="标题 1 字符"/>
    <w:link w:val="2"/>
    <w:qFormat/>
    <w:uiPriority w:val="0"/>
    <w:rPr>
      <w:rFonts w:ascii="Times New Roman" w:hAnsi="Times New Roman" w:eastAsia="宋体" w:cs="Times New Roman"/>
      <w:b/>
      <w:kern w:val="44"/>
    </w:rPr>
  </w:style>
  <w:style w:type="paragraph" w:customStyle="1" w:styleId="11">
    <w:name w:val="EndNote Bibliography Title"/>
    <w:qFormat/>
    <w:uiPriority w:val="0"/>
    <w:pPr>
      <w:jc w:val="center"/>
    </w:pPr>
    <w:rPr>
      <w:rFonts w:ascii="Calibri" w:hAnsi="Calibri" w:cs="Calibri" w:eastAsiaTheme="minorEastAsia"/>
      <w:kern w:val="2"/>
      <w:szCs w:val="24"/>
      <w:lang w:val="en-US" w:eastAsia="zh-CN" w:bidi="ar-SA"/>
    </w:rPr>
  </w:style>
  <w:style w:type="paragraph" w:customStyle="1" w:styleId="12">
    <w:name w:val="EndNote Bibliography"/>
    <w:qFormat/>
    <w:uiPriority w:val="0"/>
    <w:pPr>
      <w:jc w:val="both"/>
    </w:pPr>
    <w:rPr>
      <w:rFonts w:ascii="Calibri" w:hAnsi="Calibri" w:cs="Calibri" w:eastAsiaTheme="minorEastAsia"/>
      <w:kern w:val="2"/>
      <w:szCs w:val="24"/>
      <w:lang w:val="en-US" w:eastAsia="zh-CN" w:bidi="ar-SA"/>
    </w:rPr>
  </w:style>
  <w:style w:type="character" w:customStyle="1" w:styleId="13">
    <w:name w:val="页眉 字符"/>
    <w:basedOn w:val="7"/>
    <w:link w:val="4"/>
    <w:qFormat/>
    <w:uiPriority w:val="0"/>
    <w:rPr>
      <w:rFonts w:asciiTheme="minorHAnsi" w:hAnsiTheme="minorHAnsi" w:eastAsiaTheme="minorEastAsia" w:cstheme="minorBidi"/>
      <w:kern w:val="2"/>
      <w:sz w:val="18"/>
      <w:szCs w:val="18"/>
    </w:rPr>
  </w:style>
  <w:style w:type="character" w:customStyle="1" w:styleId="14">
    <w:name w:val="页脚 字符"/>
    <w:basedOn w:val="7"/>
    <w:link w:val="3"/>
    <w:qFormat/>
    <w:uiPriority w:val="0"/>
    <w:rPr>
      <w:rFonts w:asciiTheme="minorHAnsi" w:hAnsiTheme="minorHAnsi" w:eastAsiaTheme="minorEastAsia" w:cstheme="minorBidi"/>
      <w:kern w:val="2"/>
      <w:sz w:val="18"/>
      <w:szCs w:val="18"/>
    </w:rPr>
  </w:style>
  <w:style w:type="paragraph" w:customStyle="1" w:styleId="15">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2175</Words>
  <Characters>12960</Characters>
  <Lines>181</Lines>
  <Paragraphs>50</Paragraphs>
  <TotalTime>3</TotalTime>
  <ScaleCrop>false</ScaleCrop>
  <LinksUpToDate>false</LinksUpToDate>
  <CharactersWithSpaces>15045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2025-03-12T02:59:00Z</dcterms:created>
  <dc:creator>赵蕊</dc:creator>
  <cp:lastModifiedBy>WPS_1601691128</cp:lastModifiedBy>
  <dcterms:modified xsi:type="dcterms:W3CDTF">2025-11-11T11:13:20Z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eyJoZGlkIjoiMGI4NTAxOTkxNTU2YzE1NmNjOTYxYmY4NWUzNmU3YzkiLCJ1c2VySWQiOiIxMTI2OTAzNzEyIn0=</vt:lpwstr>
  </property>
  <property fmtid="{D5CDD505-2E9C-101B-9397-08002B2CF9AE}" pid="4" name="ICV">
    <vt:lpwstr>BFA55BB929D645548561478B1F545C2B_13</vt:lpwstr>
  </property>
</Properties>
</file>