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BC0" w:rsidRPr="00930487" w:rsidRDefault="008D6BC0" w:rsidP="008D6BC0">
      <w:pPr>
        <w:spacing w:line="360" w:lineRule="auto"/>
        <w:jc w:val="both"/>
        <w:rPr>
          <w:rFonts w:cstheme="minorHAnsi"/>
          <w:b/>
        </w:rPr>
      </w:pPr>
      <w:r w:rsidRPr="00930487">
        <w:rPr>
          <w:rFonts w:cstheme="minorHAnsi"/>
          <w:b/>
        </w:rPr>
        <w:t xml:space="preserve">Supplementary Table 1: Patient level factors associated with pretreatment loss to follow-up in a multilevel logistic regression model after multiple imputation </w:t>
      </w:r>
    </w:p>
    <w:tbl>
      <w:tblPr>
        <w:tblStyle w:val="ListTable6Colorful-Accent3"/>
        <w:tblW w:w="11931" w:type="dxa"/>
        <w:tblLook w:val="04A0" w:firstRow="1" w:lastRow="0" w:firstColumn="1" w:lastColumn="0" w:noHBand="0" w:noVBand="1"/>
      </w:tblPr>
      <w:tblGrid>
        <w:gridCol w:w="3053"/>
        <w:gridCol w:w="2142"/>
        <w:gridCol w:w="2218"/>
        <w:gridCol w:w="2279"/>
        <w:gridCol w:w="2239"/>
      </w:tblGrid>
      <w:tr w:rsidR="008D6BC0" w:rsidRPr="00930487" w:rsidTr="008C60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200" w:afterAutospacing="0"/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Characteristic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Initiated on Rx</w:t>
            </w:r>
          </w:p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N= 410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Not Initiated on Rx</w:t>
            </w:r>
          </w:p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N = 100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Crude Odds Ratio</w:t>
            </w:r>
          </w:p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(95% CI)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Adjusted Odds Ratio</w:t>
            </w:r>
          </w:p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(95% CI)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Sex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Male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256 (82.1)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57 (17.9)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Female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154 (77.8)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44 (22.2)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1.30 (0.84-2.04)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Age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15-24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92 (80.0)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23 ( 8.1)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25-34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130 (80.3)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32 (19.7)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0.98 (0.54-1.79)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35-44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91 (81.9)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20 (18.1)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0.88 (0.45-1.70)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45-54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51 (77.2)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15 (22.8)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1.17 (0.56-2.46)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&gt;55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46 (82.1)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 (17.9)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0.88 (0.39-2.00)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 xml:space="preserve">Phone No. 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Yes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298 (92.3)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25 (8.7)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 xml:space="preserve">reference 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No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112 (59.9)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75(40.1)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bCs/>
                <w:color w:val="auto"/>
                <w:kern w:val="24"/>
                <w:sz w:val="22"/>
                <w:szCs w:val="22"/>
              </w:rPr>
              <w:t>8.99 (5.17-15.64)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14.47 (6.94- 22.42)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Distance from health facility  status (n=469)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&gt;35 km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64 (87.7)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 (16.3)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21-35km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124 (87.3)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18 (12.7)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1.04 (0.44 -2.49)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6-20km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106 (86.9)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16 (9.9)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1.12 (0.47 -2.69)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&lt;=5km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103 (81.9)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29 (18.1)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2.08 (0.93 - 4.67)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HIV status (n=480)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HIV negative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281 (88.4)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37 (11.6)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HIV positive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129 (80.1)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32 (19.9)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2.08 (1.23-3.34)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2.05 (1.16 -3.60</w:t>
            </w:r>
            <w:r w:rsidRPr="0093048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)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31" w:type="dxa"/>
            <w:gridSpan w:val="5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Cs w:val="0"/>
                <w:color w:val="auto"/>
                <w:kern w:val="24"/>
                <w:sz w:val="22"/>
                <w:szCs w:val="22"/>
              </w:rPr>
              <w:t>ART Status (n=137)</w:t>
            </w:r>
          </w:p>
        </w:tc>
      </w:tr>
      <w:tr w:rsidR="008D6BC0" w:rsidRPr="00930487" w:rsidTr="008C60D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On ART before TB diagnosis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90 (90.0)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10 (10.0)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reference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  <w:tr w:rsidR="008D6BC0" w:rsidRPr="00930487" w:rsidTr="008C6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b w:val="0"/>
                <w:color w:val="auto"/>
                <w:kern w:val="24"/>
                <w:sz w:val="22"/>
                <w:szCs w:val="22"/>
              </w:rPr>
              <w:t>Not on ART before TB diagnosis</w:t>
            </w:r>
          </w:p>
        </w:tc>
        <w:tc>
          <w:tcPr>
            <w:tcW w:w="2142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34 (91.8)</w:t>
            </w:r>
          </w:p>
        </w:tc>
        <w:tc>
          <w:tcPr>
            <w:tcW w:w="2218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3 (8.1)</w:t>
            </w:r>
          </w:p>
        </w:tc>
        <w:tc>
          <w:tcPr>
            <w:tcW w:w="227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0.61 (0.14 -2.61)</w:t>
            </w:r>
          </w:p>
        </w:tc>
        <w:tc>
          <w:tcPr>
            <w:tcW w:w="2239" w:type="dxa"/>
            <w:hideMark/>
          </w:tcPr>
          <w:p w:rsidR="008D6BC0" w:rsidRPr="00930487" w:rsidRDefault="008D6BC0" w:rsidP="008C60D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487">
              <w:rPr>
                <w:rFonts w:asciiTheme="minorHAnsi" w:hAnsiTheme="minorHAnsi" w:cstheme="minorHAnsi"/>
                <w:color w:val="auto"/>
                <w:kern w:val="24"/>
                <w:sz w:val="22"/>
                <w:szCs w:val="22"/>
              </w:rPr>
              <w:t>-</w:t>
            </w:r>
          </w:p>
        </w:tc>
      </w:tr>
    </w:tbl>
    <w:p w:rsidR="008D6BC0" w:rsidRPr="00930487" w:rsidRDefault="008D6BC0" w:rsidP="008D6BC0">
      <w:pPr>
        <w:pStyle w:val="Heading3"/>
        <w:spacing w:before="307" w:beforeAutospacing="0" w:after="154" w:afterAutospacing="0" w:line="360" w:lineRule="auto"/>
        <w:jc w:val="both"/>
        <w:rPr>
          <w:rFonts w:asciiTheme="minorHAnsi" w:hAnsiTheme="minorHAnsi" w:cstheme="minorHAnsi"/>
          <w:b w:val="0"/>
          <w:bCs w:val="0"/>
          <w:sz w:val="22"/>
          <w:szCs w:val="22"/>
        </w:rPr>
        <w:sectPr w:rsidR="008D6BC0" w:rsidRPr="00930487" w:rsidSect="003B3AD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8D6BC0" w:rsidRPr="00930487" w:rsidRDefault="008D6BC0" w:rsidP="008D6BC0">
      <w:pPr>
        <w:spacing w:line="360" w:lineRule="auto"/>
        <w:jc w:val="both"/>
        <w:rPr>
          <w:rFonts w:cstheme="minorHAnsi"/>
          <w:b/>
        </w:rPr>
      </w:pPr>
      <w:r w:rsidRPr="00930487">
        <w:rPr>
          <w:rFonts w:cstheme="minorHAnsi"/>
          <w:b/>
        </w:rPr>
        <w:lastRenderedPageBreak/>
        <w:t>Supplementary Table 2: Health facility level factors associated with pretreatment loss to follow-up in a multilevel logistic regression model after multiple imputation</w:t>
      </w:r>
    </w:p>
    <w:p w:rsidR="008D6BC0" w:rsidRPr="00930487" w:rsidRDefault="008D6BC0" w:rsidP="008D6BC0">
      <w:pPr>
        <w:spacing w:line="360" w:lineRule="auto"/>
        <w:jc w:val="both"/>
        <w:rPr>
          <w:rFonts w:cstheme="minorHAnsi"/>
          <w:b/>
        </w:rPr>
      </w:pPr>
    </w:p>
    <w:tbl>
      <w:tblPr>
        <w:tblpPr w:leftFromText="180" w:rightFromText="180" w:vertAnchor="page" w:horzAnchor="margin" w:tblpXSpec="center" w:tblpY="2281"/>
        <w:tblW w:w="105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1"/>
        <w:gridCol w:w="1921"/>
        <w:gridCol w:w="103"/>
        <w:gridCol w:w="2128"/>
        <w:gridCol w:w="2010"/>
        <w:gridCol w:w="2233"/>
      </w:tblGrid>
      <w:tr w:rsidR="008D6BC0" w:rsidRPr="00930487" w:rsidTr="008C60DC">
        <w:trPr>
          <w:trHeight w:val="1045"/>
        </w:trPr>
        <w:tc>
          <w:tcPr>
            <w:tcW w:w="2191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Characteristic</w:t>
            </w:r>
          </w:p>
        </w:tc>
        <w:tc>
          <w:tcPr>
            <w:tcW w:w="2024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Initiated on Rx</w:t>
            </w:r>
          </w:p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N= 410</w:t>
            </w:r>
          </w:p>
        </w:tc>
        <w:tc>
          <w:tcPr>
            <w:tcW w:w="2128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Not Initiated on Rx</w:t>
            </w:r>
          </w:p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N = 101</w:t>
            </w:r>
          </w:p>
        </w:tc>
        <w:tc>
          <w:tcPr>
            <w:tcW w:w="201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Crude Odds Ratio</w:t>
            </w:r>
          </w:p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(95% CI)</w:t>
            </w:r>
          </w:p>
        </w:tc>
        <w:tc>
          <w:tcPr>
            <w:tcW w:w="223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Adjusted Odds Ratio</w:t>
            </w:r>
          </w:p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(95% CI)</w:t>
            </w:r>
          </w:p>
        </w:tc>
      </w:tr>
      <w:tr w:rsidR="008D6BC0" w:rsidRPr="00930487" w:rsidTr="008C60DC">
        <w:trPr>
          <w:trHeight w:val="322"/>
        </w:trPr>
        <w:tc>
          <w:tcPr>
            <w:tcW w:w="10586" w:type="dxa"/>
            <w:gridSpan w:val="6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Number of Xpert tests done</w:t>
            </w:r>
          </w:p>
        </w:tc>
      </w:tr>
      <w:tr w:rsidR="008D6BC0" w:rsidRPr="00930487" w:rsidTr="008C60DC">
        <w:trPr>
          <w:trHeight w:val="342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&lt;=8 tests/day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280 (81.9)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62 (18.1)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reference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reference</w:t>
            </w:r>
          </w:p>
        </w:tc>
      </w:tr>
      <w:tr w:rsidR="008D6BC0" w:rsidRPr="00930487" w:rsidTr="008C60DC">
        <w:trPr>
          <w:trHeight w:val="270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9-12 tests/day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77 (86.5)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12 (13.5)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0.84 (0.69-1.00)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0.53 (0.24-1.17)</w:t>
            </w:r>
          </w:p>
        </w:tc>
      </w:tr>
      <w:tr w:rsidR="008D6BC0" w:rsidRPr="00930487" w:rsidTr="008C60DC">
        <w:trPr>
          <w:trHeight w:val="288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&gt;12 tests/day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53 (67.1)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26 (32.9)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</w:rPr>
              <w:t>2.30 (1.77-2.99)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2.50 (1.47- 4.25</w:t>
            </w:r>
            <w:r w:rsidRPr="00930487">
              <w:rPr>
                <w:rFonts w:cstheme="minorHAnsi"/>
                <w:b/>
              </w:rPr>
              <w:t>)</w:t>
            </w:r>
          </w:p>
        </w:tc>
      </w:tr>
      <w:tr w:rsidR="008D6BC0" w:rsidRPr="00930487" w:rsidTr="008C60DC">
        <w:trPr>
          <w:trHeight w:val="387"/>
        </w:trPr>
        <w:tc>
          <w:tcPr>
            <w:tcW w:w="105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Xpert module malfunction (past 3 months)</w:t>
            </w:r>
          </w:p>
        </w:tc>
      </w:tr>
      <w:tr w:rsidR="008D6BC0" w:rsidRPr="00930487" w:rsidTr="008C60DC">
        <w:trPr>
          <w:trHeight w:val="225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No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295 (82.9)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61 (17.1)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reference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reference</w:t>
            </w:r>
          </w:p>
        </w:tc>
      </w:tr>
      <w:tr w:rsidR="008D6BC0" w:rsidRPr="00930487" w:rsidTr="008C60DC">
        <w:trPr>
          <w:trHeight w:val="333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Yes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115 (74.7)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39 (25.3)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1.63 (1.04- 2.54)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1.57 (0.86 – 2.85)</w:t>
            </w:r>
          </w:p>
        </w:tc>
      </w:tr>
      <w:tr w:rsidR="008D6BC0" w:rsidRPr="00930487" w:rsidTr="008C60DC">
        <w:trPr>
          <w:trHeight w:val="342"/>
        </w:trPr>
        <w:tc>
          <w:tcPr>
            <w:tcW w:w="105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Cartridge stock outs ( past 3 months)</w:t>
            </w:r>
          </w:p>
        </w:tc>
      </w:tr>
      <w:tr w:rsidR="008D6BC0" w:rsidRPr="00930487" w:rsidTr="008C60DC">
        <w:trPr>
          <w:trHeight w:val="270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No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115 (72.8)</w:t>
            </w:r>
          </w:p>
        </w:tc>
        <w:tc>
          <w:tcPr>
            <w:tcW w:w="2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43 (27.2)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reference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reference</w:t>
            </w:r>
          </w:p>
        </w:tc>
      </w:tr>
      <w:tr w:rsidR="008D6BC0" w:rsidRPr="00930487" w:rsidTr="008C60DC">
        <w:trPr>
          <w:trHeight w:val="288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Yes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295 (83.8)</w:t>
            </w:r>
          </w:p>
        </w:tc>
        <w:tc>
          <w:tcPr>
            <w:tcW w:w="22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58 (16.2)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2.11 (1.53-2.89)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1.59 (0.88- 2.86)</w:t>
            </w:r>
          </w:p>
        </w:tc>
      </w:tr>
      <w:tr w:rsidR="008D6BC0" w:rsidRPr="00930487" w:rsidTr="008C60DC">
        <w:trPr>
          <w:trHeight w:val="573"/>
        </w:trPr>
        <w:tc>
          <w:tcPr>
            <w:tcW w:w="105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  <w:b/>
              </w:rPr>
            </w:pPr>
            <w:r w:rsidRPr="00930487">
              <w:rPr>
                <w:rFonts w:cstheme="minorHAnsi"/>
                <w:b/>
                <w:bCs/>
              </w:rPr>
              <w:t>Medicine stock out (past 3 months)</w:t>
            </w:r>
          </w:p>
        </w:tc>
      </w:tr>
      <w:tr w:rsidR="008D6BC0" w:rsidRPr="00930487" w:rsidTr="008C60DC">
        <w:trPr>
          <w:trHeight w:val="342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No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357 (80.6)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86 (19.4)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reference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-</w:t>
            </w:r>
          </w:p>
        </w:tc>
      </w:tr>
      <w:tr w:rsidR="008D6BC0" w:rsidRPr="00930487" w:rsidTr="008C60DC">
        <w:trPr>
          <w:trHeight w:val="360"/>
        </w:trPr>
        <w:tc>
          <w:tcPr>
            <w:tcW w:w="219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Yes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53 (79.1)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14 (20.9)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1.11 (0.56-2.18)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D6BC0" w:rsidRPr="00930487" w:rsidRDefault="008D6BC0" w:rsidP="008C60DC">
            <w:pPr>
              <w:spacing w:line="240" w:lineRule="auto"/>
              <w:jc w:val="both"/>
              <w:rPr>
                <w:rFonts w:cstheme="minorHAnsi"/>
              </w:rPr>
            </w:pPr>
            <w:r w:rsidRPr="00930487">
              <w:rPr>
                <w:rFonts w:cstheme="minorHAnsi"/>
              </w:rPr>
              <w:t>-</w:t>
            </w:r>
          </w:p>
        </w:tc>
      </w:tr>
    </w:tbl>
    <w:p w:rsidR="008D6BC0" w:rsidRPr="00930487" w:rsidRDefault="008D6BC0" w:rsidP="008D6BC0">
      <w:pPr>
        <w:spacing w:line="360" w:lineRule="auto"/>
        <w:jc w:val="both"/>
        <w:rPr>
          <w:rFonts w:cstheme="minorHAnsi"/>
          <w:b/>
        </w:rPr>
      </w:pPr>
    </w:p>
    <w:p w:rsidR="008D6BC0" w:rsidRPr="00930487" w:rsidRDefault="008D6BC0" w:rsidP="008D6BC0">
      <w:pPr>
        <w:spacing w:after="160" w:line="360" w:lineRule="auto"/>
        <w:rPr>
          <w:rFonts w:cstheme="minorHAnsi"/>
          <w:b/>
        </w:rPr>
      </w:pPr>
      <w:r w:rsidRPr="00930487">
        <w:rPr>
          <w:rFonts w:cstheme="minorHAnsi"/>
          <w:b/>
        </w:rPr>
        <w:br w:type="page"/>
      </w:r>
    </w:p>
    <w:p w:rsidR="005E7ECA" w:rsidRDefault="005E7ECA">
      <w:bookmarkStart w:id="0" w:name="_GoBack"/>
      <w:bookmarkEnd w:id="0"/>
    </w:p>
    <w:sectPr w:rsidR="005E7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BC0"/>
    <w:rsid w:val="005E7ECA"/>
    <w:rsid w:val="008D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C761B6-715B-42D6-8B1A-C74840590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BC0"/>
    <w:pPr>
      <w:spacing w:after="200" w:line="276" w:lineRule="auto"/>
    </w:pPr>
    <w:rPr>
      <w:rFonts w:eastAsia="Times New Roman" w:cs="Times New Roman"/>
    </w:rPr>
  </w:style>
  <w:style w:type="paragraph" w:styleId="Heading3">
    <w:name w:val="heading 3"/>
    <w:basedOn w:val="Normal"/>
    <w:link w:val="Heading3Char"/>
    <w:uiPriority w:val="9"/>
    <w:qFormat/>
    <w:rsid w:val="008D6BC0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D6BC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8D6B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ListTable6Colorful-Accent3">
    <w:name w:val="List Table 6 Colorful Accent 3"/>
    <w:basedOn w:val="TableNormal"/>
    <w:uiPriority w:val="51"/>
    <w:rsid w:val="008D6BC0"/>
    <w:pPr>
      <w:spacing w:after="0" w:line="240" w:lineRule="auto"/>
    </w:pPr>
    <w:rPr>
      <w:rFonts w:eastAsia="Times New Roman" w:cstheme="minorHAns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Zawedde Muyanja</dc:creator>
  <cp:keywords/>
  <dc:description/>
  <cp:lastModifiedBy>Stella Zawedde Muyanja</cp:lastModifiedBy>
  <cp:revision>1</cp:revision>
  <dcterms:created xsi:type="dcterms:W3CDTF">2019-11-19T11:42:00Z</dcterms:created>
  <dcterms:modified xsi:type="dcterms:W3CDTF">2019-11-19T11:42:00Z</dcterms:modified>
</cp:coreProperties>
</file>