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BB43F3" w14:textId="3CAB8FA6" w:rsidR="00C015BD" w:rsidRDefault="00C015BD" w:rsidP="007814F9">
      <w:pPr>
        <w:pStyle w:val="Leipteksti"/>
        <w:spacing w:line="276" w:lineRule="auto"/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</w:pPr>
      <w:bookmarkStart w:id="0" w:name="_GoBack"/>
      <w:bookmarkEnd w:id="0"/>
      <w:r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  <w:t>Supplementary information</w:t>
      </w:r>
    </w:p>
    <w:p w14:paraId="7D53D64F" w14:textId="72F832A1" w:rsidR="007814F9" w:rsidRPr="007814F9" w:rsidRDefault="007814F9" w:rsidP="007814F9">
      <w:pPr>
        <w:pStyle w:val="Leipteksti"/>
        <w:spacing w:line="276" w:lineRule="auto"/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</w:pPr>
      <w:r w:rsidRPr="007814F9"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  <w:t>Effect of soluble phenolic compounds from hydrothermally pretreated wheat straw on cellulose degrading enzymes</w:t>
      </w:r>
      <w:r w:rsidR="000D5428"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  <w:t xml:space="preserve">: </w:t>
      </w:r>
      <w:r w:rsidR="000D5428" w:rsidRPr="000D5428"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  <w:t>Compositional analysis and inhibition experiments</w:t>
      </w:r>
      <w:r w:rsidR="000D5428">
        <w:rPr>
          <w:rFonts w:ascii="Calibri" w:eastAsia="Calibri" w:hAnsi="Calibri" w:cs="Calibri"/>
          <w:b/>
          <w:bCs/>
          <w:i/>
          <w:color w:val="000000"/>
          <w:szCs w:val="24"/>
          <w:u w:color="000000"/>
          <w:bdr w:val="nil"/>
          <w:lang w:val="en-GB" w:eastAsia="en-GB"/>
        </w:rPr>
        <w:t xml:space="preserve"> </w:t>
      </w:r>
      <w:r w:rsidR="00C015BD"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  <w:t>d</w:t>
      </w:r>
      <w:r>
        <w:rPr>
          <w:rFonts w:ascii="Calibri" w:eastAsia="Calibri" w:hAnsi="Calibri" w:cs="Calibri"/>
          <w:b/>
          <w:bCs/>
          <w:color w:val="000000"/>
          <w:szCs w:val="24"/>
          <w:u w:color="000000"/>
          <w:bdr w:val="nil"/>
          <w:lang w:val="en-GB" w:eastAsia="en-GB"/>
        </w:rPr>
        <w:t>ata</w:t>
      </w:r>
    </w:p>
    <w:p w14:paraId="21132E57" w14:textId="3D7175F3" w:rsidR="007814F9" w:rsidRPr="004026D2" w:rsidRDefault="007814F9" w:rsidP="007814F9">
      <w:pPr>
        <w:pStyle w:val="Leipteksti"/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</w:pP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Anna S. Borisova</w:t>
      </w:r>
      <w:r w:rsidR="004026D2"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Ville Pihlajaniemi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1,3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Riin Kont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2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Klaus Niemelä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Taru Koitto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1,4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Atte Mikkelson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Priit Väljamäe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2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Kristiina Kruus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1,5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eastAsia="en-GB"/>
        </w:rPr>
        <w:t>, Kaisa Marjamaa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eastAsia="en-GB"/>
        </w:rPr>
        <w:t>1</w:t>
      </w:r>
    </w:p>
    <w:p w14:paraId="77E58104" w14:textId="77777777" w:rsidR="007814F9" w:rsidRPr="004026D2" w:rsidRDefault="007814F9" w:rsidP="007814F9">
      <w:pPr>
        <w:pStyle w:val="Leipteksti"/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val="en-GB" w:eastAsia="en-GB"/>
        </w:rPr>
        <w:t>1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>VTT Technical Research Centre of Finland Ltd, P.O. Box 1000, 02044 VTT, Finland 2Institute of Molecular and Cell Biology, University of Tartu, Riia 23b - 202, 51010 Tartu, Estonia</w:t>
      </w:r>
    </w:p>
    <w:p w14:paraId="3A93663F" w14:textId="77777777" w:rsidR="007814F9" w:rsidRPr="004026D2" w:rsidRDefault="007814F9" w:rsidP="007814F9">
      <w:pPr>
        <w:spacing w:before="100" w:beforeAutospacing="1" w:after="100" w:afterAutospacing="1"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vertAlign w:val="superscript"/>
          <w:lang w:val="en-GB" w:eastAsia="en-GB"/>
        </w:rPr>
        <w:t>3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current address: eniferBio Oy, Peuraniitty 5 B 25, 02750 Espoo, Finland</w:t>
      </w:r>
    </w:p>
    <w:p w14:paraId="43C65907" w14:textId="77777777" w:rsidR="007814F9" w:rsidRPr="004026D2" w:rsidRDefault="007814F9" w:rsidP="007814F9">
      <w:pPr>
        <w:pStyle w:val="Leipteksti"/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val="en-GB" w:eastAsia="en-GB"/>
        </w:rPr>
        <w:t>4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>current address: Aalto University, School of Chemical Technology, Department of Bioproducts and Biosystems, Espoo, Finland, P.O. Box 16300, FI-00076 AALTO, Finland.</w:t>
      </w:r>
    </w:p>
    <w:p w14:paraId="2B5228BA" w14:textId="77777777" w:rsidR="007814F9" w:rsidRPr="004026D2" w:rsidRDefault="007814F9" w:rsidP="007814F9">
      <w:pPr>
        <w:pStyle w:val="Leipteksti"/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val="en-GB" w:eastAsia="en-GB"/>
        </w:rPr>
        <w:t>5</w:t>
      </w:r>
      <w:r w:rsidRPr="004026D2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current address: Aalto University School of Chemical engineering, P.O. Box 16100. FI-00076 AALTO, Finland </w:t>
      </w:r>
    </w:p>
    <w:p w14:paraId="125102A9" w14:textId="77777777" w:rsidR="0028332C" w:rsidRPr="007814F9" w:rsidRDefault="0028332C">
      <w:pPr>
        <w:pStyle w:val="Body"/>
        <w:spacing w:after="0" w:line="240" w:lineRule="auto"/>
        <w:rPr>
          <w:lang w:val="en-US"/>
        </w:rPr>
      </w:pPr>
    </w:p>
    <w:p w14:paraId="5EBC56CF" w14:textId="18BA48B6" w:rsidR="0028332C" w:rsidRPr="00182473" w:rsidRDefault="007814F9">
      <w:pPr>
        <w:pStyle w:val="Body"/>
        <w:spacing w:after="0" w:line="240" w:lineRule="auto"/>
        <w:rPr>
          <w:color w:val="000000" w:themeColor="text1"/>
          <w:u w:color="1F497D"/>
          <w:lang w:val="en-GB"/>
        </w:rPr>
      </w:pPr>
      <w:r w:rsidRPr="00182473">
        <w:rPr>
          <w:color w:val="000000" w:themeColor="text1"/>
          <w:u w:color="1F497D"/>
          <w:lang w:val="en-GB"/>
        </w:rPr>
        <w:t>Corresponding author</w:t>
      </w:r>
      <w:r w:rsidR="00C015BD" w:rsidRPr="00182473">
        <w:rPr>
          <w:color w:val="000000" w:themeColor="text1"/>
          <w:u w:color="1F497D"/>
          <w:lang w:val="en-GB"/>
        </w:rPr>
        <w:t>:</w:t>
      </w:r>
      <w:r w:rsidR="00182473">
        <w:rPr>
          <w:color w:val="000000" w:themeColor="text1"/>
          <w:u w:color="1F497D"/>
          <w:lang w:val="en-GB"/>
        </w:rPr>
        <w:t xml:space="preserve"> </w:t>
      </w:r>
      <w:r w:rsidRPr="004026D2">
        <w:rPr>
          <w:color w:val="000000" w:themeColor="text1"/>
          <w:u w:color="1F497D"/>
          <w:lang w:val="en-GB"/>
        </w:rPr>
        <w:t xml:space="preserve">Anna </w:t>
      </w:r>
      <w:r w:rsidR="00182473">
        <w:rPr>
          <w:color w:val="000000" w:themeColor="text1"/>
          <w:u w:color="1F497D"/>
          <w:lang w:val="en-GB"/>
        </w:rPr>
        <w:t xml:space="preserve">S. </w:t>
      </w:r>
      <w:r w:rsidRPr="004026D2">
        <w:rPr>
          <w:color w:val="000000" w:themeColor="text1"/>
          <w:u w:color="1F497D"/>
          <w:lang w:val="en-GB"/>
        </w:rPr>
        <w:t>Borisova</w:t>
      </w:r>
      <w:r w:rsidRPr="00182473">
        <w:rPr>
          <w:color w:val="000000" w:themeColor="text1"/>
          <w:u w:color="1F497D"/>
          <w:lang w:val="en-GB"/>
        </w:rPr>
        <w:t xml:space="preserve"> (</w:t>
      </w:r>
      <w:hyperlink r:id="rId11" w:history="1">
        <w:r w:rsidRPr="00182473">
          <w:rPr>
            <w:color w:val="000000" w:themeColor="text1"/>
            <w:u w:color="1F497D"/>
          </w:rPr>
          <w:t>anna.borisova@vtt.fi</w:t>
        </w:r>
      </w:hyperlink>
      <w:r w:rsidRPr="00182473">
        <w:rPr>
          <w:color w:val="000000" w:themeColor="text1"/>
          <w:u w:color="1F497D"/>
          <w:lang w:val="en-GB"/>
        </w:rPr>
        <w:t>)</w:t>
      </w:r>
    </w:p>
    <w:p w14:paraId="34D10ABF" w14:textId="77777777" w:rsidR="00683765" w:rsidRPr="007814F9" w:rsidRDefault="00683765">
      <w:pPr>
        <w:pStyle w:val="Body"/>
        <w:spacing w:after="0"/>
        <w:rPr>
          <w:b/>
          <w:bCs/>
          <w:lang w:val="en-GB"/>
        </w:rPr>
      </w:pPr>
    </w:p>
    <w:p w14:paraId="77C46B9A" w14:textId="77777777" w:rsidR="00683765" w:rsidRPr="007814F9" w:rsidRDefault="00683765">
      <w:pPr>
        <w:pStyle w:val="Body"/>
        <w:spacing w:after="0"/>
        <w:rPr>
          <w:b/>
          <w:bCs/>
          <w:lang w:val="en-GB"/>
        </w:rPr>
      </w:pPr>
    </w:p>
    <w:p w14:paraId="31EFBAE7" w14:textId="77777777" w:rsidR="00683765" w:rsidRPr="007814F9" w:rsidRDefault="00683765">
      <w:pPr>
        <w:pStyle w:val="Body"/>
        <w:spacing w:after="0"/>
        <w:rPr>
          <w:b/>
          <w:bCs/>
          <w:lang w:val="en-GB"/>
        </w:rPr>
      </w:pPr>
    </w:p>
    <w:p w14:paraId="1BE535FA" w14:textId="4560E9A2" w:rsidR="0028332C" w:rsidRPr="0009012D" w:rsidRDefault="00683765">
      <w:pPr>
        <w:pStyle w:val="Body"/>
        <w:spacing w:after="0"/>
        <w:rPr>
          <w:b/>
          <w:bCs/>
          <w:sz w:val="24"/>
          <w:szCs w:val="24"/>
          <w:lang w:val="en-GB"/>
        </w:rPr>
      </w:pPr>
      <w:r>
        <w:rPr>
          <w:b/>
          <w:bCs/>
          <w:lang w:val="en-GB"/>
        </w:rPr>
        <w:t>A</w:t>
      </w:r>
      <w:r w:rsidR="000B6985" w:rsidRPr="0009012D">
        <w:rPr>
          <w:b/>
          <w:bCs/>
          <w:sz w:val="24"/>
          <w:szCs w:val="24"/>
          <w:lang w:val="en-GB"/>
        </w:rPr>
        <w:t>bstrac</w:t>
      </w:r>
      <w:r>
        <w:rPr>
          <w:b/>
          <w:bCs/>
          <w:sz w:val="24"/>
          <w:szCs w:val="24"/>
          <w:lang w:val="en-GB"/>
        </w:rPr>
        <w:t>t</w:t>
      </w:r>
    </w:p>
    <w:p w14:paraId="5518417C" w14:textId="797E7484" w:rsidR="005D575F" w:rsidRPr="00BA65E0" w:rsidRDefault="007814F9" w:rsidP="00F56D94">
      <w:pPr>
        <w:pStyle w:val="Body"/>
        <w:jc w:val="both"/>
        <w:rPr>
          <w:rFonts w:cstheme="minorHAnsi"/>
          <w:b/>
          <w:sz w:val="24"/>
          <w:szCs w:val="24"/>
          <w:lang w:val="en-US"/>
        </w:rPr>
      </w:pPr>
      <w:r w:rsidRPr="00BA65E0">
        <w:rPr>
          <w:color w:val="000000" w:themeColor="text1"/>
          <w:u w:color="1F497D"/>
          <w:lang w:val="en-GB"/>
        </w:rPr>
        <w:t xml:space="preserve">The data provides </w:t>
      </w:r>
      <w:r w:rsidR="00BA65E0" w:rsidRPr="00BA65E0">
        <w:rPr>
          <w:color w:val="000000" w:themeColor="text1"/>
          <w:u w:color="1F497D"/>
          <w:lang w:val="en-GB"/>
        </w:rPr>
        <w:t xml:space="preserve">additional </w:t>
      </w:r>
      <w:r w:rsidRPr="00BA65E0">
        <w:rPr>
          <w:color w:val="000000" w:themeColor="text1"/>
          <w:u w:color="1F497D"/>
          <w:lang w:val="en-GB"/>
        </w:rPr>
        <w:t>information on inhibition experiments of purified cellulases and commercial cellulolytic cocktails by hydrothermally pretreated wheat straw liquor and its fractions</w:t>
      </w:r>
      <w:r w:rsidR="00BA65E0" w:rsidRPr="00BA65E0">
        <w:rPr>
          <w:color w:val="000000" w:themeColor="text1"/>
          <w:u w:color="1F497D"/>
          <w:lang w:val="en-GB"/>
        </w:rPr>
        <w:t xml:space="preserve">, described </w:t>
      </w:r>
      <w:r w:rsidR="00BA65E0" w:rsidRPr="009E1C41">
        <w:rPr>
          <w:color w:val="000000" w:themeColor="text1"/>
          <w:u w:color="1F497D"/>
          <w:lang w:val="en-GB"/>
        </w:rPr>
        <w:t xml:space="preserve">in </w:t>
      </w:r>
      <w:r w:rsidR="0013332F" w:rsidRPr="009E1C41">
        <w:rPr>
          <w:color w:val="000000" w:themeColor="text1"/>
          <w:u w:color="1F497D"/>
          <w:shd w:val="clear" w:color="auto" w:fill="FFFFFF"/>
          <w:lang w:val="en-GB"/>
        </w:rPr>
        <w:t>[1]</w:t>
      </w:r>
      <w:r w:rsidRPr="009E1C41">
        <w:rPr>
          <w:color w:val="000000" w:themeColor="text1"/>
          <w:u w:color="1F497D"/>
          <w:lang w:val="en-GB"/>
        </w:rPr>
        <w:t>.</w:t>
      </w:r>
      <w:r w:rsidR="00BA65E0" w:rsidRPr="009E1C41">
        <w:rPr>
          <w:color w:val="000000" w:themeColor="text1"/>
          <w:u w:color="1F497D"/>
          <w:lang w:val="en-GB"/>
        </w:rPr>
        <w:t xml:space="preserve"> </w:t>
      </w:r>
      <w:r w:rsidR="00BA65E0" w:rsidRPr="00BA65E0">
        <w:rPr>
          <w:color w:val="000000" w:themeColor="text1"/>
          <w:u w:color="1F497D"/>
          <w:lang w:val="en-GB"/>
        </w:rPr>
        <w:t>The data includes information on enzymes used in experiments and compositional analysis of raw material: chopped wheat straw, pretreated wheat straw solids and pretreatment liquor (PL), analysed with HPLC.</w:t>
      </w:r>
      <w:r w:rsidR="00BA65E0">
        <w:rPr>
          <w:color w:val="000000" w:themeColor="text1"/>
          <w:u w:color="1F497D"/>
          <w:lang w:val="en-GB"/>
        </w:rPr>
        <w:t xml:space="preserve"> Calculation </w:t>
      </w:r>
      <w:r w:rsidR="004026D2">
        <w:rPr>
          <w:color w:val="000000" w:themeColor="text1"/>
          <w:u w:color="1F497D"/>
          <w:lang w:val="en-GB"/>
        </w:rPr>
        <w:t xml:space="preserve">data </w:t>
      </w:r>
      <w:r w:rsidR="00BA65E0">
        <w:rPr>
          <w:color w:val="000000" w:themeColor="text1"/>
          <w:u w:color="1F497D"/>
          <w:lang w:val="en-GB"/>
        </w:rPr>
        <w:t xml:space="preserve">of correlation factor for </w:t>
      </w:r>
      <w:r w:rsidR="004026D2">
        <w:rPr>
          <w:color w:val="000000" w:themeColor="text1"/>
          <w:u w:color="1F497D"/>
          <w:lang w:val="en-GB"/>
        </w:rPr>
        <w:t xml:space="preserve">isolated </w:t>
      </w:r>
      <w:r w:rsidR="00BA65E0" w:rsidRPr="004026D2">
        <w:rPr>
          <w:color w:val="000000" w:themeColor="text1"/>
          <w:u w:color="1F497D"/>
          <w:lang w:val="en-GB"/>
        </w:rPr>
        <w:t xml:space="preserve">phenolic fraction (Phe-Fr) </w:t>
      </w:r>
      <w:r w:rsidR="00BA65E0">
        <w:rPr>
          <w:color w:val="000000" w:themeColor="text1"/>
          <w:u w:color="1F497D"/>
          <w:lang w:val="en-GB"/>
        </w:rPr>
        <w:t>and effect of phenolics in reducing sugar assay method (</w:t>
      </w:r>
      <w:r w:rsidR="00BA65E0" w:rsidRPr="009E1C41">
        <w:rPr>
          <w:color w:val="000000" w:themeColor="text1"/>
          <w:u w:color="1F497D"/>
          <w:lang w:val="en-GB"/>
        </w:rPr>
        <w:t>PAHBAH)</w:t>
      </w:r>
      <w:r w:rsidR="0013332F" w:rsidRPr="009E1C41">
        <w:rPr>
          <w:color w:val="000000" w:themeColor="text1"/>
          <w:u w:color="1F497D"/>
          <w:vertAlign w:val="superscript"/>
          <w:lang w:val="en-GB"/>
        </w:rPr>
        <w:t xml:space="preserve"> </w:t>
      </w:r>
      <w:r w:rsidR="0013332F" w:rsidRPr="009E1C41">
        <w:t>[2]</w:t>
      </w:r>
      <w:r w:rsidR="00BA65E0" w:rsidRPr="009E1C41">
        <w:rPr>
          <w:color w:val="000000" w:themeColor="text1"/>
          <w:u w:color="1F497D"/>
          <w:lang w:val="en-GB"/>
        </w:rPr>
        <w:t xml:space="preserve"> </w:t>
      </w:r>
      <w:r w:rsidR="004026D2" w:rsidRPr="009E1C41">
        <w:rPr>
          <w:color w:val="000000" w:themeColor="text1"/>
          <w:u w:color="1F497D"/>
          <w:lang w:val="en-GB"/>
        </w:rPr>
        <w:t>are</w:t>
      </w:r>
      <w:r w:rsidR="00BA65E0" w:rsidRPr="009E1C41">
        <w:rPr>
          <w:color w:val="000000" w:themeColor="text1"/>
          <w:u w:color="1F497D"/>
          <w:lang w:val="en-GB"/>
        </w:rPr>
        <w:t xml:space="preserve"> </w:t>
      </w:r>
      <w:r w:rsidR="00BA65E0">
        <w:rPr>
          <w:color w:val="000000" w:themeColor="text1"/>
          <w:u w:color="1F497D"/>
          <w:lang w:val="en-GB"/>
        </w:rPr>
        <w:t xml:space="preserve">shown, as well as </w:t>
      </w:r>
      <w:r w:rsidR="004026D2">
        <w:rPr>
          <w:color w:val="000000" w:themeColor="text1"/>
          <w:u w:color="1F497D"/>
          <w:lang w:val="en-GB"/>
        </w:rPr>
        <w:t xml:space="preserve">chromatograms for </w:t>
      </w:r>
      <w:r w:rsidR="004026D2" w:rsidRPr="004026D2">
        <w:rPr>
          <w:color w:val="000000" w:themeColor="text1"/>
          <w:u w:color="1F497D"/>
          <w:lang w:val="en-GB"/>
        </w:rPr>
        <w:t>separation on a DB-5 column of the Phe-Fr trimethylsilylated compounds, used in GC/MS analysis</w:t>
      </w:r>
      <w:r w:rsidR="0013332F">
        <w:rPr>
          <w:color w:val="000000" w:themeColor="text1"/>
          <w:u w:color="1F497D"/>
          <w:lang w:val="en-GB"/>
        </w:rPr>
        <w:t xml:space="preserve"> </w:t>
      </w:r>
      <w:r w:rsidR="0013332F" w:rsidRPr="0009012D">
        <w:rPr>
          <w:color w:val="1F497D"/>
          <w:u w:color="1F497D"/>
          <w:shd w:val="clear" w:color="auto" w:fill="FFFFFF"/>
          <w:lang w:val="en-GB"/>
        </w:rPr>
        <w:t>[1]</w:t>
      </w:r>
      <w:r w:rsidR="004026D2">
        <w:rPr>
          <w:color w:val="1F497D"/>
          <w:u w:color="1F497D"/>
          <w:lang w:val="en-GB"/>
        </w:rPr>
        <w:t xml:space="preserve">. </w:t>
      </w:r>
      <w:r w:rsidR="004026D2" w:rsidRPr="004026D2">
        <w:rPr>
          <w:color w:val="000000" w:themeColor="text1"/>
          <w:u w:color="1F497D"/>
          <w:lang w:val="en-GB"/>
        </w:rPr>
        <w:t>Data on hydrolysis of Phe-Fr carbohydrates by Cellic Ctec2 is presented</w:t>
      </w:r>
      <w:r w:rsidR="004026D2">
        <w:rPr>
          <w:color w:val="000000" w:themeColor="text1"/>
          <w:u w:color="1F497D"/>
          <w:lang w:val="en-GB"/>
        </w:rPr>
        <w:t xml:space="preserve">, </w:t>
      </w:r>
      <w:r w:rsidR="004026D2" w:rsidRPr="004026D2">
        <w:rPr>
          <w:color w:val="000000" w:themeColor="text1"/>
          <w:u w:color="1F497D"/>
          <w:lang w:val="en-GB"/>
        </w:rPr>
        <w:t>quantified with PAHBAH assay. Data on inhibitory power of PL and its fractions, including isolated Phe-Fr and enzymatically pretreated fraction CTec-PL, is presented as IC50 values for the inhibition of Celluclast 1.5L and Cellic Ctec2, and two purified CBHs (TrCel7A and TrCel6A) acting on 14C-BMCC substrate</w:t>
      </w:r>
      <w:r w:rsidR="004026D2" w:rsidRPr="00876578">
        <w:rPr>
          <w:color w:val="000000" w:themeColor="text1"/>
          <w:u w:color="1F497D"/>
          <w:lang w:val="en-GB"/>
        </w:rPr>
        <w:t>. Da</w:t>
      </w:r>
      <w:r w:rsidR="00C015BD">
        <w:rPr>
          <w:color w:val="000000" w:themeColor="text1"/>
          <w:u w:color="1F497D"/>
          <w:lang w:val="en-GB"/>
        </w:rPr>
        <w:t>ta on tannic acid inhibition of</w:t>
      </w:r>
      <w:r w:rsidR="004026D2" w:rsidRPr="00BA65E0">
        <w:rPr>
          <w:color w:val="000000" w:themeColor="text1"/>
          <w:u w:color="1F497D"/>
          <w:lang w:val="en-GB"/>
        </w:rPr>
        <w:t xml:space="preserve"> purified cellulases</w:t>
      </w:r>
      <w:r w:rsidR="004026D2">
        <w:rPr>
          <w:color w:val="000000" w:themeColor="text1"/>
          <w:u w:color="1F497D"/>
          <w:lang w:val="en-GB"/>
        </w:rPr>
        <w:t xml:space="preserve"> and CellicCtec2 </w:t>
      </w:r>
      <w:r w:rsidR="0053726E">
        <w:rPr>
          <w:color w:val="000000" w:themeColor="text1"/>
          <w:u w:color="1F497D"/>
          <w:lang w:val="en-GB"/>
        </w:rPr>
        <w:t>represents effect of high molecular weight phenols in Phe-Fr and is quantified with PAHBAH assay.</w:t>
      </w:r>
      <w:r w:rsidR="004026D2">
        <w:rPr>
          <w:color w:val="1F497D"/>
          <w:u w:color="1F497D"/>
          <w:lang w:val="en-GB"/>
        </w:rPr>
        <w:t xml:space="preserve"> </w:t>
      </w:r>
    </w:p>
    <w:p w14:paraId="7C7DE196" w14:textId="77777777" w:rsidR="00683765" w:rsidRDefault="00683765" w:rsidP="00F56D94">
      <w:pPr>
        <w:pStyle w:val="Body"/>
        <w:jc w:val="both"/>
        <w:rPr>
          <w:b/>
          <w:bCs/>
          <w:sz w:val="24"/>
          <w:szCs w:val="24"/>
          <w:lang w:val="en-GB"/>
        </w:rPr>
      </w:pPr>
    </w:p>
    <w:p w14:paraId="601AA2CA" w14:textId="77777777" w:rsidR="0028332C" w:rsidRPr="00876578" w:rsidRDefault="0028332C">
      <w:pPr>
        <w:pStyle w:val="Body"/>
        <w:spacing w:after="0"/>
        <w:rPr>
          <w:color w:val="000000" w:themeColor="text1"/>
          <w:u w:color="1F497D"/>
          <w:lang w:val="en-GB"/>
        </w:rPr>
      </w:pPr>
    </w:p>
    <w:p w14:paraId="78E4141E" w14:textId="77777777" w:rsidR="0028332C" w:rsidRPr="0009012D" w:rsidRDefault="0028332C">
      <w:pPr>
        <w:pStyle w:val="Body"/>
        <w:spacing w:after="0"/>
        <w:rPr>
          <w:b/>
          <w:bCs/>
          <w:sz w:val="24"/>
          <w:szCs w:val="24"/>
          <w:lang w:val="en-GB"/>
        </w:rPr>
      </w:pPr>
    </w:p>
    <w:p w14:paraId="2D7F69CC" w14:textId="77777777" w:rsidR="0028332C" w:rsidRPr="0003648A" w:rsidRDefault="0028332C">
      <w:pPr>
        <w:pStyle w:val="Body"/>
        <w:spacing w:after="0"/>
        <w:rPr>
          <w:color w:val="000000" w:themeColor="text1"/>
          <w:u w:color="1F497D"/>
          <w:lang w:val="en-GB"/>
        </w:rPr>
      </w:pPr>
    </w:p>
    <w:p w14:paraId="64C0C610" w14:textId="41F37D5A" w:rsidR="0003648A" w:rsidRDefault="0003648A" w:rsidP="0003648A">
      <w:pPr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lang w:val="en-GB" w:eastAsia="en-GB"/>
        </w:rPr>
        <w:lastRenderedPageBreak/>
        <w:t xml:space="preserve">Table </w:t>
      </w:r>
      <w:r w:rsidR="00C015BD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lang w:val="en-GB" w:eastAsia="en-GB"/>
        </w:rPr>
        <w:t>S</w:t>
      </w: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lang w:val="en-GB" w:eastAsia="en-GB"/>
        </w:rPr>
        <w:t>1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. Molar extinction coefficients and masses of the enzymes used in screening for inhibitory effects of phenolic fraction (Phe-Fr).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121"/>
        <w:gridCol w:w="3109"/>
        <w:gridCol w:w="3130"/>
      </w:tblGrid>
      <w:tr w:rsidR="00922A8C" w:rsidRPr="007C3659" w14:paraId="07C671FE" w14:textId="77777777" w:rsidTr="00320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38A1EC8E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Enzyme</w:t>
            </w:r>
          </w:p>
        </w:tc>
        <w:tc>
          <w:tcPr>
            <w:tcW w:w="3209" w:type="dxa"/>
          </w:tcPr>
          <w:p w14:paraId="36FCC513" w14:textId="77777777" w:rsidR="00922A8C" w:rsidRPr="00922A8C" w:rsidRDefault="00922A8C" w:rsidP="00320F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MW (kDa)</w:t>
            </w:r>
          </w:p>
        </w:tc>
        <w:tc>
          <w:tcPr>
            <w:tcW w:w="3210" w:type="dxa"/>
          </w:tcPr>
          <w:p w14:paraId="1A213A4E" w14:textId="77777777" w:rsidR="00922A8C" w:rsidRPr="00922A8C" w:rsidRDefault="00922A8C" w:rsidP="00320F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 xml:space="preserve">Molar extinction coefficient, </w:t>
            </w:r>
            <w:hyperlink r:id="rId12" w:anchor="Units" w:history="1">
              <w:r w:rsidRPr="00922A8C">
                <w:rPr>
                  <w:rFonts w:ascii="Calibri" w:eastAsia="Calibri" w:hAnsi="Calibri" w:cs="Calibri"/>
                  <w:bCs w:val="0"/>
                  <w:color w:val="000000" w:themeColor="text1"/>
                  <w:sz w:val="22"/>
                  <w:szCs w:val="22"/>
                  <w:u w:color="1F497D"/>
                  <w:bdr w:val="nil"/>
                  <w:lang w:val="en-GB" w:eastAsia="en-GB"/>
                </w:rPr>
                <w:t>M</w:t>
              </w:r>
            </w:hyperlink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vertAlign w:val="superscript"/>
                <w:lang w:val="en-GB" w:eastAsia="en-GB"/>
              </w:rPr>
              <w:t>−1</w:t>
            </w:r>
            <w:r w:rsidRPr="00922A8C">
              <w:rPr>
                <w:rFonts w:ascii="Cambria Math" w:eastAsia="Calibri" w:hAnsi="Cambria Math" w:cs="Cambria Math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⋅</w:t>
            </w: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cm</w:t>
            </w: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vertAlign w:val="superscript"/>
                <w:lang w:val="en-GB" w:eastAsia="en-GB"/>
              </w:rPr>
              <w:t>−1</w:t>
            </w:r>
          </w:p>
        </w:tc>
      </w:tr>
      <w:tr w:rsidR="00922A8C" w14:paraId="22B645C5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bottom w:val="nil"/>
            </w:tcBorders>
          </w:tcPr>
          <w:p w14:paraId="630FE4D4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TrCel7A (CBH1)</w:t>
            </w:r>
          </w:p>
        </w:tc>
        <w:tc>
          <w:tcPr>
            <w:tcW w:w="3209" w:type="dxa"/>
            <w:tcBorders>
              <w:bottom w:val="nil"/>
            </w:tcBorders>
          </w:tcPr>
          <w:p w14:paraId="73CA84C2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55.8</w:t>
            </w:r>
          </w:p>
        </w:tc>
        <w:tc>
          <w:tcPr>
            <w:tcW w:w="3210" w:type="dxa"/>
            <w:tcBorders>
              <w:bottom w:val="nil"/>
            </w:tcBorders>
          </w:tcPr>
          <w:p w14:paraId="3B540E52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83 000</w:t>
            </w:r>
          </w:p>
        </w:tc>
      </w:tr>
      <w:tr w:rsidR="00922A8C" w14:paraId="16B16BEB" w14:textId="77777777" w:rsidTr="00320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nil"/>
            </w:tcBorders>
          </w:tcPr>
          <w:p w14:paraId="459F5236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TrCel6A (CBHII)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14:paraId="0C21AB93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56.7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02BFE499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104 000</w:t>
            </w:r>
          </w:p>
        </w:tc>
      </w:tr>
      <w:tr w:rsidR="00922A8C" w14:paraId="3478425C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nil"/>
            </w:tcBorders>
          </w:tcPr>
          <w:p w14:paraId="2F85E1E7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TrCel7B (EGI)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14:paraId="3E3828FE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51.9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0B897C75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70 000</w:t>
            </w:r>
          </w:p>
        </w:tc>
      </w:tr>
      <w:tr w:rsidR="00922A8C" w14:paraId="6F3DF6F0" w14:textId="77777777" w:rsidTr="00320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nil"/>
            </w:tcBorders>
          </w:tcPr>
          <w:p w14:paraId="0496A38F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TrCel5A (EGII)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14:paraId="220D5A27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48.2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75483C4B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91 000</w:t>
            </w:r>
          </w:p>
        </w:tc>
      </w:tr>
      <w:tr w:rsidR="00922A8C" w14:paraId="20BDE856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nil"/>
            </w:tcBorders>
          </w:tcPr>
          <w:p w14:paraId="37375265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TrCel12A (EGIII)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14:paraId="6060B43F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25.1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78EFC0A1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73 500</w:t>
            </w:r>
          </w:p>
        </w:tc>
      </w:tr>
      <w:tr w:rsidR="00922A8C" w14:paraId="6EC2160A" w14:textId="77777777" w:rsidTr="00320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nil"/>
            </w:tcBorders>
          </w:tcPr>
          <w:p w14:paraId="3086EADC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TrCel45A (EG5)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14:paraId="42ECB591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24.4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0DFE45A2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48 900</w:t>
            </w:r>
          </w:p>
        </w:tc>
      </w:tr>
      <w:tr w:rsidR="00922A8C" w14:paraId="35ED11EF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nil"/>
            </w:tcBorders>
          </w:tcPr>
          <w:p w14:paraId="26D474B2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TrCel11 (Xyn2)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14:paraId="3F8D9C44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20.8</w:t>
            </w:r>
          </w:p>
        </w:tc>
        <w:tc>
          <w:tcPr>
            <w:tcW w:w="3210" w:type="dxa"/>
            <w:tcBorders>
              <w:top w:val="nil"/>
              <w:bottom w:val="nil"/>
            </w:tcBorders>
          </w:tcPr>
          <w:p w14:paraId="36B0C11C" w14:textId="77777777" w:rsidR="00922A8C" w:rsidRPr="00922A8C" w:rsidRDefault="00922A8C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58 330</w:t>
            </w:r>
          </w:p>
        </w:tc>
      </w:tr>
      <w:tr w:rsidR="00922A8C" w14:paraId="02CFE180" w14:textId="77777777" w:rsidTr="00320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nil"/>
              <w:bottom w:val="single" w:sz="4" w:space="0" w:color="auto"/>
            </w:tcBorders>
          </w:tcPr>
          <w:p w14:paraId="62D5D198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AnCel3A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</w:tcPr>
          <w:p w14:paraId="3FD690E8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115.6</w:t>
            </w:r>
          </w:p>
        </w:tc>
        <w:tc>
          <w:tcPr>
            <w:tcW w:w="3210" w:type="dxa"/>
            <w:tcBorders>
              <w:top w:val="nil"/>
              <w:bottom w:val="single" w:sz="4" w:space="0" w:color="auto"/>
            </w:tcBorders>
          </w:tcPr>
          <w:p w14:paraId="2581E235" w14:textId="77777777" w:rsidR="00922A8C" w:rsidRPr="00922A8C" w:rsidRDefault="00922A8C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180 000</w:t>
            </w:r>
          </w:p>
        </w:tc>
      </w:tr>
    </w:tbl>
    <w:p w14:paraId="63214D92" w14:textId="77777777" w:rsidR="0003648A" w:rsidRPr="0003648A" w:rsidRDefault="0003648A" w:rsidP="0003648A">
      <w:pPr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595AE2E4" w14:textId="2A798AD9" w:rsidR="0028332C" w:rsidRDefault="0003648A">
      <w:pPr>
        <w:pStyle w:val="Body"/>
        <w:spacing w:after="0"/>
        <w:rPr>
          <w:color w:val="000000" w:themeColor="text1"/>
          <w:u w:color="1F497D"/>
          <w:lang w:val="en-GB"/>
        </w:rPr>
      </w:pPr>
      <w:r w:rsidRPr="0003648A">
        <w:rPr>
          <w:b/>
          <w:color w:val="000000" w:themeColor="text1"/>
          <w:u w:color="1F497D"/>
          <w:lang w:val="en-GB"/>
        </w:rPr>
        <w:t xml:space="preserve">Table </w:t>
      </w:r>
      <w:r w:rsidR="00C015BD">
        <w:rPr>
          <w:b/>
          <w:color w:val="000000" w:themeColor="text1"/>
          <w:u w:color="1F497D"/>
          <w:lang w:val="en-GB"/>
        </w:rPr>
        <w:t>S</w:t>
      </w:r>
      <w:r w:rsidRPr="0003648A">
        <w:rPr>
          <w:b/>
          <w:color w:val="000000" w:themeColor="text1"/>
          <w:u w:color="1F497D"/>
          <w:lang w:val="en-GB"/>
        </w:rPr>
        <w:t>2</w:t>
      </w:r>
      <w:r w:rsidRPr="0003648A">
        <w:rPr>
          <w:color w:val="000000" w:themeColor="text1"/>
          <w:u w:color="1F497D"/>
          <w:lang w:val="en-GB"/>
        </w:rPr>
        <w:t>. Compositions of chopped wheat straw, pretreated wheat straw solids and pretreatment liquor (PL). Chopped wheat straw was pre-soaked with water to 50% DM content and loaded into a 30-L pressure reactor with a batch size of 1.71 kg (DM). The material was heated to 195 °C with direct steam injection and a pressurized water jacket, and the temperature was maintained for 15 min. After the treatment, the material was quickly cooled to 80 °C with the water jacket, and dissolved material was extracted by pumping 80 °C water through the material bed. The first 6 L of extract was collected and this material is hereafter referred to as pretreatment liquor (PL). The pretreated wheat straw solids were collected manually.</w:t>
      </w:r>
    </w:p>
    <w:tbl>
      <w:tblPr>
        <w:tblStyle w:val="PlainTable2"/>
        <w:tblW w:w="9356" w:type="dxa"/>
        <w:tblLook w:val="04A0" w:firstRow="1" w:lastRow="0" w:firstColumn="1" w:lastColumn="0" w:noHBand="0" w:noVBand="1"/>
      </w:tblPr>
      <w:tblGrid>
        <w:gridCol w:w="2485"/>
        <w:gridCol w:w="2193"/>
        <w:gridCol w:w="2977"/>
        <w:gridCol w:w="1701"/>
      </w:tblGrid>
      <w:tr w:rsidR="00922A8C" w:rsidRPr="00922A8C" w14:paraId="60387068" w14:textId="77777777" w:rsidTr="00320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562D26D2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193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1D3738DB" w14:textId="77777777" w:rsidR="00922A8C" w:rsidRPr="00922A8C" w:rsidRDefault="00922A8C" w:rsidP="00320F4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 xml:space="preserve">Wheat straw solids, </w:t>
            </w:r>
          </w:p>
          <w:p w14:paraId="6A8CF8FB" w14:textId="77777777" w:rsidR="00922A8C" w:rsidRPr="00922A8C" w:rsidRDefault="00922A8C" w:rsidP="00320F4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% DM</w:t>
            </w:r>
          </w:p>
        </w:tc>
        <w:tc>
          <w:tcPr>
            <w:tcW w:w="2977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3D38A3B4" w14:textId="77777777" w:rsidR="00922A8C" w:rsidRPr="00922A8C" w:rsidRDefault="00922A8C" w:rsidP="00320F4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Pretreated wheat straw solids, % DM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</w:tcPr>
          <w:p w14:paraId="40ED0728" w14:textId="77777777" w:rsidR="00922A8C" w:rsidRPr="00922A8C" w:rsidRDefault="00922A8C" w:rsidP="00320F4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Combined PL</w:t>
            </w: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vertAlign w:val="superscript"/>
                <w:lang w:val="en-GB" w:eastAsia="en-GB"/>
              </w:rPr>
              <w:t>1</w:t>
            </w:r>
            <w:r w:rsidRPr="00922A8C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, g/L</w:t>
            </w:r>
          </w:p>
        </w:tc>
      </w:tr>
      <w:tr w:rsidR="00922A8C" w:rsidRPr="00922A8C" w14:paraId="27E67B70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single" w:sz="4" w:space="0" w:color="auto"/>
              <w:bottom w:val="nil"/>
            </w:tcBorders>
            <w:hideMark/>
          </w:tcPr>
          <w:p w14:paraId="703D2EAE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Glucose total1</w:t>
            </w:r>
          </w:p>
        </w:tc>
        <w:tc>
          <w:tcPr>
            <w:tcW w:w="2193" w:type="dxa"/>
            <w:tcBorders>
              <w:top w:val="single" w:sz="4" w:space="0" w:color="auto"/>
              <w:bottom w:val="nil"/>
            </w:tcBorders>
            <w:hideMark/>
          </w:tcPr>
          <w:p w14:paraId="7634AE70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32.24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  <w:hideMark/>
          </w:tcPr>
          <w:p w14:paraId="5E14E7CF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41.47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630DEA68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1.42</w:t>
            </w:r>
          </w:p>
        </w:tc>
      </w:tr>
      <w:tr w:rsidR="00922A8C" w:rsidRPr="00922A8C" w14:paraId="2E8A2619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501A417E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Glucose monomeric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1A4F5565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708BB644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DC3FD8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0.19</w:t>
            </w:r>
          </w:p>
        </w:tc>
      </w:tr>
      <w:tr w:rsidR="00922A8C" w:rsidRPr="00922A8C" w14:paraId="377CE3AB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04E464C1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Xylose total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48F9E128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14.58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353F9958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7.30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EA8854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12.23</w:t>
            </w:r>
          </w:p>
        </w:tc>
      </w:tr>
      <w:tr w:rsidR="00922A8C" w:rsidRPr="00922A8C" w14:paraId="47FE8C46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4D36F934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Xylose monomeric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510310D0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7DA8DBFE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20C96B5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2.10</w:t>
            </w:r>
          </w:p>
        </w:tc>
      </w:tr>
      <w:tr w:rsidR="00922A8C" w:rsidRPr="00922A8C" w14:paraId="53546EE6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0B583033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Arabinose total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513DD50A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1.64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4C22C988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0.48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D9A4BA2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0.94</w:t>
            </w:r>
          </w:p>
        </w:tc>
      </w:tr>
      <w:tr w:rsidR="00922A8C" w:rsidRPr="00922A8C" w14:paraId="6A65449C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692F60DE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Fructose total</w:t>
            </w:r>
          </w:p>
        </w:tc>
        <w:tc>
          <w:tcPr>
            <w:tcW w:w="2193" w:type="dxa"/>
            <w:tcBorders>
              <w:top w:val="nil"/>
              <w:bottom w:val="nil"/>
            </w:tcBorders>
          </w:tcPr>
          <w:p w14:paraId="59A41364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688CF01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7A0D83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0.66</w:t>
            </w:r>
          </w:p>
        </w:tc>
      </w:tr>
      <w:tr w:rsidR="00922A8C" w:rsidRPr="00922A8C" w14:paraId="569ABAA1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4A0615B3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Galactose total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667B459F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0.56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222ADD8C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0.23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1821634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0.69</w:t>
            </w:r>
          </w:p>
        </w:tc>
      </w:tr>
      <w:tr w:rsidR="00922A8C" w:rsidRPr="00922A8C" w14:paraId="67902F26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08F6A85B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 xml:space="preserve">Mannose total 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79A553D1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0.40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568D71EF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0.23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B58C527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0.41</w:t>
            </w:r>
          </w:p>
        </w:tc>
      </w:tr>
      <w:tr w:rsidR="00922A8C" w:rsidRPr="00922A8C" w14:paraId="4AA033CD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216DB7AC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Total carbohydrates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092C066C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49.75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78FF14E7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49.81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D1E08B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15.76</w:t>
            </w:r>
          </w:p>
        </w:tc>
      </w:tr>
      <w:tr w:rsidR="00922A8C" w:rsidRPr="00922A8C" w14:paraId="5D6CBAFE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7EF00A53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Lignin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59C8FD99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20.30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0EB5C2B5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24.50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DFB5159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</w:tr>
      <w:tr w:rsidR="00922A8C" w:rsidRPr="00922A8C" w14:paraId="33DD82BE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2F4E7F43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Extractives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7174F0C6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0.88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2E45C80D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1.15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1878C2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</w:tr>
      <w:tr w:rsidR="00922A8C" w:rsidRPr="00922A8C" w14:paraId="1E45731C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53ED8BD0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Ash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5B198DC4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6.36</w:t>
            </w: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7E6084EC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5.79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D84114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</w:tr>
      <w:tr w:rsidR="00922A8C" w:rsidRPr="00922A8C" w14:paraId="37C5ABBE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695DC0A7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5-Hydroxymethylfurfural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4CB4AB72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4A221A04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94CF0FC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&lt;0.04</w:t>
            </w:r>
          </w:p>
        </w:tc>
      </w:tr>
      <w:tr w:rsidR="00922A8C" w:rsidRPr="00922A8C" w14:paraId="0341548A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355A7AB4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Furfural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6B222DB2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193FEB7F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3A14EB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1.65</w:t>
            </w:r>
          </w:p>
        </w:tc>
      </w:tr>
      <w:tr w:rsidR="00922A8C" w:rsidRPr="00922A8C" w14:paraId="1D3E8C2A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  <w:hideMark/>
          </w:tcPr>
          <w:p w14:paraId="7C54EB73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Soluble phenolics (UV)</w:t>
            </w:r>
          </w:p>
        </w:tc>
        <w:tc>
          <w:tcPr>
            <w:tcW w:w="2193" w:type="dxa"/>
            <w:tcBorders>
              <w:top w:val="nil"/>
              <w:bottom w:val="nil"/>
            </w:tcBorders>
            <w:hideMark/>
          </w:tcPr>
          <w:p w14:paraId="60D99942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hideMark/>
          </w:tcPr>
          <w:p w14:paraId="16D95AE9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B815FA2" w14:textId="77777777" w:rsidR="00922A8C" w:rsidRPr="00922A8C" w:rsidRDefault="00922A8C" w:rsidP="00320F4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4.55</w:t>
            </w:r>
          </w:p>
        </w:tc>
      </w:tr>
      <w:tr w:rsidR="00922A8C" w:rsidRPr="00922A8C" w14:paraId="566F6B3F" w14:textId="77777777" w:rsidTr="00320F4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single" w:sz="4" w:space="0" w:color="auto"/>
            </w:tcBorders>
            <w:hideMark/>
          </w:tcPr>
          <w:p w14:paraId="0393F796" w14:textId="77777777" w:rsidR="00922A8C" w:rsidRPr="00922A8C" w:rsidRDefault="00922A8C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Acetic acid</w:t>
            </w:r>
          </w:p>
        </w:tc>
        <w:tc>
          <w:tcPr>
            <w:tcW w:w="2193" w:type="dxa"/>
            <w:tcBorders>
              <w:top w:val="nil"/>
              <w:bottom w:val="single" w:sz="4" w:space="0" w:color="auto"/>
            </w:tcBorders>
            <w:hideMark/>
          </w:tcPr>
          <w:p w14:paraId="5E8DDE2D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  <w:hideMark/>
          </w:tcPr>
          <w:p w14:paraId="03915664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9ABFF55" w14:textId="77777777" w:rsidR="00922A8C" w:rsidRPr="00922A8C" w:rsidRDefault="00922A8C" w:rsidP="00320F4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922A8C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3.99</w:t>
            </w:r>
          </w:p>
        </w:tc>
      </w:tr>
    </w:tbl>
    <w:p w14:paraId="0B722409" w14:textId="1F36073F" w:rsidR="00922A8C" w:rsidRDefault="00922A8C" w:rsidP="00922A8C">
      <w:pPr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  <w:r w:rsidRPr="00922A8C">
        <w:rPr>
          <w:rFonts w:ascii="Calibri" w:eastAsia="Calibri" w:hAnsi="Calibri" w:cs="Calibri"/>
          <w:color w:val="000000" w:themeColor="text1"/>
          <w:sz w:val="22"/>
          <w:szCs w:val="22"/>
          <w:u w:color="1F497D"/>
          <w:vertAlign w:val="superscript"/>
          <w:lang w:val="en-GB" w:eastAsia="en-GB"/>
        </w:rPr>
        <w:t>1</w:t>
      </w:r>
      <w:r w:rsidRPr="00922A8C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 Pretreatment liquor from </w:t>
      </w:r>
      <w:r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6</w:t>
      </w:r>
      <w:r w:rsidRPr="00922A8C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 wheat straw batches pretreated in conditions described in the legend and in the Materials and methods</w:t>
      </w:r>
      <w:r w:rsidR="001D2BF6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 </w:t>
      </w:r>
      <w:r w:rsidR="001D2BF6" w:rsidRPr="009E1C41">
        <w:rPr>
          <w:color w:val="000000" w:themeColor="text1"/>
          <w:u w:color="1F497D"/>
          <w:shd w:val="clear" w:color="auto" w:fill="FFFFFF"/>
          <w:lang w:val="en-GB"/>
        </w:rPr>
        <w:t>[1]</w:t>
      </w:r>
      <w:r w:rsidRPr="00922A8C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.</w:t>
      </w:r>
    </w:p>
    <w:p w14:paraId="3EA2FCC4" w14:textId="77777777" w:rsidR="00F85C8B" w:rsidRPr="00922A8C" w:rsidRDefault="00F85C8B" w:rsidP="00922A8C">
      <w:pPr>
        <w:spacing w:line="276" w:lineRule="auto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1D7DEFDD" w14:textId="0367A703" w:rsidR="00922A8C" w:rsidRPr="00922A8C" w:rsidRDefault="00922A8C">
      <w:pPr>
        <w:pStyle w:val="Body"/>
        <w:spacing w:after="0"/>
        <w:rPr>
          <w:color w:val="000000" w:themeColor="text1"/>
          <w:u w:color="1F497D"/>
          <w:lang w:val="en-US"/>
        </w:rPr>
      </w:pPr>
    </w:p>
    <w:p w14:paraId="5AB4A466" w14:textId="26E0F2AB" w:rsidR="00922A8C" w:rsidRDefault="00922A8C" w:rsidP="0003648A">
      <w:pPr>
        <w:pStyle w:val="Leipteksti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>
        <w:rPr>
          <w:noProof/>
          <w:lang w:eastAsia="fi-FI"/>
        </w:rPr>
        <w:drawing>
          <wp:inline distT="0" distB="0" distL="0" distR="0" wp14:anchorId="124B01A4" wp14:editId="628ABC54">
            <wp:extent cx="4786685" cy="1660359"/>
            <wp:effectExtent l="0" t="0" r="13970" b="16510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5B00F88" w14:textId="4015C4A5" w:rsidR="00F85C8B" w:rsidRPr="0003648A" w:rsidRDefault="00C015BD" w:rsidP="0003648A">
      <w:pPr>
        <w:pStyle w:val="Leipteksti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Figure </w:t>
      </w:r>
      <w:r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S</w:t>
      </w: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1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>. Correlation coefficient between total solids freeze-dried phenolic fraction (Phe-Fr) and UV-phenolics. In combined PL the concentration of UV-phenolics was 4.5 g/L, which corresponds to 9 g/L total solids concentration of freeze-dried phenolic fraction. The correlation factor was calculated by linear regression 0.48 ± 0.07 (g UV-phenolics/g total solids).</w:t>
      </w:r>
    </w:p>
    <w:p w14:paraId="030950CB" w14:textId="08654B65" w:rsidR="00922A8C" w:rsidRDefault="00922A8C" w:rsidP="0003648A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  <w:r>
        <w:rPr>
          <w:noProof/>
          <w:lang w:val="fi-FI" w:eastAsia="fi-FI"/>
        </w:rPr>
        <w:drawing>
          <wp:inline distT="0" distB="0" distL="0" distR="0" wp14:anchorId="520CF724" wp14:editId="7037A5F0">
            <wp:extent cx="5422789" cy="1908202"/>
            <wp:effectExtent l="0" t="0" r="6985" b="1587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1D75937" w14:textId="77777777" w:rsidR="00C015BD" w:rsidRDefault="00C015BD" w:rsidP="00C015BD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lang w:val="en-GB" w:eastAsia="en-GB"/>
        </w:rPr>
        <w:t xml:space="preserve">Figure </w:t>
      </w:r>
      <w:r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lang w:val="en-GB" w:eastAsia="en-GB"/>
        </w:rPr>
        <w:t>S2</w:t>
      </w: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lang w:val="en-GB" w:eastAsia="en-GB"/>
        </w:rPr>
        <w:t>.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 Effect of phenolic fraction (Phe-Fr) on the reducing sugars assay (PAHBAH). The PAHBAH assay was carried out for several dilutions of glucose in presence of Phe-Fr total solids 0-0.5 g /L. The values presented in the figure are averages of 3 measurements with standard deviation. In performed experiments phenolic concentration was not greater than 0.2 g/L total solids and the slope was varied insignificantly within a range of standard deviation (see equations next to the legends). Intercept value was correlated well with blank measurement. The PAHBAH assay was thus considered suitable for assays including Phe-Fr within above mentioned limitations.</w:t>
      </w:r>
    </w:p>
    <w:p w14:paraId="310A0CED" w14:textId="77777777" w:rsidR="00C015BD" w:rsidRDefault="00C015BD" w:rsidP="0003648A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666A312C" w14:textId="12ED61BF" w:rsidR="00F85C8B" w:rsidRDefault="00F85C8B" w:rsidP="0003648A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37CB8586" w14:textId="77777777" w:rsidR="00F85C8B" w:rsidRDefault="00F85C8B" w:rsidP="0003648A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0613C33B" w14:textId="77777777" w:rsidR="00922A8C" w:rsidRPr="0003648A" w:rsidRDefault="00922A8C" w:rsidP="0003648A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04ACC7EB" w14:textId="2FA38701" w:rsidR="00922A8C" w:rsidRDefault="00922A8C" w:rsidP="0003648A">
      <w:pPr>
        <w:pStyle w:val="Leipteksti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622723">
        <w:rPr>
          <w:rFonts w:asciiTheme="minorHAnsi" w:hAnsiTheme="minorHAnsi" w:cstheme="minorHAnsi"/>
          <w:noProof/>
          <w:szCs w:val="24"/>
          <w:lang w:eastAsia="fi-FI"/>
        </w:rPr>
        <w:lastRenderedPageBreak/>
        <w:drawing>
          <wp:inline distT="0" distB="0" distL="0" distR="0" wp14:anchorId="4E06BEEE" wp14:editId="1A970B91">
            <wp:extent cx="5943600" cy="1993739"/>
            <wp:effectExtent l="19050" t="19050" r="19050" b="260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3739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7EF639" w14:textId="3C0EA60D" w:rsidR="00922A8C" w:rsidRDefault="00922A8C" w:rsidP="0003648A">
      <w:pPr>
        <w:pStyle w:val="Leipteksti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622723">
        <w:rPr>
          <w:rFonts w:asciiTheme="minorHAnsi" w:hAnsiTheme="minorHAnsi" w:cstheme="minorHAnsi"/>
          <w:noProof/>
          <w:szCs w:val="24"/>
          <w:lang w:eastAsia="fi-FI"/>
        </w:rPr>
        <w:drawing>
          <wp:inline distT="0" distB="0" distL="0" distR="0" wp14:anchorId="0BA207F4" wp14:editId="44142C27">
            <wp:extent cx="5943600" cy="1971521"/>
            <wp:effectExtent l="19050" t="19050" r="19050" b="1016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71521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7D3DED" w14:textId="504E995D" w:rsidR="00C015BD" w:rsidRDefault="00C015BD" w:rsidP="00C015BD">
      <w:pPr>
        <w:pStyle w:val="Leipteksti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922A8C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Figure </w:t>
      </w:r>
      <w:r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S</w:t>
      </w:r>
      <w:r w:rsidRPr="00922A8C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3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>. Separation on a DB-5 column of the trimethylsilylated compounds in the isolated phenolic fraction (Phe-Fr): 1, oxalic acid; 2, 2-furancarboxylic acid; 3-4, isomeric hydroxypyridines; 5, dodecamethylpentasiloxane (from column); 6, guaiacol; 7, benzoic acid; 8, 4-vinylphenol; 9, a cyclohexanedione (dienol); 10, succinic acid; 11, catechol; 12, fumaric acid; 13, 4-hydroxybenzaldehyde; 14, 3-methylcatechol; 15, 4-ethylguaiacol; 16, 4-methylcatechol; 17, syringol; 18, hydroquinone; 10, a hydroxy-methoxyacetophenone (tentative); 20, 4-vinylguaiacol; 21, reductic acid; 22, 2-methylhydroquinone; 23, 1-(4-hydroxyphenyl)ethanol; 24, salicylic acid (internal standard); 25, pyroglutamic acid; 26, vanillin; 27, a hydroxy-dimethoxyacetophenone (tentative; methoxy derivative of peak 19); 28, 3-hydroxybenzoic acid; 29, eugenol (+ unknown); 30, 1-guaiacylethanol; 31, unknown (m/z 281, 100%); 32, unknown phenolic (MW, 282); 33, 3,4,5-trimethoxyphenol (tentative); 34, 3,4-dihydroxybenzaldehyde; 35, acetovanillone; 36, 4-hydroxybenzoic acid; 37, guaiacylacetone; 38, two unknowns co-eluting; 39, 3,4-dihydroxyacetophenone; 40, syringaldehyde; 41, unknown (m/z 169, 100%); 42, 2,3-dihydroxybenzoic acid; 43, unknown phenolic (MW, 296); 44, unknown (m/z 359, 100%); 45, unknown (m/z 373, 100%); 46, vanillic acid; 47, acetosyringone; 48, homovanillic acid; 49, a dihydroxybenzoic acid; 50, a dihydroxyacetophenone (enol); 51, azelaic acid; 52, a dihydroxybenzeneacetic acid (2,3-isomer?); 53, 3,4-dihydroxybenzoic acid; 54, coniferyl alcohol + unknown phenolic; 55, a guaiacyl compound; 56, acetosyringone (enol); 57, unknown catecholic compound (MW, 398); 58, syringic acid; 59, homosyringic acid; 60, a guaiacyl compound; 61, 3-(2,3-dihydroxyphenyl)propanoic acid; 62, 1-guaiacyl-3-hydroxyacetone (keto form); 63, p-coumaric acid; 64, unknown phenolic (MW, 380); 65, sinapyl alcohol; 66, 3,8-dihydroxy-2-methylchromone (alginetin); 67, unknown (m/z 335, 100%; MW, 426); 68, 1-hydroxy-3-syringylacetone (keto form); 69, 1-guaiacyl-3-hydroxyacetone (enol form); 70, syringyl compound (m/z 327, 100%); 71, ferulic acid; 72, 1-hydroxy-3-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lastRenderedPageBreak/>
        <w:t>syringylacetone (enol form); 73, dilignol (m/z 223, 100%); 74, p-coumaric acid ester (m/z 219, 100%; m/z 351, 38%; MW, 454); 75, unknown [m/z 492 (MW), 100%]; 76, dilignol (MW, 566); 77, disaccharide; 78, ferulic acid ester (m/z 249, 100%; m/z 381, 22%; MW, 484); 79, dilignol (MW, 522); 80, syringyl dilignol (m/z 327, 100%); 81, syringyl dilignol (m/z 327, 100%); 82, dilignol (m/z 235, 100%; MW, 510); 83, unknown (m/z 463, 100%; MW, 668); 84, 5-O-p-coumaroylpentose; 85, 4,4´-dihydroxy-3,3´-dimethoxystilbene; 86, dilignol (m/z 265, 100%; MW, 540); 87, p-coumaric acid ester; 88, ferulic acid ester; 89, p-coumaric acid ester; 90, ferulic acid ester; 91, 5-O-feruloylpentose; 92, 5-O-feruloylpentose; 93, 4,4´-dihydroxy-3,3´,5-trimethoxystilbene; 94, dilignol (MW, 708); 95, ferulic acid ester (MW, 678); 96, feruloylpentose (m/z 249, 100%; m/z 381, 29%; MW, 614); 97, feruloylpentose (m/z 249, 100%; m/z 338, 62%; MW, 614); 98, dilignol (MW, 690); 99, ferulic acid ester (m/z 338, 100%; MW, 676); 100, ferulic acid ester (m/z 338, 100%; MW, 588); 101, ferulic acid ester (m/z 338, 100%); 102, 4,4´-dihydroxy-3,3´,5,5´-tetramethoxystilbene; 104-105, syringyl dilignols (m/z 327, 100%); 106, dilignol (m/z 498, 100%); 107, syringyl dilignol; and 108, syringaresinol.</w:t>
      </w:r>
    </w:p>
    <w:p w14:paraId="258D2162" w14:textId="6EB824CD" w:rsidR="00F85C8B" w:rsidRPr="0003648A" w:rsidRDefault="00F85C8B" w:rsidP="0003648A">
      <w:pPr>
        <w:pStyle w:val="Leipteksti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</w:p>
    <w:p w14:paraId="38A830CB" w14:textId="3F6C7C07" w:rsidR="00922A8C" w:rsidRDefault="00C015BD" w:rsidP="0003648A">
      <w:pPr>
        <w:pStyle w:val="Leipteksti"/>
        <w:spacing w:line="276" w:lineRule="auto"/>
        <w:jc w:val="both"/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>
        <w:rPr>
          <w:noProof/>
          <w:lang w:eastAsia="fi-FI"/>
        </w:rPr>
        <w:drawing>
          <wp:inline distT="0" distB="0" distL="0" distR="0" wp14:anchorId="4282841F" wp14:editId="4DB9524D">
            <wp:extent cx="5943600" cy="2547620"/>
            <wp:effectExtent l="0" t="0" r="0" b="508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8E63C" w14:textId="2F714FEC" w:rsidR="00F85C8B" w:rsidRPr="0003648A" w:rsidRDefault="00C015BD" w:rsidP="0003648A">
      <w:pPr>
        <w:pStyle w:val="Leipteksti"/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Figure </w:t>
      </w:r>
      <w:r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S</w:t>
      </w: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4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: Hydrolysis of phenolic fraction (Phe-Fr) carbohydrates by Cellic Ctec2. Reducing sugars were quantified with PAHBAH assay. Reactions were performed at 45 ˚C in 50 mM NaAc buffer pH 5.0 in duplicates  for 4 or 24 or 48 h. Phe-Fr concentration was 0.25-5 g/L UV-phenolics. Concentration of Cellic Ctec2 was 0.1 g/L. </w:t>
      </w:r>
    </w:p>
    <w:p w14:paraId="027DB7A4" w14:textId="77777777" w:rsidR="0003648A" w:rsidRPr="0003648A" w:rsidRDefault="0003648A" w:rsidP="0003648A">
      <w:pPr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</w:p>
    <w:p w14:paraId="2BFAB505" w14:textId="2CC7EA9D" w:rsidR="0003648A" w:rsidRDefault="0003648A" w:rsidP="0003648A">
      <w:pPr>
        <w:pStyle w:val="Leipteksti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Table </w:t>
      </w:r>
      <w:r w:rsidR="00C015BD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S</w:t>
      </w:r>
      <w:r w:rsidRPr="0003648A">
        <w:rPr>
          <w:rFonts w:ascii="Calibri" w:eastAsia="Calibri" w:hAnsi="Calibri" w:cs="Calibri"/>
          <w:b/>
          <w:color w:val="000000" w:themeColor="text1"/>
          <w:sz w:val="22"/>
          <w:szCs w:val="22"/>
          <w:u w:color="1F497D"/>
          <w:bdr w:val="nil"/>
          <w:lang w:val="en-GB" w:eastAsia="en-GB"/>
        </w:rPr>
        <w:t>3.</w:t>
      </w:r>
      <w:r w:rsidRPr="0003648A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 IC50 values for the inhibition of Celluclast 1.5L and Cellic Ctec2, and two purified CBHs (TrCel7A and TrCel6A) acting on 14C-BMCC substrate.</w:t>
      </w:r>
    </w:p>
    <w:tbl>
      <w:tblPr>
        <w:tblStyle w:val="PlainTable21"/>
        <w:tblW w:w="9122" w:type="dxa"/>
        <w:tblLook w:val="04A0" w:firstRow="1" w:lastRow="0" w:firstColumn="1" w:lastColumn="0" w:noHBand="0" w:noVBand="1"/>
      </w:tblPr>
      <w:tblGrid>
        <w:gridCol w:w="2410"/>
        <w:gridCol w:w="1701"/>
        <w:gridCol w:w="1701"/>
        <w:gridCol w:w="1235"/>
        <w:gridCol w:w="222"/>
        <w:gridCol w:w="1853"/>
      </w:tblGrid>
      <w:tr w:rsidR="00E91E9D" w:rsidRPr="00E91E9D" w14:paraId="50AF91D3" w14:textId="77777777" w:rsidTr="00320F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tcBorders>
              <w:top w:val="single" w:sz="4" w:space="0" w:color="7F7F7F" w:themeColor="text1" w:themeTint="80"/>
              <w:bottom w:val="none" w:sz="0" w:space="0" w:color="auto"/>
              <w:right w:val="single" w:sz="4" w:space="0" w:color="auto"/>
            </w:tcBorders>
          </w:tcPr>
          <w:p w14:paraId="31D085D1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Enzyme</w:t>
            </w:r>
          </w:p>
        </w:tc>
        <w:tc>
          <w:tcPr>
            <w:tcW w:w="6712" w:type="dxa"/>
            <w:gridSpan w:val="5"/>
            <w:tcBorders>
              <w:left w:val="single" w:sz="4" w:space="0" w:color="auto"/>
              <w:bottom w:val="none" w:sz="0" w:space="0" w:color="auto"/>
            </w:tcBorders>
          </w:tcPr>
          <w:p w14:paraId="27AA70A1" w14:textId="77777777" w:rsidR="00E91E9D" w:rsidRPr="00E91E9D" w:rsidRDefault="00E91E9D" w:rsidP="00320F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IC50 value</w:t>
            </w:r>
          </w:p>
        </w:tc>
      </w:tr>
      <w:tr w:rsidR="00E91E9D" w:rsidRPr="00E91E9D" w14:paraId="0C17B226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tcBorders>
              <w:top w:val="none" w:sz="0" w:space="0" w:color="auto"/>
              <w:bottom w:val="none" w:sz="0" w:space="0" w:color="auto"/>
              <w:right w:val="single" w:sz="4" w:space="0" w:color="auto"/>
            </w:tcBorders>
          </w:tcPr>
          <w:p w14:paraId="7A7A3479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4637" w:type="dxa"/>
            <w:gridSpan w:val="3"/>
            <w:tcBorders>
              <w:top w:val="none" w:sz="0" w:space="0" w:color="auto"/>
              <w:left w:val="single" w:sz="4" w:space="0" w:color="auto"/>
              <w:bottom w:val="nil"/>
            </w:tcBorders>
          </w:tcPr>
          <w:p w14:paraId="3D3C0A95" w14:textId="77777777" w:rsidR="00E91E9D" w:rsidRPr="00E91E9D" w:rsidRDefault="00E91E9D" w:rsidP="00320F4A">
            <w:pPr>
              <w:spacing w:line="276" w:lineRule="auto"/>
              <w:ind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volume fraction (%)</w:t>
            </w:r>
            <w:r w:rsidRPr="00E91E9D"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vertAlign w:val="superscript"/>
                <w:lang w:val="en-GB" w:eastAsia="en-GB"/>
              </w:rPr>
              <w:t>1</w:t>
            </w:r>
          </w:p>
        </w:tc>
        <w:tc>
          <w:tcPr>
            <w:tcW w:w="222" w:type="dxa"/>
            <w:tcBorders>
              <w:top w:val="none" w:sz="0" w:space="0" w:color="auto"/>
              <w:bottom w:val="nil"/>
              <w:right w:val="single" w:sz="4" w:space="0" w:color="auto"/>
            </w:tcBorders>
          </w:tcPr>
          <w:p w14:paraId="436EBD16" w14:textId="77777777" w:rsidR="00E91E9D" w:rsidRPr="00E91E9D" w:rsidRDefault="00E91E9D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853" w:type="dxa"/>
            <w:tcBorders>
              <w:top w:val="none" w:sz="0" w:space="0" w:color="auto"/>
              <w:left w:val="single" w:sz="4" w:space="0" w:color="auto"/>
              <w:bottom w:val="nil"/>
            </w:tcBorders>
          </w:tcPr>
          <w:p w14:paraId="0A58CF5C" w14:textId="77777777" w:rsidR="00E91E9D" w:rsidRPr="00E91E9D" w:rsidRDefault="00E91E9D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phenolics (g/L)</w:t>
            </w:r>
            <w:r w:rsidRPr="00E91E9D">
              <w:rPr>
                <w:rFonts w:ascii="Calibri" w:eastAsia="Calibri" w:hAnsi="Calibri" w:cs="Calibri"/>
                <w:i/>
                <w:color w:val="000000" w:themeColor="text1"/>
                <w:sz w:val="22"/>
                <w:szCs w:val="22"/>
                <w:u w:color="1F497D"/>
                <w:bdr w:val="nil"/>
                <w:vertAlign w:val="superscript"/>
                <w:lang w:val="en-GB" w:eastAsia="en-GB"/>
              </w:rPr>
              <w:t>2</w:t>
            </w:r>
          </w:p>
        </w:tc>
      </w:tr>
      <w:tr w:rsidR="00E91E9D" w:rsidRPr="00E91E9D" w14:paraId="4298795F" w14:textId="77777777" w:rsidTr="00320F4A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41A185A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824DF2D" w14:textId="77777777" w:rsidR="00E91E9D" w:rsidRPr="00E91E9D" w:rsidRDefault="00E91E9D" w:rsidP="00320F4A">
            <w:pPr>
              <w:spacing w:line="276" w:lineRule="auto"/>
              <w:ind w:left="70"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PL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992C12D" w14:textId="77777777" w:rsidR="00E91E9D" w:rsidRPr="00E91E9D" w:rsidRDefault="00E91E9D" w:rsidP="00320F4A">
            <w:pPr>
              <w:spacing w:line="276" w:lineRule="auto"/>
              <w:ind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Phe-Fr</w:t>
            </w:r>
          </w:p>
        </w:tc>
        <w:tc>
          <w:tcPr>
            <w:tcW w:w="1235" w:type="dxa"/>
            <w:tcBorders>
              <w:top w:val="nil"/>
              <w:bottom w:val="single" w:sz="4" w:space="0" w:color="auto"/>
            </w:tcBorders>
          </w:tcPr>
          <w:p w14:paraId="4E09B0B1" w14:textId="77777777" w:rsidR="00E91E9D" w:rsidRPr="00E91E9D" w:rsidRDefault="00E91E9D" w:rsidP="00320F4A">
            <w:pPr>
              <w:spacing w:line="276" w:lineRule="auto"/>
              <w:ind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CTec-PL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4CC4BDE" w14:textId="77777777" w:rsidR="00E91E9D" w:rsidRPr="00E91E9D" w:rsidRDefault="00E91E9D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85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C876E20" w14:textId="77777777" w:rsidR="00E91E9D" w:rsidRPr="00E91E9D" w:rsidRDefault="00E91E9D" w:rsidP="00320F4A">
            <w:pPr>
              <w:spacing w:line="276" w:lineRule="auto"/>
              <w:ind w:left="25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Phe-Fr</w:t>
            </w:r>
          </w:p>
        </w:tc>
      </w:tr>
      <w:tr w:rsidR="00E91E9D" w:rsidRPr="00E91E9D" w14:paraId="5756DDC3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E7510BE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TrCel7A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C10440F" w14:textId="77777777" w:rsidR="00E91E9D" w:rsidRPr="00E91E9D" w:rsidRDefault="00E91E9D" w:rsidP="00320F4A">
            <w:pPr>
              <w:spacing w:line="276" w:lineRule="auto"/>
              <w:ind w:left="70"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1.0 ± 0.1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370FB0D1" w14:textId="77777777" w:rsidR="00E91E9D" w:rsidRPr="00E91E9D" w:rsidRDefault="00E91E9D" w:rsidP="00320F4A">
            <w:pPr>
              <w:spacing w:line="276" w:lineRule="auto"/>
              <w:ind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3.8 ± 0.4</w:t>
            </w:r>
          </w:p>
        </w:tc>
        <w:tc>
          <w:tcPr>
            <w:tcW w:w="1235" w:type="dxa"/>
            <w:tcBorders>
              <w:top w:val="single" w:sz="4" w:space="0" w:color="auto"/>
              <w:bottom w:val="nil"/>
            </w:tcBorders>
          </w:tcPr>
          <w:p w14:paraId="6FFF12B2" w14:textId="77777777" w:rsidR="00E91E9D" w:rsidRPr="00E91E9D" w:rsidRDefault="00E91E9D" w:rsidP="00320F4A">
            <w:pPr>
              <w:spacing w:line="276" w:lineRule="auto"/>
              <w:ind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51.2 ± 5.1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77D2F86" w14:textId="77777777" w:rsidR="00E91E9D" w:rsidRPr="00E91E9D" w:rsidRDefault="00E91E9D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8950113" w14:textId="77777777" w:rsidR="00E91E9D" w:rsidRPr="00E91E9D" w:rsidRDefault="00E91E9D" w:rsidP="00320F4A">
            <w:pPr>
              <w:spacing w:line="276" w:lineRule="auto"/>
              <w:ind w:left="2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0.17 ± 0.02</w:t>
            </w:r>
          </w:p>
        </w:tc>
      </w:tr>
      <w:tr w:rsidR="00E91E9D" w:rsidRPr="00E91E9D" w14:paraId="1D188E6F" w14:textId="77777777" w:rsidTr="00320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  <w:right w:val="single" w:sz="4" w:space="0" w:color="auto"/>
            </w:tcBorders>
          </w:tcPr>
          <w:p w14:paraId="3A8673F5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TrCel6A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</w:tcPr>
          <w:p w14:paraId="531B49FB" w14:textId="77777777" w:rsidR="00E91E9D" w:rsidRPr="00E91E9D" w:rsidRDefault="00E91E9D" w:rsidP="00320F4A">
            <w:pPr>
              <w:spacing w:line="276" w:lineRule="auto"/>
              <w:ind w:left="70"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0.5 ± 0.2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8F20311" w14:textId="77777777" w:rsidR="00E91E9D" w:rsidRPr="00E91E9D" w:rsidRDefault="00E91E9D" w:rsidP="00320F4A">
            <w:pPr>
              <w:spacing w:line="276" w:lineRule="auto"/>
              <w:ind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2.2 ± 0.3</w:t>
            </w: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576C77B2" w14:textId="77777777" w:rsidR="00E91E9D" w:rsidRPr="00E91E9D" w:rsidRDefault="00E91E9D" w:rsidP="00320F4A">
            <w:pPr>
              <w:spacing w:line="276" w:lineRule="auto"/>
              <w:ind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51.9 ± 7.9</w:t>
            </w:r>
          </w:p>
        </w:tc>
        <w:tc>
          <w:tcPr>
            <w:tcW w:w="222" w:type="dxa"/>
            <w:tcBorders>
              <w:top w:val="nil"/>
              <w:bottom w:val="nil"/>
              <w:right w:val="single" w:sz="4" w:space="0" w:color="auto"/>
            </w:tcBorders>
          </w:tcPr>
          <w:p w14:paraId="7738BD4E" w14:textId="77777777" w:rsidR="00E91E9D" w:rsidRPr="00E91E9D" w:rsidRDefault="00E91E9D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853" w:type="dxa"/>
            <w:tcBorders>
              <w:top w:val="nil"/>
              <w:left w:val="single" w:sz="4" w:space="0" w:color="auto"/>
              <w:bottom w:val="nil"/>
            </w:tcBorders>
          </w:tcPr>
          <w:p w14:paraId="56C34AC7" w14:textId="77777777" w:rsidR="00E91E9D" w:rsidRPr="00E91E9D" w:rsidRDefault="00E91E9D" w:rsidP="00320F4A">
            <w:pPr>
              <w:spacing w:line="276" w:lineRule="auto"/>
              <w:ind w:left="25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0.10 ± 0.01</w:t>
            </w:r>
          </w:p>
        </w:tc>
      </w:tr>
      <w:tr w:rsidR="00E91E9D" w:rsidRPr="00E91E9D" w14:paraId="000F07E4" w14:textId="77777777" w:rsidTr="00320F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  <w:right w:val="single" w:sz="4" w:space="0" w:color="auto"/>
            </w:tcBorders>
          </w:tcPr>
          <w:p w14:paraId="521CFF81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Celluclast 1.5L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</w:tcPr>
          <w:p w14:paraId="3D82E722" w14:textId="77777777" w:rsidR="00E91E9D" w:rsidRPr="00E91E9D" w:rsidRDefault="00E91E9D" w:rsidP="00320F4A">
            <w:pPr>
              <w:spacing w:line="276" w:lineRule="auto"/>
              <w:ind w:left="70"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2.0 ± 0.4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1E9D313" w14:textId="77777777" w:rsidR="00E91E9D" w:rsidRPr="00E91E9D" w:rsidRDefault="00E91E9D" w:rsidP="00320F4A">
            <w:pPr>
              <w:spacing w:line="276" w:lineRule="auto"/>
              <w:ind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8.0 ± 1.2</w:t>
            </w:r>
          </w:p>
        </w:tc>
        <w:tc>
          <w:tcPr>
            <w:tcW w:w="1235" w:type="dxa"/>
            <w:tcBorders>
              <w:top w:val="nil"/>
              <w:bottom w:val="nil"/>
            </w:tcBorders>
          </w:tcPr>
          <w:p w14:paraId="625363EE" w14:textId="77777777" w:rsidR="00E91E9D" w:rsidRPr="00E91E9D" w:rsidRDefault="00E91E9D" w:rsidP="00320F4A">
            <w:pPr>
              <w:spacing w:line="276" w:lineRule="auto"/>
              <w:ind w:right="-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20.2 ± 1.8</w:t>
            </w:r>
          </w:p>
        </w:tc>
        <w:tc>
          <w:tcPr>
            <w:tcW w:w="222" w:type="dxa"/>
            <w:tcBorders>
              <w:top w:val="nil"/>
              <w:bottom w:val="nil"/>
              <w:right w:val="single" w:sz="4" w:space="0" w:color="auto"/>
            </w:tcBorders>
          </w:tcPr>
          <w:p w14:paraId="342D8E1C" w14:textId="77777777" w:rsidR="00E91E9D" w:rsidRPr="00E91E9D" w:rsidRDefault="00E91E9D" w:rsidP="00320F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853" w:type="dxa"/>
            <w:tcBorders>
              <w:top w:val="nil"/>
              <w:left w:val="single" w:sz="4" w:space="0" w:color="auto"/>
              <w:bottom w:val="nil"/>
            </w:tcBorders>
          </w:tcPr>
          <w:p w14:paraId="52B18A2F" w14:textId="77777777" w:rsidR="00E91E9D" w:rsidRPr="00E91E9D" w:rsidRDefault="00E91E9D" w:rsidP="00320F4A">
            <w:pPr>
              <w:spacing w:line="276" w:lineRule="auto"/>
              <w:ind w:left="2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0.36 ± 0.05</w:t>
            </w:r>
          </w:p>
        </w:tc>
      </w:tr>
      <w:tr w:rsidR="00E91E9D" w:rsidRPr="00E91E9D" w14:paraId="7372D9C2" w14:textId="77777777" w:rsidTr="00320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BAE6EFF" w14:textId="77777777" w:rsidR="00E91E9D" w:rsidRPr="00E91E9D" w:rsidRDefault="00E91E9D" w:rsidP="00320F4A">
            <w:pPr>
              <w:spacing w:line="276" w:lineRule="auto"/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b w:val="0"/>
                <w:bCs w:val="0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lastRenderedPageBreak/>
              <w:t>Cellic CTec2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E51D2E" w14:textId="77777777" w:rsidR="00E91E9D" w:rsidRPr="00E91E9D" w:rsidRDefault="00E91E9D" w:rsidP="00320F4A">
            <w:pPr>
              <w:spacing w:line="276" w:lineRule="auto"/>
              <w:ind w:left="70"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5.0 ± 0.8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99D4E71" w14:textId="77777777" w:rsidR="00E91E9D" w:rsidRPr="00E91E9D" w:rsidRDefault="00E91E9D" w:rsidP="00320F4A">
            <w:pPr>
              <w:spacing w:line="276" w:lineRule="auto"/>
              <w:ind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15.3 ± 0.6</w:t>
            </w:r>
          </w:p>
        </w:tc>
        <w:tc>
          <w:tcPr>
            <w:tcW w:w="1235" w:type="dxa"/>
            <w:tcBorders>
              <w:top w:val="nil"/>
              <w:bottom w:val="single" w:sz="4" w:space="0" w:color="auto"/>
            </w:tcBorders>
          </w:tcPr>
          <w:p w14:paraId="52D731FF" w14:textId="77777777" w:rsidR="00E91E9D" w:rsidRPr="00E91E9D" w:rsidRDefault="00E91E9D" w:rsidP="00320F4A">
            <w:pPr>
              <w:spacing w:line="276" w:lineRule="auto"/>
              <w:ind w:right="-31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22.0 ± 7.1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4A5E186" w14:textId="77777777" w:rsidR="00E91E9D" w:rsidRPr="00E91E9D" w:rsidRDefault="00E91E9D" w:rsidP="00320F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</w:p>
        </w:tc>
        <w:tc>
          <w:tcPr>
            <w:tcW w:w="185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AC99C03" w14:textId="77777777" w:rsidR="00E91E9D" w:rsidRPr="00E91E9D" w:rsidRDefault="00E91E9D" w:rsidP="00320F4A">
            <w:pPr>
              <w:spacing w:line="276" w:lineRule="auto"/>
              <w:ind w:left="25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</w:pPr>
            <w:r w:rsidRPr="00E91E9D">
              <w:rPr>
                <w:rFonts w:ascii="Calibri" w:eastAsia="Calibri" w:hAnsi="Calibri" w:cs="Calibri"/>
                <w:color w:val="000000" w:themeColor="text1"/>
                <w:sz w:val="22"/>
                <w:szCs w:val="22"/>
                <w:u w:color="1F497D"/>
                <w:bdr w:val="nil"/>
                <w:lang w:val="en-GB" w:eastAsia="en-GB"/>
              </w:rPr>
              <w:t>0.70 ± 0.03</w:t>
            </w:r>
          </w:p>
        </w:tc>
      </w:tr>
    </w:tbl>
    <w:p w14:paraId="1818C9EF" w14:textId="77777777" w:rsidR="00E91E9D" w:rsidRPr="00E91E9D" w:rsidRDefault="00E91E9D" w:rsidP="00E91E9D">
      <w:pPr>
        <w:pStyle w:val="Leipteksti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E91E9D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val="en-GB" w:eastAsia="en-GB"/>
        </w:rPr>
        <w:t>1</w:t>
      </w:r>
      <w:r w:rsidRPr="00E91E9D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 The volume fractions of Phe-Fr and Ctec-PL were calculated based on their concentration of the UV-phenolics (Table 1). In doing so the concentration of UV-phenolics in PL (4.55 g/L) was taken equal to 100% volume fraction.</w:t>
      </w:r>
    </w:p>
    <w:p w14:paraId="0A07A361" w14:textId="33E576EB" w:rsidR="00E91E9D" w:rsidRDefault="00E91E9D" w:rsidP="00E91E9D">
      <w:pPr>
        <w:pStyle w:val="Leipteksti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  <w:r w:rsidRPr="00E91E9D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vertAlign w:val="superscript"/>
          <w:lang w:val="en-GB" w:eastAsia="en-GB"/>
        </w:rPr>
        <w:t>2</w:t>
      </w:r>
      <w:r w:rsidRPr="00E91E9D"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  <w:t xml:space="preserve"> IC50 value for Phe-Fr expressed in the units g/L UV-phenolics.</w:t>
      </w:r>
    </w:p>
    <w:p w14:paraId="050FE506" w14:textId="77777777" w:rsidR="00F85C8B" w:rsidRPr="00E91E9D" w:rsidRDefault="00F85C8B" w:rsidP="00E91E9D">
      <w:pPr>
        <w:pStyle w:val="Leipteksti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GB" w:eastAsia="en-GB"/>
        </w:rPr>
      </w:pPr>
    </w:p>
    <w:p w14:paraId="7E9B95D8" w14:textId="1FCBFBDC" w:rsidR="00E91E9D" w:rsidRPr="00E91E9D" w:rsidRDefault="00C015BD" w:rsidP="0003648A">
      <w:pPr>
        <w:pStyle w:val="Leipteksti"/>
        <w:rPr>
          <w:rFonts w:ascii="Calibri" w:eastAsia="Calibri" w:hAnsi="Calibri" w:cs="Calibri"/>
          <w:color w:val="000000" w:themeColor="text1"/>
          <w:sz w:val="22"/>
          <w:szCs w:val="22"/>
          <w:u w:color="1F497D"/>
          <w:bdr w:val="nil"/>
          <w:lang w:val="en-US" w:eastAsia="en-GB"/>
        </w:rPr>
      </w:pPr>
      <w:r>
        <w:rPr>
          <w:noProof/>
          <w:lang w:eastAsia="fi-FI"/>
        </w:rPr>
        <w:drawing>
          <wp:inline distT="0" distB="0" distL="0" distR="0" wp14:anchorId="6F89E6AF" wp14:editId="4C559D6A">
            <wp:extent cx="5943600" cy="26720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F1E5C" w14:textId="657F4C6E" w:rsidR="0003648A" w:rsidRPr="0003648A" w:rsidRDefault="0003648A" w:rsidP="0003648A">
      <w:pPr>
        <w:spacing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</w:pPr>
      <w:r w:rsidRPr="38C7CFDA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n-GB" w:eastAsia="en-GB"/>
        </w:rPr>
        <w:t xml:space="preserve">Figure </w:t>
      </w:r>
      <w:r w:rsidR="00C015BD" w:rsidRPr="38C7CFDA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n-GB" w:eastAsia="en-GB"/>
        </w:rPr>
        <w:t>S</w:t>
      </w:r>
      <w:r w:rsidRPr="38C7CFDA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en-GB" w:eastAsia="en-GB"/>
        </w:rPr>
        <w:t>5</w:t>
      </w:r>
      <w:r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>. Effect of tannic acid</w:t>
      </w:r>
      <w:r w:rsidR="1B44AF65"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 xml:space="preserve"> on the enzymatic hydrolysis of cellulose</w:t>
      </w:r>
      <w:r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>. All hydrolysis reactions were performed at 45</w:t>
      </w:r>
      <w:r w:rsidR="00C90701"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 xml:space="preserve"> </w:t>
      </w:r>
      <w:r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>˚C in 50 mM NaAc buffer pH 5.0 with Avicel concentration 10 g/L in duplicates. Tannic acid concentration was 0.1 g/L, corresponding to 10</w:t>
      </w:r>
      <w:r w:rsidR="00C90701"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 xml:space="preserve"> </w:t>
      </w:r>
      <w:r w:rsidRPr="38C7CFDA">
        <w:rPr>
          <w:rFonts w:ascii="Calibri" w:eastAsia="Calibri" w:hAnsi="Calibri" w:cs="Calibri"/>
          <w:color w:val="000000" w:themeColor="text1"/>
          <w:sz w:val="22"/>
          <w:szCs w:val="22"/>
          <w:lang w:val="en-GB" w:eastAsia="en-GB"/>
        </w:rPr>
        <w:t>% w/w HMW phenolics (MW&gt;1700 Da) in Phe-Fr. Concentrations of Cellic Ctec2 and purified enzymes (Tr Cel7A, Tr Ce6A, Tr Cel5A, Tr Cel12A, Tr Cel45A, Tr Xyn11) were 0.1 g/L. The reactions with purified enzymes were supplemented with β-glucosidase An Cel3A (5000 nkat/L). Reducing sugars were quantified with PAHBAH assay.</w:t>
      </w:r>
    </w:p>
    <w:p w14:paraId="4194F477" w14:textId="05598C2F" w:rsidR="0003648A" w:rsidRDefault="0003648A">
      <w:pPr>
        <w:pStyle w:val="Body"/>
        <w:spacing w:after="0"/>
        <w:rPr>
          <w:color w:val="000000" w:themeColor="text1"/>
          <w:u w:color="1F497D"/>
          <w:lang w:val="en-US"/>
        </w:rPr>
      </w:pPr>
    </w:p>
    <w:p w14:paraId="39C84529" w14:textId="531208FD" w:rsidR="00F85C8B" w:rsidRDefault="00F85C8B">
      <w:pPr>
        <w:pStyle w:val="Body"/>
        <w:spacing w:after="0"/>
        <w:rPr>
          <w:color w:val="000000" w:themeColor="text1"/>
          <w:u w:color="1F497D"/>
          <w:lang w:val="en-US"/>
        </w:rPr>
      </w:pPr>
    </w:p>
    <w:p w14:paraId="75EFBC9B" w14:textId="77777777" w:rsidR="00F85C8B" w:rsidRPr="0003648A" w:rsidRDefault="00F85C8B">
      <w:pPr>
        <w:pStyle w:val="Body"/>
        <w:spacing w:after="0"/>
        <w:rPr>
          <w:color w:val="000000" w:themeColor="text1"/>
          <w:u w:color="1F497D"/>
          <w:lang w:val="en-US"/>
        </w:rPr>
      </w:pPr>
    </w:p>
    <w:p w14:paraId="6477BECD" w14:textId="77777777" w:rsidR="0003648A" w:rsidRPr="0003648A" w:rsidRDefault="0003648A">
      <w:pPr>
        <w:pStyle w:val="Body"/>
        <w:spacing w:after="0"/>
        <w:rPr>
          <w:sz w:val="24"/>
          <w:szCs w:val="24"/>
          <w:lang w:val="en-US"/>
        </w:rPr>
      </w:pPr>
    </w:p>
    <w:p w14:paraId="00845EEF" w14:textId="07935EE2" w:rsidR="00D37CAA" w:rsidRPr="00DD1D7E" w:rsidRDefault="00D37CAA" w:rsidP="00DD1D7E">
      <w:pPr>
        <w:pStyle w:val="Body"/>
        <w:spacing w:after="0"/>
        <w:rPr>
          <w:b/>
          <w:bCs/>
          <w:lang w:val="en-US"/>
        </w:rPr>
      </w:pPr>
    </w:p>
    <w:p w14:paraId="3BABC66A" w14:textId="77777777" w:rsidR="009E1C41" w:rsidRPr="00DD1D7E" w:rsidRDefault="009E1C41" w:rsidP="00DD1D7E">
      <w:pPr>
        <w:pStyle w:val="Body"/>
        <w:spacing w:after="0"/>
        <w:rPr>
          <w:b/>
          <w:bCs/>
          <w:lang w:val="en-GB"/>
        </w:rPr>
      </w:pPr>
    </w:p>
    <w:p w14:paraId="71B544DF" w14:textId="77777777" w:rsidR="0028332C" w:rsidRPr="0009012D" w:rsidRDefault="000B6985">
      <w:pPr>
        <w:pStyle w:val="Body"/>
        <w:spacing w:after="0"/>
        <w:rPr>
          <w:b/>
          <w:bCs/>
          <w:sz w:val="24"/>
          <w:szCs w:val="24"/>
          <w:lang w:val="en-GB"/>
        </w:rPr>
      </w:pPr>
      <w:r w:rsidRPr="0009012D">
        <w:rPr>
          <w:b/>
          <w:bCs/>
          <w:sz w:val="24"/>
          <w:szCs w:val="24"/>
          <w:lang w:val="en-GB"/>
        </w:rPr>
        <w:t>References</w:t>
      </w:r>
    </w:p>
    <w:p w14:paraId="2E7A6DDC" w14:textId="0DC110A7" w:rsidR="00CC25CC" w:rsidRPr="00DD1D7E" w:rsidRDefault="000B6985" w:rsidP="00DD1D7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220" w:line="276" w:lineRule="auto"/>
        <w:contextualSpacing/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</w:pPr>
      <w:r w:rsidRPr="00992F7D">
        <w:rPr>
          <w:color w:val="1F497D"/>
          <w:u w:color="1F497D"/>
          <w:lang w:val="en-GB"/>
        </w:rPr>
        <w:br/>
      </w:r>
      <w:r w:rsidRPr="00992F7D">
        <w:rPr>
          <w:color w:val="000000" w:themeColor="text1"/>
          <w:u w:color="1F497D"/>
          <w:lang w:val="en-GB"/>
        </w:rPr>
        <w:t>[</w:t>
      </w:r>
      <w:r w:rsidRPr="00DD1D7E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1] </w:t>
      </w:r>
      <w:r w:rsidR="009E1C41" w:rsidRPr="00DD1D7E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A. S. Borisova, V. Pihlajaniemi, R. Kont, K. Niemelä, T. Koitto, A. Mikkelson, P. Väljamäe, K. Kruus, K. Marjamaa, Effect of soluble phenolic compounds from hydrothermally pretreated wheat straw on cellulose degrading enzymes, Bio</w:t>
      </w:r>
      <w:r w:rsidR="00C015BD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technology for Biofuels</w:t>
      </w:r>
      <w:r w:rsidR="009E1C41" w:rsidRPr="00DD1D7E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. In Press</w:t>
      </w:r>
      <w:r w:rsidRPr="00DD1D7E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>.: </w:t>
      </w:r>
      <w:r w:rsidRPr="00DD1D7E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br/>
        <w:t xml:space="preserve">[2] </w:t>
      </w:r>
      <w:r w:rsidR="009E1C41" w:rsidRPr="00DD1D7E">
        <w:rPr>
          <w:rFonts w:ascii="Calibri" w:eastAsia="Calibri" w:hAnsi="Calibri" w:cs="Calibri"/>
          <w:color w:val="000000" w:themeColor="text1"/>
          <w:sz w:val="22"/>
          <w:szCs w:val="22"/>
          <w:u w:color="1F497D"/>
          <w:lang w:val="en-GB" w:eastAsia="en-GB"/>
        </w:rPr>
        <w:t xml:space="preserve">Lever, M. (1972) ‘A new reaction for colorimetric determination of carbohydrates’, Analytical Biochemistry, 47(1), pp. 273–279. doi: 10.1016/0003-2697(72)90301-6. </w:t>
      </w:r>
    </w:p>
    <w:sectPr w:rsidR="00CC25CC" w:rsidRPr="00DD1D7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F592DB" w14:textId="77777777" w:rsidR="007A3808" w:rsidRDefault="007A3808">
      <w:r>
        <w:separator/>
      </w:r>
    </w:p>
  </w:endnote>
  <w:endnote w:type="continuationSeparator" w:id="0">
    <w:p w14:paraId="34B2129E" w14:textId="77777777" w:rsidR="007A3808" w:rsidRDefault="007A3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FCA00A" w14:textId="77777777" w:rsidR="007A3808" w:rsidRDefault="007A3808">
      <w:r>
        <w:separator/>
      </w:r>
    </w:p>
  </w:footnote>
  <w:footnote w:type="continuationSeparator" w:id="0">
    <w:p w14:paraId="79E51E8A" w14:textId="77777777" w:rsidR="007A3808" w:rsidRDefault="007A38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12FD7"/>
    <w:multiLevelType w:val="hybridMultilevel"/>
    <w:tmpl w:val="E94E00D6"/>
    <w:styleLink w:val="ImportedStyle3"/>
    <w:lvl w:ilvl="0" w:tplc="558440C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88B5B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BE501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0242F4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42574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F3A1E7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002BF2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87219E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438B37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C6C4B10"/>
    <w:multiLevelType w:val="hybridMultilevel"/>
    <w:tmpl w:val="DE840C5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58AC1A2">
      <w:start w:val="1"/>
      <w:numFmt w:val="bullet"/>
      <w:lvlText w:val="o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D2C8804">
      <w:start w:val="1"/>
      <w:numFmt w:val="bullet"/>
      <w:lvlText w:val="▪"/>
      <w:lvlJc w:val="left"/>
      <w:pPr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336EF94">
      <w:start w:val="1"/>
      <w:numFmt w:val="bullet"/>
      <w:lvlText w:val="•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FFC2CA8">
      <w:start w:val="1"/>
      <w:numFmt w:val="bullet"/>
      <w:lvlText w:val="o"/>
      <w:lvlJc w:val="left"/>
      <w:pPr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8428B78">
      <w:start w:val="1"/>
      <w:numFmt w:val="bullet"/>
      <w:lvlText w:val="▪"/>
      <w:lvlJc w:val="left"/>
      <w:pPr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B08E6F0">
      <w:start w:val="1"/>
      <w:numFmt w:val="bullet"/>
      <w:lvlText w:val="•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80794C">
      <w:start w:val="1"/>
      <w:numFmt w:val="bullet"/>
      <w:lvlText w:val="o"/>
      <w:lvlJc w:val="left"/>
      <w:pPr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8700CDE">
      <w:start w:val="1"/>
      <w:numFmt w:val="bullet"/>
      <w:lvlText w:val="▪"/>
      <w:lvlJc w:val="left"/>
      <w:pPr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0B53089"/>
    <w:multiLevelType w:val="hybridMultilevel"/>
    <w:tmpl w:val="BE5C7AC0"/>
    <w:numStyleLink w:val="ImportedStyle2"/>
  </w:abstractNum>
  <w:abstractNum w:abstractNumId="3" w15:restartNumberingAfterBreak="0">
    <w:nsid w:val="19FD28CE"/>
    <w:multiLevelType w:val="hybridMultilevel"/>
    <w:tmpl w:val="4A82E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AF2E1C"/>
    <w:multiLevelType w:val="hybridMultilevel"/>
    <w:tmpl w:val="605AD634"/>
    <w:lvl w:ilvl="0" w:tplc="33442830">
      <w:start w:val="1"/>
      <w:numFmt w:val="bullet"/>
      <w:lvlText w:val=""/>
      <w:lvlJc w:val="left"/>
      <w:pPr>
        <w:ind w:left="720" w:hanging="360"/>
      </w:pPr>
      <w:rPr>
        <w:rFonts w:ascii="Webdings" w:hAnsi="Web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865EB8"/>
    <w:multiLevelType w:val="hybridMultilevel"/>
    <w:tmpl w:val="0E0C67EC"/>
    <w:lvl w:ilvl="0" w:tplc="4D484F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B22AB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E015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F6B3F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48C3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6EBF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E4CE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C0D8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DA1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9472F4"/>
    <w:multiLevelType w:val="hybridMultilevel"/>
    <w:tmpl w:val="D00C110C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8AF5B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5382C9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7DEF85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E677A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41A021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62852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F4829D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C4157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D8C1C03"/>
    <w:multiLevelType w:val="hybridMultilevel"/>
    <w:tmpl w:val="8E42F7EA"/>
    <w:lvl w:ilvl="0" w:tplc="1D2C8804">
      <w:start w:val="1"/>
      <w:numFmt w:val="bullet"/>
      <w:lvlText w:val="▪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E41124"/>
    <w:multiLevelType w:val="hybridMultilevel"/>
    <w:tmpl w:val="A08C9A8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140801"/>
    <w:multiLevelType w:val="hybridMultilevel"/>
    <w:tmpl w:val="5EE60AB2"/>
    <w:styleLink w:val="ImportedStyle1"/>
    <w:lvl w:ilvl="0" w:tplc="BB60F14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D1C5C6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0CC2FB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DEA097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8A21CA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A12DDF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0C46CE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67EA69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DA292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447F7BA7"/>
    <w:multiLevelType w:val="hybridMultilevel"/>
    <w:tmpl w:val="EC2621C8"/>
    <w:lvl w:ilvl="0" w:tplc="AE6012B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8AF5B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5382C9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7DEF85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E677A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41A021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62852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F4829D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C4157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47490F31"/>
    <w:multiLevelType w:val="hybridMultilevel"/>
    <w:tmpl w:val="A4A6E04C"/>
    <w:lvl w:ilvl="0" w:tplc="676295C8">
      <w:start w:val="1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46279C3"/>
    <w:multiLevelType w:val="hybridMultilevel"/>
    <w:tmpl w:val="EB04C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8AF5B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5382C9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7DEF85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E677A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41A021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62852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F4829D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C4157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56E254F3"/>
    <w:multiLevelType w:val="hybridMultilevel"/>
    <w:tmpl w:val="5EE60AB2"/>
    <w:numStyleLink w:val="ImportedStyle1"/>
  </w:abstractNum>
  <w:abstractNum w:abstractNumId="14" w15:restartNumberingAfterBreak="0">
    <w:nsid w:val="58515577"/>
    <w:multiLevelType w:val="hybridMultilevel"/>
    <w:tmpl w:val="18E45CA4"/>
    <w:lvl w:ilvl="0" w:tplc="6062FD6E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F36196"/>
    <w:multiLevelType w:val="hybridMultilevel"/>
    <w:tmpl w:val="24624A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718DD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BFA183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DD6CB5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8961CD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CE422C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1C64FA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522455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E07DF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624D7BCC"/>
    <w:multiLevelType w:val="hybridMultilevel"/>
    <w:tmpl w:val="2C68F53C"/>
    <w:lvl w:ilvl="0" w:tplc="AE6012B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58AC1A2">
      <w:start w:val="1"/>
      <w:numFmt w:val="bullet"/>
      <w:lvlText w:val="o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D2C8804">
      <w:start w:val="1"/>
      <w:numFmt w:val="bullet"/>
      <w:lvlText w:val="▪"/>
      <w:lvlJc w:val="left"/>
      <w:pPr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336EF94">
      <w:start w:val="1"/>
      <w:numFmt w:val="bullet"/>
      <w:lvlText w:val="•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FFC2CA8">
      <w:start w:val="1"/>
      <w:numFmt w:val="bullet"/>
      <w:lvlText w:val="o"/>
      <w:lvlJc w:val="left"/>
      <w:pPr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8428B78">
      <w:start w:val="1"/>
      <w:numFmt w:val="bullet"/>
      <w:lvlText w:val="▪"/>
      <w:lvlJc w:val="left"/>
      <w:pPr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B08E6F0">
      <w:start w:val="1"/>
      <w:numFmt w:val="bullet"/>
      <w:lvlText w:val="•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80794C">
      <w:start w:val="1"/>
      <w:numFmt w:val="bullet"/>
      <w:lvlText w:val="o"/>
      <w:lvlJc w:val="left"/>
      <w:pPr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8700CDE">
      <w:start w:val="1"/>
      <w:numFmt w:val="bullet"/>
      <w:lvlText w:val="▪"/>
      <w:lvlJc w:val="left"/>
      <w:pPr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6F380ECF"/>
    <w:multiLevelType w:val="hybridMultilevel"/>
    <w:tmpl w:val="BE5C7AC0"/>
    <w:styleLink w:val="ImportedStyle2"/>
    <w:lvl w:ilvl="0" w:tplc="73F63FCA">
      <w:start w:val="1"/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8E23A88">
      <w:start w:val="1"/>
      <w:numFmt w:val="bullet"/>
      <w:lvlText w:val="o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50CD002">
      <w:start w:val="1"/>
      <w:numFmt w:val="bullet"/>
      <w:lvlText w:val="▪"/>
      <w:lvlJc w:val="left"/>
      <w:pPr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55C2F58">
      <w:start w:val="1"/>
      <w:numFmt w:val="bullet"/>
      <w:lvlText w:val="•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A65EDE">
      <w:start w:val="1"/>
      <w:numFmt w:val="bullet"/>
      <w:lvlText w:val="o"/>
      <w:lvlJc w:val="left"/>
      <w:pPr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40C6516">
      <w:start w:val="1"/>
      <w:numFmt w:val="bullet"/>
      <w:lvlText w:val="▪"/>
      <w:lvlJc w:val="left"/>
      <w:pPr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7500160">
      <w:start w:val="1"/>
      <w:numFmt w:val="bullet"/>
      <w:lvlText w:val="•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F2A2E68">
      <w:start w:val="1"/>
      <w:numFmt w:val="bullet"/>
      <w:lvlText w:val="o"/>
      <w:lvlJc w:val="left"/>
      <w:pPr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A9C7F24">
      <w:start w:val="1"/>
      <w:numFmt w:val="bullet"/>
      <w:lvlText w:val="▪"/>
      <w:lvlJc w:val="left"/>
      <w:pPr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6FAB365E"/>
    <w:multiLevelType w:val="hybridMultilevel"/>
    <w:tmpl w:val="DFAC6B3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58AC1A2">
      <w:start w:val="1"/>
      <w:numFmt w:val="bullet"/>
      <w:lvlText w:val="o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D2C8804">
      <w:start w:val="1"/>
      <w:numFmt w:val="bullet"/>
      <w:lvlText w:val="▪"/>
      <w:lvlJc w:val="left"/>
      <w:pPr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336EF94">
      <w:start w:val="1"/>
      <w:numFmt w:val="bullet"/>
      <w:lvlText w:val="•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FFC2CA8">
      <w:start w:val="1"/>
      <w:numFmt w:val="bullet"/>
      <w:lvlText w:val="o"/>
      <w:lvlJc w:val="left"/>
      <w:pPr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8428B78">
      <w:start w:val="1"/>
      <w:numFmt w:val="bullet"/>
      <w:lvlText w:val="▪"/>
      <w:lvlJc w:val="left"/>
      <w:pPr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B08E6F0">
      <w:start w:val="1"/>
      <w:numFmt w:val="bullet"/>
      <w:lvlText w:val="•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80794C">
      <w:start w:val="1"/>
      <w:numFmt w:val="bullet"/>
      <w:lvlText w:val="o"/>
      <w:lvlJc w:val="left"/>
      <w:pPr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8700CDE">
      <w:start w:val="1"/>
      <w:numFmt w:val="bullet"/>
      <w:lvlText w:val="▪"/>
      <w:lvlJc w:val="left"/>
      <w:pPr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74F95059"/>
    <w:multiLevelType w:val="hybridMultilevel"/>
    <w:tmpl w:val="86E2143C"/>
    <w:lvl w:ilvl="0" w:tplc="9308090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6922110"/>
    <w:multiLevelType w:val="hybridMultilevel"/>
    <w:tmpl w:val="E94E00D6"/>
    <w:numStyleLink w:val="ImportedStyle3"/>
  </w:abstractNum>
  <w:abstractNum w:abstractNumId="21" w15:restartNumberingAfterBreak="0">
    <w:nsid w:val="76FA2DED"/>
    <w:multiLevelType w:val="hybridMultilevel"/>
    <w:tmpl w:val="42E01564"/>
    <w:lvl w:ilvl="0" w:tplc="A184E60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D2C8804">
      <w:start w:val="1"/>
      <w:numFmt w:val="bullet"/>
      <w:lvlText w:val="▪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188284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092484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F6AF0E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BC8CA1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FF2E7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4AE6F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002A16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9"/>
  </w:num>
  <w:num w:numId="2">
    <w:abstractNumId w:val="13"/>
  </w:num>
  <w:num w:numId="3">
    <w:abstractNumId w:val="17"/>
  </w:num>
  <w:num w:numId="4">
    <w:abstractNumId w:val="2"/>
  </w:num>
  <w:num w:numId="5">
    <w:abstractNumId w:val="0"/>
  </w:num>
  <w:num w:numId="6">
    <w:abstractNumId w:val="20"/>
  </w:num>
  <w:num w:numId="7">
    <w:abstractNumId w:val="3"/>
  </w:num>
  <w:num w:numId="8">
    <w:abstractNumId w:val="11"/>
  </w:num>
  <w:num w:numId="9">
    <w:abstractNumId w:val="19"/>
  </w:num>
  <w:num w:numId="10">
    <w:abstractNumId w:val="15"/>
  </w:num>
  <w:num w:numId="11">
    <w:abstractNumId w:val="1"/>
  </w:num>
  <w:num w:numId="12">
    <w:abstractNumId w:val="4"/>
  </w:num>
  <w:num w:numId="13">
    <w:abstractNumId w:val="18"/>
  </w:num>
  <w:num w:numId="14">
    <w:abstractNumId w:val="14"/>
  </w:num>
  <w:num w:numId="15">
    <w:abstractNumId w:val="21"/>
  </w:num>
  <w:num w:numId="16">
    <w:abstractNumId w:val="7"/>
  </w:num>
  <w:num w:numId="17">
    <w:abstractNumId w:val="16"/>
  </w:num>
  <w:num w:numId="18">
    <w:abstractNumId w:val="6"/>
  </w:num>
  <w:num w:numId="19">
    <w:abstractNumId w:val="10"/>
  </w:num>
  <w:num w:numId="20">
    <w:abstractNumId w:val="12"/>
  </w:num>
  <w:num w:numId="21">
    <w:abstractNumId w:val="5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removePersonalInformation/>
  <w:removeDateAndTime/>
  <w:displayBackgroundShape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S2MLEwNbE0MDcyNzVR0lEKTi0uzszPAykwrAUAA3dCMSwAAAA="/>
  </w:docVars>
  <w:rsids>
    <w:rsidRoot w:val="0028332C"/>
    <w:rsid w:val="00010410"/>
    <w:rsid w:val="000112F7"/>
    <w:rsid w:val="00011B65"/>
    <w:rsid w:val="00011E21"/>
    <w:rsid w:val="00013A29"/>
    <w:rsid w:val="000176FC"/>
    <w:rsid w:val="000219A4"/>
    <w:rsid w:val="00021AE9"/>
    <w:rsid w:val="000273F3"/>
    <w:rsid w:val="000327D1"/>
    <w:rsid w:val="00032CF0"/>
    <w:rsid w:val="000331FE"/>
    <w:rsid w:val="00034EE6"/>
    <w:rsid w:val="0003648A"/>
    <w:rsid w:val="00037E39"/>
    <w:rsid w:val="0004191D"/>
    <w:rsid w:val="00041A50"/>
    <w:rsid w:val="00050589"/>
    <w:rsid w:val="0005651E"/>
    <w:rsid w:val="0006058F"/>
    <w:rsid w:val="0006134F"/>
    <w:rsid w:val="00063B6A"/>
    <w:rsid w:val="00064D81"/>
    <w:rsid w:val="000702A7"/>
    <w:rsid w:val="000747D9"/>
    <w:rsid w:val="00081550"/>
    <w:rsid w:val="000833C9"/>
    <w:rsid w:val="00085B28"/>
    <w:rsid w:val="00085FB2"/>
    <w:rsid w:val="0009012D"/>
    <w:rsid w:val="00096FC6"/>
    <w:rsid w:val="000A422B"/>
    <w:rsid w:val="000A4DCB"/>
    <w:rsid w:val="000B0548"/>
    <w:rsid w:val="000B0999"/>
    <w:rsid w:val="000B6985"/>
    <w:rsid w:val="000C038A"/>
    <w:rsid w:val="000C3B3E"/>
    <w:rsid w:val="000C6B0B"/>
    <w:rsid w:val="000D125B"/>
    <w:rsid w:val="000D16F2"/>
    <w:rsid w:val="000D3909"/>
    <w:rsid w:val="000D39AC"/>
    <w:rsid w:val="000D5428"/>
    <w:rsid w:val="000D5E63"/>
    <w:rsid w:val="000E310D"/>
    <w:rsid w:val="000E591E"/>
    <w:rsid w:val="000F6A86"/>
    <w:rsid w:val="000F725F"/>
    <w:rsid w:val="0010016B"/>
    <w:rsid w:val="00100AAD"/>
    <w:rsid w:val="001078D9"/>
    <w:rsid w:val="00112C48"/>
    <w:rsid w:val="00123750"/>
    <w:rsid w:val="00124210"/>
    <w:rsid w:val="0012478A"/>
    <w:rsid w:val="001261E8"/>
    <w:rsid w:val="00131ED8"/>
    <w:rsid w:val="0013332F"/>
    <w:rsid w:val="0013381C"/>
    <w:rsid w:val="00135AA8"/>
    <w:rsid w:val="00137ECE"/>
    <w:rsid w:val="00142C76"/>
    <w:rsid w:val="0014763B"/>
    <w:rsid w:val="0015086D"/>
    <w:rsid w:val="00150CC5"/>
    <w:rsid w:val="001520AF"/>
    <w:rsid w:val="0015365A"/>
    <w:rsid w:val="001624A4"/>
    <w:rsid w:val="00165655"/>
    <w:rsid w:val="00165721"/>
    <w:rsid w:val="00167115"/>
    <w:rsid w:val="0017221B"/>
    <w:rsid w:val="0017326C"/>
    <w:rsid w:val="00175CA0"/>
    <w:rsid w:val="00175FC4"/>
    <w:rsid w:val="00176167"/>
    <w:rsid w:val="00176E34"/>
    <w:rsid w:val="00181937"/>
    <w:rsid w:val="00182473"/>
    <w:rsid w:val="00191574"/>
    <w:rsid w:val="001919EC"/>
    <w:rsid w:val="00197B58"/>
    <w:rsid w:val="001A018D"/>
    <w:rsid w:val="001A0666"/>
    <w:rsid w:val="001A6939"/>
    <w:rsid w:val="001B046F"/>
    <w:rsid w:val="001B317A"/>
    <w:rsid w:val="001B31A3"/>
    <w:rsid w:val="001B76C9"/>
    <w:rsid w:val="001B7B0B"/>
    <w:rsid w:val="001C0AD7"/>
    <w:rsid w:val="001C0C5F"/>
    <w:rsid w:val="001C205D"/>
    <w:rsid w:val="001C4BAB"/>
    <w:rsid w:val="001C5CC8"/>
    <w:rsid w:val="001D08A2"/>
    <w:rsid w:val="001D2BF6"/>
    <w:rsid w:val="001E00C0"/>
    <w:rsid w:val="001E550A"/>
    <w:rsid w:val="001E772C"/>
    <w:rsid w:val="001F6E2C"/>
    <w:rsid w:val="001F77C3"/>
    <w:rsid w:val="00201525"/>
    <w:rsid w:val="00201E99"/>
    <w:rsid w:val="0020354A"/>
    <w:rsid w:val="002126DE"/>
    <w:rsid w:val="002154C3"/>
    <w:rsid w:val="00216EA9"/>
    <w:rsid w:val="00221B9F"/>
    <w:rsid w:val="00230B03"/>
    <w:rsid w:val="00232935"/>
    <w:rsid w:val="00240AD7"/>
    <w:rsid w:val="00250FA3"/>
    <w:rsid w:val="002519BD"/>
    <w:rsid w:val="00255B15"/>
    <w:rsid w:val="002577BF"/>
    <w:rsid w:val="00257A5F"/>
    <w:rsid w:val="00262D1E"/>
    <w:rsid w:val="00266B8F"/>
    <w:rsid w:val="00270311"/>
    <w:rsid w:val="00274066"/>
    <w:rsid w:val="00274F8E"/>
    <w:rsid w:val="00282267"/>
    <w:rsid w:val="0028332C"/>
    <w:rsid w:val="002840EA"/>
    <w:rsid w:val="00284E44"/>
    <w:rsid w:val="00286FBD"/>
    <w:rsid w:val="00296C97"/>
    <w:rsid w:val="00297649"/>
    <w:rsid w:val="00297B76"/>
    <w:rsid w:val="002A2D0D"/>
    <w:rsid w:val="002A7596"/>
    <w:rsid w:val="002B645C"/>
    <w:rsid w:val="002C4C8A"/>
    <w:rsid w:val="002D6F53"/>
    <w:rsid w:val="002D7045"/>
    <w:rsid w:val="002D7188"/>
    <w:rsid w:val="002D73A7"/>
    <w:rsid w:val="002E3589"/>
    <w:rsid w:val="002E5D8E"/>
    <w:rsid w:val="002F2710"/>
    <w:rsid w:val="002F3882"/>
    <w:rsid w:val="002F7704"/>
    <w:rsid w:val="003048F7"/>
    <w:rsid w:val="00304AA9"/>
    <w:rsid w:val="00304DF2"/>
    <w:rsid w:val="003114B9"/>
    <w:rsid w:val="00315990"/>
    <w:rsid w:val="00321D6A"/>
    <w:rsid w:val="0032256F"/>
    <w:rsid w:val="0032472C"/>
    <w:rsid w:val="00327575"/>
    <w:rsid w:val="0032761C"/>
    <w:rsid w:val="00327E01"/>
    <w:rsid w:val="00330EEB"/>
    <w:rsid w:val="00334B85"/>
    <w:rsid w:val="00334C15"/>
    <w:rsid w:val="00341E70"/>
    <w:rsid w:val="0034575C"/>
    <w:rsid w:val="003510DC"/>
    <w:rsid w:val="00351471"/>
    <w:rsid w:val="0035356E"/>
    <w:rsid w:val="00354BC9"/>
    <w:rsid w:val="0035574D"/>
    <w:rsid w:val="00356266"/>
    <w:rsid w:val="00364687"/>
    <w:rsid w:val="0036636A"/>
    <w:rsid w:val="00375FF5"/>
    <w:rsid w:val="00376959"/>
    <w:rsid w:val="003834B2"/>
    <w:rsid w:val="00390EA9"/>
    <w:rsid w:val="0039140F"/>
    <w:rsid w:val="00393589"/>
    <w:rsid w:val="003954DD"/>
    <w:rsid w:val="0039698E"/>
    <w:rsid w:val="003A0F10"/>
    <w:rsid w:val="003A25B9"/>
    <w:rsid w:val="003A35DA"/>
    <w:rsid w:val="003A63AA"/>
    <w:rsid w:val="003A6679"/>
    <w:rsid w:val="003A6F7C"/>
    <w:rsid w:val="003B02AA"/>
    <w:rsid w:val="003B1472"/>
    <w:rsid w:val="003B29FE"/>
    <w:rsid w:val="003B40EB"/>
    <w:rsid w:val="003C74D5"/>
    <w:rsid w:val="003D1130"/>
    <w:rsid w:val="003D12DE"/>
    <w:rsid w:val="003D4599"/>
    <w:rsid w:val="003E0187"/>
    <w:rsid w:val="003E04DC"/>
    <w:rsid w:val="003F3F52"/>
    <w:rsid w:val="003F78D4"/>
    <w:rsid w:val="003F7B88"/>
    <w:rsid w:val="004016FC"/>
    <w:rsid w:val="00401B2B"/>
    <w:rsid w:val="004026D2"/>
    <w:rsid w:val="00403B5F"/>
    <w:rsid w:val="00411735"/>
    <w:rsid w:val="00411D9E"/>
    <w:rsid w:val="0041382F"/>
    <w:rsid w:val="00417368"/>
    <w:rsid w:val="00417666"/>
    <w:rsid w:val="004212A4"/>
    <w:rsid w:val="00423BFB"/>
    <w:rsid w:val="00423F67"/>
    <w:rsid w:val="0042500E"/>
    <w:rsid w:val="00430DF9"/>
    <w:rsid w:val="00432976"/>
    <w:rsid w:val="0043434C"/>
    <w:rsid w:val="0043445B"/>
    <w:rsid w:val="004350E5"/>
    <w:rsid w:val="004416DE"/>
    <w:rsid w:val="00447032"/>
    <w:rsid w:val="004472CF"/>
    <w:rsid w:val="00455806"/>
    <w:rsid w:val="0045610D"/>
    <w:rsid w:val="00456D2D"/>
    <w:rsid w:val="004619D7"/>
    <w:rsid w:val="00462818"/>
    <w:rsid w:val="004637A3"/>
    <w:rsid w:val="004642CC"/>
    <w:rsid w:val="00465680"/>
    <w:rsid w:val="00466B78"/>
    <w:rsid w:val="00467BCD"/>
    <w:rsid w:val="004726BE"/>
    <w:rsid w:val="004727A4"/>
    <w:rsid w:val="0047793C"/>
    <w:rsid w:val="004832FC"/>
    <w:rsid w:val="0048423D"/>
    <w:rsid w:val="00485892"/>
    <w:rsid w:val="00486A01"/>
    <w:rsid w:val="00495773"/>
    <w:rsid w:val="004A054A"/>
    <w:rsid w:val="004A170B"/>
    <w:rsid w:val="004A39C3"/>
    <w:rsid w:val="004A77FD"/>
    <w:rsid w:val="004B5237"/>
    <w:rsid w:val="004B5533"/>
    <w:rsid w:val="004B5866"/>
    <w:rsid w:val="004B5C73"/>
    <w:rsid w:val="004B5CBB"/>
    <w:rsid w:val="004C1C9E"/>
    <w:rsid w:val="004C243E"/>
    <w:rsid w:val="004C6DE5"/>
    <w:rsid w:val="004C70C3"/>
    <w:rsid w:val="004D0F02"/>
    <w:rsid w:val="004D59A0"/>
    <w:rsid w:val="004D6C38"/>
    <w:rsid w:val="004E0576"/>
    <w:rsid w:val="004E3A0C"/>
    <w:rsid w:val="004E79B4"/>
    <w:rsid w:val="004E7D5A"/>
    <w:rsid w:val="004F44C8"/>
    <w:rsid w:val="004F5F53"/>
    <w:rsid w:val="004F60FD"/>
    <w:rsid w:val="004F7615"/>
    <w:rsid w:val="00500F30"/>
    <w:rsid w:val="00504AC9"/>
    <w:rsid w:val="0050701D"/>
    <w:rsid w:val="00511615"/>
    <w:rsid w:val="005126FB"/>
    <w:rsid w:val="005155C5"/>
    <w:rsid w:val="005213E9"/>
    <w:rsid w:val="005228EA"/>
    <w:rsid w:val="0052393D"/>
    <w:rsid w:val="00530D7B"/>
    <w:rsid w:val="00530E2A"/>
    <w:rsid w:val="0053134A"/>
    <w:rsid w:val="00534320"/>
    <w:rsid w:val="00536087"/>
    <w:rsid w:val="0053726E"/>
    <w:rsid w:val="005378D0"/>
    <w:rsid w:val="005469B6"/>
    <w:rsid w:val="0054706E"/>
    <w:rsid w:val="00547E98"/>
    <w:rsid w:val="005508EC"/>
    <w:rsid w:val="005510F2"/>
    <w:rsid w:val="00551F35"/>
    <w:rsid w:val="00555DE7"/>
    <w:rsid w:val="00561E95"/>
    <w:rsid w:val="0056606E"/>
    <w:rsid w:val="00567928"/>
    <w:rsid w:val="00567F75"/>
    <w:rsid w:val="005726FE"/>
    <w:rsid w:val="00575AA6"/>
    <w:rsid w:val="00580991"/>
    <w:rsid w:val="005823DC"/>
    <w:rsid w:val="0058485B"/>
    <w:rsid w:val="00587915"/>
    <w:rsid w:val="00592891"/>
    <w:rsid w:val="005A68E9"/>
    <w:rsid w:val="005A7377"/>
    <w:rsid w:val="005B2535"/>
    <w:rsid w:val="005B3049"/>
    <w:rsid w:val="005B794A"/>
    <w:rsid w:val="005C2024"/>
    <w:rsid w:val="005C38B4"/>
    <w:rsid w:val="005C72F1"/>
    <w:rsid w:val="005C7CE4"/>
    <w:rsid w:val="005D4899"/>
    <w:rsid w:val="005D575F"/>
    <w:rsid w:val="005E0B06"/>
    <w:rsid w:val="005E269D"/>
    <w:rsid w:val="005F0624"/>
    <w:rsid w:val="005F3708"/>
    <w:rsid w:val="00600146"/>
    <w:rsid w:val="00602609"/>
    <w:rsid w:val="0060773B"/>
    <w:rsid w:val="00611ED8"/>
    <w:rsid w:val="00614B37"/>
    <w:rsid w:val="00615BF4"/>
    <w:rsid w:val="0062004F"/>
    <w:rsid w:val="006202CA"/>
    <w:rsid w:val="006224A8"/>
    <w:rsid w:val="0063074F"/>
    <w:rsid w:val="00631BE5"/>
    <w:rsid w:val="006335D6"/>
    <w:rsid w:val="00633981"/>
    <w:rsid w:val="00633B81"/>
    <w:rsid w:val="00643532"/>
    <w:rsid w:val="00644894"/>
    <w:rsid w:val="00651A96"/>
    <w:rsid w:val="006521B0"/>
    <w:rsid w:val="006527E1"/>
    <w:rsid w:val="006617F3"/>
    <w:rsid w:val="0066395E"/>
    <w:rsid w:val="00665EA0"/>
    <w:rsid w:val="00666CD5"/>
    <w:rsid w:val="00670497"/>
    <w:rsid w:val="00672B1A"/>
    <w:rsid w:val="006747CF"/>
    <w:rsid w:val="00675E70"/>
    <w:rsid w:val="006816DF"/>
    <w:rsid w:val="00683765"/>
    <w:rsid w:val="00683BED"/>
    <w:rsid w:val="006856D8"/>
    <w:rsid w:val="006A02CB"/>
    <w:rsid w:val="006A2262"/>
    <w:rsid w:val="006A6481"/>
    <w:rsid w:val="006C0BEB"/>
    <w:rsid w:val="006C0C24"/>
    <w:rsid w:val="006C710F"/>
    <w:rsid w:val="006D524A"/>
    <w:rsid w:val="006E0B99"/>
    <w:rsid w:val="006E4174"/>
    <w:rsid w:val="006E5449"/>
    <w:rsid w:val="006E5FA5"/>
    <w:rsid w:val="006F6728"/>
    <w:rsid w:val="007010B9"/>
    <w:rsid w:val="00704789"/>
    <w:rsid w:val="007113AC"/>
    <w:rsid w:val="00712DB8"/>
    <w:rsid w:val="00720CB0"/>
    <w:rsid w:val="007223BA"/>
    <w:rsid w:val="0072580E"/>
    <w:rsid w:val="00737594"/>
    <w:rsid w:val="007409E1"/>
    <w:rsid w:val="0074642B"/>
    <w:rsid w:val="0074646A"/>
    <w:rsid w:val="00750035"/>
    <w:rsid w:val="00754F8B"/>
    <w:rsid w:val="0076643D"/>
    <w:rsid w:val="00767A48"/>
    <w:rsid w:val="00770706"/>
    <w:rsid w:val="0077180C"/>
    <w:rsid w:val="00771848"/>
    <w:rsid w:val="007728EE"/>
    <w:rsid w:val="0077386A"/>
    <w:rsid w:val="0077658C"/>
    <w:rsid w:val="00780286"/>
    <w:rsid w:val="00780E5B"/>
    <w:rsid w:val="007814F9"/>
    <w:rsid w:val="00782E2B"/>
    <w:rsid w:val="007844E7"/>
    <w:rsid w:val="007873DE"/>
    <w:rsid w:val="007902A6"/>
    <w:rsid w:val="007917C0"/>
    <w:rsid w:val="00792631"/>
    <w:rsid w:val="00793D7B"/>
    <w:rsid w:val="007A08A3"/>
    <w:rsid w:val="007A0DEB"/>
    <w:rsid w:val="007A1BC8"/>
    <w:rsid w:val="007A3808"/>
    <w:rsid w:val="007A5B33"/>
    <w:rsid w:val="007B25AC"/>
    <w:rsid w:val="007B2F9B"/>
    <w:rsid w:val="007B3986"/>
    <w:rsid w:val="007B5422"/>
    <w:rsid w:val="007C0610"/>
    <w:rsid w:val="007C0781"/>
    <w:rsid w:val="007C1FEA"/>
    <w:rsid w:val="007C53E2"/>
    <w:rsid w:val="007C7647"/>
    <w:rsid w:val="007D7178"/>
    <w:rsid w:val="007D74AF"/>
    <w:rsid w:val="007E2D46"/>
    <w:rsid w:val="007E4BF3"/>
    <w:rsid w:val="007F3988"/>
    <w:rsid w:val="00803D9C"/>
    <w:rsid w:val="00804480"/>
    <w:rsid w:val="0080645D"/>
    <w:rsid w:val="00807FE7"/>
    <w:rsid w:val="0081005B"/>
    <w:rsid w:val="008161F9"/>
    <w:rsid w:val="00825F45"/>
    <w:rsid w:val="00830B9C"/>
    <w:rsid w:val="008346C7"/>
    <w:rsid w:val="00834E03"/>
    <w:rsid w:val="00840067"/>
    <w:rsid w:val="008417FD"/>
    <w:rsid w:val="00843EDF"/>
    <w:rsid w:val="00844ACF"/>
    <w:rsid w:val="00852BDC"/>
    <w:rsid w:val="008642B9"/>
    <w:rsid w:val="00864F7E"/>
    <w:rsid w:val="0087105B"/>
    <w:rsid w:val="00871329"/>
    <w:rsid w:val="00874EFA"/>
    <w:rsid w:val="00876241"/>
    <w:rsid w:val="00876578"/>
    <w:rsid w:val="0088354B"/>
    <w:rsid w:val="00884833"/>
    <w:rsid w:val="008848FE"/>
    <w:rsid w:val="0088623F"/>
    <w:rsid w:val="00890119"/>
    <w:rsid w:val="00890D36"/>
    <w:rsid w:val="008925B9"/>
    <w:rsid w:val="00893C56"/>
    <w:rsid w:val="00893FC7"/>
    <w:rsid w:val="00895A56"/>
    <w:rsid w:val="00896B5B"/>
    <w:rsid w:val="00897476"/>
    <w:rsid w:val="008A01D8"/>
    <w:rsid w:val="008A190A"/>
    <w:rsid w:val="008A42E3"/>
    <w:rsid w:val="008A5F7C"/>
    <w:rsid w:val="008B41DC"/>
    <w:rsid w:val="008B42D0"/>
    <w:rsid w:val="008B5189"/>
    <w:rsid w:val="008B7089"/>
    <w:rsid w:val="008C25FF"/>
    <w:rsid w:val="008C2943"/>
    <w:rsid w:val="008C2AD9"/>
    <w:rsid w:val="008C456D"/>
    <w:rsid w:val="008C53EE"/>
    <w:rsid w:val="008D3396"/>
    <w:rsid w:val="008D79DE"/>
    <w:rsid w:val="008D7DAC"/>
    <w:rsid w:val="008E1CD5"/>
    <w:rsid w:val="008E342B"/>
    <w:rsid w:val="008E34D8"/>
    <w:rsid w:val="008E4A6A"/>
    <w:rsid w:val="008F4318"/>
    <w:rsid w:val="00901A69"/>
    <w:rsid w:val="00911258"/>
    <w:rsid w:val="00912105"/>
    <w:rsid w:val="00912AD5"/>
    <w:rsid w:val="009142FD"/>
    <w:rsid w:val="0091659C"/>
    <w:rsid w:val="00916D69"/>
    <w:rsid w:val="009221E6"/>
    <w:rsid w:val="00922A8C"/>
    <w:rsid w:val="00923E77"/>
    <w:rsid w:val="00927E0F"/>
    <w:rsid w:val="00931BAF"/>
    <w:rsid w:val="0093573C"/>
    <w:rsid w:val="00935BF9"/>
    <w:rsid w:val="009361AC"/>
    <w:rsid w:val="00937F71"/>
    <w:rsid w:val="009409E3"/>
    <w:rsid w:val="009424C2"/>
    <w:rsid w:val="0094459C"/>
    <w:rsid w:val="009521F1"/>
    <w:rsid w:val="00956D0F"/>
    <w:rsid w:val="00961C04"/>
    <w:rsid w:val="00963923"/>
    <w:rsid w:val="00963F9C"/>
    <w:rsid w:val="00965AFF"/>
    <w:rsid w:val="009707AB"/>
    <w:rsid w:val="009732CF"/>
    <w:rsid w:val="00975AE0"/>
    <w:rsid w:val="00975C88"/>
    <w:rsid w:val="00975E81"/>
    <w:rsid w:val="009801E8"/>
    <w:rsid w:val="009835D0"/>
    <w:rsid w:val="00986B1F"/>
    <w:rsid w:val="00987ADC"/>
    <w:rsid w:val="00991108"/>
    <w:rsid w:val="0099117A"/>
    <w:rsid w:val="00992020"/>
    <w:rsid w:val="009927AE"/>
    <w:rsid w:val="00992F7D"/>
    <w:rsid w:val="009938A5"/>
    <w:rsid w:val="00994D26"/>
    <w:rsid w:val="00995C35"/>
    <w:rsid w:val="009971C3"/>
    <w:rsid w:val="009A3E3A"/>
    <w:rsid w:val="009A6D05"/>
    <w:rsid w:val="009B1262"/>
    <w:rsid w:val="009B1555"/>
    <w:rsid w:val="009B6932"/>
    <w:rsid w:val="009C010A"/>
    <w:rsid w:val="009C0C0C"/>
    <w:rsid w:val="009C1957"/>
    <w:rsid w:val="009E042D"/>
    <w:rsid w:val="009E1C41"/>
    <w:rsid w:val="009E3697"/>
    <w:rsid w:val="009E7846"/>
    <w:rsid w:val="009F05A1"/>
    <w:rsid w:val="009F2350"/>
    <w:rsid w:val="009F23CF"/>
    <w:rsid w:val="009F40C6"/>
    <w:rsid w:val="00A00569"/>
    <w:rsid w:val="00A01921"/>
    <w:rsid w:val="00A02C41"/>
    <w:rsid w:val="00A044C0"/>
    <w:rsid w:val="00A0682E"/>
    <w:rsid w:val="00A10E42"/>
    <w:rsid w:val="00A14147"/>
    <w:rsid w:val="00A15B95"/>
    <w:rsid w:val="00A1684F"/>
    <w:rsid w:val="00A27EBB"/>
    <w:rsid w:val="00A328FD"/>
    <w:rsid w:val="00A36461"/>
    <w:rsid w:val="00A41D5E"/>
    <w:rsid w:val="00A44068"/>
    <w:rsid w:val="00A445B5"/>
    <w:rsid w:val="00A531EA"/>
    <w:rsid w:val="00A53E4B"/>
    <w:rsid w:val="00A54180"/>
    <w:rsid w:val="00A60A54"/>
    <w:rsid w:val="00A61329"/>
    <w:rsid w:val="00A628BE"/>
    <w:rsid w:val="00A63A81"/>
    <w:rsid w:val="00A64B7F"/>
    <w:rsid w:val="00A65F55"/>
    <w:rsid w:val="00A76B9A"/>
    <w:rsid w:val="00A77D91"/>
    <w:rsid w:val="00A92341"/>
    <w:rsid w:val="00A93F93"/>
    <w:rsid w:val="00A9400B"/>
    <w:rsid w:val="00A95464"/>
    <w:rsid w:val="00AA1F0B"/>
    <w:rsid w:val="00AA5FF5"/>
    <w:rsid w:val="00AB0D95"/>
    <w:rsid w:val="00AB45E6"/>
    <w:rsid w:val="00AB4E3B"/>
    <w:rsid w:val="00AC4316"/>
    <w:rsid w:val="00AC5DC5"/>
    <w:rsid w:val="00AC5E7D"/>
    <w:rsid w:val="00AD3231"/>
    <w:rsid w:val="00AD3628"/>
    <w:rsid w:val="00AD4483"/>
    <w:rsid w:val="00AD4FCE"/>
    <w:rsid w:val="00AD55E8"/>
    <w:rsid w:val="00AE07EC"/>
    <w:rsid w:val="00AE16A2"/>
    <w:rsid w:val="00AE3BEA"/>
    <w:rsid w:val="00AE5B0B"/>
    <w:rsid w:val="00AE62B8"/>
    <w:rsid w:val="00AE6404"/>
    <w:rsid w:val="00AF278E"/>
    <w:rsid w:val="00AF33C4"/>
    <w:rsid w:val="00AF63D5"/>
    <w:rsid w:val="00AF737F"/>
    <w:rsid w:val="00B00A7C"/>
    <w:rsid w:val="00B01F52"/>
    <w:rsid w:val="00B0296D"/>
    <w:rsid w:val="00B04510"/>
    <w:rsid w:val="00B04644"/>
    <w:rsid w:val="00B128C0"/>
    <w:rsid w:val="00B132F3"/>
    <w:rsid w:val="00B13AEB"/>
    <w:rsid w:val="00B145EB"/>
    <w:rsid w:val="00B16D1E"/>
    <w:rsid w:val="00B25EED"/>
    <w:rsid w:val="00B26CE2"/>
    <w:rsid w:val="00B2744E"/>
    <w:rsid w:val="00B27E4B"/>
    <w:rsid w:val="00B27EA9"/>
    <w:rsid w:val="00B32A6A"/>
    <w:rsid w:val="00B32D0F"/>
    <w:rsid w:val="00B33F53"/>
    <w:rsid w:val="00B40E8E"/>
    <w:rsid w:val="00B411CD"/>
    <w:rsid w:val="00B4125D"/>
    <w:rsid w:val="00B44405"/>
    <w:rsid w:val="00B461DB"/>
    <w:rsid w:val="00B536D7"/>
    <w:rsid w:val="00B5415E"/>
    <w:rsid w:val="00B55948"/>
    <w:rsid w:val="00B6154A"/>
    <w:rsid w:val="00B61A81"/>
    <w:rsid w:val="00B631E0"/>
    <w:rsid w:val="00B65DBF"/>
    <w:rsid w:val="00B65E8B"/>
    <w:rsid w:val="00B66BE2"/>
    <w:rsid w:val="00B737FA"/>
    <w:rsid w:val="00B86CAA"/>
    <w:rsid w:val="00B912F2"/>
    <w:rsid w:val="00B91EE2"/>
    <w:rsid w:val="00B95D56"/>
    <w:rsid w:val="00B97050"/>
    <w:rsid w:val="00B973C3"/>
    <w:rsid w:val="00BA65E0"/>
    <w:rsid w:val="00BA7068"/>
    <w:rsid w:val="00BA7F97"/>
    <w:rsid w:val="00BB51DB"/>
    <w:rsid w:val="00BE2B53"/>
    <w:rsid w:val="00BE2EA3"/>
    <w:rsid w:val="00BE36E4"/>
    <w:rsid w:val="00BF0C88"/>
    <w:rsid w:val="00BF5157"/>
    <w:rsid w:val="00BF5F44"/>
    <w:rsid w:val="00BF62FF"/>
    <w:rsid w:val="00C015BD"/>
    <w:rsid w:val="00C049FD"/>
    <w:rsid w:val="00C05336"/>
    <w:rsid w:val="00C0600A"/>
    <w:rsid w:val="00C13DF2"/>
    <w:rsid w:val="00C2263C"/>
    <w:rsid w:val="00C259C4"/>
    <w:rsid w:val="00C25AF5"/>
    <w:rsid w:val="00C30BA0"/>
    <w:rsid w:val="00C3498D"/>
    <w:rsid w:val="00C35BEA"/>
    <w:rsid w:val="00C378B7"/>
    <w:rsid w:val="00C42A08"/>
    <w:rsid w:val="00C454D9"/>
    <w:rsid w:val="00C45866"/>
    <w:rsid w:val="00C46A9D"/>
    <w:rsid w:val="00C613C8"/>
    <w:rsid w:val="00C6531D"/>
    <w:rsid w:val="00C6734E"/>
    <w:rsid w:val="00C674BF"/>
    <w:rsid w:val="00C7224C"/>
    <w:rsid w:val="00C751E3"/>
    <w:rsid w:val="00C75A97"/>
    <w:rsid w:val="00C834B0"/>
    <w:rsid w:val="00C8586B"/>
    <w:rsid w:val="00C86D7C"/>
    <w:rsid w:val="00C90701"/>
    <w:rsid w:val="00C91727"/>
    <w:rsid w:val="00C93FF5"/>
    <w:rsid w:val="00C96000"/>
    <w:rsid w:val="00CA0B1C"/>
    <w:rsid w:val="00CB3AE9"/>
    <w:rsid w:val="00CB52A0"/>
    <w:rsid w:val="00CB6492"/>
    <w:rsid w:val="00CC25CC"/>
    <w:rsid w:val="00CC28BC"/>
    <w:rsid w:val="00CC62FA"/>
    <w:rsid w:val="00CC71DA"/>
    <w:rsid w:val="00CD5974"/>
    <w:rsid w:val="00CD622C"/>
    <w:rsid w:val="00CD6266"/>
    <w:rsid w:val="00CF1BB2"/>
    <w:rsid w:val="00CF1ED3"/>
    <w:rsid w:val="00CF4FEC"/>
    <w:rsid w:val="00D05852"/>
    <w:rsid w:val="00D14BDA"/>
    <w:rsid w:val="00D17892"/>
    <w:rsid w:val="00D22113"/>
    <w:rsid w:val="00D23D1E"/>
    <w:rsid w:val="00D24285"/>
    <w:rsid w:val="00D25438"/>
    <w:rsid w:val="00D2659A"/>
    <w:rsid w:val="00D336C4"/>
    <w:rsid w:val="00D33993"/>
    <w:rsid w:val="00D357C6"/>
    <w:rsid w:val="00D3740D"/>
    <w:rsid w:val="00D37783"/>
    <w:rsid w:val="00D37CAA"/>
    <w:rsid w:val="00D42E95"/>
    <w:rsid w:val="00D43927"/>
    <w:rsid w:val="00D44B1C"/>
    <w:rsid w:val="00D47DDB"/>
    <w:rsid w:val="00D51728"/>
    <w:rsid w:val="00D547CC"/>
    <w:rsid w:val="00D55FC0"/>
    <w:rsid w:val="00D63C39"/>
    <w:rsid w:val="00D6506F"/>
    <w:rsid w:val="00D71832"/>
    <w:rsid w:val="00D71CDA"/>
    <w:rsid w:val="00D7264E"/>
    <w:rsid w:val="00D741B2"/>
    <w:rsid w:val="00D77669"/>
    <w:rsid w:val="00D815D8"/>
    <w:rsid w:val="00D876BD"/>
    <w:rsid w:val="00D92785"/>
    <w:rsid w:val="00D939EA"/>
    <w:rsid w:val="00D93B6E"/>
    <w:rsid w:val="00DA6BB9"/>
    <w:rsid w:val="00DA7E14"/>
    <w:rsid w:val="00DB293A"/>
    <w:rsid w:val="00DC1D53"/>
    <w:rsid w:val="00DC31D7"/>
    <w:rsid w:val="00DC6356"/>
    <w:rsid w:val="00DC7A0D"/>
    <w:rsid w:val="00DD017D"/>
    <w:rsid w:val="00DD1D7E"/>
    <w:rsid w:val="00DD5D76"/>
    <w:rsid w:val="00DD6BD0"/>
    <w:rsid w:val="00DE0683"/>
    <w:rsid w:val="00DE083F"/>
    <w:rsid w:val="00DE3C61"/>
    <w:rsid w:val="00DF53A9"/>
    <w:rsid w:val="00E01DE5"/>
    <w:rsid w:val="00E04AF1"/>
    <w:rsid w:val="00E11C8C"/>
    <w:rsid w:val="00E120F8"/>
    <w:rsid w:val="00E1215B"/>
    <w:rsid w:val="00E22423"/>
    <w:rsid w:val="00E238F4"/>
    <w:rsid w:val="00E27B37"/>
    <w:rsid w:val="00E331A9"/>
    <w:rsid w:val="00E34D8D"/>
    <w:rsid w:val="00E35D80"/>
    <w:rsid w:val="00E401C1"/>
    <w:rsid w:val="00E43838"/>
    <w:rsid w:val="00E44612"/>
    <w:rsid w:val="00E45216"/>
    <w:rsid w:val="00E467DA"/>
    <w:rsid w:val="00E47F03"/>
    <w:rsid w:val="00E55F81"/>
    <w:rsid w:val="00E56247"/>
    <w:rsid w:val="00E56C28"/>
    <w:rsid w:val="00E56DED"/>
    <w:rsid w:val="00E57D65"/>
    <w:rsid w:val="00E60FA7"/>
    <w:rsid w:val="00E617CC"/>
    <w:rsid w:val="00E62468"/>
    <w:rsid w:val="00E64C3B"/>
    <w:rsid w:val="00E64D97"/>
    <w:rsid w:val="00E71DBA"/>
    <w:rsid w:val="00E72F9D"/>
    <w:rsid w:val="00E75DB9"/>
    <w:rsid w:val="00E81BD9"/>
    <w:rsid w:val="00E8736C"/>
    <w:rsid w:val="00E908B8"/>
    <w:rsid w:val="00E91E9D"/>
    <w:rsid w:val="00E942FA"/>
    <w:rsid w:val="00EA282F"/>
    <w:rsid w:val="00EC2C16"/>
    <w:rsid w:val="00EC6E96"/>
    <w:rsid w:val="00ED0C81"/>
    <w:rsid w:val="00EE2D6B"/>
    <w:rsid w:val="00EE2E3E"/>
    <w:rsid w:val="00EE5FEC"/>
    <w:rsid w:val="00EE7CD9"/>
    <w:rsid w:val="00EF0BA8"/>
    <w:rsid w:val="00EF21F4"/>
    <w:rsid w:val="00EF53E1"/>
    <w:rsid w:val="00EF6943"/>
    <w:rsid w:val="00F00344"/>
    <w:rsid w:val="00F01299"/>
    <w:rsid w:val="00F0491B"/>
    <w:rsid w:val="00F06185"/>
    <w:rsid w:val="00F156B0"/>
    <w:rsid w:val="00F15742"/>
    <w:rsid w:val="00F216E0"/>
    <w:rsid w:val="00F24175"/>
    <w:rsid w:val="00F27E95"/>
    <w:rsid w:val="00F315F2"/>
    <w:rsid w:val="00F33B5E"/>
    <w:rsid w:val="00F34482"/>
    <w:rsid w:val="00F35CC2"/>
    <w:rsid w:val="00F360A3"/>
    <w:rsid w:val="00F41302"/>
    <w:rsid w:val="00F533BE"/>
    <w:rsid w:val="00F54B96"/>
    <w:rsid w:val="00F55518"/>
    <w:rsid w:val="00F56D94"/>
    <w:rsid w:val="00F60864"/>
    <w:rsid w:val="00F64C7A"/>
    <w:rsid w:val="00F65AC2"/>
    <w:rsid w:val="00F710FF"/>
    <w:rsid w:val="00F83C55"/>
    <w:rsid w:val="00F84952"/>
    <w:rsid w:val="00F85156"/>
    <w:rsid w:val="00F85C8B"/>
    <w:rsid w:val="00F9589B"/>
    <w:rsid w:val="00FA2CCA"/>
    <w:rsid w:val="00FA6091"/>
    <w:rsid w:val="00FA7D69"/>
    <w:rsid w:val="00FB5717"/>
    <w:rsid w:val="00FB6354"/>
    <w:rsid w:val="00FC0B96"/>
    <w:rsid w:val="00FC1595"/>
    <w:rsid w:val="00FC201F"/>
    <w:rsid w:val="00FC763F"/>
    <w:rsid w:val="00FC7896"/>
    <w:rsid w:val="00FD12E7"/>
    <w:rsid w:val="00FD3201"/>
    <w:rsid w:val="00FD4411"/>
    <w:rsid w:val="00FE097C"/>
    <w:rsid w:val="00FE3FA0"/>
    <w:rsid w:val="00FE5E84"/>
    <w:rsid w:val="00FE7ABA"/>
    <w:rsid w:val="00FF03D0"/>
    <w:rsid w:val="00FF5392"/>
    <w:rsid w:val="1B44AF65"/>
    <w:rsid w:val="33330730"/>
    <w:rsid w:val="38C7CFDA"/>
    <w:rsid w:val="401D807D"/>
    <w:rsid w:val="5FB9A665"/>
    <w:rsid w:val="653D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5AB93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0E59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0F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it-I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i/>
      <w:iCs/>
      <w:color w:val="0070C0"/>
      <w:u w:val="single" w:color="0070C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Hyperlink1">
    <w:name w:val="Hyperlink.1"/>
    <w:basedOn w:val="Link"/>
    <w:rPr>
      <w:color w:val="0070C0"/>
      <w:u w:val="single" w:color="0070C0"/>
    </w:rPr>
  </w:style>
  <w:style w:type="character" w:customStyle="1" w:styleId="Hyperlink2">
    <w:name w:val="Hyperlink.2"/>
    <w:basedOn w:val="Link"/>
    <w:rPr>
      <w:rFonts w:ascii="Calibri" w:eastAsia="Calibri" w:hAnsi="Calibri" w:cs="Calibri"/>
      <w:b/>
      <w:bCs/>
      <w:color w:val="1F497D"/>
      <w:sz w:val="32"/>
      <w:szCs w:val="32"/>
      <w:u w:val="single" w:color="1F497D"/>
    </w:rPr>
  </w:style>
  <w:style w:type="character" w:customStyle="1" w:styleId="Hyperlink3">
    <w:name w:val="Hyperlink.3"/>
    <w:basedOn w:val="Link"/>
    <w:rPr>
      <w:rFonts w:ascii="Calibri" w:eastAsia="Calibri" w:hAnsi="Calibri" w:cs="Calibri"/>
      <w:b/>
      <w:bCs/>
      <w:color w:val="0070C0"/>
      <w:sz w:val="24"/>
      <w:szCs w:val="24"/>
      <w:u w:val="single" w:color="0070C0"/>
    </w:rPr>
  </w:style>
  <w:style w:type="character" w:customStyle="1" w:styleId="Hyperlink4">
    <w:name w:val="Hyperlink.4"/>
    <w:basedOn w:val="Link"/>
    <w:rPr>
      <w:color w:val="0070C0"/>
      <w:u w:val="single" w:color="0070C0"/>
      <w:lang w:val="en-US"/>
    </w:rPr>
  </w:style>
  <w:style w:type="character" w:customStyle="1" w:styleId="Hyperlink5">
    <w:name w:val="Hyperlink.5"/>
    <w:basedOn w:val="Link"/>
    <w:rPr>
      <w:color w:val="0000FF"/>
      <w:u w:val="single" w:color="0000FF"/>
      <w:shd w:val="clear" w:color="auto" w:fill="FFFF00"/>
    </w:rPr>
  </w:style>
  <w:style w:type="numbering" w:customStyle="1" w:styleId="ImportedStyle2">
    <w:name w:val="Imported Style 2"/>
    <w:pPr>
      <w:numPr>
        <w:numId w:val="3"/>
      </w:numPr>
    </w:pPr>
  </w:style>
  <w:style w:type="character" w:customStyle="1" w:styleId="Hyperlink6">
    <w:name w:val="Hyperlink.6"/>
    <w:basedOn w:val="Link"/>
    <w:rPr>
      <w:color w:val="1F497D"/>
      <w:u w:val="single" w:color="1F497D"/>
      <w:lang w:val="en-US"/>
    </w:rPr>
  </w:style>
  <w:style w:type="character" w:customStyle="1" w:styleId="Hyperlink7">
    <w:name w:val="Hyperlink.7"/>
    <w:basedOn w:val="Link"/>
    <w:rPr>
      <w:rFonts w:ascii="Calibri" w:eastAsia="Calibri" w:hAnsi="Calibri" w:cs="Calibri"/>
      <w:b/>
      <w:bCs/>
      <w:color w:val="0000FF"/>
      <w:u w:val="single" w:color="0000FF"/>
      <w:lang w:val="en-US"/>
    </w:rPr>
  </w:style>
  <w:style w:type="numbering" w:customStyle="1" w:styleId="ImportedStyle3">
    <w:name w:val="Imported Style 3"/>
    <w:pPr>
      <w:numPr>
        <w:numId w:val="5"/>
      </w:numPr>
    </w:p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89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892"/>
    <w:rPr>
      <w:rFonts w:ascii="Segoe UI" w:hAnsi="Segoe UI" w:cs="Segoe UI"/>
      <w:sz w:val="18"/>
      <w:szCs w:val="18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26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D5D76"/>
    <w:rPr>
      <w:color w:val="FF00FF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53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53A9"/>
    <w:rPr>
      <w:b/>
      <w:bCs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83BED"/>
    <w:rPr>
      <w:color w:val="808080"/>
    </w:rPr>
  </w:style>
  <w:style w:type="paragraph" w:styleId="NormalWeb">
    <w:name w:val="Normal (Web)"/>
    <w:basedOn w:val="Normal"/>
    <w:uiPriority w:val="99"/>
    <w:unhideWhenUsed/>
    <w:rsid w:val="00D37CA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7616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637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B52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237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4B52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237"/>
    <w:rPr>
      <w:sz w:val="24"/>
      <w:szCs w:val="24"/>
      <w:lang w:val="en-US"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06185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5126FB"/>
  </w:style>
  <w:style w:type="character" w:customStyle="1" w:styleId="eop">
    <w:name w:val="eop"/>
    <w:basedOn w:val="DefaultParagraphFont"/>
    <w:rsid w:val="005126FB"/>
  </w:style>
  <w:style w:type="character" w:customStyle="1" w:styleId="Heading1Char">
    <w:name w:val="Heading 1 Char"/>
    <w:basedOn w:val="DefaultParagraphFont"/>
    <w:link w:val="Heading1"/>
    <w:uiPriority w:val="9"/>
    <w:rsid w:val="000E591E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096FC6"/>
    <w:rPr>
      <w:b/>
      <w:bCs/>
    </w:rPr>
  </w:style>
  <w:style w:type="character" w:styleId="Emphasis">
    <w:name w:val="Emphasis"/>
    <w:basedOn w:val="DefaultParagraphFont"/>
    <w:uiPriority w:val="20"/>
    <w:qFormat/>
    <w:rsid w:val="00096FC6"/>
    <w:rPr>
      <w:i/>
      <w:iCs/>
    </w:rPr>
  </w:style>
  <w:style w:type="paragraph" w:customStyle="1" w:styleId="Leipteksti">
    <w:name w:val="Leipäteksti"/>
    <w:basedOn w:val="Normal"/>
    <w:qFormat/>
    <w:rsid w:val="007814F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20"/>
    </w:pPr>
    <w:rPr>
      <w:rFonts w:asciiTheme="majorHAnsi" w:eastAsia="Times New Roman" w:hAnsiTheme="majorHAnsi"/>
      <w:szCs w:val="20"/>
      <w:bdr w:val="none" w:sz="0" w:space="0" w:color="auto"/>
      <w:lang w:val="fi-FI"/>
    </w:rPr>
  </w:style>
  <w:style w:type="table" w:customStyle="1" w:styleId="PlainTable21">
    <w:name w:val="Plain Table 21"/>
    <w:basedOn w:val="TableNormal"/>
    <w:uiPriority w:val="42"/>
    <w:rsid w:val="00E91E9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fi-FI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99"/>
    <w:rsid w:val="00922A8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fi-FI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E120F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0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1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n.wikipedia.org/wiki/Molar_concentration" TargetMode="Externa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nna.borisova@vtt.fi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SSD:Users:anja:Projects:VTT:IndZyme:Phenolics%20manuscript:FigureS2_PAHBA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6.0669189531951301E-2"/>
                  <c:y val="0.2771535580524340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i-FI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Sheet1!$O$34:$O$38</c:f>
                <c:numCache>
                  <c:formatCode>General</c:formatCode>
                  <c:ptCount val="5"/>
                  <c:pt idx="0">
                    <c:v>8.9432374962078995E-2</c:v>
                  </c:pt>
                  <c:pt idx="2">
                    <c:v>0.112960229809071</c:v>
                  </c:pt>
                  <c:pt idx="3">
                    <c:v>0.45762861357542101</c:v>
                  </c:pt>
                  <c:pt idx="4">
                    <c:v>1.1994875603644519</c:v>
                  </c:pt>
                </c:numCache>
              </c:numRef>
            </c:plus>
            <c:minus>
              <c:numRef>
                <c:f>Sheet1!$O$34:$O$38</c:f>
                <c:numCache>
                  <c:formatCode>General</c:formatCode>
                  <c:ptCount val="5"/>
                  <c:pt idx="0">
                    <c:v>8.9432374962078995E-2</c:v>
                  </c:pt>
                  <c:pt idx="2">
                    <c:v>0.112960229809071</c:v>
                  </c:pt>
                  <c:pt idx="3">
                    <c:v>0.45762861357542101</c:v>
                  </c:pt>
                  <c:pt idx="4">
                    <c:v>1.1994875603644519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Sheet1!$J$34:$J$38</c:f>
              <c:numCache>
                <c:formatCode>General</c:formatCode>
                <c:ptCount val="5"/>
                <c:pt idx="0">
                  <c:v>2</c:v>
                </c:pt>
                <c:pt idx="1">
                  <c:v>2.6666666666666661</c:v>
                </c:pt>
                <c:pt idx="2">
                  <c:v>4</c:v>
                </c:pt>
                <c:pt idx="3">
                  <c:v>8</c:v>
                </c:pt>
                <c:pt idx="4">
                  <c:v>20</c:v>
                </c:pt>
              </c:numCache>
            </c:numRef>
          </c:xVal>
          <c:yVal>
            <c:numRef>
              <c:f>Sheet1!$N$34:$N$38</c:f>
              <c:numCache>
                <c:formatCode>General</c:formatCode>
                <c:ptCount val="5"/>
                <c:pt idx="0">
                  <c:v>0.82863888888888904</c:v>
                </c:pt>
                <c:pt idx="2">
                  <c:v>1.925266666666668</c:v>
                </c:pt>
                <c:pt idx="3">
                  <c:v>3.6146499999999979</c:v>
                </c:pt>
                <c:pt idx="4">
                  <c:v>9.6608555555555373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76B-431D-84EF-E7F4818FF1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48217208"/>
        <c:axId val="2048223864"/>
      </c:scatterChart>
      <c:valAx>
        <c:axId val="20482172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/>
                  <a:t>Phe-Fr total solids, g/l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2048223864"/>
        <c:crosses val="autoZero"/>
        <c:crossBetween val="midCat"/>
      </c:valAx>
      <c:valAx>
        <c:axId val="20482238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/>
                  <a:t>UV-phenolics, g/l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i-FI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20482172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9957614507838"/>
          <c:y val="0.10077150315282897"/>
          <c:w val="0.54335718710937797"/>
          <c:h val="0.6936576038499962"/>
        </c:manualLayout>
      </c:layout>
      <c:scatterChart>
        <c:scatterStyle val="lineMarker"/>
        <c:varyColors val="0"/>
        <c:ser>
          <c:idx val="4"/>
          <c:order val="0"/>
          <c:tx>
            <c:v>0.5 g/l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2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layout>
                <c:manualLayout>
                  <c:x val="0.26183342594079229"/>
                  <c:y val="1.382604118550665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i-FI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Sheet1!$E$24:$E$27</c:f>
                <c:numCache>
                  <c:formatCode>General</c:formatCode>
                  <c:ptCount val="4"/>
                  <c:pt idx="0">
                    <c:v>6.9134329790311505E-2</c:v>
                  </c:pt>
                  <c:pt idx="1">
                    <c:v>8.9581744171951097E-2</c:v>
                  </c:pt>
                  <c:pt idx="2">
                    <c:v>3.3256578296631797E-2</c:v>
                  </c:pt>
                  <c:pt idx="3">
                    <c:v>6.9761498454855003E-3</c:v>
                  </c:pt>
                </c:numCache>
              </c:numRef>
            </c:plus>
            <c:minus>
              <c:numRef>
                <c:f>Sheet1!$E$24:$E$27</c:f>
                <c:numCache>
                  <c:formatCode>General</c:formatCode>
                  <c:ptCount val="4"/>
                  <c:pt idx="0">
                    <c:v>6.9134329790311505E-2</c:v>
                  </c:pt>
                  <c:pt idx="1">
                    <c:v>8.9581744171951097E-2</c:v>
                  </c:pt>
                  <c:pt idx="2">
                    <c:v>3.3256578296631797E-2</c:v>
                  </c:pt>
                  <c:pt idx="3">
                    <c:v>6.9761498454855003E-3</c:v>
                  </c:pt>
                </c:numCache>
              </c:numRef>
            </c:minus>
          </c:errBars>
          <c:xVal>
            <c:numRef>
              <c:f>Sheet1!$F$24:$F$27</c:f>
              <c:numCache>
                <c:formatCode>General</c:formatCode>
                <c:ptCount val="4"/>
                <c:pt idx="0">
                  <c:v>0.05</c:v>
                </c:pt>
                <c:pt idx="1">
                  <c:v>2.5000000000000001E-2</c:v>
                </c:pt>
                <c:pt idx="2">
                  <c:v>1.2500000000000001E-2</c:v>
                </c:pt>
                <c:pt idx="3">
                  <c:v>6.2500000000000003E-3</c:v>
                </c:pt>
              </c:numCache>
            </c:numRef>
          </c:xVal>
          <c:yVal>
            <c:numRef>
              <c:f>Sheet1!$D$24:$D$27</c:f>
              <c:numCache>
                <c:formatCode>General</c:formatCode>
                <c:ptCount val="4"/>
                <c:pt idx="0">
                  <c:v>2.6866666666666661</c:v>
                </c:pt>
                <c:pt idx="1">
                  <c:v>2.2086666666666668</c:v>
                </c:pt>
                <c:pt idx="2">
                  <c:v>1.9279999999999999</c:v>
                </c:pt>
                <c:pt idx="3">
                  <c:v>1.778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93B-421A-A632-25862173C58A}"/>
            </c:ext>
          </c:extLst>
        </c:ser>
        <c:ser>
          <c:idx val="3"/>
          <c:order val="1"/>
          <c:tx>
            <c:v>0.2 g/l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2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layout>
                <c:manualLayout>
                  <c:x val="0.27265849535435593"/>
                  <c:y val="-4.200062304626655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i-FI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Sheet1!$E$33:$E$36</c:f>
                <c:numCache>
                  <c:formatCode>General</c:formatCode>
                  <c:ptCount val="4"/>
                  <c:pt idx="0">
                    <c:v>1.9669491322575901E-2</c:v>
                  </c:pt>
                  <c:pt idx="1">
                    <c:v>1.1085526098877301E-2</c:v>
                  </c:pt>
                  <c:pt idx="2">
                    <c:v>4.4969125210773302E-3</c:v>
                  </c:pt>
                  <c:pt idx="3">
                    <c:v>2.531578339473E-2</c:v>
                  </c:pt>
                </c:numCache>
              </c:numRef>
            </c:plus>
            <c:minus>
              <c:numRef>
                <c:f>Sheet1!$E$33:$E$36</c:f>
                <c:numCache>
                  <c:formatCode>General</c:formatCode>
                  <c:ptCount val="4"/>
                  <c:pt idx="0">
                    <c:v>1.9669491322575901E-2</c:v>
                  </c:pt>
                  <c:pt idx="1">
                    <c:v>1.1085526098877301E-2</c:v>
                  </c:pt>
                  <c:pt idx="2">
                    <c:v>4.4969125210773302E-3</c:v>
                  </c:pt>
                  <c:pt idx="3">
                    <c:v>2.531578339473E-2</c:v>
                  </c:pt>
                </c:numCache>
              </c:numRef>
            </c:minus>
          </c:errBars>
          <c:xVal>
            <c:numRef>
              <c:f>Sheet1!$F$33:$F$36</c:f>
              <c:numCache>
                <c:formatCode>General</c:formatCode>
                <c:ptCount val="4"/>
                <c:pt idx="0">
                  <c:v>0.05</c:v>
                </c:pt>
                <c:pt idx="1">
                  <c:v>2.5000000000000001E-2</c:v>
                </c:pt>
                <c:pt idx="2">
                  <c:v>1.2500000000000001E-2</c:v>
                </c:pt>
                <c:pt idx="3">
                  <c:v>6.2500000000000003E-3</c:v>
                </c:pt>
              </c:numCache>
            </c:numRef>
          </c:xVal>
          <c:yVal>
            <c:numRef>
              <c:f>Sheet1!$D$33:$D$36</c:f>
              <c:numCache>
                <c:formatCode>General</c:formatCode>
                <c:ptCount val="4"/>
                <c:pt idx="0">
                  <c:v>2.0076666666666672</c:v>
                </c:pt>
                <c:pt idx="1">
                  <c:v>1.349666666666667</c:v>
                </c:pt>
                <c:pt idx="2">
                  <c:v>1.014666666666667</c:v>
                </c:pt>
                <c:pt idx="3">
                  <c:v>0.82433333333333303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93B-421A-A632-25862173C58A}"/>
            </c:ext>
          </c:extLst>
        </c:ser>
        <c:ser>
          <c:idx val="2"/>
          <c:order val="2"/>
          <c:tx>
            <c:v>0.1 g/l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2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layout>
                <c:manualLayout>
                  <c:x val="0.27479365068690642"/>
                  <c:y val="-1.083928628975948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i-FI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Sheet1!$E$42:$E$45</c:f>
                <c:numCache>
                  <c:formatCode>General</c:formatCode>
                  <c:ptCount val="4"/>
                  <c:pt idx="0">
                    <c:v>1.5173075568988101E-2</c:v>
                  </c:pt>
                  <c:pt idx="1">
                    <c:v>1.8402898322456399E-2</c:v>
                  </c:pt>
                  <c:pt idx="2">
                    <c:v>7.5424723326565097E-3</c:v>
                  </c:pt>
                  <c:pt idx="3">
                    <c:v>6.4807406984078598E-3</c:v>
                  </c:pt>
                </c:numCache>
              </c:numRef>
            </c:plus>
            <c:minus>
              <c:numRef>
                <c:f>Sheet1!$E$42:$E$45</c:f>
                <c:numCache>
                  <c:formatCode>General</c:formatCode>
                  <c:ptCount val="4"/>
                  <c:pt idx="0">
                    <c:v>1.5173075568988101E-2</c:v>
                  </c:pt>
                  <c:pt idx="1">
                    <c:v>1.8402898322456399E-2</c:v>
                  </c:pt>
                  <c:pt idx="2">
                    <c:v>7.5424723326565097E-3</c:v>
                  </c:pt>
                  <c:pt idx="3">
                    <c:v>6.4807406984078598E-3</c:v>
                  </c:pt>
                </c:numCache>
              </c:numRef>
            </c:minus>
          </c:errBars>
          <c:xVal>
            <c:numRef>
              <c:f>Sheet1!$F$42:$F$45</c:f>
              <c:numCache>
                <c:formatCode>General</c:formatCode>
                <c:ptCount val="4"/>
                <c:pt idx="0">
                  <c:v>0.05</c:v>
                </c:pt>
                <c:pt idx="1">
                  <c:v>2.5000000000000001E-2</c:v>
                </c:pt>
                <c:pt idx="2">
                  <c:v>1.2500000000000001E-2</c:v>
                </c:pt>
                <c:pt idx="3">
                  <c:v>6.2500000000000003E-3</c:v>
                </c:pt>
              </c:numCache>
            </c:numRef>
          </c:xVal>
          <c:yVal>
            <c:numRef>
              <c:f>Sheet1!$D$42:$D$45</c:f>
              <c:numCache>
                <c:formatCode>General</c:formatCode>
                <c:ptCount val="4"/>
                <c:pt idx="0">
                  <c:v>1.7046666666666661</c:v>
                </c:pt>
                <c:pt idx="1">
                  <c:v>1.014</c:v>
                </c:pt>
                <c:pt idx="2">
                  <c:v>0.702666666666666</c:v>
                </c:pt>
                <c:pt idx="3">
                  <c:v>0.53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93B-421A-A632-25862173C58A}"/>
            </c:ext>
          </c:extLst>
        </c:ser>
        <c:ser>
          <c:idx val="1"/>
          <c:order val="3"/>
          <c:tx>
            <c:v>0.05 g/l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2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1"/>
            <c:trendlineLbl>
              <c:layout>
                <c:manualLayout>
                  <c:x val="0.27479365068690642"/>
                  <c:y val="4.577628342159822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i-FI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Sheet1!$E$51:$E$54</c:f>
                <c:numCache>
                  <c:formatCode>General</c:formatCode>
                  <c:ptCount val="4"/>
                  <c:pt idx="0">
                    <c:v>2.31564725772779E-2</c:v>
                  </c:pt>
                  <c:pt idx="1">
                    <c:v>8.7305339024725398E-3</c:v>
                  </c:pt>
                  <c:pt idx="2">
                    <c:v>3.09120616516524E-3</c:v>
                  </c:pt>
                  <c:pt idx="3">
                    <c:v>1.06249183003395E-2</c:v>
                  </c:pt>
                </c:numCache>
              </c:numRef>
            </c:plus>
            <c:minus>
              <c:numRef>
                <c:f>Sheet1!$E$51:$E$54</c:f>
                <c:numCache>
                  <c:formatCode>General</c:formatCode>
                  <c:ptCount val="4"/>
                  <c:pt idx="0">
                    <c:v>2.31564725772779E-2</c:v>
                  </c:pt>
                  <c:pt idx="1">
                    <c:v>8.7305339024725398E-3</c:v>
                  </c:pt>
                  <c:pt idx="2">
                    <c:v>3.09120616516524E-3</c:v>
                  </c:pt>
                  <c:pt idx="3">
                    <c:v>1.06249183003395E-2</c:v>
                  </c:pt>
                </c:numCache>
              </c:numRef>
            </c:minus>
          </c:errBars>
          <c:xVal>
            <c:numRef>
              <c:f>Sheet1!$F$51:$F$54</c:f>
              <c:numCache>
                <c:formatCode>General</c:formatCode>
                <c:ptCount val="4"/>
                <c:pt idx="0">
                  <c:v>0.05</c:v>
                </c:pt>
                <c:pt idx="1">
                  <c:v>2.5000000000000001E-2</c:v>
                </c:pt>
                <c:pt idx="2">
                  <c:v>1.2500000000000001E-2</c:v>
                </c:pt>
                <c:pt idx="3">
                  <c:v>6.2500000000000003E-3</c:v>
                </c:pt>
              </c:numCache>
            </c:numRef>
          </c:xVal>
          <c:yVal>
            <c:numRef>
              <c:f>Sheet1!$D$51:$D$54</c:f>
              <c:numCache>
                <c:formatCode>General</c:formatCode>
                <c:ptCount val="4"/>
                <c:pt idx="0">
                  <c:v>1.5203333333333331</c:v>
                </c:pt>
                <c:pt idx="1">
                  <c:v>0.85033333333333305</c:v>
                </c:pt>
                <c:pt idx="2">
                  <c:v>0.51766666666666705</c:v>
                </c:pt>
                <c:pt idx="3">
                  <c:v>0.35566666666666702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C93B-421A-A632-25862173C58A}"/>
            </c:ext>
          </c:extLst>
        </c:ser>
        <c:ser>
          <c:idx val="0"/>
          <c:order val="4"/>
          <c:tx>
            <c:v>0 g/l</c:v>
          </c:tx>
          <c:spPr>
            <a:ln w="12700" cap="rnd">
              <a:noFill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intercept val="0"/>
            <c:dispRSqr val="0"/>
            <c:dispEq val="1"/>
            <c:trendlineLbl>
              <c:layout>
                <c:manualLayout>
                  <c:x val="0.19719151418659409"/>
                  <c:y val="0.1201495311039735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fi-FI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Sheet1!$E$24:$E$27</c:f>
                <c:numCache>
                  <c:formatCode>General</c:formatCode>
                  <c:ptCount val="4"/>
                  <c:pt idx="0">
                    <c:v>6.9134329790311505E-2</c:v>
                  </c:pt>
                  <c:pt idx="1">
                    <c:v>8.9581744171951097E-2</c:v>
                  </c:pt>
                  <c:pt idx="2">
                    <c:v>3.3256578296631797E-2</c:v>
                  </c:pt>
                  <c:pt idx="3">
                    <c:v>6.9761498454855003E-3</c:v>
                  </c:pt>
                </c:numCache>
              </c:numRef>
            </c:plus>
            <c:minus>
              <c:numRef>
                <c:f>Sheet1!$E$24:$E$27</c:f>
                <c:numCache>
                  <c:formatCode>General</c:formatCode>
                  <c:ptCount val="4"/>
                  <c:pt idx="0">
                    <c:v>6.9134329790311505E-2</c:v>
                  </c:pt>
                  <c:pt idx="1">
                    <c:v>8.9581744171951097E-2</c:v>
                  </c:pt>
                  <c:pt idx="2">
                    <c:v>3.3256578296631797E-2</c:v>
                  </c:pt>
                  <c:pt idx="3">
                    <c:v>6.9761498454855003E-3</c:v>
                  </c:pt>
                </c:numCache>
              </c:numRef>
            </c:minus>
          </c:errBars>
          <c:xVal>
            <c:numRef>
              <c:f>Sheet1!$F$10:$F$13</c:f>
              <c:numCache>
                <c:formatCode>General</c:formatCode>
                <c:ptCount val="4"/>
                <c:pt idx="0">
                  <c:v>0.05</c:v>
                </c:pt>
                <c:pt idx="1">
                  <c:v>2.5000000000000001E-2</c:v>
                </c:pt>
                <c:pt idx="2">
                  <c:v>1.2500000000000001E-2</c:v>
                </c:pt>
                <c:pt idx="3">
                  <c:v>6.2500000000000003E-3</c:v>
                </c:pt>
              </c:numCache>
            </c:numRef>
          </c:xVal>
          <c:yVal>
            <c:numRef>
              <c:f>Sheet1!$D$10:$D$13</c:f>
              <c:numCache>
                <c:formatCode>General</c:formatCode>
                <c:ptCount val="4"/>
                <c:pt idx="0">
                  <c:v>1.3680000000000001</c:v>
                </c:pt>
                <c:pt idx="1">
                  <c:v>0.68799999999999994</c:v>
                </c:pt>
                <c:pt idx="2">
                  <c:v>0.33133333333333298</c:v>
                </c:pt>
                <c:pt idx="3">
                  <c:v>0.184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C93B-421A-A632-25862173C5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82754680"/>
        <c:axId val="2082761112"/>
      </c:scatterChart>
      <c:valAx>
        <c:axId val="2082754680"/>
        <c:scaling>
          <c:orientation val="minMax"/>
          <c:max val="5.5E-2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100" baseline="0"/>
                  <a:t>Glucose [g/L]</a:t>
                </a:r>
                <a:endParaRPr lang="fi-FI" sz="1100"/>
              </a:p>
            </c:rich>
          </c:tx>
          <c:layout>
            <c:manualLayout>
              <c:xMode val="edge"/>
              <c:yMode val="edge"/>
              <c:x val="0.29114826804437421"/>
              <c:y val="0.8937375256469476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2082761112"/>
        <c:crosses val="autoZero"/>
        <c:crossBetween val="midCat"/>
      </c:valAx>
      <c:valAx>
        <c:axId val="2082761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i-FI" sz="1100"/>
                  <a:t>A405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i-FI"/>
          </a:p>
        </c:txPr>
        <c:crossAx val="2082754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ayout>
        <c:manualLayout>
          <c:xMode val="edge"/>
          <c:yMode val="edge"/>
          <c:x val="0.84947776958647747"/>
          <c:y val="0.15260895253031978"/>
          <c:w val="0.14847557201425499"/>
          <c:h val="0.474619058034412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fi-FI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i-FI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5D6C7BCD04A944BDEBCB3B61BEC5CF" ma:contentTypeVersion="12" ma:contentTypeDescription="Create a new document." ma:contentTypeScope="" ma:versionID="386c69b6da969228fdd8454ea97bfbb3">
  <xsd:schema xmlns:xsd="http://www.w3.org/2001/XMLSchema" xmlns:xs="http://www.w3.org/2001/XMLSchema" xmlns:p="http://schemas.microsoft.com/office/2006/metadata/properties" xmlns:ns3="a7581780-e204-4b1b-ad56-f0a44b348806" xmlns:ns4="fcfa3a70-d26e-46d4-8b9a-d69f9f065c75" targetNamespace="http://schemas.microsoft.com/office/2006/metadata/properties" ma:root="true" ma:fieldsID="b86a86c322bea6cd898a640ed67a8119" ns3:_="" ns4:_="">
    <xsd:import namespace="a7581780-e204-4b1b-ad56-f0a44b348806"/>
    <xsd:import namespace="fcfa3a70-d26e-46d4-8b9a-d69f9f065c7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581780-e204-4b1b-ad56-f0a44b3488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fa3a70-d26e-46d4-8b9a-d69f9f065c7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F6260-3920-4FA9-AD02-DD27E0D97380}">
  <ds:schemaRefs>
    <ds:schemaRef ds:uri="http://purl.org/dc/terms/"/>
    <ds:schemaRef ds:uri="http://schemas.openxmlformats.org/package/2006/metadata/core-properties"/>
    <ds:schemaRef ds:uri="a7581780-e204-4b1b-ad56-f0a44b348806"/>
    <ds:schemaRef ds:uri="http://schemas.microsoft.com/office/2006/documentManagement/types"/>
    <ds:schemaRef ds:uri="http://schemas.microsoft.com/office/infopath/2007/PartnerControls"/>
    <ds:schemaRef ds:uri="fcfa3a70-d26e-46d4-8b9a-d69f9f065c75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AE8B0C9-F891-4901-9F45-F8C4FBB272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CEF9B1-01D2-41E2-AD25-F3FA001A7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581780-e204-4b1b-ad56-f0a44b348806"/>
    <ds:schemaRef ds:uri="fcfa3a70-d26e-46d4-8b9a-d69f9f065c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9DC9EC-2D29-4BBB-826A-A9CDF586E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1177</Words>
  <Characters>9541</Characters>
  <Application>Microsoft Office Word</Application>
  <DocSecurity>0</DocSecurity>
  <Lines>79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2021-08-19T09:45:00Z</dcterms:created>
  <dcterms:modified xsi:type="dcterms:W3CDTF">2021-08-19T09:45:00Z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0x0101006E5D6C7BCD04A944BDEBCB3B61BEC5CF</vt:lpwstr>
  </property>
</Properties>
</file>