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17D6B" w14:textId="77777777" w:rsidR="00155DB1" w:rsidRPr="00EE04EC" w:rsidRDefault="00155DB1" w:rsidP="00155DB1">
      <w:pPr>
        <w:jc w:val="both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129158D" wp14:editId="2C9C6A44">
            <wp:extent cx="5612130" cy="2950845"/>
            <wp:effectExtent l="0" t="0" r="7620" b="1905"/>
            <wp:docPr id="4" name="Picture 4" descr="A collage of photos of a pla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ollage of photos of a plan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55EF8" w14:textId="77777777" w:rsidR="00155DB1" w:rsidRPr="00EE04EC" w:rsidRDefault="00155DB1" w:rsidP="00155DB1">
      <w:pPr>
        <w:jc w:val="both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b/>
          <w:sz w:val="24"/>
          <w:szCs w:val="24"/>
        </w:rPr>
        <w:t>SI Figure 1: Stages of cowpea (</w:t>
      </w:r>
      <w:r w:rsidRPr="00EE04EC">
        <w:rPr>
          <w:rFonts w:ascii="Arial" w:hAnsi="Arial" w:cs="Arial"/>
          <w:b/>
          <w:i/>
          <w:sz w:val="24"/>
          <w:szCs w:val="24"/>
        </w:rPr>
        <w:t>Vigna unguiculata</w:t>
      </w:r>
      <w:r w:rsidRPr="00EE04EC">
        <w:rPr>
          <w:rFonts w:ascii="Arial" w:hAnsi="Arial" w:cs="Arial"/>
          <w:b/>
          <w:sz w:val="24"/>
          <w:szCs w:val="24"/>
        </w:rPr>
        <w:t xml:space="preserve">) cv. PUSA KOMAL through </w:t>
      </w:r>
      <w:r w:rsidRPr="00EE04EC">
        <w:rPr>
          <w:rFonts w:ascii="Arial" w:hAnsi="Arial" w:cs="Arial"/>
          <w:b/>
          <w:i/>
          <w:sz w:val="24"/>
          <w:szCs w:val="24"/>
        </w:rPr>
        <w:t>Agrobacterium</w:t>
      </w:r>
      <w:r w:rsidRPr="00EE04EC">
        <w:rPr>
          <w:rFonts w:ascii="Arial" w:hAnsi="Arial" w:cs="Arial"/>
          <w:b/>
          <w:sz w:val="24"/>
          <w:szCs w:val="24"/>
        </w:rPr>
        <w:t>-mediated transformation</w:t>
      </w:r>
      <w:r w:rsidRPr="00EE04EC">
        <w:rPr>
          <w:rFonts w:ascii="Arial" w:hAnsi="Arial" w:cs="Arial"/>
          <w:sz w:val="24"/>
          <w:szCs w:val="24"/>
        </w:rPr>
        <w:t xml:space="preserve"> a. Cowpea seeds in germination media b. Four days old cowpea seedling c. Cotyledonary node explants at the time of culture d. Transient </w:t>
      </w:r>
      <w:proofErr w:type="spellStart"/>
      <w:r w:rsidRPr="00EE04EC">
        <w:rPr>
          <w:rFonts w:ascii="Arial" w:hAnsi="Arial" w:cs="Arial"/>
          <w:sz w:val="24"/>
          <w:szCs w:val="24"/>
        </w:rPr>
        <w:t>gus</w:t>
      </w:r>
      <w:proofErr w:type="spellEnd"/>
      <w:r w:rsidRPr="00EE04EC">
        <w:rPr>
          <w:rFonts w:ascii="Arial" w:hAnsi="Arial" w:cs="Arial"/>
          <w:sz w:val="24"/>
          <w:szCs w:val="24"/>
        </w:rPr>
        <w:t xml:space="preserve"> expression in control (left) and transformed cotyledonary node (right) explants after 3 days of co-cultivation e. Control explants cultured on selection media f. Selection of transformed explants on selection media g. Shoot proliferation from explant in subsequent subculture h. Elongation of shoot within 4 week of culture </w:t>
      </w:r>
      <w:proofErr w:type="spellStart"/>
      <w:r w:rsidRPr="00EE04EC">
        <w:rPr>
          <w:rFonts w:ascii="Arial" w:hAnsi="Arial" w:cs="Arial"/>
          <w:sz w:val="24"/>
          <w:szCs w:val="24"/>
        </w:rPr>
        <w:t>i</w:t>
      </w:r>
      <w:proofErr w:type="spellEnd"/>
      <w:r w:rsidRPr="00EE04EC">
        <w:rPr>
          <w:rFonts w:ascii="Arial" w:hAnsi="Arial" w:cs="Arial"/>
          <w:sz w:val="24"/>
          <w:szCs w:val="24"/>
        </w:rPr>
        <w:t>. In vitro rooting of selected shoot j. Plant hardened and maintained in transgenic green house.</w:t>
      </w:r>
    </w:p>
    <w:p w14:paraId="11A72E48" w14:textId="77777777" w:rsidR="00155DB1" w:rsidRPr="00EE04EC" w:rsidRDefault="00155DB1" w:rsidP="00155DB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C128CE7" wp14:editId="66B35C82">
            <wp:extent cx="5612130" cy="2235835"/>
            <wp:effectExtent l="0" t="0" r="7620" b="0"/>
            <wp:docPr id="8" name="Picture 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23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73E6C" w14:textId="77777777" w:rsidR="00155DB1" w:rsidRPr="00EE04EC" w:rsidRDefault="00155DB1" w:rsidP="00155DB1">
      <w:pPr>
        <w:jc w:val="both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b/>
          <w:sz w:val="24"/>
          <w:szCs w:val="24"/>
        </w:rPr>
        <w:t>SI table 1. Primers used in our study</w:t>
      </w:r>
      <w:r w:rsidRPr="00EE04EC">
        <w:rPr>
          <w:rFonts w:ascii="Arial" w:hAnsi="Arial" w:cs="Arial"/>
          <w:sz w:val="24"/>
          <w:szCs w:val="24"/>
        </w:rPr>
        <w:t>.</w:t>
      </w:r>
    </w:p>
    <w:p w14:paraId="288BBE1A" w14:textId="77777777" w:rsidR="00155DB1" w:rsidRPr="00EE04EC" w:rsidRDefault="00155DB1" w:rsidP="00155DB1">
      <w:pPr>
        <w:jc w:val="center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CE79153" wp14:editId="15E75064">
            <wp:extent cx="3013544" cy="4489248"/>
            <wp:effectExtent l="0" t="0" r="0" b="6985"/>
            <wp:docPr id="12" name="Picture 12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shot of a cell phone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2473" cy="4517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8B3D4" w14:textId="77777777" w:rsidR="00155DB1" w:rsidRPr="00EE04EC" w:rsidRDefault="00155DB1" w:rsidP="00155DB1">
      <w:pPr>
        <w:jc w:val="both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b/>
          <w:sz w:val="24"/>
          <w:szCs w:val="24"/>
        </w:rPr>
        <w:t>SI Figure 2.</w:t>
      </w:r>
      <w:r w:rsidRPr="00EE04EC">
        <w:rPr>
          <w:rFonts w:ascii="Arial" w:hAnsi="Arial" w:cs="Arial"/>
          <w:sz w:val="24"/>
          <w:szCs w:val="24"/>
        </w:rPr>
        <w:t xml:space="preserve"> Quantitative estimation of Cry1Ab protein in T</w:t>
      </w:r>
      <w:r w:rsidRPr="00EE04EC">
        <w:rPr>
          <w:rFonts w:ascii="Arial" w:hAnsi="Arial" w:cs="Arial"/>
          <w:sz w:val="24"/>
          <w:szCs w:val="24"/>
          <w:vertAlign w:val="subscript"/>
        </w:rPr>
        <w:t>1</w:t>
      </w:r>
      <w:r w:rsidRPr="00EE04EC">
        <w:rPr>
          <w:rFonts w:ascii="Arial" w:hAnsi="Arial" w:cs="Arial"/>
          <w:sz w:val="24"/>
          <w:szCs w:val="24"/>
        </w:rPr>
        <w:t xml:space="preserve"> and T</w:t>
      </w:r>
      <w:r w:rsidRPr="00EE04EC">
        <w:rPr>
          <w:rFonts w:ascii="Arial" w:hAnsi="Arial" w:cs="Arial"/>
          <w:sz w:val="24"/>
          <w:szCs w:val="24"/>
          <w:vertAlign w:val="subscript"/>
        </w:rPr>
        <w:t>2</w:t>
      </w:r>
      <w:r w:rsidRPr="00EE04EC">
        <w:rPr>
          <w:rFonts w:ascii="Arial" w:hAnsi="Arial" w:cs="Arial"/>
          <w:sz w:val="24"/>
          <w:szCs w:val="24"/>
        </w:rPr>
        <w:t xml:space="preserve"> transgenic leaves (Line #5-38) </w:t>
      </w:r>
      <w:r w:rsidRPr="00EE04EC">
        <w:rPr>
          <w:rFonts w:ascii="Arial" w:hAnsi="Arial" w:cs="Arial"/>
          <w:b/>
          <w:sz w:val="24"/>
          <w:szCs w:val="24"/>
        </w:rPr>
        <w:t>(A, C)</w:t>
      </w:r>
      <w:r w:rsidRPr="00EE04EC">
        <w:rPr>
          <w:rFonts w:ascii="Arial" w:hAnsi="Arial" w:cs="Arial"/>
          <w:sz w:val="24"/>
          <w:szCs w:val="24"/>
        </w:rPr>
        <w:t>, pods (Line #5-38) and non-transgenics (NT)</w:t>
      </w:r>
      <w:r w:rsidRPr="00EE04EC">
        <w:rPr>
          <w:rFonts w:ascii="Arial" w:hAnsi="Arial" w:cs="Arial"/>
          <w:b/>
          <w:sz w:val="24"/>
          <w:szCs w:val="24"/>
        </w:rPr>
        <w:t xml:space="preserve"> (B, D)</w:t>
      </w:r>
      <w:r w:rsidRPr="00EE04EC">
        <w:rPr>
          <w:rFonts w:ascii="Arial" w:hAnsi="Arial" w:cs="Arial"/>
          <w:sz w:val="24"/>
          <w:szCs w:val="24"/>
        </w:rPr>
        <w:t xml:space="preserve"> using Cry1Ab-enzyme conjugate. Average quantity of total </w:t>
      </w:r>
      <w:proofErr w:type="spellStart"/>
      <w:r w:rsidRPr="00EE04EC">
        <w:rPr>
          <w:rFonts w:ascii="Arial" w:hAnsi="Arial" w:cs="Arial"/>
          <w:sz w:val="24"/>
          <w:szCs w:val="24"/>
        </w:rPr>
        <w:t>Bt</w:t>
      </w:r>
      <w:proofErr w:type="spellEnd"/>
      <w:r w:rsidRPr="00EE04EC">
        <w:rPr>
          <w:rFonts w:ascii="Arial" w:hAnsi="Arial" w:cs="Arial"/>
          <w:sz w:val="24"/>
          <w:szCs w:val="24"/>
        </w:rPr>
        <w:t>-Cry protein of the transgenics is represented as mg g</w:t>
      </w:r>
      <w:r w:rsidRPr="00EE04EC">
        <w:rPr>
          <w:rFonts w:ascii="Arial" w:hAnsi="Arial" w:cs="Arial"/>
          <w:sz w:val="24"/>
          <w:szCs w:val="24"/>
          <w:vertAlign w:val="superscript"/>
        </w:rPr>
        <w:t>−1</w:t>
      </w:r>
      <w:r w:rsidRPr="00EE04EC">
        <w:rPr>
          <w:rFonts w:ascii="Arial" w:hAnsi="Arial" w:cs="Arial"/>
          <w:sz w:val="24"/>
          <w:szCs w:val="24"/>
        </w:rPr>
        <w:t xml:space="preserve"> TSP. Bars represent mean values ± standard deviation (SD) from n=3 biological replicates. Statistical significance was determined using one-way ANOVA followed by Tukey’s multiple comparison test in GraphPad Prism 8.0. Bars shares at least one common letter (a, b and c) are not significantly different from each other (P&gt; 0.05), while bars labelled with different letters indicate statistically significant differences (P&lt; 0.05).</w:t>
      </w:r>
    </w:p>
    <w:p w14:paraId="035DC881" w14:textId="77777777" w:rsidR="00155DB1" w:rsidRPr="00EE04EC" w:rsidRDefault="00155DB1" w:rsidP="00155DB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FC3D073" wp14:editId="60F3A54A">
            <wp:extent cx="4022909" cy="6888480"/>
            <wp:effectExtent l="0" t="0" r="0" b="7620"/>
            <wp:docPr id="5" name="Picture 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graph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4414" cy="6908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1AD58" w14:textId="77777777" w:rsidR="00155DB1" w:rsidRPr="00EE04EC" w:rsidRDefault="00155DB1" w:rsidP="00155DB1">
      <w:pPr>
        <w:spacing w:line="240" w:lineRule="auto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b/>
          <w:sz w:val="24"/>
          <w:szCs w:val="24"/>
        </w:rPr>
        <w:t xml:space="preserve">SI Figure 3. </w:t>
      </w:r>
      <w:r w:rsidRPr="00EE04EC">
        <w:rPr>
          <w:rFonts w:ascii="Arial" w:hAnsi="Arial" w:cs="Arial"/>
          <w:sz w:val="24"/>
          <w:szCs w:val="24"/>
        </w:rPr>
        <w:t xml:space="preserve">Representative </w:t>
      </w:r>
      <w:r w:rsidRPr="00EE04EC">
        <w:rPr>
          <w:rFonts w:ascii="Arial" w:hAnsi="Arial" w:cs="Arial"/>
          <w:sz w:val="24"/>
          <w:szCs w:val="24"/>
          <w:vertAlign w:val="superscript"/>
        </w:rPr>
        <w:t>1</w:t>
      </w:r>
      <w:r w:rsidRPr="00EE04EC">
        <w:rPr>
          <w:rFonts w:ascii="Arial" w:hAnsi="Arial" w:cs="Arial"/>
          <w:sz w:val="24"/>
          <w:szCs w:val="24"/>
        </w:rPr>
        <w:t xml:space="preserve">H-NMR spectra obtained at 600 MHz from cowpea pods expressing </w:t>
      </w:r>
      <w:r w:rsidRPr="00EE04EC">
        <w:rPr>
          <w:rFonts w:ascii="Arial" w:hAnsi="Arial" w:cs="Arial"/>
          <w:i/>
          <w:sz w:val="24"/>
          <w:szCs w:val="24"/>
        </w:rPr>
        <w:t>cry1Ab</w:t>
      </w:r>
      <w:r w:rsidRPr="00EE04EC">
        <w:rPr>
          <w:rFonts w:ascii="Arial" w:hAnsi="Arial" w:cs="Arial"/>
          <w:sz w:val="24"/>
          <w:szCs w:val="24"/>
        </w:rPr>
        <w:t xml:space="preserve"> are provided. The Aliphatic, carbohydrate, and aromatic regions within the spectra are highlighted. The individual compounds present in these regions are marked and shown.</w:t>
      </w:r>
    </w:p>
    <w:p w14:paraId="487374B8" w14:textId="77777777" w:rsidR="00155DB1" w:rsidRPr="00EE04EC" w:rsidRDefault="00155DB1" w:rsidP="00155DB1">
      <w:pPr>
        <w:spacing w:line="360" w:lineRule="auto"/>
        <w:rPr>
          <w:rFonts w:ascii="Arial" w:hAnsi="Arial" w:cs="Arial"/>
          <w:bCs/>
          <w:sz w:val="24"/>
        </w:rPr>
      </w:pPr>
    </w:p>
    <w:tbl>
      <w:tblPr>
        <w:tblW w:w="7820" w:type="dxa"/>
        <w:jc w:val="center"/>
        <w:tblLook w:val="04A0" w:firstRow="1" w:lastRow="0" w:firstColumn="1" w:lastColumn="0" w:noHBand="0" w:noVBand="1"/>
      </w:tblPr>
      <w:tblGrid>
        <w:gridCol w:w="960"/>
        <w:gridCol w:w="2920"/>
        <w:gridCol w:w="2500"/>
        <w:gridCol w:w="1470"/>
      </w:tblGrid>
      <w:tr w:rsidR="00155DB1" w:rsidRPr="00EE04EC" w14:paraId="1AB043C2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518692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SN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A44CB5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Metabolites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1F820A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Chemical shifts (ppm)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CC7BA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Multiplicity</w:t>
            </w:r>
          </w:p>
        </w:tc>
      </w:tr>
      <w:tr w:rsidR="00155DB1" w:rsidRPr="00EE04EC" w14:paraId="3942E1BA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422A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2047C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Leucine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2DC4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0.96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49FB8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50CD65CB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A7030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ED68D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Valine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9B56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0.99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092D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52A5066B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6FEF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09BAE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Isoleucine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13A8C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012F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21B520D3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40B8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B90B6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Lactate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B7F50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0212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4E4A70BD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90CF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2BF5D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Threonine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41AA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1.42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EE6D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dd</w:t>
            </w:r>
          </w:p>
        </w:tc>
      </w:tr>
      <w:tr w:rsidR="00155DB1" w:rsidRPr="00EE04EC" w14:paraId="22BB18FD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3EA10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734C4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Alanine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00B9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1.47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93ECC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28F16502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A6591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76CB4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Arginine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2072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1.91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8AA1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dd</w:t>
            </w:r>
          </w:p>
        </w:tc>
      </w:tr>
      <w:tr w:rsidR="00155DB1" w:rsidRPr="00EE04EC" w14:paraId="49E1AE8D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CC9DA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89F04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Glutamate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928B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C645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30BD3721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22E5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98923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Glutamine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EFE87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2.12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7296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29BED11D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8C2A1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F8BEF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Proline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8037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9326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34AC8FA5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9148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4AA4D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Methionine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6151A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46B12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</w:tc>
      </w:tr>
      <w:tr w:rsidR="00155DB1" w:rsidRPr="00EE04EC" w14:paraId="44BECFC3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F7B6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D8BFB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4-Aminobutyrate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0288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F7EC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75E5534D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54C4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BEA82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succinylacetone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01ED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D19D8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</w:tc>
      </w:tr>
      <w:tr w:rsidR="00155DB1" w:rsidRPr="00EE04EC" w14:paraId="16F07DF5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9970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3AA4D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Isocitrate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9462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6365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</w:tc>
      </w:tr>
      <w:tr w:rsidR="00155DB1" w:rsidRPr="00EE04EC" w14:paraId="7BCF463F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CD04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E4CEB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N-</w:t>
            </w:r>
            <w:proofErr w:type="spellStart"/>
            <w:r w:rsidRPr="00EE04EC">
              <w:rPr>
                <w:rFonts w:ascii="Arial" w:eastAsia="Times New Roman" w:hAnsi="Arial" w:cs="Arial"/>
                <w:sz w:val="24"/>
                <w:szCs w:val="24"/>
              </w:rPr>
              <w:t>Carbomylaspartate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99E2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4FC4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03AC9793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6D4E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258B1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Trans-4-Hydroxyl-L-Proline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14FAC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A5D5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dd</w:t>
            </w:r>
          </w:p>
        </w:tc>
      </w:tr>
      <w:tr w:rsidR="00155DB1" w:rsidRPr="00EE04EC" w14:paraId="72EA7307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F8D4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B1949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Citrate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5C61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2.49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DE9A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003C83DA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BC3F0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89359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Asparagine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989E8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2.94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C7B8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dd</w:t>
            </w:r>
          </w:p>
        </w:tc>
      </w:tr>
      <w:tr w:rsidR="00155DB1" w:rsidRPr="00EE04EC" w14:paraId="425F468A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AFB71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19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CEF33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Aspartate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154E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26EB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dd</w:t>
            </w:r>
          </w:p>
        </w:tc>
      </w:tr>
      <w:tr w:rsidR="00155DB1" w:rsidRPr="00EE04EC" w14:paraId="27E89B81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1FBF7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C18C9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Malate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F99A2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5A1B0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06E22D4B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2710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769EA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Cysteine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73BA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95DD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2ABD7918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0597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4B4B8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Xylose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5E12A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BFEDF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544DA7FF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B5D8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F7BF4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Glucose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301C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8FE3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4C14C5CB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2D2E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2C084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Maltose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04970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E447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4BB22FFF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4EAAA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B6780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Methanol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EA157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092F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</w:tc>
      </w:tr>
      <w:tr w:rsidR="00155DB1" w:rsidRPr="00EE04EC" w14:paraId="689B3E63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81A90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FC062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Mannose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440A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1F4DA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6E1A0AAB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54B1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E4CC8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Glucose-1-Phosphate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45A91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3323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719BCB92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84624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7D561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Cellobiose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1BF4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40D37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6E74002E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DA30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39769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S-</w:t>
            </w:r>
            <w:proofErr w:type="spellStart"/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Sulfocysteine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47182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36FC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dd</w:t>
            </w:r>
          </w:p>
        </w:tc>
      </w:tr>
      <w:tr w:rsidR="00155DB1" w:rsidRPr="00EE04EC" w14:paraId="470359A2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7CB4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EA2FC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Galactose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F73F1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FA89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424C4A6F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27F48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9C86C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Glucose-6-Phosphate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A93D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6EA0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63C420F4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059E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56A4D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Arabinose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BEA1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006D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4C22B816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11438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1918B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Fructose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95C3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4425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58B6BA6D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CF6B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19257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Ribose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7CE93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CB55F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4208F354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ADB4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B6ABE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Mannitol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AD22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D789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dd</w:t>
            </w:r>
          </w:p>
        </w:tc>
      </w:tr>
      <w:tr w:rsidR="00155DB1" w:rsidRPr="00EE04EC" w14:paraId="1F68CF11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BC49D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2B8D6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Sucrose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9E90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5.41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E3C36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d</w:t>
            </w:r>
          </w:p>
        </w:tc>
      </w:tr>
      <w:tr w:rsidR="00155DB1" w:rsidRPr="00EE04EC" w14:paraId="4CDAB17C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C84CA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EE30B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Ascorbate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8F688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6C1E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461F92EB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7BCB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F63B6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2-Phosphoglycerate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135F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09135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  <w:tr w:rsidR="00155DB1" w:rsidRPr="00EE04EC" w14:paraId="62A22B3F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4142B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68472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Betaine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3E68C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3.27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0809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</w:tc>
      </w:tr>
      <w:tr w:rsidR="00155DB1" w:rsidRPr="00EE04EC" w14:paraId="7EB33B7C" w14:textId="77777777" w:rsidTr="004F77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61FC8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21D5C9" w14:textId="77777777" w:rsidR="00155DB1" w:rsidRPr="00EE04EC" w:rsidRDefault="00155DB1" w:rsidP="004F77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O-Phosphoserine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133479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4.18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D0D61E" w14:textId="77777777" w:rsidR="00155DB1" w:rsidRPr="00EE04EC" w:rsidRDefault="00155DB1" w:rsidP="004F770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EE04EC">
              <w:rPr>
                <w:rFonts w:ascii="Arial" w:eastAsia="Times New Roman" w:hAnsi="Arial" w:cs="Arial"/>
                <w:sz w:val="24"/>
                <w:szCs w:val="24"/>
              </w:rPr>
              <w:t>m</w:t>
            </w:r>
          </w:p>
        </w:tc>
      </w:tr>
    </w:tbl>
    <w:p w14:paraId="3CFE12F0" w14:textId="77777777" w:rsidR="00155DB1" w:rsidRPr="00EE04EC" w:rsidRDefault="00155DB1" w:rsidP="00155DB1">
      <w:pPr>
        <w:spacing w:line="240" w:lineRule="auto"/>
        <w:jc w:val="both"/>
        <w:rPr>
          <w:rFonts w:ascii="Arial" w:hAnsi="Arial" w:cs="Arial"/>
          <w:b/>
          <w:bCs/>
          <w:sz w:val="24"/>
        </w:rPr>
      </w:pPr>
    </w:p>
    <w:p w14:paraId="7A2943A5" w14:textId="77777777" w:rsidR="00155DB1" w:rsidRPr="00EE04EC" w:rsidRDefault="00155DB1" w:rsidP="00155DB1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E04EC">
        <w:rPr>
          <w:rFonts w:ascii="Arial" w:hAnsi="Arial" w:cs="Arial"/>
          <w:b/>
          <w:bCs/>
          <w:sz w:val="24"/>
        </w:rPr>
        <w:t xml:space="preserve">SI Table 2: </w:t>
      </w:r>
      <w:r w:rsidRPr="00EE04EC">
        <w:rPr>
          <w:rFonts w:ascii="Arial" w:hAnsi="Arial" w:cs="Arial"/>
          <w:bCs/>
          <w:sz w:val="24"/>
        </w:rPr>
        <w:t xml:space="preserve">Identification of metabolites in the pods of both transgenic and non-transgenic cowpea expressing </w:t>
      </w:r>
      <w:r w:rsidRPr="00EE04EC">
        <w:rPr>
          <w:rFonts w:ascii="Arial" w:hAnsi="Arial" w:cs="Arial"/>
          <w:bCs/>
          <w:i/>
          <w:sz w:val="24"/>
        </w:rPr>
        <w:t>cry1Ab</w:t>
      </w:r>
      <w:r w:rsidRPr="00EE04EC">
        <w:rPr>
          <w:rFonts w:ascii="Arial" w:hAnsi="Arial" w:cs="Arial"/>
          <w:bCs/>
          <w:sz w:val="24"/>
        </w:rPr>
        <w:t xml:space="preserve"> with their chemical shift and multiplicity.</w:t>
      </w:r>
    </w:p>
    <w:p w14:paraId="39BA70B8" w14:textId="77777777" w:rsidR="00155DB1" w:rsidRPr="00EE04EC" w:rsidRDefault="00155DB1" w:rsidP="00155DB1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25D46D3" wp14:editId="4F72CD64">
            <wp:extent cx="3222741" cy="30327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I Figure 2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3554" cy="3042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32633" w14:textId="77777777" w:rsidR="00155DB1" w:rsidRPr="00EE04EC" w:rsidRDefault="00155DB1" w:rsidP="00155DB1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EE04EC">
        <w:rPr>
          <w:rFonts w:ascii="Arial" w:hAnsi="Arial" w:cs="Arial"/>
          <w:b/>
          <w:bCs/>
          <w:sz w:val="24"/>
        </w:rPr>
        <w:t xml:space="preserve">SI Figure 4: </w:t>
      </w:r>
      <w:r w:rsidRPr="00EE04EC">
        <w:rPr>
          <w:rFonts w:ascii="Arial" w:hAnsi="Arial" w:cs="Arial"/>
          <w:sz w:val="24"/>
        </w:rPr>
        <w:t>Top 30 metabolites (variables) present in transgenics (line #5:TR1, line #12:TR2, line #17:TR3, line #30:TR4, and line #38:TR5) and non-transgenic (WT) based on VIP score.</w:t>
      </w:r>
    </w:p>
    <w:p w14:paraId="173720E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DB1"/>
    <w:rsid w:val="00066677"/>
    <w:rsid w:val="00155DB1"/>
    <w:rsid w:val="003A4E89"/>
    <w:rsid w:val="00556784"/>
    <w:rsid w:val="008B07A6"/>
    <w:rsid w:val="00987B63"/>
    <w:rsid w:val="00D31E7D"/>
    <w:rsid w:val="00DF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CD1B0"/>
  <w15:chartTrackingRefBased/>
  <w15:docId w15:val="{65763036-82C4-4F8F-A1B5-DD418DA12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DB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5DB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5DB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5DB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5DB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5DB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5DB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5DB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5DB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5DB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D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5D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5D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D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D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D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D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D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D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5D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5D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5DB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5D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5DB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5D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5DB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5D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5D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5D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5D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450</Words>
  <Characters>2530</Characters>
  <Application>Microsoft Office Word</Application>
  <DocSecurity>0</DocSecurity>
  <Lines>44</Lines>
  <Paragraphs>7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2025-12-17T14:53:00Z</dcterms:created>
  <dcterms:modified xsi:type="dcterms:W3CDTF">2025-12-17T14:55:00Z</dcterms:modified>
</cp:coreProperties>
</file>