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tiff" ContentType="image/tiff"/>
  <Default Extension="wmf" ContentType="image/x-wmf"/>
  <Default Extension="gif" ContentType="image/gi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34" w:rightChars="-139"/>
        <w:jc w:val="center"/>
        <w:rPr>
          <w:b/>
          <w:sz w:val="28"/>
          <w:szCs w:val="28"/>
          <w:lang w:val="en-GB"/>
        </w:rPr>
      </w:pPr>
      <w:bookmarkStart w:id="0" w:name="OLE_LINK15"/>
      <w:r>
        <w:rPr>
          <w:b/>
          <w:sz w:val="28"/>
          <w:szCs w:val="28"/>
          <w:lang w:val="en-GB"/>
        </w:rPr>
        <w:t>Supporting Information</w:t>
      </w:r>
    </w:p>
    <w:p>
      <w:pPr>
        <w:widowControl/>
        <w:spacing w:before="312" w:beforeLines="100" w:after="156" w:afterLines="50"/>
        <w:jc w:val="center"/>
        <w:rPr>
          <w:rFonts w:ascii="Times" w:hAnsi="Times" w:eastAsia="Calibri"/>
          <w:kern w:val="0"/>
          <w:szCs w:val="20"/>
          <w:lang w:eastAsia="en-US" w:bidi="ar"/>
        </w:rPr>
      </w:pPr>
      <w:bookmarkStart w:id="1" w:name="OLE_LINK17"/>
      <w:bookmarkStart w:id="2" w:name="OLE_LINK2"/>
      <w:bookmarkStart w:id="3" w:name="OLE_LINK90"/>
      <w:r>
        <w:rPr>
          <w:rFonts w:ascii="Times" w:hAnsi="Times" w:eastAsia="Calibri"/>
          <w:b/>
          <w:bCs/>
          <w:kern w:val="0"/>
          <w:sz w:val="32"/>
          <w:szCs w:val="22"/>
          <w:lang w:eastAsia="en-US" w:bidi="ar"/>
        </w:rPr>
        <w:t>Facile preparation of hierarchically po</w:t>
      </w:r>
      <w:bookmarkStart w:id="77" w:name="_GoBack"/>
      <w:bookmarkEnd w:id="77"/>
      <w:r>
        <w:rPr>
          <w:rFonts w:ascii="Times" w:hAnsi="Times" w:eastAsia="Calibri"/>
          <w:b/>
          <w:bCs/>
          <w:kern w:val="0"/>
          <w:sz w:val="32"/>
          <w:szCs w:val="22"/>
          <w:lang w:eastAsia="en-US" w:bidi="ar"/>
        </w:rPr>
        <w:t xml:space="preserve">rous aromatic-cyclodextrin polymers and their application </w:t>
      </w:r>
      <w:bookmarkEnd w:id="1"/>
      <w:r>
        <w:rPr>
          <w:rFonts w:ascii="Times" w:hAnsi="Times" w:eastAsia="Calibri"/>
          <w:b/>
          <w:bCs/>
          <w:kern w:val="0"/>
          <w:sz w:val="32"/>
          <w:szCs w:val="22"/>
          <w:lang w:eastAsia="en-US" w:bidi="ar"/>
        </w:rPr>
        <w:t>for the selective adsorption of cationic dyes</w:t>
      </w:r>
    </w:p>
    <w:bookmarkEnd w:id="2"/>
    <w:p>
      <w:pPr>
        <w:pStyle w:val="30"/>
      </w:pPr>
      <w:r>
        <w:rPr>
          <w:rFonts w:eastAsia="Calibri"/>
          <w:lang w:eastAsia="en-GB"/>
        </w:rPr>
        <w:t>Hui-Ling</w:t>
      </w:r>
      <w:r>
        <w:rPr>
          <w:rFonts w:eastAsia="宋体"/>
        </w:rPr>
        <w:t xml:space="preserve"> Duan</w:t>
      </w:r>
      <w:r>
        <w:t xml:space="preserve"> </w:t>
      </w:r>
      <w:bookmarkStart w:id="4" w:name="OLE_LINK1"/>
      <w:r>
        <w:rPr>
          <w:vertAlign w:val="superscript"/>
        </w:rPr>
        <w:t>1</w:t>
      </w:r>
      <w:bookmarkEnd w:id="4"/>
      <w:r>
        <w:t xml:space="preserve">*, </w:t>
      </w:r>
      <w:r>
        <w:rPr>
          <w:rFonts w:hint="eastAsia"/>
          <w:sz w:val="20"/>
          <w:szCs w:val="20"/>
          <w:lang w:val="en-US" w:eastAsia="zh-CN"/>
        </w:rPr>
        <w:t>Yu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  <w:lang w:val="en-US" w:eastAsia="zh-CN"/>
        </w:rPr>
        <w:t>Wang</w:t>
      </w:r>
      <w:r>
        <w:t xml:space="preserve"> </w:t>
      </w:r>
      <w:r>
        <w:rPr>
          <w:vertAlign w:val="superscript"/>
        </w:rPr>
        <w:t>1</w:t>
      </w:r>
      <w:r>
        <w:t>,</w:t>
      </w:r>
      <w:r>
        <w:rPr>
          <w:rFonts w:hint="eastAsia"/>
          <w:lang w:val="en-US" w:eastAsia="zh-CN"/>
        </w:rPr>
        <w:t xml:space="preserve">Kai-Qi Cheng </w:t>
      </w:r>
      <w:r>
        <w:rPr>
          <w:vertAlign w:val="superscript"/>
        </w:rPr>
        <w:t>1</w:t>
      </w:r>
      <w:r>
        <w:rPr>
          <w:rFonts w:hint="eastAsia"/>
          <w:lang w:val="en-US" w:eastAsia="zh-CN"/>
        </w:rPr>
        <w:t>,</w:t>
      </w:r>
      <w:r>
        <w:rPr>
          <w:rFonts w:hint="eastAsia" w:eastAsia="宋体"/>
          <w:lang w:val="en-US" w:eastAsia="zh-CN"/>
        </w:rPr>
        <w:t xml:space="preserve"> Li-Juan Zhang </w:t>
      </w:r>
      <w:r>
        <w:rPr>
          <w:vertAlign w:val="superscript"/>
        </w:rPr>
        <w:t>1</w:t>
      </w:r>
      <w:r>
        <w:rPr>
          <w:rFonts w:hint="eastAsia" w:eastAsia="宋体"/>
          <w:lang w:val="en-US" w:eastAsia="zh-CN"/>
        </w:rPr>
        <w:t>,</w:t>
      </w:r>
      <w:r>
        <w:t xml:space="preserve"> </w:t>
      </w:r>
      <w:r>
        <w:rPr>
          <w:rFonts w:hint="eastAsia" w:eastAsia="宋体"/>
          <w:b/>
          <w:bCs/>
          <w:lang w:val="en-US" w:eastAsia="zh-CN"/>
        </w:rPr>
        <w:t>Ji</w:t>
      </w:r>
      <w:r>
        <w:rPr>
          <w:rFonts w:eastAsia="Calibri"/>
          <w:b/>
          <w:bCs w:val="0"/>
          <w:lang w:val="en-US"/>
        </w:rPr>
        <w:t>-</w:t>
      </w:r>
      <w:r>
        <w:rPr>
          <w:rFonts w:hint="eastAsia" w:eastAsia="宋体"/>
          <w:b/>
          <w:bCs w:val="0"/>
          <w:lang w:val="en-US" w:eastAsia="zh-CN"/>
        </w:rPr>
        <w:t>Chao</w:t>
      </w:r>
      <w:r>
        <w:rPr>
          <w:rFonts w:eastAsia="Calibri"/>
          <w:b/>
          <w:bCs w:val="0"/>
          <w:lang w:val="en-US"/>
        </w:rPr>
        <w:t xml:space="preserve"> </w:t>
      </w:r>
      <w:r>
        <w:rPr>
          <w:rFonts w:hint="eastAsia" w:eastAsia="宋体"/>
          <w:b/>
          <w:bCs w:val="0"/>
          <w:lang w:val="en-US" w:eastAsia="zh-CN"/>
        </w:rPr>
        <w:t>Q</w:t>
      </w:r>
      <w:r>
        <w:rPr>
          <w:rFonts w:eastAsia="Calibri"/>
          <w:b/>
          <w:bCs w:val="0"/>
          <w:lang w:val="en-US"/>
        </w:rPr>
        <w:t>i</w:t>
      </w:r>
      <w:r>
        <w:rPr>
          <w:rFonts w:hint="eastAsia" w:eastAsia="宋体"/>
          <w:b/>
          <w:bCs w:val="0"/>
          <w:lang w:val="en-US" w:eastAsia="zh-CN"/>
        </w:rPr>
        <w:t xml:space="preserve"> </w:t>
      </w:r>
      <w:r>
        <w:rPr>
          <w:vertAlign w:val="superscript"/>
        </w:rPr>
        <w:t>1</w:t>
      </w:r>
      <w:r>
        <w:rPr>
          <w:rFonts w:hint="eastAsia" w:eastAsia="宋体"/>
          <w:b/>
          <w:bCs w:val="0"/>
          <w:lang w:val="en-US" w:eastAsia="zh-CN"/>
        </w:rPr>
        <w:t xml:space="preserve"> </w:t>
      </w:r>
      <w:r>
        <w:t>and</w:t>
      </w:r>
      <w:r>
        <w:rPr>
          <w:rFonts w:hint="eastAsia" w:eastAsia="宋体"/>
          <w:lang w:val="en-US" w:eastAsia="zh-CN"/>
        </w:rPr>
        <w:t xml:space="preserve"> Xiang-Ai Ma</w:t>
      </w:r>
      <w:r>
        <w:t xml:space="preserve"> </w:t>
      </w:r>
      <w:r>
        <w:rPr>
          <w:vertAlign w:val="superscript"/>
        </w:rPr>
        <w:t>2,</w:t>
      </w:r>
      <w:r>
        <w:t>*</w:t>
      </w:r>
    </w:p>
    <w:p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198" w:hanging="198"/>
        <w:textAlignment w:val="auto"/>
      </w:pPr>
      <w:r>
        <w:rPr>
          <w:vertAlign w:val="superscript"/>
        </w:rPr>
        <w:t>1</w:t>
      </w:r>
      <w:r>
        <w:tab/>
      </w:r>
      <w:r>
        <w:rPr>
          <w:rFonts w:hint="eastAsia"/>
          <w:lang w:val="en-US" w:eastAsia="zh-CN"/>
        </w:rPr>
        <w:t>College</w:t>
      </w:r>
      <w:r>
        <w:t xml:space="preserve"> of </w:t>
      </w:r>
      <w:r>
        <w:rPr>
          <w:rFonts w:hint="eastAsia"/>
          <w:lang w:val="en-US" w:eastAsia="zh-CN"/>
        </w:rPr>
        <w:t>Food Science and</w:t>
      </w:r>
      <w:r>
        <w:t xml:space="preserve"> Engineering, Shanxi </w:t>
      </w:r>
      <w:r>
        <w:rPr>
          <w:rFonts w:hint="eastAsia"/>
          <w:lang w:val="en-US" w:eastAsia="zh-CN"/>
        </w:rPr>
        <w:t>Agricultural</w:t>
      </w:r>
      <w:r>
        <w:t xml:space="preserve"> University, </w:t>
      </w:r>
      <w:r>
        <w:rPr>
          <w:rFonts w:hint="eastAsia"/>
          <w:lang w:val="en-US" w:eastAsia="zh-CN"/>
        </w:rPr>
        <w:t>Taigu</w:t>
      </w:r>
      <w:r>
        <w:t xml:space="preserve"> </w:t>
      </w:r>
      <w:r>
        <w:rPr>
          <w:rFonts w:hint="eastAsia"/>
          <w:lang w:val="en-US" w:eastAsia="zh-CN"/>
        </w:rPr>
        <w:t>030801</w:t>
      </w:r>
      <w:r>
        <w:t xml:space="preserve">, China; </w:t>
      </w:r>
    </w:p>
    <w:p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198" w:hanging="198"/>
        <w:textAlignment w:val="auto"/>
      </w:pPr>
      <w:r>
        <w:rPr>
          <w:vertAlign w:val="superscript"/>
        </w:rPr>
        <w:t>2</w:t>
      </w:r>
      <w:r>
        <w:tab/>
      </w:r>
      <w:r>
        <w:rPr>
          <w:rFonts w:hint="eastAsia" w:ascii="Times" w:hAnsi="Times" w:eastAsia="Times New Roman"/>
          <w:szCs w:val="20"/>
          <w:lang w:val="en-US" w:eastAsia="zh-CN" w:bidi="ar"/>
        </w:rPr>
        <w:t>College of Resources and Environment</w:t>
      </w:r>
      <w:r>
        <w:rPr>
          <w:rFonts w:ascii="Times" w:hAnsi="Times" w:eastAsia="Times New Roman"/>
          <w:szCs w:val="20"/>
          <w:lang w:bidi="ar"/>
        </w:rPr>
        <w:t xml:space="preserve">, Shanxi </w:t>
      </w:r>
      <w:r>
        <w:rPr>
          <w:rFonts w:hint="eastAsia" w:ascii="Times" w:hAnsi="Times" w:eastAsia="Times New Roman"/>
          <w:szCs w:val="20"/>
          <w:lang w:val="en-US" w:eastAsia="zh-CN" w:bidi="ar"/>
        </w:rPr>
        <w:t>Agricultural</w:t>
      </w:r>
      <w:r>
        <w:rPr>
          <w:rFonts w:ascii="Times" w:hAnsi="Times" w:eastAsia="Times New Roman"/>
          <w:szCs w:val="20"/>
          <w:lang w:bidi="ar"/>
        </w:rPr>
        <w:t xml:space="preserve"> University, </w:t>
      </w:r>
      <w:r>
        <w:rPr>
          <w:rFonts w:hint="eastAsia" w:ascii="Times" w:hAnsi="Times" w:eastAsia="Times New Roman"/>
          <w:szCs w:val="20"/>
          <w:lang w:val="en-US" w:eastAsia="zh-CN" w:bidi="ar"/>
        </w:rPr>
        <w:t>Taigu</w:t>
      </w:r>
      <w:r>
        <w:rPr>
          <w:rFonts w:ascii="Times" w:hAnsi="Times" w:eastAsia="Times New Roman"/>
          <w:szCs w:val="20"/>
          <w:lang w:bidi="ar"/>
        </w:rPr>
        <w:t xml:space="preserve"> </w:t>
      </w:r>
      <w:r>
        <w:rPr>
          <w:rFonts w:hint="eastAsia" w:ascii="Times" w:hAnsi="Times" w:eastAsia="Times New Roman"/>
          <w:szCs w:val="20"/>
          <w:lang w:val="en-US" w:eastAsia="zh-CN" w:bidi="ar"/>
        </w:rPr>
        <w:t>030801</w:t>
      </w:r>
      <w:r>
        <w:rPr>
          <w:rFonts w:ascii="Times" w:hAnsi="Times" w:eastAsia="Times New Roman"/>
          <w:szCs w:val="20"/>
          <w:lang w:bidi="ar"/>
        </w:rPr>
        <w:t>, China</w:t>
      </w:r>
    </w:p>
    <w:p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198" w:hanging="198"/>
        <w:textAlignment w:val="auto"/>
      </w:pPr>
      <w:r>
        <w:rPr>
          <w:b/>
        </w:rPr>
        <w:t>*</w:t>
      </w:r>
      <w:r>
        <w:tab/>
      </w:r>
      <w:r>
        <w:t xml:space="preserve">Correspondence: </w:t>
      </w:r>
      <w:r>
        <w:fldChar w:fldCharType="begin"/>
      </w:r>
      <w:r>
        <w:instrText xml:space="preserve"> HYPERLINK "mailto:duanhl@sxau.edu.cn;" </w:instrText>
      </w:r>
      <w:r>
        <w:fldChar w:fldCharType="separate"/>
      </w:r>
      <w:r>
        <w:rPr>
          <w:rFonts w:hint="eastAsia"/>
          <w:lang w:val="en-US" w:eastAsia="zh-CN"/>
        </w:rPr>
        <w:t>duanhl</w:t>
      </w:r>
      <w:r>
        <w:t>@s</w:t>
      </w:r>
      <w:r>
        <w:rPr>
          <w:rFonts w:hint="eastAsia"/>
          <w:lang w:val="en-US" w:eastAsia="zh-CN"/>
        </w:rPr>
        <w:t>xa</w:t>
      </w:r>
      <w:r>
        <w:t>u.edu.cn</w:t>
      </w:r>
      <w:r>
        <w:rPr>
          <w:rFonts w:hint="eastAsia"/>
          <w:lang w:val="en-US" w:eastAsia="zh-CN"/>
        </w:rPr>
        <w:t xml:space="preserve"> (H.D.)</w:t>
      </w:r>
      <w:r>
        <w:rPr>
          <w:rFonts w:hint="eastAsia"/>
          <w:lang w:val="en-US" w:eastAsia="zh-CN"/>
        </w:rPr>
        <w:fldChar w:fldCharType="end"/>
      </w:r>
      <w:r>
        <w:rPr>
          <w:rFonts w:hint="eastAsia" w:eastAsia="宋体"/>
          <w:lang w:val="en-US" w:eastAsia="zh-CN"/>
        </w:rPr>
        <w:t xml:space="preserve">, </w:t>
      </w:r>
      <w:r>
        <w:t>Tel.: +</w:t>
      </w:r>
      <w:r>
        <w:rPr>
          <w:rFonts w:hint="eastAsia"/>
          <w:lang w:val="en-US" w:eastAsia="zh-CN"/>
        </w:rPr>
        <w:t>13509734898</w:t>
      </w:r>
      <w:r>
        <w:rPr>
          <w:rFonts w:hint="eastAsia" w:eastAsia="宋体"/>
          <w:lang w:val="en-US" w:eastAsia="zh-CN"/>
        </w:rPr>
        <w:t>;</w:t>
      </w:r>
      <w:r>
        <w:rPr>
          <w:rFonts w:hint="eastAsia" w:ascii="Times" w:hAnsi="Times" w:eastAsia="宋体"/>
          <w:szCs w:val="20"/>
          <w:lang w:val="en-US" w:eastAsia="zh-CN" w:bidi="ar"/>
        </w:rPr>
        <w:t xml:space="preserve"> </w:t>
      </w:r>
      <w:r>
        <w:fldChar w:fldCharType="begin"/>
      </w:r>
      <w:r>
        <w:instrText xml:space="preserve"> HYPERLINK "mailto:sxaumxa@163.com" </w:instrText>
      </w:r>
      <w:r>
        <w:fldChar w:fldCharType="separate"/>
      </w:r>
      <w:r>
        <w:rPr>
          <w:rFonts w:hint="eastAsia"/>
          <w:lang w:val="en-US" w:eastAsia="zh-CN"/>
        </w:rPr>
        <w:t>sxaumxa@163.com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(X.M), </w:t>
      </w:r>
      <w:r>
        <w:rPr>
          <w:rFonts w:hint="eastAsia" w:ascii="Times" w:hAnsi="Times" w:eastAsia="宋体"/>
          <w:szCs w:val="20"/>
          <w:lang w:val="en-US" w:eastAsia="zh-CN" w:bidi="ar"/>
        </w:rPr>
        <w:t xml:space="preserve">Tel: +13835473916. </w:t>
      </w:r>
    </w:p>
    <w:p>
      <w:pPr>
        <w:pStyle w:val="10"/>
        <w:widowControl/>
        <w:spacing w:before="156" w:beforeLines="50" w:after="240"/>
        <w:ind w:firstLine="480" w:firstLineChars="200"/>
        <w:rPr>
          <w:rFonts w:eastAsia="宋体"/>
        </w:rPr>
        <w:sectPr>
          <w:footerReference r:id="rId5" w:type="default"/>
          <w:pgSz w:w="11906" w:h="16838"/>
          <w:pgMar w:top="1440" w:right="746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" w:hAnsi="Times" w:eastAsia="Times New Roman"/>
          <w:kern w:val="0"/>
          <w:szCs w:val="20"/>
          <w:lang w:bidi="ar"/>
        </w:rPr>
        <w:t>.</w:t>
      </w:r>
      <w:bookmarkEnd w:id="3"/>
    </w:p>
    <w:p>
      <w:pPr>
        <w:pStyle w:val="21"/>
        <w:spacing w:after="156" w:afterLines="50" w:line="360" w:lineRule="auto"/>
        <w:ind w:right="-334" w:rightChars="-139" w:firstLine="0"/>
        <w:rPr>
          <w:b/>
          <w:sz w:val="28"/>
          <w:szCs w:val="28"/>
          <w:vertAlign w:val="baseline"/>
        </w:rPr>
      </w:pPr>
      <w:r>
        <w:rPr>
          <w:b/>
          <w:sz w:val="28"/>
          <w:szCs w:val="28"/>
          <w:vertAlign w:val="baseline"/>
        </w:rPr>
        <w:t>Contents</w:t>
      </w:r>
    </w:p>
    <w:p>
      <w:pPr>
        <w:pStyle w:val="9"/>
        <w:tabs>
          <w:tab w:val="right" w:pos="8306"/>
        </w:tabs>
        <w:ind w:left="0" w:leftChars="0" w:right="-334" w:rightChars="-139"/>
        <w:rPr>
          <w:rFonts w:eastAsia="宋体"/>
        </w:rPr>
      </w:pPr>
      <w:bookmarkStart w:id="5" w:name="OLE_LINK18"/>
      <w:r>
        <w:rPr>
          <w:rFonts w:hint="eastAsia" w:eastAsia="宋体"/>
        </w:rPr>
        <w:t>Characterization</w:t>
      </w:r>
      <w:r>
        <w:t xml:space="preserve"> </w:t>
      </w:r>
      <w:r>
        <w:rPr>
          <w:rFonts w:eastAsia="宋体"/>
        </w:rPr>
        <w:t>information</w:t>
      </w:r>
    </w:p>
    <w:p>
      <w:pPr>
        <w:pStyle w:val="9"/>
        <w:tabs>
          <w:tab w:val="right" w:pos="8306"/>
        </w:tabs>
        <w:ind w:left="0" w:leftChars="0" w:right="-334" w:rightChars="-139"/>
      </w:pPr>
      <w:r>
        <w:rPr>
          <w:rFonts w:eastAsia="宋体"/>
        </w:rPr>
        <w:fldChar w:fldCharType="begin"/>
      </w:r>
      <w:r>
        <w:rPr>
          <w:rFonts w:eastAsia="宋体"/>
        </w:rPr>
        <w:instrText xml:space="preserve">TOC \o "1-3" \n  \u </w:instrText>
      </w:r>
      <w:r>
        <w:rPr>
          <w:rFonts w:eastAsia="宋体"/>
        </w:rPr>
        <w:fldChar w:fldCharType="separate"/>
      </w:r>
      <w:r>
        <w:t>Simulated equations for kinetic sorption process</w:t>
      </w:r>
    </w:p>
    <w:p>
      <w:pPr>
        <w:pStyle w:val="4"/>
        <w:tabs>
          <w:tab w:val="left" w:pos="911"/>
        </w:tabs>
        <w:ind w:left="0" w:leftChars="0" w:right="-334" w:rightChars="-139"/>
        <w:rPr>
          <w:rFonts w:hint="eastAsia"/>
        </w:rPr>
      </w:pPr>
      <w:r>
        <w:t>Adsorption isotherm models </w:t>
      </w:r>
    </w:p>
    <w:p>
      <w:pPr>
        <w:pStyle w:val="4"/>
        <w:tabs>
          <w:tab w:val="right" w:pos="8306"/>
        </w:tabs>
        <w:ind w:left="0" w:leftChars="0" w:right="-334" w:rightChars="-139"/>
      </w:pPr>
      <w:r>
        <w:t>Thermodynamic parameter equations</w:t>
      </w:r>
    </w:p>
    <w:p>
      <w:pPr>
        <w:pStyle w:val="4"/>
        <w:tabs>
          <w:tab w:val="right" w:pos="8306"/>
        </w:tabs>
        <w:ind w:left="0" w:leftChars="0" w:right="-334" w:rightChars="-139"/>
      </w:pPr>
      <w:bookmarkStart w:id="6" w:name="OLE_LINK39"/>
      <w:r>
        <w:t>Table S1 The chemical structure and some properties of investigated dyes</w:t>
      </w:r>
    </w:p>
    <w:p>
      <w:pPr>
        <w:pStyle w:val="4"/>
        <w:tabs>
          <w:tab w:val="right" w:pos="8306"/>
        </w:tabs>
        <w:ind w:left="0" w:leftChars="0" w:right="-334" w:rightChars="-139"/>
      </w:pPr>
      <w:r>
        <w:rPr>
          <w:szCs w:val="21"/>
        </w:rPr>
        <w:t xml:space="preserve">Table </w:t>
      </w:r>
      <w:r>
        <w:rPr>
          <w:rFonts w:hint="eastAsia"/>
          <w:szCs w:val="21"/>
        </w:rPr>
        <w:t>S2</w:t>
      </w:r>
      <w:r>
        <w:rPr>
          <w:szCs w:val="21"/>
        </w:rPr>
        <w:t xml:space="preserve"> Elemental analysis </w:t>
      </w:r>
      <w:r>
        <w:rPr>
          <w:rFonts w:hint="eastAsia"/>
          <w:szCs w:val="21"/>
        </w:rPr>
        <w:t>results of P-aro-CDPs</w:t>
      </w:r>
    </w:p>
    <w:p>
      <w:pPr>
        <w:pStyle w:val="4"/>
        <w:tabs>
          <w:tab w:val="right" w:pos="8306"/>
        </w:tabs>
        <w:ind w:left="0" w:leftChars="0" w:right="-334" w:rightChars="-139"/>
      </w:pPr>
      <w:r>
        <w:rPr>
          <w:szCs w:val="21"/>
        </w:rPr>
        <w:t>Table S</w:t>
      </w:r>
      <w:r>
        <w:rPr>
          <w:rFonts w:hint="eastAsia"/>
          <w:szCs w:val="21"/>
        </w:rPr>
        <w:t>3</w:t>
      </w:r>
      <w:r>
        <w:rPr>
          <w:szCs w:val="21"/>
        </w:rPr>
        <w:t xml:space="preserve"> Adsorption </w:t>
      </w:r>
      <w:r>
        <w:rPr>
          <w:rFonts w:hint="eastAsia"/>
          <w:szCs w:val="21"/>
        </w:rPr>
        <w:t>k</w:t>
      </w:r>
      <w:r>
        <w:rPr>
          <w:szCs w:val="21"/>
        </w:rPr>
        <w:t>inetic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parameters of </w:t>
      </w:r>
      <w:r>
        <w:rPr>
          <w:rFonts w:hint="eastAsia"/>
          <w:szCs w:val="21"/>
        </w:rPr>
        <w:t>MB</w:t>
      </w:r>
      <w:r>
        <w:rPr>
          <w:szCs w:val="21"/>
        </w:rPr>
        <w:t xml:space="preserve"> on </w:t>
      </w:r>
      <w:r>
        <w:rPr>
          <w:rFonts w:hint="eastAsia"/>
          <w:szCs w:val="21"/>
        </w:rPr>
        <w:t>P-aro-CDPs</w:t>
      </w:r>
    </w:p>
    <w:p>
      <w:pPr>
        <w:pStyle w:val="4"/>
        <w:tabs>
          <w:tab w:val="right" w:pos="8306"/>
        </w:tabs>
        <w:ind w:left="0" w:leftChars="0" w:right="-334" w:rightChars="-139"/>
      </w:pPr>
      <w:r>
        <w:rPr>
          <w:szCs w:val="21"/>
        </w:rPr>
        <w:t>Table S</w:t>
      </w:r>
      <w:r>
        <w:rPr>
          <w:rFonts w:hint="eastAsia"/>
          <w:szCs w:val="21"/>
        </w:rPr>
        <w:t>4</w:t>
      </w:r>
      <w:r>
        <w:rPr>
          <w:szCs w:val="21"/>
        </w:rPr>
        <w:t xml:space="preserve"> Adsorption </w:t>
      </w:r>
      <w:r>
        <w:rPr>
          <w:rFonts w:hint="eastAsia"/>
          <w:szCs w:val="21"/>
        </w:rPr>
        <w:t>i</w:t>
      </w:r>
      <w:r>
        <w:rPr>
          <w:szCs w:val="21"/>
        </w:rPr>
        <w:t xml:space="preserve">sotherm parameters of </w:t>
      </w:r>
      <w:r>
        <w:rPr>
          <w:rFonts w:hint="eastAsia"/>
          <w:szCs w:val="21"/>
        </w:rPr>
        <w:t>MB</w:t>
      </w:r>
      <w:r>
        <w:rPr>
          <w:szCs w:val="21"/>
        </w:rPr>
        <w:t xml:space="preserve"> on </w:t>
      </w:r>
      <w:r>
        <w:rPr>
          <w:rFonts w:hint="eastAsia"/>
          <w:szCs w:val="21"/>
        </w:rPr>
        <w:t>P-aro-CDPs</w:t>
      </w:r>
    </w:p>
    <w:bookmarkEnd w:id="6"/>
    <w:p>
      <w:pPr>
        <w:pStyle w:val="4"/>
        <w:tabs>
          <w:tab w:val="right" w:pos="8306"/>
        </w:tabs>
        <w:ind w:left="0" w:leftChars="0" w:right="-334" w:rightChars="-139"/>
      </w:pPr>
      <w:bookmarkStart w:id="7" w:name="OLE_LINK35"/>
      <w:bookmarkStart w:id="8" w:name="OLE_LINK37"/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S1</w:t>
      </w:r>
      <w:bookmarkEnd w:id="7"/>
      <w:r>
        <w:rPr>
          <w:rFonts w:hint="eastAsia"/>
        </w:rPr>
        <w:t xml:space="preserve"> Solid-state 13C-NMR spectrum </w:t>
      </w:r>
      <w:bookmarkStart w:id="9" w:name="OLE_LINK36"/>
      <w:r>
        <w:rPr>
          <w:rFonts w:hint="eastAsia"/>
        </w:rPr>
        <w:t xml:space="preserve">of </w:t>
      </w:r>
      <w:bookmarkEnd w:id="9"/>
      <w:r>
        <w:rPr>
          <w:rFonts w:hint="eastAsia"/>
        </w:rPr>
        <w:t>P-aro-CDPs</w:t>
      </w:r>
    </w:p>
    <w:bookmarkEnd w:id="8"/>
    <w:p>
      <w:bookmarkStart w:id="10" w:name="OLE_LINK38"/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S2 </w:t>
      </w:r>
      <w:r>
        <w:rPr>
          <w:rFonts w:hint="eastAsia" w:eastAsia="宋体"/>
        </w:rPr>
        <w:t>The XPS spectrum of N1s from</w:t>
      </w:r>
      <w:r>
        <w:rPr>
          <w:rFonts w:hint="eastAsia"/>
        </w:rPr>
        <w:t xml:space="preserve"> P-aro-CDPs</w:t>
      </w:r>
    </w:p>
    <w:bookmarkEnd w:id="10"/>
    <w:p>
      <w:pPr>
        <w:pStyle w:val="4"/>
        <w:tabs>
          <w:tab w:val="right" w:pos="8306"/>
        </w:tabs>
        <w:ind w:left="0" w:leftChars="0" w:right="-334" w:rightChars="-139"/>
      </w:pPr>
      <w:bookmarkStart w:id="11" w:name="OLE_LINK34"/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</w:t>
      </w:r>
      <w:bookmarkEnd w:id="11"/>
      <w:r>
        <w:rPr>
          <w:rFonts w:hint="eastAsia"/>
        </w:rPr>
        <w:t xml:space="preserve">3 Pseudo-first-order </w:t>
      </w:r>
      <w:r>
        <w:t xml:space="preserve">adsorption </w:t>
      </w:r>
      <w:r>
        <w:rPr>
          <w:rFonts w:hint="eastAsia"/>
        </w:rPr>
        <w:t>p</w:t>
      </w:r>
      <w:r>
        <w:t>lots of</w:t>
      </w:r>
      <w:r>
        <w:rPr>
          <w:rFonts w:hint="eastAsia"/>
        </w:rPr>
        <w:t xml:space="preserve"> MB on P-aro-CDPs</w:t>
      </w:r>
    </w:p>
    <w:p>
      <w:pPr>
        <w:pStyle w:val="4"/>
        <w:tabs>
          <w:tab w:val="right" w:pos="8306"/>
        </w:tabs>
        <w:ind w:left="0" w:leftChars="0" w:right="-334" w:rightChars="-139"/>
      </w:pPr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S4 Elovich </w:t>
      </w:r>
      <w:r>
        <w:t>adsorptio</w:t>
      </w:r>
      <w:r>
        <w:rPr>
          <w:rFonts w:hint="eastAsia"/>
        </w:rPr>
        <w:t xml:space="preserve">n </w:t>
      </w:r>
      <w:r>
        <w:t xml:space="preserve">kinetic </w:t>
      </w:r>
      <w:r>
        <w:rPr>
          <w:rFonts w:hint="eastAsia"/>
        </w:rPr>
        <w:t>p</w:t>
      </w:r>
      <w:r>
        <w:t>lots of</w:t>
      </w:r>
      <w:r>
        <w:rPr>
          <w:rFonts w:hint="eastAsia"/>
        </w:rPr>
        <w:t xml:space="preserve"> MB on P-aro-CDPs</w:t>
      </w:r>
    </w:p>
    <w:p>
      <w:pPr>
        <w:pStyle w:val="4"/>
        <w:tabs>
          <w:tab w:val="right" w:pos="8306"/>
        </w:tabs>
        <w:ind w:left="0" w:leftChars="0" w:right="-334" w:rightChars="-139"/>
      </w:pPr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S5 Weber-Morris adsorption </w:t>
      </w:r>
      <w:r>
        <w:t xml:space="preserve">plots </w:t>
      </w:r>
      <w:r>
        <w:rPr>
          <w:rFonts w:hint="eastAsia"/>
        </w:rPr>
        <w:t>of MB</w:t>
      </w:r>
      <w:r>
        <w:t xml:space="preserve"> on</w:t>
      </w:r>
      <w:r>
        <w:rPr>
          <w:rFonts w:hint="eastAsia"/>
        </w:rPr>
        <w:t xml:space="preserve"> P-aro-CDPs</w:t>
      </w:r>
    </w:p>
    <w:p>
      <w:pPr>
        <w:pStyle w:val="4"/>
        <w:tabs>
          <w:tab w:val="right" w:pos="8306"/>
        </w:tabs>
        <w:ind w:left="0" w:leftChars="0" w:right="-334" w:rightChars="-139"/>
      </w:pPr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S6 Boyd adsorption </w:t>
      </w:r>
      <w:r>
        <w:t xml:space="preserve">plots </w:t>
      </w:r>
      <w:r>
        <w:rPr>
          <w:rFonts w:hint="eastAsia"/>
        </w:rPr>
        <w:t>of MB</w:t>
      </w:r>
      <w:r>
        <w:t xml:space="preserve"> on </w:t>
      </w:r>
      <w:r>
        <w:rPr>
          <w:rFonts w:hint="eastAsia"/>
        </w:rPr>
        <w:t>P-aro-CDPs</w:t>
      </w:r>
    </w:p>
    <w:p>
      <w:pPr>
        <w:pStyle w:val="4"/>
        <w:tabs>
          <w:tab w:val="right" w:pos="8306"/>
        </w:tabs>
        <w:ind w:left="0" w:leftChars="0" w:right="-334" w:rightChars="-139"/>
      </w:pPr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S7 Freundlich</w:t>
      </w:r>
      <w:r>
        <w:t xml:space="preserve"> adsorption isotherm of</w:t>
      </w:r>
      <w:r>
        <w:rPr>
          <w:rFonts w:hint="eastAsia"/>
        </w:rPr>
        <w:t xml:space="preserve"> MB</w:t>
      </w:r>
      <w:r>
        <w:t xml:space="preserve"> on </w:t>
      </w:r>
      <w:r>
        <w:rPr>
          <w:rFonts w:hint="eastAsia"/>
        </w:rPr>
        <w:t>P-aro-CDPs</w:t>
      </w:r>
    </w:p>
    <w:p>
      <w:pPr>
        <w:pStyle w:val="4"/>
        <w:tabs>
          <w:tab w:val="right" w:pos="8306"/>
        </w:tabs>
        <w:ind w:left="0" w:leftChars="0" w:right="-334" w:rightChars="-139"/>
        <w:rPr>
          <w:rFonts w:eastAsia="宋体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S8 </w:t>
      </w:r>
      <w:r>
        <w:t>Temkin adsorption isotherm of</w:t>
      </w:r>
      <w:r>
        <w:rPr>
          <w:rFonts w:hint="eastAsia"/>
        </w:rPr>
        <w:t xml:space="preserve"> MB</w:t>
      </w:r>
      <w:r>
        <w:t xml:space="preserve"> on </w:t>
      </w:r>
      <w:r>
        <w:rPr>
          <w:rFonts w:hint="eastAsia"/>
        </w:rPr>
        <w:t>P-aro-CDPs</w:t>
      </w:r>
      <w:r>
        <w:rPr>
          <w:rFonts w:eastAsia="宋体"/>
        </w:rPr>
        <w:fldChar w:fldCharType="end"/>
      </w:r>
      <w:bookmarkEnd w:id="5"/>
    </w:p>
    <w:p>
      <w:pPr>
        <w:pStyle w:val="23"/>
        <w:spacing w:after="120" w:line="240" w:lineRule="auto"/>
        <w:ind w:firstLine="0"/>
        <w:jc w:val="left"/>
        <w:outlineLvl w:val="2"/>
        <w:rPr>
          <w:rFonts w:eastAsia="宋体"/>
          <w:b/>
          <w:bCs/>
        </w:rPr>
      </w:pPr>
      <w:bookmarkStart w:id="12" w:name="OLE_LINK16"/>
      <w:bookmarkStart w:id="13" w:name="_Toc10357"/>
      <w:r>
        <w:rPr>
          <w:rFonts w:hint="eastAsia"/>
          <w:b/>
          <w:bCs/>
        </w:rPr>
        <w:t>Characterization</w:t>
      </w:r>
      <w:r>
        <w:t xml:space="preserve"> </w:t>
      </w:r>
      <w:r>
        <w:rPr>
          <w:b/>
          <w:bCs/>
        </w:rPr>
        <w:t>information</w:t>
      </w:r>
    </w:p>
    <w:bookmarkEnd w:id="12"/>
    <w:p>
      <w:pPr>
        <w:pStyle w:val="23"/>
        <w:spacing w:after="240" w:line="468" w:lineRule="auto"/>
        <w:ind w:firstLine="0"/>
      </w:pPr>
      <w:r>
        <w:t>Fourier transform infrared (FTIR) spectra were obtained using an Equinox 55 FTIR spectrometer (Bruker, Germany) using the KBr pellet method in the range of 400</w:t>
      </w:r>
      <w:r>
        <w:rPr>
          <w:rFonts w:cs="Times"/>
        </w:rPr>
        <w:t>–</w:t>
      </w:r>
      <w:r>
        <w:t>4000 cm</w:t>
      </w:r>
      <w:r>
        <w:rPr>
          <w:vertAlign w:val="superscript"/>
        </w:rPr>
        <w:t>-1</w:t>
      </w:r>
      <w:bookmarkStart w:id="14" w:name="OLE_LINK32"/>
      <w:r>
        <w:rPr>
          <w:rFonts w:hint="eastAsia"/>
        </w:rPr>
        <w:t>.</w:t>
      </w:r>
      <w:r>
        <w:t xml:space="preserve"> Solid-state</w:t>
      </w:r>
      <w:r>
        <w:rPr>
          <w:rFonts w:hint="eastAsia"/>
        </w:rPr>
        <w:t xml:space="preserve"> </w:t>
      </w:r>
      <w:r>
        <w:rPr>
          <w:vertAlign w:val="superscript"/>
        </w:rPr>
        <w:t>13</w:t>
      </w:r>
      <w:r>
        <w:t>C-NMR spectra were acquired using a JNM-ECZ400R/S1 NMR spectrometer</w:t>
      </w:r>
      <w:r>
        <w:rPr>
          <w:rFonts w:hint="eastAsia"/>
        </w:rPr>
        <w:t xml:space="preserve"> </w:t>
      </w:r>
      <w:r>
        <w:t xml:space="preserve">(JEOL, Japan). </w:t>
      </w:r>
      <w:r>
        <w:rPr>
          <w:rFonts w:hint="eastAsia"/>
        </w:rPr>
        <w:t xml:space="preserve">The presence of different functional groups was investigated using an Axis Ultra X-ray photoelectron spectrometer (XPS; Kratos Analytical Ltd.). Binding energies were calibrated using the contained carbon (C1s = 284.6 eV). </w:t>
      </w:r>
      <w:r>
        <w:t>Elemental analysis was performed using a Vario EL III elemental analyzer (Elementar, Germany)</w:t>
      </w:r>
      <w:r>
        <w:rPr>
          <w:rFonts w:hint="eastAsia" w:eastAsia="宋体"/>
        </w:rPr>
        <w:t xml:space="preserve"> and </w:t>
      </w:r>
      <w:r>
        <w:t>energy-dispersive X-ray spectroscopy</w:t>
      </w:r>
      <w:r>
        <w:rPr>
          <w:rFonts w:hint="eastAsia" w:eastAsia="宋体"/>
        </w:rPr>
        <w:t xml:space="preserve"> </w:t>
      </w:r>
      <w:r>
        <w:rPr>
          <w:rFonts w:hint="eastAsia"/>
        </w:rPr>
        <w:t>(ED</w:t>
      </w:r>
      <w:r>
        <w:rPr>
          <w:rFonts w:hint="eastAsia" w:eastAsia="宋体"/>
        </w:rPr>
        <w:t>S</w:t>
      </w:r>
      <w:r>
        <w:rPr>
          <w:rFonts w:hint="eastAsia"/>
        </w:rPr>
        <w:t>) analysis</w:t>
      </w:r>
      <w:r>
        <w:rPr>
          <w:rFonts w:hint="eastAsia" w:eastAsia="宋体"/>
        </w:rPr>
        <w:t xml:space="preserve"> </w:t>
      </w:r>
      <w:r>
        <w:t xml:space="preserve">using an SU8220 field-emission scanning electron microscope (Hitachi, Japan), and the structure of </w:t>
      </w:r>
      <w:r>
        <w:rPr>
          <w:rFonts w:hint="eastAsia"/>
        </w:rPr>
        <w:t>P-aro-CDPs</w:t>
      </w:r>
      <w:r>
        <w:t xml:space="preserve"> was determined by powder X-ray diffractometry (XRD) using a D8 Advance X-ray diffractometer (Bruker, Germany)</w:t>
      </w:r>
      <w:bookmarkEnd w:id="14"/>
      <w:bookmarkStart w:id="15" w:name="OLE_LINK50"/>
      <w:bookmarkStart w:id="16" w:name="OLE_LINK51"/>
      <w:bookmarkStart w:id="17" w:name="_Toc510094264"/>
      <w:bookmarkStart w:id="18" w:name="_Toc509665985"/>
      <w:bookmarkStart w:id="19" w:name="OLE_LINK52"/>
      <w:bookmarkStart w:id="20" w:name="OLE_LINK332"/>
      <w:bookmarkStart w:id="21" w:name="_Toc509858207"/>
      <w:r>
        <w:rPr>
          <w:rFonts w:hint="eastAsia"/>
        </w:rPr>
        <w:t>.</w:t>
      </w:r>
      <w:r>
        <w:t xml:space="preserve"> Nitrogen (N</w:t>
      </w:r>
      <w:r>
        <w:rPr>
          <w:vertAlign w:val="subscript"/>
        </w:rPr>
        <w:t>2</w:t>
      </w:r>
      <w:r>
        <w:t>) adsorption–desorption isotherms were obtained at 77 K using an ASAP 2020M system (Micromeritics</w:t>
      </w:r>
      <w:r>
        <w:rPr>
          <w:rFonts w:hint="eastAsia"/>
        </w:rPr>
        <w:t>,</w:t>
      </w:r>
      <w:r>
        <w:t xml:space="preserve"> Norcross</w:t>
      </w:r>
      <w:r>
        <w:rPr>
          <w:rFonts w:hint="eastAsia"/>
        </w:rPr>
        <w:t>,</w:t>
      </w:r>
      <w:r>
        <w:t xml:space="preserve"> GA</w:t>
      </w:r>
      <w:r>
        <w:rPr>
          <w:rFonts w:hint="eastAsia"/>
        </w:rPr>
        <w:t>,</w:t>
      </w:r>
      <w:r>
        <w:t xml:space="preserve"> USA)</w:t>
      </w:r>
      <w:r>
        <w:rPr>
          <w:rFonts w:hint="eastAsia"/>
        </w:rPr>
        <w:t>.</w:t>
      </w:r>
      <w:r>
        <w:t xml:space="preserve"> Approximately 0.1 g of the tested sample was </w:t>
      </w:r>
      <w:r>
        <w:rPr>
          <w:rFonts w:hint="eastAsia"/>
        </w:rPr>
        <w:t>o</w:t>
      </w:r>
      <w:r>
        <w:t>utgassed at 120</w:t>
      </w:r>
      <w:r>
        <w:rPr>
          <w:rFonts w:hint="eastAsia" w:eastAsia="宋体"/>
        </w:rPr>
        <w:t xml:space="preserve"> </w:t>
      </w:r>
      <w:r>
        <w:t>°C for</w:t>
      </w:r>
      <w:r>
        <w:rPr>
          <w:rFonts w:hint="eastAsia"/>
        </w:rPr>
        <w:t xml:space="preserve"> </w:t>
      </w:r>
      <w:r>
        <w:t>12 h</w:t>
      </w:r>
      <w:r>
        <w:rPr>
          <w:rFonts w:hint="eastAsia"/>
        </w:rPr>
        <w:t xml:space="preserve"> </w:t>
      </w:r>
      <w:r>
        <w:t>prior to testing in the analytical system.</w:t>
      </w:r>
      <w:r>
        <w:rPr>
          <w:rFonts w:hint="eastAsia"/>
        </w:rPr>
        <w:t xml:space="preserve"> </w:t>
      </w:r>
      <w:r>
        <w:t>The specific surface area and pore size distribution data were calculated using the Brunauer–Emmett–Teller (BET) and density functional theory (DFT) methods, respectively.</w:t>
      </w:r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hint="eastAsia"/>
        </w:rPr>
        <w:t xml:space="preserve"> </w:t>
      </w:r>
      <w:r>
        <w:t xml:space="preserve">The surface charge of </w:t>
      </w:r>
      <w:r>
        <w:rPr>
          <w:rFonts w:hint="eastAsia"/>
        </w:rPr>
        <w:t>P-aro-CDPs</w:t>
      </w:r>
      <w:r>
        <w:t xml:space="preserve"> was measured using a DelsaNano C particle size and a zeta potential analyzer (Beckman Coulter, USA).</w:t>
      </w:r>
      <w:r>
        <w:rPr>
          <w:rFonts w:hint="eastAsia"/>
        </w:rPr>
        <w:t xml:space="preserve"> </w:t>
      </w:r>
      <w:r>
        <w:t>Thermogravimetric analysis (TGA) was performed using an SDT-Q600 thermogravimetric analyzer (TA Instruments, USA) between 273 and 1273 K at a heating rate of 10 K min</w:t>
      </w:r>
      <w:r>
        <w:rPr>
          <w:vertAlign w:val="superscript"/>
        </w:rPr>
        <w:t>−1</w:t>
      </w:r>
      <w:r>
        <w:rPr>
          <w:rFonts w:hint="eastAsia"/>
        </w:rPr>
        <w:t xml:space="preserve"> </w:t>
      </w:r>
      <w:r>
        <w:t xml:space="preserve">in a nitrogen-rich atmosphere. The microscopic structure of </w:t>
      </w:r>
      <w:r>
        <w:rPr>
          <w:rFonts w:hint="eastAsia"/>
        </w:rPr>
        <w:t>P-aro-CDPs</w:t>
      </w:r>
      <w:r>
        <w:t xml:space="preserve"> was observed by </w:t>
      </w:r>
      <w:bookmarkStart w:id="22" w:name="OLE_LINK87"/>
      <w:r>
        <w:t>scanning electron microscopy (SEM) using an SU8220 field-emission scanning electron microscope (Hitachi, Japan)</w:t>
      </w:r>
      <w:bookmarkEnd w:id="22"/>
      <w:r>
        <w:t xml:space="preserve"> and transmission electron microscopy (TEM) using a Tecnai G2 F20 field-emission transmission electron microscope (FEI, USA)</w:t>
      </w:r>
      <w:r>
        <w:rPr>
          <w:rFonts w:hint="eastAsia"/>
        </w:rPr>
        <w:t>.</w:t>
      </w:r>
    </w:p>
    <w:p>
      <w:pPr>
        <w:pageBreakBefore/>
        <w:spacing w:line="360" w:lineRule="auto"/>
        <w:ind w:right="-334" w:rightChars="-139"/>
        <w:outlineLvl w:val="2"/>
        <w:rPr>
          <w:b/>
        </w:rPr>
      </w:pPr>
      <w:r>
        <w:rPr>
          <w:b/>
        </w:rPr>
        <w:t>Simulated equations for kinetic sorption process</w:t>
      </w:r>
      <w:bookmarkEnd w:id="13"/>
    </w:p>
    <w:p>
      <w:pPr>
        <w:spacing w:line="360" w:lineRule="auto"/>
        <w:ind w:right="-334" w:rightChars="-139" w:firstLine="480" w:firstLineChars="200"/>
      </w:pPr>
      <w:r>
        <w:t>The kinetic sorption process of</w:t>
      </w:r>
      <w:r>
        <w:rPr>
          <w:rFonts w:hint="eastAsia"/>
        </w:rPr>
        <w:t xml:space="preserve"> MB</w:t>
      </w:r>
      <w:r>
        <w:t xml:space="preserve"> on </w:t>
      </w:r>
      <w:r>
        <w:rPr>
          <w:rFonts w:hint="eastAsia"/>
        </w:rPr>
        <w:t>P-aro-CDPs</w:t>
      </w:r>
      <w:r>
        <w:t xml:space="preserve"> was simulated by pseudo-first-order rate equation (1)</w:t>
      </w:r>
      <w:r>
        <w:rPr>
          <w:rFonts w:hint="eastAsia"/>
        </w:rPr>
        <w:t xml:space="preserve">, </w:t>
      </w:r>
      <w:r>
        <w:t>pseudo-second-order rate equation (2)</w:t>
      </w:r>
      <w:r>
        <w:rPr>
          <w:rFonts w:hint="eastAsia"/>
        </w:rPr>
        <w:t xml:space="preserve">, and </w:t>
      </w:r>
      <w:r>
        <w:t>Elovich kinetic</w:t>
      </w:r>
      <w:r>
        <w:rPr>
          <w:rFonts w:hint="eastAsia"/>
        </w:rPr>
        <w:t xml:space="preserve"> equation (3)</w:t>
      </w:r>
      <w:r>
        <w:t xml:space="preserve"> as follow: </w:t>
      </w:r>
    </w:p>
    <w:p>
      <w:pPr>
        <w:spacing w:line="360" w:lineRule="auto"/>
        <w:ind w:right="-334" w:rightChars="-139" w:firstLine="1320" w:firstLineChars="550"/>
      </w:pPr>
      <w:r>
        <w:rPr>
          <w:position w:val="-30"/>
        </w:rPr>
        <w:object>
          <v:shape id="_x0000_i1025" o:spt="75" type="#_x0000_t75" style="height:34pt;width:108.9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7">
            <o:LockedField>false</o:LockedField>
          </o:OLEObject>
        </w:object>
      </w:r>
      <w:r>
        <w:rPr>
          <w:rFonts w:hint="eastAsia"/>
        </w:rPr>
        <w:t xml:space="preserve">     (1)</w:t>
      </w:r>
    </w:p>
    <w:p>
      <w:pPr>
        <w:spacing w:line="360" w:lineRule="auto"/>
        <w:ind w:right="-334" w:rightChars="-139" w:firstLine="1320" w:firstLineChars="550"/>
      </w:pPr>
      <w:r>
        <w:rPr>
          <w:position w:val="-30"/>
        </w:rPr>
        <w:object>
          <v:shape id="_x0000_i1026" o:spt="75" type="#_x0000_t75" style="height:39.65pt;width:117.4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9">
            <o:LockedField>false</o:LockedField>
          </o:OLEObject>
        </w:object>
      </w:r>
      <w:r>
        <w:rPr>
          <w:rFonts w:hint="eastAsia"/>
        </w:rPr>
        <w:t xml:space="preserve">     (2)</w:t>
      </w:r>
    </w:p>
    <w:p>
      <w:pPr>
        <w:spacing w:line="360" w:lineRule="auto"/>
        <w:ind w:right="-334" w:rightChars="-139" w:firstLine="1440" w:firstLineChars="600"/>
        <w:jc w:val="left"/>
      </w:pPr>
      <w:r>
        <w:rPr>
          <w:position w:val="-14"/>
        </w:rPr>
        <w:object>
          <v:shape id="_x0000_i1027" o:spt="75" type="#_x0000_t75" style="height:25.35pt;width:96.2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1">
            <o:LockedField>false</o:LockedField>
          </o:OLEObject>
        </w:object>
      </w:r>
      <w:bookmarkStart w:id="23" w:name="OLE_LINK8"/>
      <w:r>
        <w:rPr>
          <w:rFonts w:hint="eastAsia"/>
        </w:rPr>
        <w:t xml:space="preserve">        (3)</w:t>
      </w:r>
      <w:bookmarkEnd w:id="23"/>
    </w:p>
    <w:p>
      <w:pPr>
        <w:spacing w:before="156" w:beforeLines="50" w:line="360" w:lineRule="auto"/>
        <w:ind w:right="-334" w:rightChars="-139"/>
      </w:pPr>
      <w:r>
        <w:t xml:space="preserve">where </w:t>
      </w:r>
      <w:r>
        <w:rPr>
          <w:i/>
          <w:iCs/>
        </w:rPr>
        <w:t>t</w:t>
      </w:r>
      <w:r>
        <w:t xml:space="preserve"> is adsorption time</w:t>
      </w:r>
      <w:r>
        <w:rPr>
          <w:rFonts w:hint="eastAsia"/>
        </w:rPr>
        <w:t>;</w:t>
      </w:r>
      <w:r>
        <w:t xml:space="preserve"> </w:t>
      </w:r>
      <w:r>
        <w:rPr>
          <w:i/>
          <w:iCs/>
        </w:rPr>
        <w:t>q</w:t>
      </w:r>
      <w:r>
        <w:rPr>
          <w:i/>
          <w:iCs/>
          <w:vertAlign w:val="subscript"/>
        </w:rPr>
        <w:t>t</w:t>
      </w:r>
      <w:r>
        <w:t xml:space="preserve"> and </w:t>
      </w:r>
      <w:r>
        <w:rPr>
          <w:i/>
          <w:iCs/>
        </w:rPr>
        <w:t>q</w:t>
      </w:r>
      <w:r>
        <w:rPr>
          <w:i/>
          <w:iCs/>
          <w:vertAlign w:val="subscript"/>
        </w:rPr>
        <w:t>e</w:t>
      </w:r>
      <w:r>
        <w:t xml:space="preserve"> is the adsorbed amount of </w:t>
      </w:r>
      <w:r>
        <w:rPr>
          <w:rFonts w:hint="eastAsia"/>
        </w:rPr>
        <w:t>MB</w:t>
      </w:r>
      <w:r>
        <w:t xml:space="preserve"> per unit mass of adsorbent at t moment and equilibrium (mg g</w:t>
      </w:r>
      <w:r>
        <w:rPr>
          <w:vertAlign w:val="superscript"/>
        </w:rPr>
        <w:t>-1</w:t>
      </w:r>
      <w:r>
        <w:t>) respectively</w:t>
      </w:r>
      <w:r>
        <w:rPr>
          <w:rFonts w:hint="eastAsia"/>
        </w:rPr>
        <w:t>;</w:t>
      </w:r>
      <w:r>
        <w:t xml:space="preserve"> </w:t>
      </w:r>
      <w:r>
        <w:rPr>
          <w:i/>
          <w:iCs/>
        </w:rPr>
        <w:t>k</w:t>
      </w:r>
      <w:r>
        <w:rPr>
          <w:i/>
          <w:iCs/>
          <w:vertAlign w:val="subscript"/>
        </w:rPr>
        <w:t>1</w:t>
      </w:r>
      <w:r>
        <w:t xml:space="preserve"> (min</w:t>
      </w:r>
      <w:r>
        <w:rPr>
          <w:vertAlign w:val="superscript"/>
        </w:rPr>
        <w:t>-1</w:t>
      </w:r>
      <w:r>
        <w:t>) and</w:t>
      </w:r>
      <w:r>
        <w:rPr>
          <w:i/>
          <w:iCs/>
        </w:rPr>
        <w:t xml:space="preserve"> k</w:t>
      </w:r>
      <w:r>
        <w:rPr>
          <w:i/>
          <w:iCs/>
          <w:vertAlign w:val="subscript"/>
        </w:rPr>
        <w:t>2</w:t>
      </w:r>
      <w:r>
        <w:rPr>
          <w:i/>
          <w:iCs/>
        </w:rPr>
        <w:t xml:space="preserve"> </w:t>
      </w:r>
      <w:r>
        <w:t>(g mg</w:t>
      </w:r>
      <w:r>
        <w:rPr>
          <w:vertAlign w:val="superscript"/>
        </w:rPr>
        <w:t xml:space="preserve">-1 </w:t>
      </w:r>
      <w:r>
        <w:t>min</w:t>
      </w:r>
      <w:r>
        <w:rPr>
          <w:vertAlign w:val="superscript"/>
        </w:rPr>
        <w:t>-1</w:t>
      </w:r>
      <w:r>
        <w:t xml:space="preserve">) are the </w:t>
      </w:r>
      <w:bookmarkStart w:id="24" w:name="OLE_LINK7"/>
      <w:r>
        <w:t>adsorption</w:t>
      </w:r>
      <w:bookmarkEnd w:id="24"/>
      <w:r>
        <w:t xml:space="preserve"> rate constants of pseudo-first-order equation and pseudo-second-order equation, respectively</w:t>
      </w:r>
      <w:r>
        <w:rPr>
          <w:rFonts w:hint="eastAsia"/>
        </w:rPr>
        <w:t>; A (mg g</w:t>
      </w:r>
      <w:r>
        <w:rPr>
          <w:rFonts w:hint="eastAsia"/>
          <w:vertAlign w:val="superscript"/>
        </w:rPr>
        <w:t>-1</w:t>
      </w:r>
      <w:r>
        <w:rPr>
          <w:rFonts w:hint="eastAsia"/>
        </w:rPr>
        <w:t xml:space="preserve"> min</w:t>
      </w:r>
      <w:r>
        <w:rPr>
          <w:rFonts w:hint="eastAsia"/>
          <w:vertAlign w:val="superscript"/>
        </w:rPr>
        <w:t>-1</w:t>
      </w:r>
      <w:r>
        <w:rPr>
          <w:rFonts w:hint="eastAsia"/>
        </w:rPr>
        <w:t xml:space="preserve">) is the initial </w:t>
      </w:r>
      <w:r>
        <w:t>adsorption</w:t>
      </w:r>
      <w:r>
        <w:rPr>
          <w:rFonts w:hint="eastAsia"/>
        </w:rPr>
        <w:t xml:space="preserve"> rate and B (g mg</w:t>
      </w:r>
      <w:r>
        <w:rPr>
          <w:rFonts w:hint="eastAsia"/>
          <w:vertAlign w:val="superscript"/>
        </w:rPr>
        <w:t>-1</w:t>
      </w:r>
      <w:r>
        <w:rPr>
          <w:rFonts w:hint="eastAsia"/>
        </w:rPr>
        <w:t>) is related to the extent of surface coverage and activation energy for chemisorption; The value of (1/B) is indicative of the available number of sites for adsorption while (1/B)ln(AB) is the adsorption quantity when ln t =0.</w:t>
      </w:r>
    </w:p>
    <w:p>
      <w:pPr>
        <w:spacing w:before="156" w:beforeLines="50" w:line="360" w:lineRule="auto"/>
        <w:ind w:right="-334" w:rightChars="-139" w:firstLine="480" w:firstLineChars="200"/>
      </w:pPr>
      <w:r>
        <w:rPr>
          <w:rFonts w:hint="eastAsia"/>
        </w:rPr>
        <w:t>In addition, the intraparticle diffusion kinetic model based on the theory proposed by Weber and Morris was tested by using the following equation (4):</w:t>
      </w:r>
    </w:p>
    <w:p>
      <w:pPr>
        <w:tabs>
          <w:tab w:val="left" w:pos="1600"/>
        </w:tabs>
        <w:spacing w:line="360" w:lineRule="auto"/>
        <w:ind w:right="-334" w:rightChars="-139"/>
        <w:jc w:val="center"/>
      </w:pPr>
      <w:r>
        <w:rPr>
          <w:position w:val="-14"/>
        </w:rPr>
        <w:object>
          <v:shape id="_x0000_i1028" o:spt="75" type="#_x0000_t75" style="height:25.15pt;width:84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3">
            <o:LockedField>false</o:LockedField>
          </o:OLEObject>
        </w:object>
      </w:r>
      <w:bookmarkStart w:id="25" w:name="OLE_LINK383"/>
      <w:r>
        <w:rPr>
          <w:rFonts w:hint="eastAsia"/>
        </w:rPr>
        <w:t xml:space="preserve">    (4)</w:t>
      </w:r>
    </w:p>
    <w:bookmarkEnd w:id="25"/>
    <w:p>
      <w:pPr>
        <w:spacing w:before="156" w:beforeLines="50" w:line="360" w:lineRule="auto"/>
        <w:ind w:right="-334" w:rightChars="-139"/>
      </w:pPr>
      <w:r>
        <w:rPr>
          <w:rFonts w:hint="eastAsia"/>
        </w:rPr>
        <w:t xml:space="preserve">where </w:t>
      </w:r>
      <w:r>
        <w:rPr>
          <w:rFonts w:hint="eastAsia"/>
          <w:i/>
          <w:iCs/>
        </w:rPr>
        <w:t>k</w:t>
      </w:r>
      <w:r>
        <w:rPr>
          <w:rFonts w:hint="eastAsia"/>
          <w:i/>
          <w:iCs/>
          <w:vertAlign w:val="subscript"/>
        </w:rPr>
        <w:t>p</w:t>
      </w:r>
      <w:r>
        <w:rPr>
          <w:rFonts w:hint="eastAsia"/>
        </w:rPr>
        <w:t xml:space="preserve"> (mg g</w:t>
      </w:r>
      <w:r>
        <w:rPr>
          <w:rFonts w:hint="eastAsia"/>
          <w:vertAlign w:val="superscript"/>
        </w:rPr>
        <w:t>-1</w:t>
      </w:r>
      <w:r>
        <w:rPr>
          <w:rFonts w:hint="eastAsia"/>
        </w:rPr>
        <w:t xml:space="preserve"> min</w:t>
      </w:r>
      <w:r>
        <w:rPr>
          <w:rFonts w:hint="eastAsia"/>
          <w:vertAlign w:val="superscript"/>
        </w:rPr>
        <w:t>0.5</w:t>
      </w:r>
      <w:r>
        <w:rPr>
          <w:rFonts w:hint="eastAsia"/>
        </w:rPr>
        <w:t>) and C are the diffusion rate constant and the thickness of the boundary layer, respectively.</w:t>
      </w:r>
    </w:p>
    <w:p>
      <w:pPr>
        <w:spacing w:before="156" w:beforeLines="50" w:line="360" w:lineRule="auto"/>
        <w:ind w:right="-334" w:rightChars="-139" w:firstLine="480" w:firstLineChars="200"/>
      </w:pPr>
      <w:r>
        <w:rPr>
          <w:rFonts w:hint="eastAsia"/>
        </w:rPr>
        <w:t>To distinguish between the pore and film diffusion step involved in the adsorption process, the kinetic data were further analyzed using the Boyd model (5):</w:t>
      </w:r>
    </w:p>
    <w:p>
      <w:pPr>
        <w:tabs>
          <w:tab w:val="left" w:pos="1600"/>
        </w:tabs>
        <w:spacing w:line="360" w:lineRule="auto"/>
        <w:ind w:right="-334" w:rightChars="-139"/>
        <w:jc w:val="center"/>
      </w:pPr>
      <w:bookmarkStart w:id="26" w:name="OLE_LINK662"/>
      <w:r>
        <w:rPr>
          <w:position w:val="-30"/>
        </w:rPr>
        <w:object>
          <v:shape id="_x0000_i1029" o:spt="75" type="#_x0000_t75" style="height:37.85pt;width:151.3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  <w:bookmarkEnd w:id="26"/>
      <w:r>
        <w:rPr>
          <w:rFonts w:hint="eastAsia"/>
        </w:rPr>
        <w:t xml:space="preserve">    (5)</w:t>
      </w:r>
    </w:p>
    <w:p>
      <w:pPr>
        <w:pageBreakBefore/>
        <w:ind w:right="-334" w:rightChars="-139"/>
        <w:outlineLvl w:val="2"/>
        <w:rPr>
          <w:b/>
        </w:rPr>
      </w:pPr>
      <w:bookmarkStart w:id="27" w:name="_Toc26633"/>
      <w:bookmarkStart w:id="28" w:name="OLE_LINK9"/>
      <w:r>
        <w:rPr>
          <w:b/>
        </w:rPr>
        <w:t>Adsorption isotherm models</w:t>
      </w:r>
      <w:bookmarkEnd w:id="27"/>
    </w:p>
    <w:bookmarkEnd w:id="28"/>
    <w:p>
      <w:pPr>
        <w:ind w:right="-334" w:rightChars="-139"/>
        <w:rPr>
          <w:b/>
        </w:rPr>
      </w:pPr>
      <w:r>
        <w:rPr>
          <w:b/>
        </w:rPr>
        <w:t>Langmuir model equation</w:t>
      </w:r>
    </w:p>
    <w:p>
      <w:pPr>
        <w:ind w:right="-334" w:rightChars="-139" w:firstLine="120" w:firstLineChars="50"/>
        <w:jc w:val="center"/>
      </w:pPr>
      <w:r>
        <w:rPr>
          <w:position w:val="-28"/>
          <w:szCs w:val="21"/>
        </w:rPr>
        <w:object>
          <v:shape id="_x0000_i1030" o:spt="75" type="#_x0000_t75" style="height:37.5pt;width:87.7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  (6)</w:t>
      </w:r>
    </w:p>
    <w:p>
      <w:pPr>
        <w:ind w:right="-334" w:rightChars="-139"/>
      </w:pPr>
      <w:r>
        <w:t>where C</w:t>
      </w:r>
      <w:r>
        <w:rPr>
          <w:vertAlign w:val="subscript"/>
        </w:rPr>
        <w:t>e</w:t>
      </w:r>
      <w:r>
        <w:t xml:space="preserve"> is the concentration of </w:t>
      </w:r>
      <w:r>
        <w:rPr>
          <w:rFonts w:hint="eastAsia"/>
        </w:rPr>
        <w:t>MB</w:t>
      </w:r>
      <w:r>
        <w:t xml:space="preserve"> at equilibrium (mg L</w:t>
      </w:r>
      <w:r>
        <w:rPr>
          <w:vertAlign w:val="superscript"/>
        </w:rPr>
        <w:t>-1</w:t>
      </w:r>
      <w:r>
        <w:t>), q</w:t>
      </w:r>
      <w:r>
        <w:rPr>
          <w:vertAlign w:val="subscript"/>
        </w:rPr>
        <w:t>e</w:t>
      </w:r>
      <w:r>
        <w:t xml:space="preserve"> is the adsorbed amount of </w:t>
      </w:r>
      <w:r>
        <w:rPr>
          <w:rFonts w:hint="eastAsia"/>
        </w:rPr>
        <w:t>MB</w:t>
      </w:r>
      <w:r>
        <w:t xml:space="preserve"> per unit mass of adsorbent at equilibrium (mg g</w:t>
      </w:r>
      <w:r>
        <w:rPr>
          <w:vertAlign w:val="superscript"/>
        </w:rPr>
        <w:t>-1</w:t>
      </w:r>
      <w:r>
        <w:t>), K</w:t>
      </w:r>
      <w:r>
        <w:rPr>
          <w:vertAlign w:val="subscript"/>
        </w:rPr>
        <w:t>L</w:t>
      </w:r>
      <w:r>
        <w:t xml:space="preserve"> represents the Langmuir equilibrium constant (L g</w:t>
      </w:r>
      <w:r>
        <w:rPr>
          <w:vertAlign w:val="superscript"/>
        </w:rPr>
        <w:t>-1</w:t>
      </w:r>
      <w:r>
        <w:t>), and q</w:t>
      </w:r>
      <w:r>
        <w:rPr>
          <w:vertAlign w:val="subscript"/>
        </w:rPr>
        <w:t>m</w:t>
      </w:r>
      <w:r>
        <w:t xml:space="preserve"> is the saturated adsorption capacity (mg g</w:t>
      </w:r>
      <w:r>
        <w:rPr>
          <w:vertAlign w:val="superscript"/>
        </w:rPr>
        <w:t>-1</w:t>
      </w:r>
      <w:r>
        <w:t>).</w:t>
      </w:r>
    </w:p>
    <w:p>
      <w:pPr>
        <w:ind w:right="-334" w:rightChars="-139"/>
        <w:rPr>
          <w:b/>
        </w:rPr>
      </w:pPr>
      <w:r>
        <w:rPr>
          <w:b/>
        </w:rPr>
        <w:t>Freundlich model equation</w:t>
      </w:r>
    </w:p>
    <w:p>
      <w:pPr>
        <w:ind w:right="-334" w:rightChars="-139"/>
        <w:jc w:val="center"/>
        <w:rPr>
          <w:sz w:val="20"/>
          <w:szCs w:val="20"/>
        </w:rPr>
      </w:pPr>
      <w:r>
        <w:rPr>
          <w:position w:val="-24"/>
          <w:sz w:val="20"/>
          <w:szCs w:val="20"/>
        </w:rPr>
        <w:object>
          <v:shape id="_x0000_i1031" o:spt="75" type="#_x0000_t75" style="height:39pt;width:149.25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   </w:t>
      </w:r>
      <w:r>
        <w:rPr>
          <w:rFonts w:hint="eastAsia"/>
        </w:rPr>
        <w:t>(7)</w:t>
      </w:r>
    </w:p>
    <w:p>
      <w:pPr>
        <w:ind w:right="-334" w:rightChars="-139"/>
      </w:pPr>
      <w:r>
        <w:t>where q</w:t>
      </w:r>
      <w:r>
        <w:rPr>
          <w:vertAlign w:val="subscript"/>
        </w:rPr>
        <w:t>e</w:t>
      </w:r>
      <w:r>
        <w:t xml:space="preserve"> is the adsorbed amount of </w:t>
      </w:r>
      <w:r>
        <w:rPr>
          <w:rFonts w:hint="eastAsia"/>
        </w:rPr>
        <w:t>MB</w:t>
      </w:r>
      <w:r>
        <w:t xml:space="preserve"> per unit mass of adsorbent at equilibrium (mg g</w:t>
      </w:r>
      <w:r>
        <w:rPr>
          <w:vertAlign w:val="superscript"/>
        </w:rPr>
        <w:t>-1</w:t>
      </w:r>
      <w:r>
        <w:t>), K</w:t>
      </w:r>
      <w:r>
        <w:rPr>
          <w:vertAlign w:val="subscript"/>
        </w:rPr>
        <w:t>F</w:t>
      </w:r>
      <w:r>
        <w:t xml:space="preserve"> represents the Freundlich equilibrium constant [(mg g</w:t>
      </w:r>
      <w:r>
        <w:rPr>
          <w:vertAlign w:val="superscript"/>
        </w:rPr>
        <w:t>-1</w:t>
      </w:r>
      <w:r>
        <w:t>) (L mg</w:t>
      </w:r>
      <w:r>
        <w:rPr>
          <w:vertAlign w:val="superscript"/>
        </w:rPr>
        <w:t>-1</w:t>
      </w:r>
      <w:r>
        <w:t>)</w:t>
      </w:r>
      <w:r>
        <w:rPr>
          <w:vertAlign w:val="superscript"/>
        </w:rPr>
        <w:t>1/n</w:t>
      </w:r>
      <w:r>
        <w:t>], 1/n is the adsorption intensity (mg g</w:t>
      </w:r>
      <w:r>
        <w:rPr>
          <w:vertAlign w:val="superscript"/>
        </w:rPr>
        <w:t>-1</w:t>
      </w:r>
      <w:r>
        <w:t>), and C</w:t>
      </w:r>
      <w:r>
        <w:rPr>
          <w:vertAlign w:val="subscript"/>
        </w:rPr>
        <w:t>e</w:t>
      </w:r>
      <w:r>
        <w:t xml:space="preserve"> is the concentration of </w:t>
      </w:r>
      <w:r>
        <w:rPr>
          <w:rFonts w:hint="eastAsia"/>
        </w:rPr>
        <w:t>MB</w:t>
      </w:r>
      <w:r>
        <w:t xml:space="preserve"> at equilibrium (mg L</w:t>
      </w:r>
      <w:r>
        <w:rPr>
          <w:vertAlign w:val="superscript"/>
        </w:rPr>
        <w:t>-1</w:t>
      </w:r>
      <w:r>
        <w:t>).</w:t>
      </w:r>
    </w:p>
    <w:p>
      <w:pPr>
        <w:ind w:right="-334" w:rightChars="-139"/>
        <w:rPr>
          <w:b/>
        </w:rPr>
      </w:pPr>
      <w:r>
        <w:rPr>
          <w:b/>
        </w:rPr>
        <w:t>Temkin model equation</w:t>
      </w:r>
    </w:p>
    <w:p>
      <w:pPr>
        <w:ind w:right="-334" w:rightChars="-139"/>
        <w:jc w:val="center"/>
      </w:pPr>
      <w:r>
        <w:rPr>
          <w:rFonts w:eastAsia="OneGulliverA"/>
          <w:b/>
          <w:position w:val="-12"/>
        </w:rPr>
        <w:object>
          <v:shape id="_x0000_i1032" o:spt="75" type="#_x0000_t75" style="height:24.15pt;width:130.05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  <w:r>
        <w:rPr>
          <w:rFonts w:hint="eastAsia" w:eastAsia="OneGulliverA"/>
          <w:b/>
        </w:rPr>
        <w:t xml:space="preserve">    </w:t>
      </w:r>
      <w:r>
        <w:rPr>
          <w:rFonts w:hint="eastAsia"/>
        </w:rPr>
        <w:t>(8)</w:t>
      </w:r>
    </w:p>
    <w:p>
      <w:pPr>
        <w:ind w:right="-334" w:rightChars="-139"/>
        <w:rPr>
          <w:rFonts w:eastAsia="OneGulliverA"/>
          <w:b/>
        </w:rPr>
      </w:pPr>
      <w:r>
        <w:t>where</w:t>
      </w:r>
      <w:r>
        <w:rPr>
          <w:i/>
          <w:iCs/>
        </w:rPr>
        <w:t xml:space="preserve"> q</w:t>
      </w:r>
      <w:r>
        <w:rPr>
          <w:i/>
          <w:iCs/>
          <w:vertAlign w:val="subscript"/>
        </w:rPr>
        <w:t>e</w:t>
      </w:r>
      <w:r>
        <w:t xml:space="preserve"> is the adsorbed amount of </w:t>
      </w:r>
      <w:r>
        <w:rPr>
          <w:rFonts w:hint="eastAsia"/>
        </w:rPr>
        <w:t>MB</w:t>
      </w:r>
      <w:r>
        <w:t xml:space="preserve"> per unit mass of adsorbent at equilibrium (mg g</w:t>
      </w:r>
      <w:r>
        <w:rPr>
          <w:vertAlign w:val="superscript"/>
        </w:rPr>
        <w:t>-1</w:t>
      </w:r>
      <w:r>
        <w:t>), B is Temkin constant, A is the Temkin adsorption equilibrium constant (L g</w:t>
      </w:r>
      <w:r>
        <w:rPr>
          <w:vertAlign w:val="superscript"/>
        </w:rPr>
        <w:t>-1</w:t>
      </w:r>
      <w:r>
        <w:t xml:space="preserve">), and </w:t>
      </w:r>
      <w:r>
        <w:rPr>
          <w:i/>
          <w:iCs/>
        </w:rPr>
        <w:t>C</w:t>
      </w:r>
      <w:r>
        <w:rPr>
          <w:i/>
          <w:iCs/>
          <w:vertAlign w:val="subscript"/>
        </w:rPr>
        <w:t>e</w:t>
      </w:r>
      <w:r>
        <w:t xml:space="preserve"> is the concentration of </w:t>
      </w:r>
      <w:r>
        <w:rPr>
          <w:rFonts w:hint="eastAsia"/>
        </w:rPr>
        <w:t>MB</w:t>
      </w:r>
      <w:r>
        <w:t xml:space="preserve"> at equilibrium (mg L</w:t>
      </w:r>
      <w:r>
        <w:rPr>
          <w:vertAlign w:val="superscript"/>
        </w:rPr>
        <w:t>-1</w:t>
      </w:r>
      <w:r>
        <w:t>).</w:t>
      </w:r>
    </w:p>
    <w:p>
      <w:pPr>
        <w:tabs>
          <w:tab w:val="right" w:pos="1561"/>
        </w:tabs>
        <w:ind w:right="-334" w:rightChars="-139"/>
        <w:rPr>
          <w:rFonts w:eastAsia="OneGulliverA"/>
          <w:b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ageBreakBefore/>
        <w:ind w:right="-334" w:rightChars="-139"/>
        <w:outlineLvl w:val="2"/>
        <w:rPr>
          <w:b/>
        </w:rPr>
      </w:pPr>
      <w:r>
        <w:rPr>
          <w:b/>
        </w:rPr>
        <w:t>Thermodynamic parameter</w:t>
      </w:r>
      <w:r>
        <w:t xml:space="preserve"> </w:t>
      </w:r>
      <w:r>
        <w:rPr>
          <w:b/>
        </w:rPr>
        <w:t>equations</w:t>
      </w:r>
    </w:p>
    <w:p>
      <w:pPr>
        <w:tabs>
          <w:tab w:val="left" w:pos="1600"/>
        </w:tabs>
        <w:spacing w:line="240" w:lineRule="auto"/>
        <w:ind w:firstLine="480" w:firstLineChars="200"/>
        <w:rPr>
          <w:position w:val="-30"/>
        </w:rPr>
      </w:pPr>
      <w:r>
        <w:rPr>
          <w:rFonts w:hint="eastAsia"/>
          <w:position w:val="-30"/>
        </w:rPr>
        <w:t>The thermodynamic parameters of enthalpy change (</w:t>
      </w:r>
      <w:bookmarkStart w:id="29" w:name="OLE_LINK10"/>
      <w:bookmarkStart w:id="30" w:name="OLE_LINK64"/>
      <w:r>
        <w:rPr>
          <w:position w:val="-30"/>
        </w:rPr>
        <w:t>Δ</w:t>
      </w:r>
      <w:bookmarkEnd w:id="29"/>
      <w:r>
        <w:rPr>
          <w:rFonts w:hint="eastAsia"/>
          <w:position w:val="-30"/>
        </w:rPr>
        <w:t>H</w:t>
      </w:r>
      <w:bookmarkEnd w:id="30"/>
      <w:r>
        <w:rPr>
          <w:rFonts w:hint="eastAsia"/>
          <w:position w:val="-30"/>
        </w:rPr>
        <w:t>), Gibbs free energy change (</w:t>
      </w:r>
      <w:r>
        <w:rPr>
          <w:position w:val="-30"/>
        </w:rPr>
        <w:t>Δ</w:t>
      </w:r>
      <w:r>
        <w:rPr>
          <w:rFonts w:hint="eastAsia"/>
          <w:position w:val="-30"/>
        </w:rPr>
        <w:t>G), and entropy change (</w:t>
      </w:r>
      <w:r>
        <w:rPr>
          <w:position w:val="-30"/>
        </w:rPr>
        <w:t>Δ</w:t>
      </w:r>
      <w:r>
        <w:rPr>
          <w:rFonts w:hint="eastAsia"/>
          <w:position w:val="-30"/>
        </w:rPr>
        <w:t>S) were computed following the equations:</w:t>
      </w:r>
    </w:p>
    <w:p>
      <w:pPr>
        <w:tabs>
          <w:tab w:val="left" w:pos="1600"/>
        </w:tabs>
        <w:spacing w:line="240" w:lineRule="auto"/>
        <w:ind w:right="-334" w:rightChars="-139"/>
        <w:jc w:val="center"/>
      </w:pPr>
      <w:r>
        <w:rPr>
          <w:rFonts w:hint="eastAsia"/>
          <w:position w:val="-30"/>
        </w:rPr>
        <w:object>
          <v:shape id="_x0000_i1033" o:spt="75" type="#_x0000_t75" style="height:34pt;width:42.95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  <w:r>
        <w:rPr>
          <w:rFonts w:hint="eastAsia"/>
        </w:rPr>
        <w:t xml:space="preserve">     (9)</w:t>
      </w:r>
    </w:p>
    <w:p>
      <w:pPr>
        <w:tabs>
          <w:tab w:val="left" w:pos="1600"/>
        </w:tabs>
        <w:ind w:right="-334" w:rightChars="-139"/>
        <w:jc w:val="center"/>
      </w:pPr>
      <w:r>
        <w:rPr>
          <w:rFonts w:hint="eastAsia"/>
          <w:position w:val="-10"/>
        </w:rPr>
        <w:object>
          <v:shape id="_x0000_i1034" o:spt="75" type="#_x0000_t75" style="height:17pt;width:81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4">
            <o:LockedField>false</o:LockedField>
          </o:OLEObject>
        </w:object>
      </w:r>
      <w:r>
        <w:rPr>
          <w:rFonts w:hint="eastAsia"/>
        </w:rPr>
        <w:t xml:space="preserve">    (10)</w:t>
      </w:r>
    </w:p>
    <w:p>
      <w:pPr>
        <w:tabs>
          <w:tab w:val="left" w:pos="1600"/>
        </w:tabs>
        <w:ind w:right="-334" w:rightChars="-139"/>
        <w:jc w:val="center"/>
        <w:rPr>
          <w:rFonts w:eastAsia="OneGulliverA"/>
          <w:b/>
        </w:rPr>
      </w:pPr>
      <w:r>
        <w:rPr>
          <w:rFonts w:hint="eastAsia"/>
          <w:position w:val="-24"/>
        </w:rPr>
        <w:object>
          <v:shape id="_x0000_i1035" o:spt="75" type="#_x0000_t75" style="height:31pt;width:88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  <w:r>
        <w:rPr>
          <w:rFonts w:hint="eastAsia"/>
        </w:rPr>
        <w:t xml:space="preserve">    (11)</w:t>
      </w:r>
    </w:p>
    <w:p>
      <w:pPr>
        <w:ind w:right="-334" w:rightChars="-139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t xml:space="preserve">where </w:t>
      </w:r>
      <w:r>
        <w:rPr>
          <w:i/>
          <w:iCs/>
        </w:rPr>
        <w:t xml:space="preserve">R </w:t>
      </w:r>
      <w:r>
        <w:t>(8.314 J mol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t xml:space="preserve"> K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t xml:space="preserve">) is the universal gas constant, </w:t>
      </w:r>
      <w:r>
        <w:rPr>
          <w:i/>
          <w:iCs/>
        </w:rPr>
        <w:t>T (K)</w:t>
      </w:r>
      <w:r>
        <w:t xml:space="preserve"> is</w:t>
      </w:r>
      <w:r>
        <w:rPr>
          <w:rFonts w:hint="eastAsia"/>
        </w:rPr>
        <w:t xml:space="preserve"> </w:t>
      </w:r>
      <w:r>
        <w:t xml:space="preserve">the absolute solution temperature, </w:t>
      </w:r>
      <w:r>
        <w:rPr>
          <w:i/>
          <w:iCs/>
        </w:rPr>
        <w:t>K</w:t>
      </w:r>
      <w:r>
        <w:rPr>
          <w:i/>
          <w:iCs/>
          <w:vertAlign w:val="subscript"/>
        </w:rPr>
        <w:t>L</w:t>
      </w:r>
      <w:r>
        <w:t xml:space="preserve"> (L mg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t>) is the Langmuir isotherm constant at various temperatures and</w:t>
      </w:r>
      <w:r>
        <w:rPr>
          <w:i/>
          <w:iCs/>
        </w:rPr>
        <w:t xml:space="preserve"> A</w:t>
      </w:r>
      <w:r>
        <w:t xml:space="preserve"> is the Arrhenius</w:t>
      </w:r>
      <w:r>
        <w:rPr>
          <w:rFonts w:hint="eastAsia"/>
        </w:rPr>
        <w:t xml:space="preserve"> </w:t>
      </w:r>
      <w:r>
        <w:t>constant.</w:t>
      </w:r>
    </w:p>
    <w:p>
      <w:pPr>
        <w:pStyle w:val="18"/>
        <w:spacing w:after="156" w:afterLines="50"/>
        <w:ind w:right="-334" w:rightChars="-139"/>
        <w:jc w:val="center"/>
        <w:outlineLvl w:val="2"/>
      </w:pPr>
      <w:bookmarkStart w:id="31" w:name="_Toc31903"/>
      <w:r>
        <w:t xml:space="preserve">Table S1 </w:t>
      </w:r>
      <w:bookmarkStart w:id="32" w:name="OLE_LINK13"/>
      <w:r>
        <w:t>The chemical structure and some properties of investigated dyes</w:t>
      </w:r>
      <w:bookmarkEnd w:id="31"/>
      <w:bookmarkEnd w:id="32"/>
    </w:p>
    <w:tbl>
      <w:tblPr>
        <w:tblStyle w:val="11"/>
        <w:tblW w:w="93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2615"/>
        <w:gridCol w:w="1200"/>
        <w:gridCol w:w="1127"/>
        <w:gridCol w:w="958"/>
        <w:gridCol w:w="10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455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bookmarkStart w:id="33" w:name="OLE_LINK3"/>
            <w:r>
              <w:rPr>
                <w:sz w:val="21"/>
                <w:szCs w:val="21"/>
              </w:rPr>
              <w:t>Compound name</w:t>
            </w:r>
          </w:p>
        </w:tc>
        <w:tc>
          <w:tcPr>
            <w:tcW w:w="2615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Chemical structure</w:t>
            </w:r>
          </w:p>
        </w:tc>
        <w:tc>
          <w:tcPr>
            <w:tcW w:w="1200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Molar mass</w:t>
            </w:r>
          </w:p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(g mol</w:t>
            </w:r>
            <w:r>
              <w:rPr>
                <w:sz w:val="21"/>
                <w:szCs w:val="21"/>
                <w:vertAlign w:val="superscript"/>
              </w:rPr>
              <w:t>-1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127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CAS#</w:t>
            </w:r>
          </w:p>
        </w:tc>
        <w:tc>
          <w:tcPr>
            <w:tcW w:w="958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λ max</w:t>
            </w:r>
          </w:p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(nm)</w:t>
            </w:r>
          </w:p>
        </w:tc>
        <w:tc>
          <w:tcPr>
            <w:tcW w:w="1019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Charge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2455" w:type="dxa"/>
            <w:tcBorders>
              <w:top w:val="single" w:color="auto" w:sz="8" w:space="0"/>
            </w:tcBorders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Methylene blue (MB)</w:t>
            </w:r>
          </w:p>
        </w:tc>
        <w:tc>
          <w:tcPr>
            <w:tcW w:w="2615" w:type="dxa"/>
            <w:tcBorders>
              <w:top w:val="single" w:color="auto" w:sz="8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300480" cy="833755"/>
                  <wp:effectExtent l="0" t="0" r="0" b="4445"/>
                  <wp:docPr id="25" name="图片 25" descr="7220-79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7220-79-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973" cy="833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single" w:color="auto" w:sz="8" w:space="0"/>
            </w:tcBorders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373.9</w:t>
            </w:r>
          </w:p>
        </w:tc>
        <w:tc>
          <w:tcPr>
            <w:tcW w:w="1127" w:type="dxa"/>
            <w:tcBorders>
              <w:top w:val="single" w:color="auto" w:sz="8" w:space="0"/>
            </w:tcBorders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7220-79-3</w:t>
            </w:r>
          </w:p>
        </w:tc>
        <w:tc>
          <w:tcPr>
            <w:tcW w:w="958" w:type="dxa"/>
            <w:tcBorders>
              <w:top w:val="single" w:color="auto" w:sz="8" w:space="0"/>
            </w:tcBorders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019" w:type="dxa"/>
            <w:tcBorders>
              <w:top w:val="single" w:color="auto" w:sz="8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Cationic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34" w:name="OLE_LINK19"/>
            <w:bookmarkStart w:id="35" w:name="OLE_LINK4" w:colFirst="3" w:colLast="3"/>
            <w:r>
              <w:rPr>
                <w:sz w:val="21"/>
                <w:szCs w:val="21"/>
              </w:rPr>
              <w:t>Rhodamine B (RB)</w:t>
            </w:r>
            <w:bookmarkEnd w:id="34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175385" cy="884555"/>
                  <wp:effectExtent l="0" t="0" r="5715" b="0"/>
                  <wp:docPr id="26" name="图片 26" descr="81-88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81-88-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177" cy="887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479.01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81-88-9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526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bookmarkStart w:id="36" w:name="OLE_LINK89"/>
            <w:bookmarkStart w:id="37" w:name="OLE_LINK88"/>
            <w:r>
              <w:rPr>
                <w:sz w:val="21"/>
                <w:szCs w:val="21"/>
              </w:rPr>
              <w:t>Cationic</w:t>
            </w:r>
            <w:bookmarkEnd w:id="36"/>
            <w:bookmarkEnd w:id="37"/>
          </w:p>
        </w:tc>
      </w:tr>
      <w:bookmarkEnd w:id="35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38" w:name="OLE_LINK6" w:colFirst="3" w:colLast="3"/>
            <w:r>
              <w:rPr>
                <w:sz w:val="21"/>
                <w:szCs w:val="21"/>
              </w:rPr>
              <w:t>Brilliant cresyl blue</w:t>
            </w:r>
            <w:bookmarkStart w:id="39" w:name="OLE_LINK20"/>
            <w:r>
              <w:rPr>
                <w:sz w:val="21"/>
                <w:szCs w:val="21"/>
              </w:rPr>
              <w:t xml:space="preserve"> (BCB)</w:t>
            </w:r>
            <w:bookmarkEnd w:id="39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104900" cy="1191895"/>
                  <wp:effectExtent l="0" t="0" r="0" b="8255"/>
                  <wp:docPr id="27" name="图片 27" descr="81029-05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81029-05-2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596" cy="119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801.95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81029-05-2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637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Cationic</w:t>
            </w:r>
          </w:p>
        </w:tc>
      </w:tr>
      <w:bookmarkEnd w:id="38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40" w:name="OLE_LINK21"/>
            <w:r>
              <w:rPr>
                <w:sz w:val="21"/>
                <w:szCs w:val="21"/>
              </w:rPr>
              <w:t>Astrazon orange R (AOR)</w:t>
            </w:r>
            <w:bookmarkEnd w:id="40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922020" cy="979805"/>
                  <wp:effectExtent l="0" t="0" r="0" b="0"/>
                  <wp:docPr id="28" name="图片 28" descr="4657-00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4657-00-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480" cy="98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426.98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4657-00-5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485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Cationic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41" w:name="OLE_LINK22"/>
            <w:r>
              <w:rPr>
                <w:sz w:val="21"/>
                <w:szCs w:val="21"/>
              </w:rPr>
              <w:t>Basic red 9 (BR9</w:t>
            </w:r>
            <w:bookmarkEnd w:id="41"/>
            <w:r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088390" cy="906780"/>
                  <wp:effectExtent l="0" t="0" r="0" b="7620"/>
                  <wp:docPr id="29" name="图片 29" descr="569-61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569-61-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326" cy="91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323.82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569-61-9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Cationic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42" w:name="OLE_LINK23"/>
            <w:r>
              <w:rPr>
                <w:sz w:val="21"/>
                <w:szCs w:val="21"/>
              </w:rPr>
              <w:t>Auramine O (AO)</w:t>
            </w:r>
            <w:bookmarkEnd w:id="42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323975" cy="767715"/>
                  <wp:effectExtent l="0" t="0" r="0" b="0"/>
                  <wp:docPr id="30" name="图片 30" descr="2465-27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2465-27-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058" cy="773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303.84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2465-27-2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431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bookmarkStart w:id="43" w:name="OLE_LINK5"/>
            <w:r>
              <w:rPr>
                <w:sz w:val="21"/>
                <w:szCs w:val="21"/>
              </w:rPr>
              <w:t>Cationic</w:t>
            </w:r>
            <w:bookmarkEnd w:id="43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44" w:name="OLE_LINK24"/>
            <w:bookmarkStart w:id="45" w:name="_Hlk24359808"/>
            <w:bookmarkStart w:id="46" w:name="OLE_LINK95" w:colFirst="0" w:colLast="0"/>
            <w:bookmarkStart w:id="47" w:name="OLE_LINK94" w:colFirst="0" w:colLast="0"/>
            <w:r>
              <w:rPr>
                <w:color w:val="222222"/>
                <w:sz w:val="21"/>
                <w:szCs w:val="21"/>
              </w:rPr>
              <w:t>Basic orange 21 (BO22)</w:t>
            </w:r>
            <w:bookmarkEnd w:id="44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826135" cy="855345"/>
                  <wp:effectExtent l="0" t="0" r="0" b="1905"/>
                  <wp:docPr id="31" name="图片 31" descr="3056-93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3056-93-7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854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350.88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3056-93-7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485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Cationic</w:t>
            </w:r>
          </w:p>
        </w:tc>
      </w:tr>
      <w:bookmarkEnd w:id="45"/>
      <w:bookmarkEnd w:id="46"/>
      <w:bookmarkEnd w:id="47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48" w:name="OLE_LINK25"/>
            <w:r>
              <w:rPr>
                <w:sz w:val="21"/>
                <w:szCs w:val="21"/>
              </w:rPr>
              <w:t>Tartrazine (T23</w:t>
            </w:r>
            <w:bookmarkEnd w:id="48"/>
            <w:r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527810" cy="817880"/>
                  <wp:effectExtent l="0" t="0" r="15240" b="1270"/>
                  <wp:docPr id="32" name="图片 32" descr="1934-21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1934-21-0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81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534.36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1934-21-0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Anionic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49" w:name="OLE_LINK26"/>
            <w:r>
              <w:rPr>
                <w:sz w:val="21"/>
                <w:szCs w:val="21"/>
              </w:rPr>
              <w:t>Acid red 73 (AR73)</w:t>
            </w:r>
            <w:bookmarkEnd w:id="49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536065" cy="902970"/>
                  <wp:effectExtent l="0" t="0" r="6985" b="11430"/>
                  <wp:docPr id="33" name="图片 33" descr="5413-75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5413-75-2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556.48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5413-75-2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509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Anionic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50" w:name="OLE_LINK27"/>
            <w:bookmarkStart w:id="51" w:name="OLE_LINK108" w:colFirst="0" w:colLast="0"/>
            <w:bookmarkStart w:id="52" w:name="_Hlk24361615"/>
            <w:bookmarkStart w:id="53" w:name="OLE_LINK107" w:colFirst="0" w:colLast="0"/>
            <w:bookmarkStart w:id="54" w:name="OLE_LINK106" w:colFirst="0" w:colLast="0"/>
            <w:bookmarkStart w:id="55" w:name="OLE_LINK105" w:colFirst="0" w:colLast="0"/>
            <w:r>
              <w:rPr>
                <w:sz w:val="21"/>
                <w:szCs w:val="21"/>
              </w:rPr>
              <w:t>Eosin (ES)</w:t>
            </w:r>
            <w:bookmarkEnd w:id="50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369695" cy="974725"/>
                  <wp:effectExtent l="0" t="0" r="0" b="15875"/>
                  <wp:docPr id="34" name="图片 34" descr="17372-87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17372-87-1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695" cy="97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691.86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17372-87-1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Anionic</w:t>
            </w:r>
          </w:p>
        </w:tc>
      </w:tr>
      <w:bookmarkEnd w:id="51"/>
      <w:bookmarkEnd w:id="52"/>
      <w:bookmarkEnd w:id="53"/>
      <w:bookmarkEnd w:id="54"/>
      <w:bookmarkEnd w:id="55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56" w:name="OLE_LINK28"/>
            <w:r>
              <w:rPr>
                <w:sz w:val="21"/>
                <w:szCs w:val="21"/>
              </w:rPr>
              <w:t xml:space="preserve">Alizarin red S(ARS) </w:t>
            </w:r>
            <w:bookmarkEnd w:id="56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133475" cy="883920"/>
                  <wp:effectExtent l="0" t="0" r="9525" b="0"/>
                  <wp:docPr id="24" name="图片 24" descr="130-22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30-22-3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746" cy="887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342.26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130-22-3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422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Anionic</w:t>
            </w:r>
          </w:p>
        </w:tc>
      </w:tr>
      <w:bookmarkEnd w:id="3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57" w:name="OLE_LINK29"/>
            <w:r>
              <w:rPr>
                <w:sz w:val="21"/>
                <w:szCs w:val="21"/>
              </w:rPr>
              <w:t>Alizarin green (AG</w:t>
            </w:r>
            <w:bookmarkEnd w:id="57"/>
            <w:r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493520" cy="855345"/>
                  <wp:effectExtent l="0" t="0" r="11430" b="1905"/>
                  <wp:docPr id="36" name="图片 36" descr="4857-81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4857-81-2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725.25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4857-81-2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642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Anionic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58" w:name="OLE_LINK30"/>
            <w:r>
              <w:rPr>
                <w:sz w:val="21"/>
                <w:szCs w:val="21"/>
              </w:rPr>
              <w:t>Methyl orange (MO)</w:t>
            </w:r>
            <w:bookmarkEnd w:id="58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drawing>
                <wp:inline distT="0" distB="0" distL="114300" distR="114300">
                  <wp:extent cx="1194435" cy="921385"/>
                  <wp:effectExtent l="0" t="0" r="5715" b="0"/>
                  <wp:docPr id="37" name="图片 37" descr="547-58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547-58-0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" cy="92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327.33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</w:rPr>
              <w:t>547-58-0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464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Anionic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55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59" w:name="OLE_LINK31"/>
            <w:r>
              <w:rPr>
                <w:sz w:val="21"/>
                <w:szCs w:val="21"/>
              </w:rPr>
              <w:t>Congo red (CR)</w:t>
            </w:r>
            <w:bookmarkEnd w:id="59"/>
          </w:p>
        </w:tc>
        <w:tc>
          <w:tcPr>
            <w:tcW w:w="2615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439545" cy="994410"/>
                  <wp:effectExtent l="0" t="0" r="8255" b="0"/>
                  <wp:docPr id="38" name="图片 38" descr="573-58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573-58-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99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696.66</w:t>
            </w:r>
          </w:p>
        </w:tc>
        <w:tc>
          <w:tcPr>
            <w:tcW w:w="1127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573-58-0</w:t>
            </w:r>
          </w:p>
        </w:tc>
        <w:tc>
          <w:tcPr>
            <w:tcW w:w="958" w:type="dxa"/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</w:t>
            </w:r>
          </w:p>
        </w:tc>
        <w:tc>
          <w:tcPr>
            <w:tcW w:w="1019" w:type="dxa"/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Anionic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55" w:type="dxa"/>
            <w:tcBorders>
              <w:bottom w:val="single" w:color="auto" w:sz="12" w:space="0"/>
            </w:tcBorders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bookmarkStart w:id="60" w:name="OLE_LINK33"/>
            <w:r>
              <w:rPr>
                <w:sz w:val="21"/>
                <w:szCs w:val="21"/>
              </w:rPr>
              <w:t>Sunset yellow FCF (SY)</w:t>
            </w:r>
            <w:bookmarkEnd w:id="60"/>
          </w:p>
        </w:tc>
        <w:tc>
          <w:tcPr>
            <w:tcW w:w="2615" w:type="dxa"/>
            <w:tcBorders>
              <w:bottom w:val="single" w:color="auto" w:sz="12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114300" distR="114300">
                  <wp:extent cx="1440180" cy="552450"/>
                  <wp:effectExtent l="0" t="0" r="7620" b="0"/>
                  <wp:docPr id="39" name="图片 39" descr="2783-94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2783-94-0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bottom w:val="single" w:color="auto" w:sz="12" w:space="0"/>
            </w:tcBorders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452.37</w:t>
            </w:r>
          </w:p>
        </w:tc>
        <w:tc>
          <w:tcPr>
            <w:tcW w:w="1127" w:type="dxa"/>
            <w:tcBorders>
              <w:bottom w:val="single" w:color="auto" w:sz="12" w:space="0"/>
            </w:tcBorders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2783-94-0</w:t>
            </w:r>
          </w:p>
        </w:tc>
        <w:tc>
          <w:tcPr>
            <w:tcW w:w="958" w:type="dxa"/>
            <w:tcBorders>
              <w:bottom w:val="single" w:color="auto" w:sz="12" w:space="0"/>
            </w:tcBorders>
          </w:tcPr>
          <w:p>
            <w:pPr>
              <w:spacing w:line="240" w:lineRule="auto"/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481</w:t>
            </w:r>
          </w:p>
        </w:tc>
        <w:tc>
          <w:tcPr>
            <w:tcW w:w="1019" w:type="dxa"/>
            <w:tcBorders>
              <w:bottom w:val="single" w:color="auto" w:sz="12" w:space="0"/>
            </w:tcBorders>
          </w:tcPr>
          <w:p>
            <w:pPr>
              <w:spacing w:after="156" w:afterLines="50" w:line="240" w:lineRule="auto"/>
              <w:ind w:right="-334" w:rightChars="-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Anionic</w:t>
            </w:r>
          </w:p>
        </w:tc>
      </w:tr>
    </w:tbl>
    <w:p>
      <w:pPr>
        <w:tabs>
          <w:tab w:val="right" w:pos="1561"/>
        </w:tabs>
        <w:ind w:right="-334" w:rightChars="-139"/>
        <w:rPr>
          <w:rFonts w:eastAsia="OneGulliverA"/>
          <w:b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right="-334" w:rightChars="-139"/>
        <w:jc w:val="center"/>
        <w:outlineLvl w:val="2"/>
        <w:rPr>
          <w:sz w:val="21"/>
          <w:szCs w:val="21"/>
        </w:rPr>
      </w:pPr>
      <w:bookmarkStart w:id="61" w:name="_Toc18100"/>
      <w:r>
        <w:rPr>
          <w:sz w:val="21"/>
          <w:szCs w:val="21"/>
        </w:rPr>
        <w:t xml:space="preserve">Table </w:t>
      </w:r>
      <w:r>
        <w:rPr>
          <w:rFonts w:hint="eastAsia"/>
          <w:sz w:val="21"/>
          <w:szCs w:val="21"/>
        </w:rPr>
        <w:t>S2</w:t>
      </w:r>
      <w:r>
        <w:rPr>
          <w:sz w:val="21"/>
          <w:szCs w:val="21"/>
        </w:rPr>
        <w:t xml:space="preserve"> Elemental analysis </w:t>
      </w:r>
      <w:r>
        <w:rPr>
          <w:rFonts w:hint="eastAsia"/>
          <w:sz w:val="21"/>
          <w:szCs w:val="21"/>
        </w:rPr>
        <w:t xml:space="preserve">results of </w:t>
      </w:r>
      <w:bookmarkEnd w:id="61"/>
      <w:r>
        <w:rPr>
          <w:rFonts w:hint="eastAsia"/>
          <w:sz w:val="21"/>
          <w:szCs w:val="21"/>
        </w:rPr>
        <w:t>P-aro-CDPs</w:t>
      </w:r>
    </w:p>
    <w:tbl>
      <w:tblPr>
        <w:tblStyle w:val="1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375"/>
        <w:gridCol w:w="1375"/>
        <w:gridCol w:w="1261"/>
        <w:gridCol w:w="980"/>
        <w:gridCol w:w="995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Material</w:t>
            </w:r>
          </w:p>
        </w:tc>
        <w:tc>
          <w:tcPr>
            <w:tcW w:w="2354" w:type="pct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bookmarkStart w:id="62" w:name="OLE_LINK645"/>
            <w:r>
              <w:rPr>
                <w:rFonts w:hint="eastAsia"/>
                <w:sz w:val="21"/>
                <w:szCs w:val="21"/>
              </w:rPr>
              <w:t>Results of combustion method (%)</w:t>
            </w:r>
            <w:bookmarkEnd w:id="62"/>
          </w:p>
        </w:tc>
        <w:tc>
          <w:tcPr>
            <w:tcW w:w="1742" w:type="pct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bookmarkStart w:id="63" w:name="OLE_LINK646"/>
            <w:r>
              <w:rPr>
                <w:rFonts w:hint="eastAsia"/>
                <w:sz w:val="21"/>
                <w:szCs w:val="21"/>
              </w:rPr>
              <w:t>Results of EDX method (%)</w:t>
            </w:r>
            <w:bookmarkEnd w:id="6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</w:p>
        </w:tc>
        <w:tc>
          <w:tcPr>
            <w:tcW w:w="80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80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H</w:t>
            </w:r>
          </w:p>
        </w:tc>
        <w:tc>
          <w:tcPr>
            <w:tcW w:w="73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</w:t>
            </w:r>
          </w:p>
        </w:tc>
        <w:tc>
          <w:tcPr>
            <w:tcW w:w="57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58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</w:t>
            </w:r>
          </w:p>
        </w:tc>
        <w:tc>
          <w:tcPr>
            <w:tcW w:w="58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P-aro-CDPs</w:t>
            </w:r>
          </w:p>
        </w:tc>
        <w:tc>
          <w:tcPr>
            <w:tcW w:w="807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68.8</w:t>
            </w:r>
          </w:p>
        </w:tc>
        <w:tc>
          <w:tcPr>
            <w:tcW w:w="807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4.988</w:t>
            </w:r>
          </w:p>
        </w:tc>
        <w:tc>
          <w:tcPr>
            <w:tcW w:w="739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6.4</w:t>
            </w:r>
          </w:p>
        </w:tc>
        <w:tc>
          <w:tcPr>
            <w:tcW w:w="575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78.38</w:t>
            </w:r>
          </w:p>
        </w:tc>
        <w:tc>
          <w:tcPr>
            <w:tcW w:w="583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5.52</w:t>
            </w:r>
          </w:p>
        </w:tc>
        <w:tc>
          <w:tcPr>
            <w:tcW w:w="584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ind w:right="-334" w:rightChars="-139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16.11</w:t>
            </w:r>
          </w:p>
        </w:tc>
      </w:tr>
    </w:tbl>
    <w:p>
      <w:pPr>
        <w:tabs>
          <w:tab w:val="right" w:pos="1561"/>
        </w:tabs>
        <w:ind w:right="-334" w:rightChars="-139"/>
        <w:rPr>
          <w:rFonts w:eastAsia="OneGulliverA"/>
          <w:b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right="-334" w:rightChars="-139"/>
        <w:jc w:val="center"/>
        <w:outlineLvl w:val="2"/>
        <w:rPr>
          <w:sz w:val="21"/>
          <w:szCs w:val="21"/>
        </w:rPr>
      </w:pPr>
      <w:bookmarkStart w:id="64" w:name="_Toc16418"/>
      <w:r>
        <w:rPr>
          <w:sz w:val="21"/>
          <w:szCs w:val="21"/>
        </w:rPr>
        <w:t>Table S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A</w:t>
      </w:r>
      <w:r>
        <w:rPr>
          <w:sz w:val="21"/>
          <w:szCs w:val="21"/>
        </w:rPr>
        <w:t xml:space="preserve">dsorption </w:t>
      </w:r>
      <w:r>
        <w:rPr>
          <w:rFonts w:hint="eastAsia"/>
          <w:sz w:val="21"/>
          <w:szCs w:val="21"/>
        </w:rPr>
        <w:t>k</w:t>
      </w:r>
      <w:r>
        <w:rPr>
          <w:sz w:val="21"/>
          <w:szCs w:val="21"/>
        </w:rPr>
        <w:t xml:space="preserve">inetic parameters of </w:t>
      </w:r>
      <w:r>
        <w:rPr>
          <w:rFonts w:hint="eastAsia"/>
          <w:sz w:val="21"/>
          <w:szCs w:val="21"/>
        </w:rPr>
        <w:t>MB</w:t>
      </w:r>
      <w:r>
        <w:rPr>
          <w:sz w:val="21"/>
          <w:szCs w:val="21"/>
        </w:rPr>
        <w:t xml:space="preserve"> on </w:t>
      </w:r>
      <w:bookmarkEnd w:id="64"/>
      <w:r>
        <w:rPr>
          <w:rFonts w:hint="eastAsia"/>
          <w:sz w:val="21"/>
          <w:szCs w:val="21"/>
        </w:rPr>
        <w:t>P-aro-CDPs</w:t>
      </w:r>
    </w:p>
    <w:tbl>
      <w:tblPr>
        <w:tblStyle w:val="11"/>
        <w:tblW w:w="5199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00"/>
        <w:gridCol w:w="1668"/>
        <w:gridCol w:w="1668"/>
        <w:gridCol w:w="1668"/>
        <w:gridCol w:w="16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restart"/>
            <w:tcBorders>
              <w:top w:val="single" w:color="auto" w:sz="12" w:space="0"/>
              <w:bottom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K</w:t>
            </w:r>
            <w:r>
              <w:rPr>
                <w:sz w:val="21"/>
                <w:szCs w:val="21"/>
              </w:rPr>
              <w:t>inetics</w:t>
            </w:r>
            <w:r>
              <w:rPr>
                <w:rFonts w:hint="eastAsia"/>
                <w:sz w:val="21"/>
                <w:szCs w:val="21"/>
              </w:rPr>
              <w:t xml:space="preserve"> models</w:t>
            </w:r>
          </w:p>
        </w:tc>
        <w:tc>
          <w:tcPr>
            <w:tcW w:w="962" w:type="pct"/>
            <w:vMerge w:val="restart"/>
            <w:tcBorders>
              <w:top w:val="single" w:color="auto" w:sz="12" w:space="0"/>
              <w:bottom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arameters</w:t>
            </w:r>
          </w:p>
        </w:tc>
        <w:tc>
          <w:tcPr>
            <w:tcW w:w="2884" w:type="pct"/>
            <w:gridSpan w:val="3"/>
            <w:tcBorders>
              <w:top w:val="single" w:color="auto" w:sz="12" w:space="0"/>
              <w:bottom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 w:firstLine="210" w:firstLineChars="10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</w:t>
            </w:r>
            <w:r>
              <w:rPr>
                <w:rFonts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  <w:lang w:bidi="ar"/>
              </w:rPr>
              <w:t>0</w:t>
            </w:r>
            <w:r>
              <w:rPr>
                <w:rFonts w:hint="eastAsia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(mg/L)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continue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</w:p>
        </w:tc>
        <w:tc>
          <w:tcPr>
            <w:tcW w:w="962" w:type="pct"/>
            <w:vMerge w:val="continue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</w:p>
        </w:tc>
        <w:tc>
          <w:tcPr>
            <w:tcW w:w="962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100</w:t>
            </w:r>
          </w:p>
        </w:tc>
        <w:tc>
          <w:tcPr>
            <w:tcW w:w="962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200</w:t>
            </w:r>
          </w:p>
        </w:tc>
        <w:tc>
          <w:tcPr>
            <w:tcW w:w="960" w:type="pct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restart"/>
            <w:tcBorders>
              <w:top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  <w:r>
              <w:rPr>
                <w:rFonts w:hint="eastAsia"/>
                <w:sz w:val="21"/>
                <w:szCs w:val="21"/>
                <w:lang w:val="en-GB"/>
              </w:rPr>
              <w:t>seudo</w:t>
            </w: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GB"/>
              </w:rPr>
              <w:t>first-order</w:t>
            </w:r>
          </w:p>
        </w:tc>
        <w:tc>
          <w:tcPr>
            <w:tcW w:w="962" w:type="pct"/>
            <w:tcBorders>
              <w:top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k</w:t>
            </w:r>
            <w:r>
              <w:rPr>
                <w:rStyle w:val="19"/>
                <w:i/>
                <w:iCs/>
                <w:lang w:bidi="ar"/>
              </w:rPr>
              <w:t>1</w:t>
            </w:r>
            <w:r>
              <w:rPr>
                <w:rStyle w:val="19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(min</w:t>
            </w:r>
            <w:r>
              <w:rPr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-1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962" w:type="pct"/>
            <w:tcBorders>
              <w:top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0.0251</w:t>
            </w:r>
          </w:p>
        </w:tc>
        <w:tc>
          <w:tcPr>
            <w:tcW w:w="962" w:type="pct"/>
            <w:tcBorders>
              <w:top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0.0094</w:t>
            </w:r>
          </w:p>
        </w:tc>
        <w:tc>
          <w:tcPr>
            <w:tcW w:w="960" w:type="pct"/>
            <w:tcBorders>
              <w:top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0.0103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q</w:t>
            </w:r>
            <w:r>
              <w:rPr>
                <w:rStyle w:val="19"/>
                <w:i/>
                <w:iCs/>
                <w:lang w:bidi="ar"/>
              </w:rPr>
              <w:t>1</w:t>
            </w:r>
            <w:r>
              <w:rPr>
                <w:rStyle w:val="19"/>
                <w:lang w:bidi="ar"/>
              </w:rPr>
              <w:t>,cal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(mg</w:t>
            </w:r>
            <w:r>
              <w:rPr>
                <w:rStyle w:val="20"/>
                <w:rFonts w:hint="default" w:ascii="Times New Roman" w:hAnsi="Times New Roman" w:cs="Times New Roman" w:eastAsiaTheme="minorEastAsia"/>
                <w:lang w:bidi="ar"/>
              </w:rPr>
              <w:t>/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g)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15.17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59.35</w:t>
            </w:r>
          </w:p>
        </w:tc>
        <w:tc>
          <w:tcPr>
            <w:tcW w:w="96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112.01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0.8708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0.8981</w:t>
            </w:r>
          </w:p>
        </w:tc>
        <w:tc>
          <w:tcPr>
            <w:tcW w:w="96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0.8105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  <w:r>
              <w:rPr>
                <w:rFonts w:hint="eastAsia"/>
                <w:sz w:val="21"/>
                <w:szCs w:val="21"/>
                <w:lang w:val="en-GB"/>
              </w:rPr>
              <w:t>seudo</w:t>
            </w: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GB"/>
              </w:rPr>
              <w:t>second-order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K</w:t>
            </w:r>
            <w:r>
              <w:rPr>
                <w:rStyle w:val="19"/>
                <w:i/>
                <w:iCs/>
                <w:lang w:bidi="ar"/>
              </w:rPr>
              <w:t>2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(g</w:t>
            </w:r>
            <w:r>
              <w:rPr>
                <w:rStyle w:val="20"/>
                <w:rFonts w:hint="default" w:ascii="Times New Roman" w:hAnsi="Times New Roman" w:cs="Times New Roman" w:eastAsiaTheme="minorEastAsia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mg</w:t>
            </w:r>
            <w:r>
              <w:rPr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-1</w:t>
            </w:r>
            <w:r>
              <w:rPr>
                <w:rStyle w:val="20"/>
                <w:rFonts w:hint="default" w:ascii="Times New Roman" w:hAnsi="Times New Roman" w:cs="Times New Roman" w:eastAsiaTheme="minorEastAsia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min</w:t>
            </w:r>
            <w:r>
              <w:rPr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-1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0.0045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0.0008</w:t>
            </w:r>
          </w:p>
        </w:tc>
        <w:tc>
          <w:tcPr>
            <w:tcW w:w="96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0.0004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q</w:t>
            </w:r>
            <w:r>
              <w:rPr>
                <w:rStyle w:val="19"/>
                <w:i/>
                <w:iCs/>
                <w:lang w:bidi="ar"/>
              </w:rPr>
              <w:t>2</w:t>
            </w:r>
            <w:r>
              <w:rPr>
                <w:rStyle w:val="19"/>
                <w:lang w:bidi="ar"/>
              </w:rPr>
              <w:t>,cal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(mg</w:t>
            </w:r>
            <w:r>
              <w:rPr>
                <w:rStyle w:val="20"/>
                <w:rFonts w:hint="default" w:ascii="Times New Roman" w:hAnsi="Times New Roman" w:cs="Times New Roman" w:eastAsiaTheme="minorEastAsia"/>
                <w:lang w:bidi="ar"/>
              </w:rPr>
              <w:t>/</w:t>
            </w:r>
            <w:r>
              <w:rPr>
                <w:color w:val="000000"/>
                <w:kern w:val="0"/>
                <w:sz w:val="21"/>
                <w:szCs w:val="21"/>
                <w:lang w:bidi="ar"/>
              </w:rPr>
              <w:t>g)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95.33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143.68</w:t>
            </w:r>
          </w:p>
        </w:tc>
        <w:tc>
          <w:tcPr>
            <w:tcW w:w="96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229.89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0.9999</w:t>
            </w:r>
          </w:p>
        </w:tc>
        <w:tc>
          <w:tcPr>
            <w:tcW w:w="96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0.9966</w:t>
            </w:r>
          </w:p>
        </w:tc>
        <w:tc>
          <w:tcPr>
            <w:tcW w:w="96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0.9975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Elovich kinetic</w:t>
            </w:r>
          </w:p>
        </w:tc>
        <w:tc>
          <w:tcPr>
            <w:tcW w:w="962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</w:t>
            </w:r>
          </w:p>
        </w:tc>
        <w:tc>
          <w:tcPr>
            <w:tcW w:w="962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1348873.13</w:t>
            </w:r>
          </w:p>
        </w:tc>
        <w:tc>
          <w:tcPr>
            <w:tcW w:w="962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11181.7</w:t>
            </w:r>
          </w:p>
        </w:tc>
        <w:tc>
          <w:tcPr>
            <w:tcW w:w="960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744.23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</w:p>
        </w:tc>
        <w:tc>
          <w:tcPr>
            <w:tcW w:w="962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B</w:t>
            </w:r>
          </w:p>
        </w:tc>
        <w:tc>
          <w:tcPr>
            <w:tcW w:w="962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0.1877</w:t>
            </w:r>
          </w:p>
        </w:tc>
        <w:tc>
          <w:tcPr>
            <w:tcW w:w="962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0.0936</w:t>
            </w:r>
          </w:p>
        </w:tc>
        <w:tc>
          <w:tcPr>
            <w:tcW w:w="960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0.0412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4" w:type="pct"/>
            <w:vMerge w:val="continue"/>
            <w:tcBorders>
              <w:bottom w:val="single" w:color="auto" w:sz="1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</w:p>
        </w:tc>
        <w:tc>
          <w:tcPr>
            <w:tcW w:w="962" w:type="pct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962" w:type="pct"/>
            <w:tcBorders>
              <w:bottom w:val="single" w:color="auto" w:sz="1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0.9539</w:t>
            </w:r>
          </w:p>
        </w:tc>
        <w:tc>
          <w:tcPr>
            <w:tcW w:w="962" w:type="pct"/>
            <w:tcBorders>
              <w:bottom w:val="single" w:color="auto" w:sz="1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0.9589</w:t>
            </w:r>
          </w:p>
        </w:tc>
        <w:tc>
          <w:tcPr>
            <w:tcW w:w="960" w:type="pct"/>
            <w:tcBorders>
              <w:bottom w:val="single" w:color="auto" w:sz="1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-334" w:rightChars="-139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0.9919</w:t>
            </w:r>
          </w:p>
        </w:tc>
      </w:tr>
    </w:tbl>
    <w:p>
      <w:pPr>
        <w:ind w:right="-334" w:rightChars="-139"/>
      </w:pPr>
    </w:p>
    <w:p>
      <w:pPr>
        <w:ind w:right="-334" w:rightChars="-139"/>
        <w:jc w:val="center"/>
        <w:outlineLvl w:val="2"/>
        <w:rPr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right="-334" w:rightChars="-139"/>
        <w:jc w:val="center"/>
        <w:outlineLvl w:val="2"/>
        <w:rPr>
          <w:sz w:val="21"/>
          <w:szCs w:val="21"/>
        </w:rPr>
      </w:pPr>
      <w:bookmarkStart w:id="65" w:name="_Toc19266"/>
      <w:r>
        <w:rPr>
          <w:sz w:val="21"/>
          <w:szCs w:val="21"/>
        </w:rPr>
        <w:t>Table S</w:t>
      </w:r>
      <w:r>
        <w:rPr>
          <w:rFonts w:hint="eastAsia"/>
          <w:sz w:val="21"/>
          <w:szCs w:val="21"/>
        </w:rPr>
        <w:t>4 A</w:t>
      </w:r>
      <w:r>
        <w:rPr>
          <w:sz w:val="21"/>
          <w:szCs w:val="21"/>
        </w:rPr>
        <w:t xml:space="preserve">dsorption 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 xml:space="preserve">sotherm parameters of </w:t>
      </w:r>
      <w:r>
        <w:rPr>
          <w:rFonts w:hint="eastAsia"/>
          <w:sz w:val="21"/>
          <w:szCs w:val="21"/>
        </w:rPr>
        <w:t>MB</w:t>
      </w:r>
      <w:r>
        <w:rPr>
          <w:sz w:val="21"/>
          <w:szCs w:val="21"/>
        </w:rPr>
        <w:t xml:space="preserve"> on </w:t>
      </w:r>
      <w:bookmarkEnd w:id="65"/>
      <w:r>
        <w:rPr>
          <w:rFonts w:hint="eastAsia"/>
          <w:sz w:val="21"/>
          <w:szCs w:val="21"/>
        </w:rPr>
        <w:t>P-aro-CDPs</w:t>
      </w:r>
    </w:p>
    <w:tbl>
      <w:tblPr>
        <w:tblStyle w:val="12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931"/>
        <w:gridCol w:w="868"/>
        <w:gridCol w:w="1942"/>
        <w:gridCol w:w="625"/>
        <w:gridCol w:w="854"/>
        <w:gridCol w:w="840"/>
        <w:gridCol w:w="775"/>
        <w:gridCol w:w="78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2" w:type="pct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Langmuir</w:t>
            </w:r>
          </w:p>
        </w:tc>
        <w:tc>
          <w:tcPr>
            <w:tcW w:w="2007" w:type="pct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Freundlich</w:t>
            </w:r>
          </w:p>
        </w:tc>
        <w:tc>
          <w:tcPr>
            <w:tcW w:w="1409" w:type="pct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Temkin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7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i/>
                <w:iCs/>
                <w:color w:val="000000" w:themeColor="text1" w:themeShade="BF"/>
                <w:sz w:val="21"/>
                <w:szCs w:val="21"/>
                <w:vertAlign w:val="subscript"/>
              </w:rPr>
            </w:pPr>
            <w:r>
              <w:rPr>
                <w:bCs/>
                <w:i/>
                <w:iCs/>
                <w:color w:val="000000" w:themeColor="text1" w:themeShade="BF"/>
                <w:sz w:val="21"/>
                <w:szCs w:val="21"/>
              </w:rPr>
              <w:t>q</w:t>
            </w:r>
            <w:r>
              <w:rPr>
                <w:bCs/>
                <w:i/>
                <w:iCs/>
                <w:color w:val="000000" w:themeColor="text1" w:themeShade="BF"/>
                <w:sz w:val="21"/>
                <w:szCs w:val="21"/>
                <w:vertAlign w:val="subscript"/>
              </w:rPr>
              <w:t>m</w:t>
            </w:r>
          </w:p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(mg g</w:t>
            </w:r>
            <w:r>
              <w:rPr>
                <w:bCs/>
                <w:color w:val="000000" w:themeColor="text1" w:themeShade="BF"/>
                <w:sz w:val="21"/>
                <w:szCs w:val="21"/>
                <w:vertAlign w:val="superscript"/>
              </w:rPr>
              <w:t>-1</w:t>
            </w:r>
            <w:r>
              <w:rPr>
                <w:bCs/>
                <w:color w:val="000000" w:themeColor="text1" w:themeShade="BF"/>
                <w:sz w:val="21"/>
                <w:szCs w:val="21"/>
              </w:rPr>
              <w:t>)</w:t>
            </w:r>
          </w:p>
        </w:tc>
        <w:tc>
          <w:tcPr>
            <w:tcW w:w="546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i/>
                <w:iCs/>
                <w:color w:val="000000" w:themeColor="text1" w:themeShade="BF"/>
                <w:sz w:val="21"/>
                <w:szCs w:val="21"/>
                <w:vertAlign w:val="subscript"/>
              </w:rPr>
            </w:pPr>
            <w:r>
              <w:rPr>
                <w:bCs/>
                <w:i/>
                <w:iCs/>
                <w:color w:val="000000" w:themeColor="text1" w:themeShade="BF"/>
                <w:sz w:val="21"/>
                <w:szCs w:val="21"/>
              </w:rPr>
              <w:t>K</w:t>
            </w:r>
            <w:r>
              <w:rPr>
                <w:bCs/>
                <w:i/>
                <w:iCs/>
                <w:color w:val="000000" w:themeColor="text1" w:themeShade="BF"/>
                <w:sz w:val="21"/>
                <w:szCs w:val="21"/>
                <w:vertAlign w:val="subscript"/>
              </w:rPr>
              <w:t>L</w:t>
            </w:r>
          </w:p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(L mg</w:t>
            </w:r>
            <w:r>
              <w:rPr>
                <w:bCs/>
                <w:color w:val="000000" w:themeColor="text1" w:themeShade="BF"/>
                <w:sz w:val="21"/>
                <w:szCs w:val="21"/>
                <w:vertAlign w:val="superscript"/>
              </w:rPr>
              <w:t>-1</w:t>
            </w:r>
            <w:r>
              <w:rPr>
                <w:bCs/>
                <w:color w:val="000000" w:themeColor="text1" w:themeShade="BF"/>
                <w:sz w:val="21"/>
                <w:szCs w:val="21"/>
              </w:rPr>
              <w:t>)</w:t>
            </w:r>
          </w:p>
        </w:tc>
        <w:tc>
          <w:tcPr>
            <w:tcW w:w="509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R</w:t>
            </w:r>
            <w:r>
              <w:rPr>
                <w:rFonts w:hint="eastAsia"/>
                <w:bCs/>
                <w:color w:val="000000" w:themeColor="text1" w:themeShade="BF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139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i/>
                <w:iCs/>
                <w:color w:val="000000" w:themeColor="text1" w:themeShade="BF"/>
                <w:sz w:val="21"/>
                <w:szCs w:val="21"/>
                <w:vertAlign w:val="subscript"/>
                <w:lang w:val="de-DE"/>
              </w:rPr>
            </w:pPr>
            <w:r>
              <w:rPr>
                <w:bCs/>
                <w:i/>
                <w:iCs/>
                <w:color w:val="000000" w:themeColor="text1" w:themeShade="BF"/>
                <w:sz w:val="21"/>
                <w:szCs w:val="21"/>
                <w:lang w:val="de-DE"/>
              </w:rPr>
              <w:t>K</w:t>
            </w:r>
            <w:r>
              <w:rPr>
                <w:bCs/>
                <w:i/>
                <w:iCs/>
                <w:color w:val="000000" w:themeColor="text1" w:themeShade="BF"/>
                <w:sz w:val="21"/>
                <w:szCs w:val="21"/>
                <w:vertAlign w:val="subscript"/>
                <w:lang w:val="de-DE"/>
              </w:rPr>
              <w:t>F</w:t>
            </w:r>
          </w:p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  <w:lang w:val="de-DE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  <w:lang w:val="de-DE"/>
              </w:rPr>
              <w:t>(mg g</w:t>
            </w:r>
            <w:r>
              <w:rPr>
                <w:bCs/>
                <w:color w:val="000000" w:themeColor="text1" w:themeShade="BF"/>
                <w:sz w:val="21"/>
                <w:szCs w:val="21"/>
                <w:vertAlign w:val="superscript"/>
                <w:lang w:val="de-DE"/>
              </w:rPr>
              <w:t>-1</w:t>
            </w:r>
            <w:r>
              <w:rPr>
                <w:bCs/>
                <w:color w:val="000000" w:themeColor="text1" w:themeShade="BF"/>
                <w:sz w:val="21"/>
                <w:szCs w:val="21"/>
                <w:lang w:val="de-DE"/>
              </w:rPr>
              <w:t>)(L mg</w:t>
            </w:r>
            <w:r>
              <w:rPr>
                <w:bCs/>
                <w:color w:val="000000" w:themeColor="text1" w:themeShade="BF"/>
                <w:sz w:val="21"/>
                <w:szCs w:val="21"/>
                <w:vertAlign w:val="superscript"/>
                <w:lang w:val="de-DE"/>
              </w:rPr>
              <w:t>-1</w:t>
            </w:r>
            <w:r>
              <w:rPr>
                <w:bCs/>
                <w:color w:val="000000" w:themeColor="text1" w:themeShade="BF"/>
                <w:sz w:val="21"/>
                <w:szCs w:val="21"/>
                <w:lang w:val="de-DE"/>
              </w:rPr>
              <w:t>)1/n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 w:themeShade="BF"/>
                <w:sz w:val="21"/>
                <w:szCs w:val="21"/>
              </w:rPr>
              <w:t>1/</w:t>
            </w:r>
            <w:r>
              <w:rPr>
                <w:bCs/>
                <w:color w:val="000000" w:themeColor="text1" w:themeShade="BF"/>
                <w:sz w:val="21"/>
                <w:szCs w:val="21"/>
              </w:rPr>
              <w:t>n</w:t>
            </w:r>
          </w:p>
        </w:tc>
        <w:tc>
          <w:tcPr>
            <w:tcW w:w="500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R</w:t>
            </w:r>
            <w:r>
              <w:rPr>
                <w:rFonts w:hint="eastAsia"/>
                <w:bCs/>
                <w:color w:val="000000" w:themeColor="text1" w:themeShade="BF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493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A(L</w:t>
            </w:r>
            <w:r>
              <w:rPr>
                <w:rFonts w:hint="eastAsia"/>
                <w:bCs/>
                <w:color w:val="000000" w:themeColor="text1" w:themeShade="BF"/>
                <w:sz w:val="21"/>
                <w:szCs w:val="21"/>
              </w:rPr>
              <w:t>/</w:t>
            </w:r>
            <w:r>
              <w:rPr>
                <w:bCs/>
                <w:color w:val="000000" w:themeColor="text1" w:themeShade="BF"/>
                <w:sz w:val="21"/>
                <w:szCs w:val="21"/>
              </w:rPr>
              <w:t>g)</w:t>
            </w:r>
          </w:p>
        </w:tc>
        <w:tc>
          <w:tcPr>
            <w:tcW w:w="455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B</w:t>
            </w:r>
          </w:p>
        </w:tc>
        <w:tc>
          <w:tcPr>
            <w:tcW w:w="461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400" w:lineRule="exact"/>
              <w:ind w:right="-334" w:rightChars="-139"/>
              <w:jc w:val="left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bCs/>
                <w:color w:val="000000" w:themeColor="text1" w:themeShade="BF"/>
                <w:sz w:val="21"/>
                <w:szCs w:val="21"/>
              </w:rPr>
              <w:t>R</w:t>
            </w:r>
            <w:r>
              <w:rPr>
                <w:rFonts w:hint="eastAsia"/>
                <w:bCs/>
                <w:color w:val="000000" w:themeColor="text1" w:themeShade="BF"/>
                <w:sz w:val="21"/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7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ind w:right="-334" w:rightChars="-139"/>
              <w:jc w:val="left"/>
              <w:textAlignment w:val="center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194.17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ind w:right="-334" w:rightChars="-139"/>
              <w:jc w:val="left"/>
              <w:textAlignment w:val="center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0.10</w:t>
            </w:r>
          </w:p>
        </w:tc>
        <w:tc>
          <w:tcPr>
            <w:tcW w:w="509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ind w:right="-334" w:rightChars="-139"/>
              <w:jc w:val="left"/>
              <w:textAlignment w:val="center"/>
              <w:rPr>
                <w:bCs/>
                <w:color w:val="000000" w:themeColor="text1" w:themeShade="BF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 w:themeShade="BF"/>
                <w:sz w:val="21"/>
                <w:szCs w:val="21"/>
              </w:rPr>
              <w:t>0.9994</w:t>
            </w:r>
          </w:p>
        </w:tc>
        <w:tc>
          <w:tcPr>
            <w:tcW w:w="1139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ind w:right="-334" w:rightChars="-139"/>
              <w:jc w:val="left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71.19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ind w:right="-334" w:rightChars="-139"/>
              <w:jc w:val="left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0.19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ind w:right="-334" w:rightChars="-139"/>
              <w:jc w:val="left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bidi="ar"/>
              </w:rPr>
              <w:t>0.8101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ind w:right="-334" w:rightChars="-139"/>
              <w:jc w:val="left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7.09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ind w:right="-334" w:rightChars="-139"/>
              <w:jc w:val="left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95.93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ind w:right="-334" w:rightChars="-139"/>
              <w:jc w:val="left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bidi="ar"/>
              </w:rPr>
              <w:t>0.8837</w:t>
            </w:r>
          </w:p>
        </w:tc>
      </w:tr>
    </w:tbl>
    <w:p>
      <w:pPr>
        <w:ind w:right="-334" w:rightChars="-139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tabs>
          <w:tab w:val="right" w:pos="8306"/>
        </w:tabs>
        <w:ind w:left="0" w:leftChars="0" w:right="-334" w:rightChars="-139"/>
      </w:pPr>
      <w:bookmarkStart w:id="66" w:name="_Toc2136"/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S1 Solid-state 13C-NMR spectrum of P-aro-CDPs</w:t>
      </w:r>
    </w:p>
    <w:p>
      <w:pPr>
        <w:ind w:right="-334" w:rightChars="-139"/>
        <w:outlineLvl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inline distT="0" distB="0" distL="114300" distR="114300">
            <wp:extent cx="5271135" cy="3626485"/>
            <wp:effectExtent l="0" t="0" r="5715" b="12065"/>
            <wp:docPr id="2" name="图片 2" descr="pop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op-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S2 </w:t>
      </w:r>
      <w:r>
        <w:rPr>
          <w:rFonts w:hint="eastAsia" w:eastAsia="宋体"/>
        </w:rPr>
        <w:t>The XPS spectrum of N1s from</w:t>
      </w:r>
      <w:r>
        <w:rPr>
          <w:rFonts w:hint="eastAsia"/>
        </w:rPr>
        <w:t xml:space="preserve"> P-aro-CDPs</w:t>
      </w:r>
    </w:p>
    <w:p>
      <w:pPr>
        <w:ind w:right="-334" w:rightChars="-139"/>
        <w:outlineLvl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inline distT="0" distB="0" distL="114300" distR="114300">
            <wp:extent cx="4174490" cy="3761740"/>
            <wp:effectExtent l="0" t="0" r="16510" b="10160"/>
            <wp:docPr id="3" name="图片 3" descr="Grap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raph2"/>
                    <pic:cNvPicPr>
                      <a:picLocks noChangeAspect="1"/>
                    </pic:cNvPicPr>
                  </pic:nvPicPr>
                  <pic:blipFill>
                    <a:blip r:embed="rId44"/>
                    <a:srcRect l="10687" t="7567" r="10108"/>
                    <a:stretch>
                      <a:fillRect/>
                    </a:stretch>
                  </pic:blipFill>
                  <pic:spPr>
                    <a:xfrm>
                      <a:off x="0" y="0"/>
                      <a:ext cx="417449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-334" w:rightChars="-139"/>
        <w:outlineLvl w:val="2"/>
      </w:pPr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S3 P</w:t>
      </w:r>
      <w:bookmarkStart w:id="67" w:name="OLE_LINK374"/>
      <w:r>
        <w:rPr>
          <w:rFonts w:hint="eastAsia"/>
        </w:rPr>
        <w:t>seudo-first-order</w:t>
      </w:r>
      <w:bookmarkEnd w:id="67"/>
      <w:r>
        <w:rPr>
          <w:rFonts w:hint="eastAsia"/>
        </w:rPr>
        <w:t xml:space="preserve"> </w:t>
      </w:r>
      <w:r>
        <w:t>adsorption</w:t>
      </w:r>
      <w:r>
        <w:rPr>
          <w:rFonts w:hint="eastAsia"/>
        </w:rPr>
        <w:t xml:space="preserve"> plots of MB on </w:t>
      </w:r>
      <w:bookmarkEnd w:id="66"/>
      <w:r>
        <w:rPr>
          <w:rFonts w:hint="eastAsia"/>
        </w:rPr>
        <w:t>P-aro-CDPs</w:t>
      </w:r>
    </w:p>
    <w:p>
      <w:pPr>
        <w:ind w:right="-334" w:rightChars="-139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inline distT="0" distB="0" distL="114300" distR="114300">
            <wp:extent cx="5270500" cy="4069715"/>
            <wp:effectExtent l="0" t="0" r="6350" b="6985"/>
            <wp:docPr id="47" name="图片 47" descr="first pus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first pusdo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-334" w:rightChars="-139"/>
        <w:outlineLvl w:val="2"/>
      </w:pPr>
      <w:bookmarkStart w:id="68" w:name="_Toc10154"/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S4 </w:t>
      </w:r>
      <w:bookmarkStart w:id="69" w:name="OLE_LINK424"/>
      <w:r>
        <w:rPr>
          <w:rFonts w:hint="eastAsia"/>
        </w:rPr>
        <w:t xml:space="preserve">Elovich </w:t>
      </w:r>
      <w:r>
        <w:t xml:space="preserve">adsorption </w:t>
      </w:r>
      <w:r>
        <w:rPr>
          <w:rFonts w:hint="eastAsia"/>
        </w:rPr>
        <w:t>kinetic</w:t>
      </w:r>
      <w:bookmarkEnd w:id="69"/>
      <w:r>
        <w:rPr>
          <w:rFonts w:hint="eastAsia"/>
        </w:rPr>
        <w:t xml:space="preserve"> plots of MB on </w:t>
      </w:r>
      <w:bookmarkEnd w:id="68"/>
      <w:r>
        <w:rPr>
          <w:rFonts w:hint="eastAsia"/>
        </w:rPr>
        <w:t>P-aro-CDPs</w:t>
      </w:r>
    </w:p>
    <w:p>
      <w:pPr>
        <w:ind w:right="-334" w:rightChars="-139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inline distT="0" distB="0" distL="114300" distR="114300">
            <wp:extent cx="5270500" cy="4069715"/>
            <wp:effectExtent l="0" t="0" r="6350" b="6985"/>
            <wp:docPr id="48" name="图片 48" descr="叶诺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叶诺-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-334" w:rightChars="-139"/>
        <w:outlineLvl w:val="2"/>
      </w:pPr>
      <w:bookmarkStart w:id="70" w:name="_Toc12325"/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S5 Weber-Morris adsorption plots of MB</w:t>
      </w:r>
      <w:r>
        <w:t xml:space="preserve"> on</w:t>
      </w:r>
      <w:r>
        <w:rPr>
          <w:rFonts w:hint="eastAsia"/>
        </w:rPr>
        <w:t xml:space="preserve"> </w:t>
      </w:r>
      <w:bookmarkEnd w:id="70"/>
      <w:r>
        <w:rPr>
          <w:rFonts w:hint="eastAsia"/>
        </w:rPr>
        <w:t>P-aro-CDPs</w:t>
      </w:r>
    </w:p>
    <w:p>
      <w:pPr>
        <w:ind w:right="-334" w:rightChars="-139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inline distT="0" distB="0" distL="114300" distR="114300">
            <wp:extent cx="5270500" cy="4069715"/>
            <wp:effectExtent l="0" t="0" r="6350" b="6985"/>
            <wp:docPr id="46" name="图片 46" descr="w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weber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-334" w:rightChars="-139"/>
        <w:outlineLvl w:val="2"/>
      </w:pPr>
      <w:bookmarkStart w:id="71" w:name="_Toc25808"/>
      <w:bookmarkStart w:id="72" w:name="OLE_LINK11"/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S6 Boyd adsorption plots of MB</w:t>
      </w:r>
      <w:r>
        <w:t xml:space="preserve"> on </w:t>
      </w:r>
      <w:bookmarkEnd w:id="71"/>
      <w:bookmarkEnd w:id="72"/>
      <w:r>
        <w:rPr>
          <w:rFonts w:hint="eastAsia"/>
        </w:rPr>
        <w:t>P-aro-CDPs</w:t>
      </w:r>
    </w:p>
    <w:p>
      <w:pPr>
        <w:ind w:right="-334" w:rightChars="-139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inline distT="0" distB="0" distL="114300" distR="114300">
            <wp:extent cx="5270500" cy="4069715"/>
            <wp:effectExtent l="0" t="0" r="6350" b="6985"/>
            <wp:docPr id="49" name="图片 49" descr="boy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boyd-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-334" w:rightChars="-139"/>
        <w:outlineLvl w:val="2"/>
      </w:pPr>
      <w:bookmarkStart w:id="73" w:name="_Toc6188"/>
      <w:bookmarkStart w:id="74" w:name="OLE_LINK14"/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S7 Freundlich</w:t>
      </w:r>
      <w:r>
        <w:t xml:space="preserve"> adsorption isotherm of</w:t>
      </w:r>
      <w:r>
        <w:rPr>
          <w:rFonts w:hint="eastAsia"/>
        </w:rPr>
        <w:t xml:space="preserve"> MB</w:t>
      </w:r>
      <w:r>
        <w:t xml:space="preserve"> on </w:t>
      </w:r>
      <w:bookmarkEnd w:id="73"/>
      <w:r>
        <w:rPr>
          <w:rFonts w:hint="eastAsia"/>
        </w:rPr>
        <w:t>P-aro-CDPs</w:t>
      </w:r>
    </w:p>
    <w:bookmarkEnd w:id="74"/>
    <w:p>
      <w:pPr>
        <w:ind w:right="-334" w:rightChars="-139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0500" cy="4069715"/>
            <wp:effectExtent l="0" t="0" r="6350" b="6985"/>
            <wp:docPr id="44" name="图片 44" descr="Freundlich-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Freundlich-MB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-334" w:rightChars="-139"/>
        <w:outlineLvl w:val="2"/>
      </w:pPr>
      <w:bookmarkStart w:id="75" w:name="_Toc5868"/>
      <w:bookmarkStart w:id="76" w:name="OLE_LINK12"/>
      <w:r>
        <w:rPr>
          <w:rFonts w:hint="eastAsia"/>
          <w:lang w:eastAsia="zh-CN"/>
        </w:rPr>
        <w:t>Figure</w:t>
      </w:r>
      <w:r>
        <w:rPr>
          <w:rFonts w:hint="eastAsia"/>
        </w:rPr>
        <w:t xml:space="preserve"> S8 </w:t>
      </w:r>
      <w:r>
        <w:t>Temkin adsorption isotherm of</w:t>
      </w:r>
      <w:r>
        <w:rPr>
          <w:rFonts w:hint="eastAsia"/>
        </w:rPr>
        <w:t xml:space="preserve"> MB</w:t>
      </w:r>
      <w:r>
        <w:t xml:space="preserve"> on </w:t>
      </w:r>
      <w:bookmarkEnd w:id="75"/>
      <w:r>
        <w:rPr>
          <w:rFonts w:hint="eastAsia"/>
        </w:rPr>
        <w:t>P-aro-CDPs</w:t>
      </w:r>
    </w:p>
    <w:bookmarkEnd w:id="76"/>
    <w:p>
      <w:pPr>
        <w:ind w:right="-334" w:rightChars="-139"/>
      </w:pPr>
    </w:p>
    <w:p>
      <w:pPr>
        <w:ind w:right="-334" w:rightChars="-139"/>
      </w:pPr>
      <w:r>
        <w:rPr>
          <w:rFonts w:hint="eastAsia"/>
        </w:rPr>
        <w:drawing>
          <wp:inline distT="0" distB="0" distL="114300" distR="114300">
            <wp:extent cx="5270500" cy="4069715"/>
            <wp:effectExtent l="0" t="0" r="6350" b="6985"/>
            <wp:docPr id="43" name="图片 43" descr="temkin-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temkin-MB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OneGulliverA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96629"/>
    <w:rsid w:val="001F4F25"/>
    <w:rsid w:val="003D2F98"/>
    <w:rsid w:val="005540ED"/>
    <w:rsid w:val="006B478E"/>
    <w:rsid w:val="007E3E8F"/>
    <w:rsid w:val="00AC6ACE"/>
    <w:rsid w:val="00CB43D7"/>
    <w:rsid w:val="00DA5919"/>
    <w:rsid w:val="00EC14FA"/>
    <w:rsid w:val="06A45D0A"/>
    <w:rsid w:val="10E96629"/>
    <w:rsid w:val="112C40CD"/>
    <w:rsid w:val="280D0A82"/>
    <w:rsid w:val="38AC39CE"/>
    <w:rsid w:val="40907EC6"/>
    <w:rsid w:val="41530DB0"/>
    <w:rsid w:val="43CF238E"/>
    <w:rsid w:val="48575027"/>
    <w:rsid w:val="492B556C"/>
    <w:rsid w:val="4A526706"/>
    <w:rsid w:val="4F1F797E"/>
    <w:rsid w:val="59382399"/>
    <w:rsid w:val="5FA44474"/>
    <w:rsid w:val="60414958"/>
    <w:rsid w:val="69AC78C5"/>
    <w:rsid w:val="69FB4D03"/>
    <w:rsid w:val="75580A68"/>
    <w:rsid w:val="77E40EA4"/>
    <w:rsid w:val="7B1F147C"/>
    <w:rsid w:val="7F9B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jc w:val="both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00" w:beforeLines="100" w:after="200" w:afterLines="200" w:line="400" w:lineRule="exact"/>
      <w:jc w:val="center"/>
      <w:outlineLvl w:val="1"/>
    </w:pPr>
    <w:rPr>
      <w:rFonts w:eastAsia="黑体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qFormat/>
    <w:uiPriority w:val="99"/>
    <w:pPr>
      <w:spacing w:after="160"/>
      <w:jc w:val="both"/>
    </w:pPr>
    <w:rPr>
      <w:rFonts w:ascii="Times" w:hAnsi="Times" w:eastAsia="Times New Roman" w:cs="Times New Roman"/>
      <w:lang w:val="en-US" w:eastAsia="en-US" w:bidi="ar-SA"/>
    </w:r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Balloon Text"/>
    <w:basedOn w:val="1"/>
    <w:link w:val="24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hAnsi="Calibri" w:eastAsia="宋体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Calibri" w:hAnsi="Calibri" w:eastAsia="宋体"/>
      <w:sz w:val="18"/>
      <w:szCs w:val="18"/>
    </w:rPr>
  </w:style>
  <w:style w:type="paragraph" w:styleId="8">
    <w:name w:val="footnote text"/>
    <w:basedOn w:val="1"/>
    <w:next w:val="1"/>
    <w:link w:val="25"/>
    <w:qFormat/>
    <w:uiPriority w:val="0"/>
    <w:pPr>
      <w:widowControl/>
      <w:spacing w:after="200"/>
    </w:pPr>
    <w:rPr>
      <w:rFonts w:ascii="Times" w:hAnsi="Times" w:eastAsia="Times New Roman"/>
      <w:kern w:val="0"/>
      <w:szCs w:val="20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99"/>
    <w:rPr>
      <w:sz w:val="16"/>
      <w:szCs w:val="16"/>
    </w:rPr>
  </w:style>
  <w:style w:type="character" w:styleId="16">
    <w:name w:val="footnote reference"/>
    <w:basedOn w:val="13"/>
    <w:qFormat/>
    <w:uiPriority w:val="0"/>
    <w:rPr>
      <w:rFonts w:hint="default" w:ascii="Times New Roman" w:hAnsi="Times New Roman" w:cs="Times New Roman"/>
      <w:vertAlign w:val="superscript"/>
    </w:rPr>
  </w:style>
  <w:style w:type="paragraph" w:customStyle="1" w:styleId="17">
    <w:name w:val="FA_Author_Info_Subtitle"/>
    <w:basedOn w:val="1"/>
    <w:qFormat/>
    <w:uiPriority w:val="0"/>
    <w:pPr>
      <w:spacing w:before="120" w:after="60"/>
      <w:jc w:val="left"/>
    </w:pPr>
    <w:rPr>
      <w:b/>
    </w:rPr>
  </w:style>
  <w:style w:type="paragraph" w:customStyle="1" w:styleId="18">
    <w:name w:val="EndNote Bibliography"/>
    <w:basedOn w:val="1"/>
    <w:qFormat/>
    <w:uiPriority w:val="0"/>
    <w:pPr>
      <w:spacing w:line="240" w:lineRule="auto"/>
      <w:jc w:val="left"/>
    </w:pPr>
  </w:style>
  <w:style w:type="character" w:customStyle="1" w:styleId="19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bscript"/>
    </w:rPr>
  </w:style>
  <w:style w:type="character" w:customStyle="1" w:styleId="20">
    <w:name w:val="font5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BC_Author_Address"/>
    <w:basedOn w:val="1"/>
    <w:next w:val="1"/>
    <w:qFormat/>
    <w:uiPriority w:val="99"/>
    <w:pPr>
      <w:widowControl/>
      <w:spacing w:before="120" w:line="240" w:lineRule="auto"/>
      <w:ind w:firstLine="420"/>
    </w:pPr>
    <w:rPr>
      <w:rFonts w:eastAsia="宋体"/>
      <w:kern w:val="22"/>
      <w:sz w:val="18"/>
      <w:szCs w:val="18"/>
      <w:vertAlign w:val="superscript"/>
    </w:rPr>
  </w:style>
  <w:style w:type="paragraph" w:customStyle="1" w:styleId="22">
    <w:name w:val="BA_Title"/>
    <w:basedOn w:val="1"/>
    <w:next w:val="1"/>
    <w:qFormat/>
    <w:uiPriority w:val="0"/>
    <w:pPr>
      <w:spacing w:before="720" w:after="360"/>
      <w:jc w:val="center"/>
    </w:pPr>
    <w:rPr>
      <w:sz w:val="44"/>
    </w:rPr>
  </w:style>
  <w:style w:type="paragraph" w:customStyle="1" w:styleId="23">
    <w:name w:val="TA_Main_Text"/>
    <w:basedOn w:val="1"/>
    <w:qFormat/>
    <w:uiPriority w:val="0"/>
    <w:pPr>
      <w:ind w:firstLine="202"/>
    </w:pPr>
  </w:style>
  <w:style w:type="character" w:customStyle="1" w:styleId="24">
    <w:name w:val="批注框文本 Char"/>
    <w:basedOn w:val="13"/>
    <w:link w:val="5"/>
    <w:qFormat/>
    <w:uiPriority w:val="0"/>
    <w:rPr>
      <w:rFonts w:eastAsiaTheme="minorEastAsia"/>
      <w:kern w:val="2"/>
      <w:sz w:val="18"/>
      <w:szCs w:val="18"/>
    </w:rPr>
  </w:style>
  <w:style w:type="character" w:customStyle="1" w:styleId="25">
    <w:name w:val="脚注文本 Char"/>
    <w:basedOn w:val="13"/>
    <w:link w:val="8"/>
    <w:qFormat/>
    <w:uiPriority w:val="0"/>
    <w:rPr>
      <w:rFonts w:hint="default" w:ascii="Times" w:hAnsi="Times" w:eastAsia="Times New Roman" w:cs="Times"/>
      <w:sz w:val="24"/>
      <w:lang w:eastAsia="en-US"/>
    </w:rPr>
  </w:style>
  <w:style w:type="paragraph" w:customStyle="1" w:styleId="26">
    <w:name w:val="FA_Corresponding_Author_Footnote"/>
    <w:basedOn w:val="1"/>
    <w:next w:val="1"/>
    <w:qFormat/>
    <w:uiPriority w:val="0"/>
    <w:pPr>
      <w:widowControl/>
      <w:spacing w:after="200"/>
    </w:pPr>
    <w:rPr>
      <w:rFonts w:ascii="Times" w:hAnsi="Times" w:eastAsia="Times New Roman"/>
      <w:kern w:val="0"/>
      <w:szCs w:val="20"/>
    </w:rPr>
  </w:style>
  <w:style w:type="character" w:customStyle="1" w:styleId="27">
    <w:name w:val="页脚 Char"/>
    <w:basedOn w:val="13"/>
    <w:link w:val="6"/>
    <w:qFormat/>
    <w:uiPriority w:val="0"/>
    <w:rPr>
      <w:rFonts w:hint="default" w:ascii="Times" w:hAnsi="Times" w:eastAsia="Times New Roman" w:cs="Times"/>
      <w:sz w:val="24"/>
      <w:lang w:eastAsia="en-US"/>
    </w:rPr>
  </w:style>
  <w:style w:type="paragraph" w:customStyle="1" w:styleId="28">
    <w:name w:val="VA_Figure_Caption"/>
    <w:basedOn w:val="1"/>
    <w:next w:val="1"/>
    <w:qFormat/>
    <w:uiPriority w:val="0"/>
  </w:style>
  <w:style w:type="paragraph" w:customStyle="1" w:styleId="29">
    <w:name w:val="RSC H01 Paper Title"/>
    <w:basedOn w:val="1"/>
    <w:next w:val="1"/>
    <w:qFormat/>
    <w:uiPriority w:val="0"/>
    <w:pPr>
      <w:tabs>
        <w:tab w:val="left" w:pos="284"/>
      </w:tabs>
      <w:spacing w:before="400" w:after="160" w:line="240" w:lineRule="auto"/>
    </w:pPr>
    <w:rPr>
      <w:b/>
      <w:sz w:val="29"/>
      <w:szCs w:val="32"/>
    </w:rPr>
  </w:style>
  <w:style w:type="paragraph" w:customStyle="1" w:styleId="30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31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1.w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2" Type="http://schemas.openxmlformats.org/officeDocument/2006/relationships/fontTable" Target="fontTable.xml"/><Relationship Id="rId51" Type="http://schemas.openxmlformats.org/officeDocument/2006/relationships/customXml" Target="../customXml/item1.xml"/><Relationship Id="rId50" Type="http://schemas.openxmlformats.org/officeDocument/2006/relationships/image" Target="media/image8.tiff"/><Relationship Id="rId5" Type="http://schemas.openxmlformats.org/officeDocument/2006/relationships/footer" Target="footer1.xml"/><Relationship Id="rId49" Type="http://schemas.openxmlformats.org/officeDocument/2006/relationships/image" Target="media/image7.tiff"/><Relationship Id="rId48" Type="http://schemas.openxmlformats.org/officeDocument/2006/relationships/image" Target="media/image6.tiff"/><Relationship Id="rId47" Type="http://schemas.openxmlformats.org/officeDocument/2006/relationships/image" Target="media/image5.tiff"/><Relationship Id="rId46" Type="http://schemas.openxmlformats.org/officeDocument/2006/relationships/image" Target="media/image4.tiff"/><Relationship Id="rId45" Type="http://schemas.openxmlformats.org/officeDocument/2006/relationships/image" Target="media/image3.tiff"/><Relationship Id="rId44" Type="http://schemas.openxmlformats.org/officeDocument/2006/relationships/image" Target="media/image2.tiff"/><Relationship Id="rId43" Type="http://schemas.openxmlformats.org/officeDocument/2006/relationships/image" Target="media/image1.tiff"/><Relationship Id="rId42" Type="http://schemas.openxmlformats.org/officeDocument/2006/relationships/image" Target="media/image25.GIF"/><Relationship Id="rId41" Type="http://schemas.openxmlformats.org/officeDocument/2006/relationships/image" Target="media/image24.GIF"/><Relationship Id="rId40" Type="http://schemas.openxmlformats.org/officeDocument/2006/relationships/image" Target="media/image23.png"/><Relationship Id="rId4" Type="http://schemas.openxmlformats.org/officeDocument/2006/relationships/endnotes" Target="endnotes.xml"/><Relationship Id="rId39" Type="http://schemas.openxmlformats.org/officeDocument/2006/relationships/image" Target="media/image22.GIF"/><Relationship Id="rId38" Type="http://schemas.openxmlformats.org/officeDocument/2006/relationships/image" Target="media/image21.GIF"/><Relationship Id="rId37" Type="http://schemas.openxmlformats.org/officeDocument/2006/relationships/image" Target="media/image20.GIF"/><Relationship Id="rId36" Type="http://schemas.openxmlformats.org/officeDocument/2006/relationships/image" Target="media/image19.GIF"/><Relationship Id="rId35" Type="http://schemas.openxmlformats.org/officeDocument/2006/relationships/image" Target="media/image18.GIF"/><Relationship Id="rId34" Type="http://schemas.openxmlformats.org/officeDocument/2006/relationships/image" Target="media/image17.GIF"/><Relationship Id="rId33" Type="http://schemas.openxmlformats.org/officeDocument/2006/relationships/image" Target="media/image16.GIF"/><Relationship Id="rId32" Type="http://schemas.openxmlformats.org/officeDocument/2006/relationships/image" Target="media/image15.GIF"/><Relationship Id="rId31" Type="http://schemas.openxmlformats.org/officeDocument/2006/relationships/image" Target="media/image14.GIF"/><Relationship Id="rId30" Type="http://schemas.openxmlformats.org/officeDocument/2006/relationships/image" Target="media/image13.GIF"/><Relationship Id="rId3" Type="http://schemas.openxmlformats.org/officeDocument/2006/relationships/footnotes" Target="footnotes.xml"/><Relationship Id="rId29" Type="http://schemas.openxmlformats.org/officeDocument/2006/relationships/image" Target="media/image12.GIF"/><Relationship Id="rId28" Type="http://schemas.openxmlformats.org/officeDocument/2006/relationships/image" Target="media/image11.GIF"/><Relationship Id="rId27" Type="http://schemas.openxmlformats.org/officeDocument/2006/relationships/image" Target="media/image10.wmf"/><Relationship Id="rId26" Type="http://schemas.openxmlformats.org/officeDocument/2006/relationships/oleObject" Target="embeddings/oleObject11.bin"/><Relationship Id="rId25" Type="http://schemas.openxmlformats.org/officeDocument/2006/relationships/image" Target="media/image9.wmf"/><Relationship Id="rId24" Type="http://schemas.openxmlformats.org/officeDocument/2006/relationships/oleObject" Target="embeddings/oleObject10.bin"/><Relationship Id="rId23" Type="http://schemas.openxmlformats.org/officeDocument/2006/relationships/image" Target="media/image8.wmf"/><Relationship Id="rId22" Type="http://schemas.openxmlformats.org/officeDocument/2006/relationships/oleObject" Target="embeddings/oleObject9.bin"/><Relationship Id="rId21" Type="http://schemas.openxmlformats.org/officeDocument/2006/relationships/image" Target="media/image7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6.wmf"/><Relationship Id="rId18" Type="http://schemas.openxmlformats.org/officeDocument/2006/relationships/oleObject" Target="embeddings/oleObject7.bin"/><Relationship Id="rId17" Type="http://schemas.openxmlformats.org/officeDocument/2006/relationships/image" Target="media/image5.wmf"/><Relationship Id="rId16" Type="http://schemas.openxmlformats.org/officeDocument/2006/relationships/oleObject" Target="embeddings/oleObject6.bin"/><Relationship Id="rId15" Type="http://schemas.openxmlformats.org/officeDocument/2006/relationships/image" Target="media/image4.wmf"/><Relationship Id="rId14" Type="http://schemas.openxmlformats.org/officeDocument/2006/relationships/oleObject" Target="embeddings/oleObject5.bin"/><Relationship Id="rId13" Type="http://schemas.openxmlformats.org/officeDocument/2006/relationships/oleObject" Target="embeddings/oleObject4.bin"/><Relationship Id="rId12" Type="http://schemas.openxmlformats.org/officeDocument/2006/relationships/image" Target="media/image3.wmf"/><Relationship Id="rId11" Type="http://schemas.openxmlformats.org/officeDocument/2006/relationships/oleObject" Target="embeddings/oleObject3.bin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20</Pages>
  <Words>1232</Words>
  <Characters>7027</Characters>
  <Lines>58</Lines>
  <Paragraphs>16</Paragraphs>
  <TotalTime>2</TotalTime>
  <ScaleCrop>false</ScaleCrop>
  <LinksUpToDate>false</LinksUpToDate>
  <CharactersWithSpaces>8243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2020-04-16T01:12:00Z</dcterms:created>
  <dc:creator>段慧玲</dc:creator>
  <cp:lastModifiedBy>段慧玲</cp:lastModifiedBy>
  <cp:lastPrinted>2020-05-03T07:04:00Z</cp:lastPrinted>
  <dcterms:modified xsi:type="dcterms:W3CDTF">2021-08-20T04:06:57Z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AD9F22840B8649A0B4E15939FB7E52E3</vt:lpwstr>
  </property>
</Properties>
</file>