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0826" w14:textId="77777777" w:rsidR="00FB7BF9" w:rsidRDefault="00FB7BF9" w:rsidP="00A55182">
      <w:pPr>
        <w:pStyle w:val="NoSpacing"/>
        <w:spacing w:line="360" w:lineRule="auto"/>
      </w:pPr>
    </w:p>
    <w:p w14:paraId="4B7EB391" w14:textId="659ECADB" w:rsidR="00A55182" w:rsidRPr="00A335F7" w:rsidRDefault="00FB7BF9" w:rsidP="00A335F7">
      <w:pPr>
        <w:pStyle w:val="Caption"/>
        <w:keepNext/>
        <w:rPr>
          <w:i w:val="0"/>
          <w:iCs w:val="0"/>
        </w:rPr>
      </w:pPr>
      <w:r w:rsidRPr="00FB7BF9">
        <w:rPr>
          <w:b/>
          <w:bCs/>
          <w:i w:val="0"/>
          <w:iCs w:val="0"/>
        </w:rPr>
        <w:t>Table 1.</w:t>
      </w:r>
      <w:r w:rsidRPr="00FB7BF9">
        <w:rPr>
          <w:i w:val="0"/>
          <w:iCs w:val="0"/>
        </w:rPr>
        <w:t xml:space="preserve"> Baseline characteristics of low-risk melanoma (Group A: T1, T2 and T3a) and high-risk melanoma (Group B: T3b, T4a and T4b). ASA, American Society of </w:t>
      </w:r>
      <w:proofErr w:type="spellStart"/>
      <w:r w:rsidRPr="00FB7BF9">
        <w:rPr>
          <w:i w:val="0"/>
          <w:iCs w:val="0"/>
        </w:rPr>
        <w:t>Anesthesiologists</w:t>
      </w:r>
      <w:proofErr w:type="spellEnd"/>
      <w:r w:rsidRPr="00FB7BF9">
        <w:rPr>
          <w:i w:val="0"/>
          <w:iCs w:val="0"/>
        </w:rPr>
        <w:t>; SD, standard deviation; SLNB, sentinel lymph node biopsy.</w:t>
      </w:r>
    </w:p>
    <w:p w14:paraId="7BD91685" w14:textId="77777777" w:rsidR="00494745" w:rsidRPr="00F1527A" w:rsidRDefault="00494745" w:rsidP="00A55182">
      <w:pPr>
        <w:pStyle w:val="NoSpacing"/>
        <w:rPr>
          <w:rFonts w:ascii="Calibri" w:hAnsi="Calibri" w:cs="Calibri"/>
        </w:rPr>
      </w:pPr>
    </w:p>
    <w:p w14:paraId="6362F264" w14:textId="77777777" w:rsidR="00FD2291" w:rsidRPr="00F24A36" w:rsidRDefault="00FD2291" w:rsidP="00F24A36">
      <w:pPr>
        <w:pStyle w:val="NoSpacing"/>
        <w:spacing w:line="360" w:lineRule="auto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Style w:val="GridTable7Colourfu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584"/>
        <w:gridCol w:w="1474"/>
        <w:gridCol w:w="836"/>
      </w:tblGrid>
      <w:tr w:rsidR="00F24A36" w:rsidRPr="00A335F7" w14:paraId="3E32D96C" w14:textId="77777777" w:rsidTr="00A33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09B0EE8" w14:textId="77777777" w:rsidR="00F24A36" w:rsidRPr="00A335F7" w:rsidRDefault="00F24A36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i w:val="0"/>
                <w:iCs w:val="0"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i w:val="0"/>
                <w:iCs w:val="0"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4797B492" w14:textId="77777777" w:rsidR="00F24A36" w:rsidRPr="00A335F7" w:rsidRDefault="00F24A36" w:rsidP="00F24A36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color w:val="000000"/>
                <w:sz w:val="20"/>
                <w:szCs w:val="20"/>
              </w:rPr>
              <w:t>Group A (n=211)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21F71A29" w14:textId="77777777" w:rsidR="00F24A36" w:rsidRPr="00A335F7" w:rsidRDefault="00F24A36" w:rsidP="00F24A36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color w:val="000000"/>
                <w:sz w:val="20"/>
                <w:szCs w:val="20"/>
              </w:rPr>
              <w:t>Group B (n=89)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1FB3578F" w14:textId="46317A43" w:rsidR="00F24A36" w:rsidRPr="00A335F7" w:rsidRDefault="00F24A36" w:rsidP="00F24A36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color w:val="000000"/>
                <w:sz w:val="20"/>
                <w:szCs w:val="20"/>
              </w:rPr>
              <w:t>p-value</w:t>
            </w:r>
          </w:p>
        </w:tc>
      </w:tr>
      <w:tr w:rsidR="00F24A36" w:rsidRPr="00A335F7" w14:paraId="666196B5" w14:textId="77777777" w:rsidTr="00A3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7BDFA586" w14:textId="74DC8234" w:rsidR="00A335F7" w:rsidRPr="00A335F7" w:rsidRDefault="00F24A36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Age </w:t>
            </w:r>
          </w:p>
          <w:p w14:paraId="3FCBE139" w14:textId="12DC3B78" w:rsidR="00F24A36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Y</w:t>
            </w:r>
            <w:r w:rsidR="00F24A36"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ears (median ± SD)</w:t>
            </w:r>
          </w:p>
        </w:tc>
        <w:tc>
          <w:tcPr>
            <w:tcW w:w="0" w:type="auto"/>
            <w:hideMark/>
          </w:tcPr>
          <w:p w14:paraId="60A55C62" w14:textId="77777777" w:rsidR="00A335F7" w:rsidRPr="00A335F7" w:rsidRDefault="00A335F7" w:rsidP="00F24A36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B8C0B25" w14:textId="4BC1B0B8" w:rsidR="00F24A36" w:rsidRPr="00A335F7" w:rsidRDefault="00F24A36" w:rsidP="00F24A36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 ± 14.7</w:t>
            </w:r>
          </w:p>
        </w:tc>
        <w:tc>
          <w:tcPr>
            <w:tcW w:w="0" w:type="auto"/>
            <w:hideMark/>
          </w:tcPr>
          <w:p w14:paraId="258EDDB7" w14:textId="77777777" w:rsidR="00A335F7" w:rsidRPr="00A335F7" w:rsidRDefault="00A335F7" w:rsidP="00F24A36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6945034" w14:textId="42D5F7C3" w:rsidR="00F24A36" w:rsidRPr="00A335F7" w:rsidRDefault="00F24A36" w:rsidP="00F24A36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 ± 16.0</w:t>
            </w:r>
          </w:p>
        </w:tc>
        <w:tc>
          <w:tcPr>
            <w:tcW w:w="0" w:type="auto"/>
            <w:hideMark/>
          </w:tcPr>
          <w:p w14:paraId="52D5927D" w14:textId="77777777" w:rsidR="00F24A36" w:rsidRPr="00A335F7" w:rsidRDefault="00F24A36" w:rsidP="00F24A36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0.003</w:t>
            </w:r>
          </w:p>
        </w:tc>
      </w:tr>
      <w:tr w:rsidR="00A335F7" w:rsidRPr="00A335F7" w14:paraId="16A597EC" w14:textId="77777777" w:rsidTr="00A335F7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34099E01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Gender</w:t>
            </w:r>
          </w:p>
          <w:p w14:paraId="6FFF51F8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Female</w:t>
            </w:r>
          </w:p>
          <w:p w14:paraId="48DF7AAA" w14:textId="30F88D7B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Male</w:t>
            </w:r>
          </w:p>
        </w:tc>
        <w:tc>
          <w:tcPr>
            <w:tcW w:w="0" w:type="auto"/>
            <w:hideMark/>
          </w:tcPr>
          <w:p w14:paraId="124ECF48" w14:textId="77777777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5544E05" w14:textId="5138FD00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 (51.2%)</w:t>
            </w:r>
          </w:p>
          <w:p w14:paraId="4071AE97" w14:textId="1E41F0DB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 (48.8%)</w:t>
            </w:r>
          </w:p>
        </w:tc>
        <w:tc>
          <w:tcPr>
            <w:tcW w:w="0" w:type="auto"/>
            <w:hideMark/>
          </w:tcPr>
          <w:p w14:paraId="6E95EC88" w14:textId="77777777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B9CBF2F" w14:textId="7472AE4E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 (42.7%)</w:t>
            </w:r>
          </w:p>
          <w:p w14:paraId="6443A0BC" w14:textId="275F51E1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 (57.3%)</w:t>
            </w:r>
          </w:p>
        </w:tc>
        <w:tc>
          <w:tcPr>
            <w:tcW w:w="0" w:type="auto"/>
            <w:hideMark/>
          </w:tcPr>
          <w:p w14:paraId="117A29E3" w14:textId="77777777" w:rsidR="00A335F7" w:rsidRPr="00A335F7" w:rsidRDefault="00A335F7" w:rsidP="00F24A36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0.179</w:t>
            </w:r>
          </w:p>
        </w:tc>
      </w:tr>
      <w:tr w:rsidR="00A335F7" w:rsidRPr="00A335F7" w14:paraId="41C74BD0" w14:textId="77777777" w:rsidTr="00A3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427535CD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ASA</w:t>
            </w:r>
          </w:p>
          <w:p w14:paraId="259DC00F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One</w:t>
            </w:r>
          </w:p>
          <w:p w14:paraId="2FDDB6F9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Two</w:t>
            </w:r>
          </w:p>
          <w:p w14:paraId="67C138C9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Three</w:t>
            </w:r>
          </w:p>
          <w:p w14:paraId="0DD64CEE" w14:textId="7AAC580C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Unknown</w:t>
            </w:r>
          </w:p>
        </w:tc>
        <w:tc>
          <w:tcPr>
            <w:tcW w:w="0" w:type="auto"/>
            <w:hideMark/>
          </w:tcPr>
          <w:p w14:paraId="3927BFB2" w14:textId="77777777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4610B98" w14:textId="05F8E9A3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 (27.0%)</w:t>
            </w:r>
          </w:p>
          <w:p w14:paraId="0A06A2C2" w14:textId="77777777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136 (64.5%)</w:t>
            </w:r>
          </w:p>
          <w:p w14:paraId="3B9EAC77" w14:textId="77777777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 (6.2%)</w:t>
            </w:r>
          </w:p>
          <w:p w14:paraId="7151F969" w14:textId="514B2FB7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 (2.4%)</w:t>
            </w:r>
          </w:p>
        </w:tc>
        <w:tc>
          <w:tcPr>
            <w:tcW w:w="0" w:type="auto"/>
            <w:hideMark/>
          </w:tcPr>
          <w:p w14:paraId="11105A99" w14:textId="77777777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3F2F0B6" w14:textId="44F1F352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 (27.0%)</w:t>
            </w:r>
          </w:p>
          <w:p w14:paraId="4A0974E5" w14:textId="77777777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 (55.1%)</w:t>
            </w:r>
          </w:p>
          <w:p w14:paraId="67D65BEA" w14:textId="77777777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 (16.9%)</w:t>
            </w:r>
          </w:p>
          <w:p w14:paraId="70DA1EC3" w14:textId="25912156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(1.1%)</w:t>
            </w:r>
          </w:p>
        </w:tc>
        <w:tc>
          <w:tcPr>
            <w:tcW w:w="0" w:type="auto"/>
            <w:hideMark/>
          </w:tcPr>
          <w:p w14:paraId="7ADB1526" w14:textId="77777777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0.029</w:t>
            </w:r>
          </w:p>
        </w:tc>
      </w:tr>
      <w:tr w:rsidR="00A335F7" w:rsidRPr="00A335F7" w14:paraId="1BCD1604" w14:textId="77777777" w:rsidTr="00A335F7">
        <w:trPr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37D5B54C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Ulceration</w:t>
            </w:r>
          </w:p>
          <w:p w14:paraId="1C98FF80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Absent</w:t>
            </w:r>
          </w:p>
          <w:p w14:paraId="348E91A4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Present</w:t>
            </w:r>
          </w:p>
          <w:p w14:paraId="6EA73620" w14:textId="5C7606A2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Unknown</w:t>
            </w:r>
          </w:p>
        </w:tc>
        <w:tc>
          <w:tcPr>
            <w:tcW w:w="0" w:type="auto"/>
            <w:hideMark/>
          </w:tcPr>
          <w:p w14:paraId="46A73CAC" w14:textId="77777777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FDF13A5" w14:textId="797CDFEB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175 (82.9%)</w:t>
            </w:r>
          </w:p>
          <w:p w14:paraId="1C016E58" w14:textId="77777777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 (10.9%)</w:t>
            </w:r>
          </w:p>
          <w:p w14:paraId="1FD45B85" w14:textId="7DF2F1CB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 (6.2%)</w:t>
            </w:r>
          </w:p>
        </w:tc>
        <w:tc>
          <w:tcPr>
            <w:tcW w:w="0" w:type="auto"/>
            <w:hideMark/>
          </w:tcPr>
          <w:p w14:paraId="58A48119" w14:textId="77777777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B5BEDA0" w14:textId="3D35EBD1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 (22.5%)</w:t>
            </w:r>
          </w:p>
          <w:p w14:paraId="30B7CC39" w14:textId="77777777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 (75.3%)</w:t>
            </w:r>
          </w:p>
          <w:p w14:paraId="30C7B464" w14:textId="162269EC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 (2.2%)</w:t>
            </w:r>
          </w:p>
        </w:tc>
        <w:tc>
          <w:tcPr>
            <w:tcW w:w="0" w:type="auto"/>
            <w:hideMark/>
          </w:tcPr>
          <w:p w14:paraId="78602735" w14:textId="77777777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F24A36" w:rsidRPr="00A335F7" w14:paraId="1075E24A" w14:textId="77777777" w:rsidTr="00A3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39CB25B" w14:textId="3D733968" w:rsidR="00A335F7" w:rsidRPr="00A335F7" w:rsidRDefault="00F24A36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Mitoses </w:t>
            </w:r>
          </w:p>
          <w:p w14:paraId="4F0A3A65" w14:textId="086E1749" w:rsidR="00F24A36" w:rsidRPr="00A335F7" w:rsidRDefault="00F24A36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median ± SD</w:t>
            </w:r>
          </w:p>
        </w:tc>
        <w:tc>
          <w:tcPr>
            <w:tcW w:w="0" w:type="auto"/>
            <w:hideMark/>
          </w:tcPr>
          <w:p w14:paraId="0604102E" w14:textId="77777777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66F1F8A" w14:textId="02801075" w:rsidR="00F24A36" w:rsidRPr="00A335F7" w:rsidRDefault="00F24A36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± 3.2</w:t>
            </w:r>
          </w:p>
        </w:tc>
        <w:tc>
          <w:tcPr>
            <w:tcW w:w="0" w:type="auto"/>
            <w:hideMark/>
          </w:tcPr>
          <w:p w14:paraId="028684D4" w14:textId="77777777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019CBBA" w14:textId="64ED669D" w:rsidR="00F24A36" w:rsidRPr="00A335F7" w:rsidRDefault="00F24A36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 ± 5.4</w:t>
            </w:r>
          </w:p>
        </w:tc>
        <w:tc>
          <w:tcPr>
            <w:tcW w:w="0" w:type="auto"/>
            <w:hideMark/>
          </w:tcPr>
          <w:p w14:paraId="78A942D5" w14:textId="77777777" w:rsidR="00F24A36" w:rsidRPr="00A335F7" w:rsidRDefault="00F24A36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A335F7" w:rsidRPr="00A335F7" w14:paraId="5AC76096" w14:textId="77777777" w:rsidTr="00A335F7">
        <w:trPr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38934A3B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SLNB</w:t>
            </w:r>
          </w:p>
          <w:p w14:paraId="059379F3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Negative</w:t>
            </w:r>
          </w:p>
          <w:p w14:paraId="05BA21D1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Positive</w:t>
            </w:r>
          </w:p>
          <w:p w14:paraId="1576EA35" w14:textId="50B00DCA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Unknown</w:t>
            </w:r>
          </w:p>
        </w:tc>
        <w:tc>
          <w:tcPr>
            <w:tcW w:w="0" w:type="auto"/>
            <w:hideMark/>
          </w:tcPr>
          <w:p w14:paraId="2BDE9C3B" w14:textId="77777777" w:rsid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1869530" w14:textId="20BDC942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170 (80.6%)</w:t>
            </w:r>
          </w:p>
          <w:p w14:paraId="43160D1B" w14:textId="77777777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 (18.0%)</w:t>
            </w:r>
          </w:p>
          <w:p w14:paraId="0E03A502" w14:textId="4001A744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(1.4%)</w:t>
            </w:r>
          </w:p>
        </w:tc>
        <w:tc>
          <w:tcPr>
            <w:tcW w:w="0" w:type="auto"/>
            <w:hideMark/>
          </w:tcPr>
          <w:p w14:paraId="51CBA1CF" w14:textId="77777777" w:rsid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E6C62D9" w14:textId="44281C1F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 (66.3%)</w:t>
            </w:r>
          </w:p>
          <w:p w14:paraId="6F18D71A" w14:textId="77777777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 (31.5%)</w:t>
            </w:r>
          </w:p>
          <w:p w14:paraId="3CDE0895" w14:textId="2700EA19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 (2.2%)</w:t>
            </w:r>
          </w:p>
        </w:tc>
        <w:tc>
          <w:tcPr>
            <w:tcW w:w="0" w:type="auto"/>
            <w:hideMark/>
          </w:tcPr>
          <w:p w14:paraId="2CFC0137" w14:textId="1395AF50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0.029</w:t>
            </w:r>
          </w:p>
        </w:tc>
      </w:tr>
      <w:tr w:rsidR="00A335F7" w:rsidRPr="00A335F7" w14:paraId="22A66AF3" w14:textId="77777777" w:rsidTr="00A3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20732259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Adjuvant treatment</w:t>
            </w:r>
          </w:p>
          <w:p w14:paraId="7BF97736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Administered</w:t>
            </w:r>
          </w:p>
          <w:p w14:paraId="37F53169" w14:textId="2C5F4C61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Not administered</w:t>
            </w:r>
          </w:p>
        </w:tc>
        <w:tc>
          <w:tcPr>
            <w:tcW w:w="0" w:type="auto"/>
            <w:hideMark/>
          </w:tcPr>
          <w:p w14:paraId="5591E73F" w14:textId="77777777" w:rsid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246CA6D" w14:textId="4A9BC99A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 (16.1%)</w:t>
            </w:r>
          </w:p>
          <w:p w14:paraId="5475690D" w14:textId="30D08659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177 (83.9%)</w:t>
            </w:r>
          </w:p>
        </w:tc>
        <w:tc>
          <w:tcPr>
            <w:tcW w:w="0" w:type="auto"/>
            <w:hideMark/>
          </w:tcPr>
          <w:p w14:paraId="0045DE88" w14:textId="77777777" w:rsid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8E01412" w14:textId="59612E9B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 (49.4%)</w:t>
            </w:r>
          </w:p>
          <w:p w14:paraId="374C04BF" w14:textId="376EB960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 (50.6%)</w:t>
            </w:r>
          </w:p>
        </w:tc>
        <w:tc>
          <w:tcPr>
            <w:tcW w:w="0" w:type="auto"/>
            <w:hideMark/>
          </w:tcPr>
          <w:p w14:paraId="7A5ED1E0" w14:textId="77777777" w:rsidR="00A335F7" w:rsidRPr="00A335F7" w:rsidRDefault="00A335F7" w:rsidP="00A335F7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A335F7" w:rsidRPr="00A335F7" w14:paraId="6B91986E" w14:textId="77777777" w:rsidTr="00A335F7">
        <w:trPr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B74430B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Location of melanoma</w:t>
            </w:r>
          </w:p>
          <w:p w14:paraId="163CDC15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Head &amp; neck</w:t>
            </w:r>
          </w:p>
          <w:p w14:paraId="37D3D85D" w14:textId="77777777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Trunk</w:t>
            </w:r>
          </w:p>
          <w:p w14:paraId="576F279F" w14:textId="55202D3E" w:rsidR="00A335F7" w:rsidRPr="00A335F7" w:rsidRDefault="00A335F7" w:rsidP="00A335F7">
            <w:pPr>
              <w:pStyle w:val="NoSpacing"/>
              <w:spacing w:line="360" w:lineRule="auto"/>
              <w:jc w:val="left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0"/>
              </w:rPr>
              <w:t>– Extremities</w:t>
            </w:r>
          </w:p>
        </w:tc>
        <w:tc>
          <w:tcPr>
            <w:tcW w:w="0" w:type="auto"/>
            <w:hideMark/>
          </w:tcPr>
          <w:p w14:paraId="6A687EDE" w14:textId="77777777" w:rsid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02AA466" w14:textId="76490598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 (12.3%)</w:t>
            </w:r>
          </w:p>
          <w:p w14:paraId="0EF1C86E" w14:textId="77777777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72 (34.1%)</w:t>
            </w:r>
          </w:p>
          <w:p w14:paraId="5E4FD946" w14:textId="6CA2E299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113 (53.5%)</w:t>
            </w:r>
          </w:p>
        </w:tc>
        <w:tc>
          <w:tcPr>
            <w:tcW w:w="0" w:type="auto"/>
            <w:hideMark/>
          </w:tcPr>
          <w:p w14:paraId="61A5AA57" w14:textId="77777777" w:rsid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10B1359" w14:textId="63F8FA42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 (20.2%)</w:t>
            </w:r>
          </w:p>
          <w:p w14:paraId="70F1EBDC" w14:textId="77777777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 (38.2%)</w:t>
            </w:r>
          </w:p>
          <w:p w14:paraId="384F3C74" w14:textId="0BF24F69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 (41.6%)</w:t>
            </w:r>
          </w:p>
        </w:tc>
        <w:tc>
          <w:tcPr>
            <w:tcW w:w="0" w:type="auto"/>
            <w:hideMark/>
          </w:tcPr>
          <w:p w14:paraId="52CF08CE" w14:textId="77777777" w:rsidR="00A335F7" w:rsidRPr="00A335F7" w:rsidRDefault="00A335F7" w:rsidP="00A335F7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5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0.093</w:t>
            </w:r>
          </w:p>
        </w:tc>
      </w:tr>
    </w:tbl>
    <w:p w14:paraId="3B0B8F40" w14:textId="77777777" w:rsidR="00FD2291" w:rsidRDefault="00FD2291" w:rsidP="00A55182">
      <w:pPr>
        <w:pStyle w:val="NoSpacing"/>
      </w:pPr>
    </w:p>
    <w:p w14:paraId="7E7EE13B" w14:textId="77777777" w:rsidR="00A335F7" w:rsidRDefault="00A335F7" w:rsidP="00A55182">
      <w:pPr>
        <w:pStyle w:val="NoSpacing"/>
      </w:pPr>
    </w:p>
    <w:p w14:paraId="23393557" w14:textId="6E1BB9A2" w:rsidR="00FB7BF9" w:rsidRPr="00FB7BF9" w:rsidRDefault="00FB7BF9" w:rsidP="00FB7BF9">
      <w:pPr>
        <w:pStyle w:val="Caption"/>
        <w:keepNext/>
        <w:rPr>
          <w:i w:val="0"/>
          <w:iCs w:val="0"/>
        </w:rPr>
      </w:pPr>
      <w:r w:rsidRPr="00FB7BF9">
        <w:rPr>
          <w:b/>
          <w:bCs/>
          <w:i w:val="0"/>
          <w:iCs w:val="0"/>
        </w:rPr>
        <w:lastRenderedPageBreak/>
        <w:t>Table 2.</w:t>
      </w:r>
      <w:r w:rsidRPr="00FB7BF9">
        <w:rPr>
          <w:i w:val="0"/>
          <w:iCs w:val="0"/>
        </w:rPr>
        <w:t xml:space="preserve"> Clinical stage prognostic information. Clinical stage refers to staging depending on clinical information without SLNB according to AJCC. Post SLNB stage refers to staging depending on clinical information with SLNB </w:t>
      </w:r>
      <w:r w:rsidR="002732F0">
        <w:rPr>
          <w:i w:val="0"/>
          <w:iCs w:val="0"/>
        </w:rPr>
        <w:t xml:space="preserve">result </w:t>
      </w:r>
      <w:r w:rsidRPr="00FB7BF9">
        <w:rPr>
          <w:i w:val="0"/>
          <w:iCs w:val="0"/>
        </w:rPr>
        <w:t xml:space="preserve">according to AJCC. SLNB, </w:t>
      </w:r>
      <w:proofErr w:type="spellStart"/>
      <w:r w:rsidRPr="00FB7BF9">
        <w:rPr>
          <w:i w:val="0"/>
          <w:iCs w:val="0"/>
        </w:rPr>
        <w:t>sen</w:t>
      </w:r>
      <w:proofErr w:type="spellEnd"/>
    </w:p>
    <w:tbl>
      <w:tblPr>
        <w:tblStyle w:val="TableGrid"/>
        <w:tblW w:w="8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FD2291" w:rsidRPr="00115C0B" w14:paraId="541AD16D" w14:textId="77777777" w:rsidTr="002732F0">
        <w:trPr>
          <w:trHeight w:val="322"/>
        </w:trPr>
        <w:tc>
          <w:tcPr>
            <w:tcW w:w="2972" w:type="dxa"/>
            <w:gridSpan w:val="3"/>
            <w:vAlign w:val="bottom"/>
          </w:tcPr>
          <w:p w14:paraId="34B7E904" w14:textId="77777777" w:rsidR="00FD2291" w:rsidRPr="00115C0B" w:rsidRDefault="00FD2291" w:rsidP="000F22E7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 stage</w:t>
            </w:r>
          </w:p>
        </w:tc>
        <w:tc>
          <w:tcPr>
            <w:tcW w:w="2552" w:type="dxa"/>
            <w:gridSpan w:val="3"/>
            <w:vAlign w:val="bottom"/>
          </w:tcPr>
          <w:p w14:paraId="0E730A22" w14:textId="77777777" w:rsidR="00FD2291" w:rsidRPr="00115C0B" w:rsidRDefault="00FD2291" w:rsidP="000F22E7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Clinical stage</w:t>
            </w:r>
          </w:p>
        </w:tc>
        <w:tc>
          <w:tcPr>
            <w:tcW w:w="2551" w:type="dxa"/>
            <w:gridSpan w:val="3"/>
            <w:vAlign w:val="bottom"/>
          </w:tcPr>
          <w:p w14:paraId="6E587F5C" w14:textId="77777777" w:rsidR="00FD2291" w:rsidRPr="00115C0B" w:rsidRDefault="00FD2291" w:rsidP="000F22E7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Post SLNB stage</w:t>
            </w:r>
          </w:p>
        </w:tc>
      </w:tr>
      <w:tr w:rsidR="002732F0" w:rsidRPr="00115C0B" w14:paraId="26721B6D" w14:textId="77777777" w:rsidTr="002732F0">
        <w:trPr>
          <w:trHeight w:val="461"/>
        </w:trPr>
        <w:tc>
          <w:tcPr>
            <w:tcW w:w="988" w:type="dxa"/>
            <w:shd w:val="clear" w:color="auto" w:fill="E0DDB7"/>
            <w:vAlign w:val="center"/>
          </w:tcPr>
          <w:p w14:paraId="23E116BF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Stage</w:t>
            </w:r>
          </w:p>
        </w:tc>
        <w:tc>
          <w:tcPr>
            <w:tcW w:w="992" w:type="dxa"/>
            <w:shd w:val="clear" w:color="auto" w:fill="E0DDB7"/>
            <w:vAlign w:val="center"/>
          </w:tcPr>
          <w:p w14:paraId="0D325031" w14:textId="59E02B06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992" w:type="dxa"/>
            <w:shd w:val="clear" w:color="auto" w:fill="E0DDB7"/>
            <w:vAlign w:val="center"/>
          </w:tcPr>
          <w:p w14:paraId="5E3B211F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%</w:t>
            </w:r>
          </w:p>
        </w:tc>
        <w:tc>
          <w:tcPr>
            <w:tcW w:w="851" w:type="dxa"/>
            <w:shd w:val="clear" w:color="auto" w:fill="FF8C3E"/>
            <w:vAlign w:val="center"/>
          </w:tcPr>
          <w:p w14:paraId="1D727A61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Stage</w:t>
            </w:r>
          </w:p>
        </w:tc>
        <w:tc>
          <w:tcPr>
            <w:tcW w:w="850" w:type="dxa"/>
            <w:shd w:val="clear" w:color="auto" w:fill="FF8C3E"/>
            <w:vAlign w:val="center"/>
          </w:tcPr>
          <w:p w14:paraId="4BCDA617" w14:textId="22832F81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851" w:type="dxa"/>
            <w:shd w:val="clear" w:color="auto" w:fill="FF8C3E"/>
            <w:vAlign w:val="center"/>
          </w:tcPr>
          <w:p w14:paraId="2B69ABCE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%</w:t>
            </w:r>
          </w:p>
        </w:tc>
        <w:tc>
          <w:tcPr>
            <w:tcW w:w="850" w:type="dxa"/>
            <w:shd w:val="clear" w:color="auto" w:fill="1DDAA4"/>
            <w:vAlign w:val="center"/>
          </w:tcPr>
          <w:p w14:paraId="2286BC71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Stage</w:t>
            </w:r>
          </w:p>
        </w:tc>
        <w:tc>
          <w:tcPr>
            <w:tcW w:w="851" w:type="dxa"/>
            <w:shd w:val="clear" w:color="auto" w:fill="1DDAA4"/>
            <w:vAlign w:val="center"/>
          </w:tcPr>
          <w:p w14:paraId="25F7EE3B" w14:textId="3C2698B1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850" w:type="dxa"/>
            <w:shd w:val="clear" w:color="auto" w:fill="1DDAA4"/>
            <w:vAlign w:val="center"/>
          </w:tcPr>
          <w:p w14:paraId="337B033C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%</w:t>
            </w:r>
          </w:p>
        </w:tc>
      </w:tr>
      <w:tr w:rsidR="002732F0" w:rsidRPr="00115C0B" w14:paraId="58FC7D78" w14:textId="77777777" w:rsidTr="002732F0">
        <w:trPr>
          <w:trHeight w:val="315"/>
        </w:trPr>
        <w:tc>
          <w:tcPr>
            <w:tcW w:w="988" w:type="dxa"/>
            <w:shd w:val="clear" w:color="auto" w:fill="E0DDB7"/>
            <w:vAlign w:val="center"/>
          </w:tcPr>
          <w:p w14:paraId="0292FE71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T3b</w:t>
            </w:r>
          </w:p>
        </w:tc>
        <w:tc>
          <w:tcPr>
            <w:tcW w:w="992" w:type="dxa"/>
            <w:shd w:val="clear" w:color="auto" w:fill="E0DDB7"/>
            <w:vAlign w:val="center"/>
          </w:tcPr>
          <w:p w14:paraId="5C37E05C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36</w:t>
            </w:r>
          </w:p>
        </w:tc>
        <w:tc>
          <w:tcPr>
            <w:tcW w:w="992" w:type="dxa"/>
            <w:shd w:val="clear" w:color="auto" w:fill="E0DDB7"/>
            <w:vAlign w:val="center"/>
          </w:tcPr>
          <w:p w14:paraId="66A702D0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40.45%</w:t>
            </w:r>
          </w:p>
        </w:tc>
        <w:tc>
          <w:tcPr>
            <w:tcW w:w="851" w:type="dxa"/>
            <w:vMerge w:val="restart"/>
            <w:shd w:val="clear" w:color="auto" w:fill="FF8C3E"/>
            <w:vAlign w:val="center"/>
          </w:tcPr>
          <w:p w14:paraId="3023CACB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IIB</w:t>
            </w:r>
          </w:p>
        </w:tc>
        <w:tc>
          <w:tcPr>
            <w:tcW w:w="850" w:type="dxa"/>
            <w:vMerge w:val="restart"/>
            <w:shd w:val="clear" w:color="auto" w:fill="FF8C3E"/>
            <w:vAlign w:val="center"/>
          </w:tcPr>
          <w:p w14:paraId="6827906E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58</w:t>
            </w:r>
          </w:p>
        </w:tc>
        <w:tc>
          <w:tcPr>
            <w:tcW w:w="851" w:type="dxa"/>
            <w:vMerge w:val="restart"/>
            <w:shd w:val="clear" w:color="auto" w:fill="FF8C3E"/>
            <w:vAlign w:val="center"/>
          </w:tcPr>
          <w:p w14:paraId="50DCBF20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65.17%</w:t>
            </w:r>
          </w:p>
        </w:tc>
        <w:tc>
          <w:tcPr>
            <w:tcW w:w="850" w:type="dxa"/>
            <w:shd w:val="clear" w:color="auto" w:fill="1DDAA4"/>
            <w:vAlign w:val="center"/>
          </w:tcPr>
          <w:p w14:paraId="0765E2E1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IIB</w:t>
            </w:r>
          </w:p>
        </w:tc>
        <w:tc>
          <w:tcPr>
            <w:tcW w:w="851" w:type="dxa"/>
            <w:shd w:val="clear" w:color="auto" w:fill="1DDAA4"/>
            <w:vAlign w:val="center"/>
          </w:tcPr>
          <w:p w14:paraId="6ABD8523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37</w:t>
            </w:r>
          </w:p>
        </w:tc>
        <w:tc>
          <w:tcPr>
            <w:tcW w:w="850" w:type="dxa"/>
            <w:shd w:val="clear" w:color="auto" w:fill="1DDAA4"/>
            <w:vAlign w:val="center"/>
          </w:tcPr>
          <w:p w14:paraId="03A980C9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</w:rPr>
              <w:t>41.57%</w:t>
            </w:r>
          </w:p>
        </w:tc>
      </w:tr>
      <w:tr w:rsidR="002732F0" w:rsidRPr="00115C0B" w14:paraId="26479EF9" w14:textId="77777777" w:rsidTr="002732F0">
        <w:trPr>
          <w:trHeight w:val="529"/>
        </w:trPr>
        <w:tc>
          <w:tcPr>
            <w:tcW w:w="988" w:type="dxa"/>
            <w:shd w:val="clear" w:color="auto" w:fill="E0DDB7"/>
            <w:vAlign w:val="center"/>
          </w:tcPr>
          <w:p w14:paraId="69665A3B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T4a</w:t>
            </w:r>
          </w:p>
        </w:tc>
        <w:tc>
          <w:tcPr>
            <w:tcW w:w="992" w:type="dxa"/>
            <w:shd w:val="clear" w:color="auto" w:fill="E0DDB7"/>
            <w:vAlign w:val="center"/>
          </w:tcPr>
          <w:p w14:paraId="16A06A05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E0DDB7"/>
            <w:vAlign w:val="center"/>
          </w:tcPr>
          <w:p w14:paraId="230FFA77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</w:rPr>
              <w:t>24.72%</w:t>
            </w:r>
          </w:p>
        </w:tc>
        <w:tc>
          <w:tcPr>
            <w:tcW w:w="851" w:type="dxa"/>
            <w:vMerge/>
            <w:shd w:val="clear" w:color="auto" w:fill="FF8C3E"/>
            <w:vAlign w:val="center"/>
          </w:tcPr>
          <w:p w14:paraId="370866FF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8C3E"/>
            <w:vAlign w:val="center"/>
          </w:tcPr>
          <w:p w14:paraId="58640E37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8C3E"/>
            <w:vAlign w:val="center"/>
          </w:tcPr>
          <w:p w14:paraId="11823C0F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1DDAA4"/>
            <w:vAlign w:val="center"/>
          </w:tcPr>
          <w:p w14:paraId="52CF27FB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IIC</w:t>
            </w:r>
          </w:p>
        </w:tc>
        <w:tc>
          <w:tcPr>
            <w:tcW w:w="851" w:type="dxa"/>
            <w:shd w:val="clear" w:color="auto" w:fill="1DDAA4"/>
            <w:vAlign w:val="center"/>
          </w:tcPr>
          <w:p w14:paraId="703DB73A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24</w:t>
            </w:r>
          </w:p>
        </w:tc>
        <w:tc>
          <w:tcPr>
            <w:tcW w:w="850" w:type="dxa"/>
            <w:shd w:val="clear" w:color="auto" w:fill="1DDAA4"/>
            <w:vAlign w:val="center"/>
          </w:tcPr>
          <w:p w14:paraId="0AAB0D42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</w:rPr>
              <w:t>26.97%</w:t>
            </w:r>
          </w:p>
        </w:tc>
      </w:tr>
      <w:tr w:rsidR="002732F0" w:rsidRPr="00115C0B" w14:paraId="50AB668A" w14:textId="77777777" w:rsidTr="002732F0">
        <w:trPr>
          <w:trHeight w:val="629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E0DDB7"/>
            <w:vAlign w:val="center"/>
          </w:tcPr>
          <w:p w14:paraId="24AA7EEA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T4b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DDB7"/>
            <w:vAlign w:val="center"/>
          </w:tcPr>
          <w:p w14:paraId="3BD3A349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DDB7"/>
            <w:vAlign w:val="center"/>
          </w:tcPr>
          <w:p w14:paraId="412BFDE9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</w:rPr>
              <w:t>34.83%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8C3E"/>
            <w:vAlign w:val="center"/>
          </w:tcPr>
          <w:p w14:paraId="4FB8BE0B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IIC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8C3E"/>
            <w:vAlign w:val="center"/>
          </w:tcPr>
          <w:p w14:paraId="7D5F8322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31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8C3E"/>
            <w:vAlign w:val="center"/>
          </w:tcPr>
          <w:p w14:paraId="5436B912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34.83%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1DDAA4"/>
            <w:vAlign w:val="center"/>
          </w:tcPr>
          <w:p w14:paraId="4A468139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IIIC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1DDAA4"/>
            <w:vAlign w:val="center"/>
          </w:tcPr>
          <w:p w14:paraId="0DD836E9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  <w:lang w:val="en-US"/>
              </w:rPr>
              <w:t>28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1DDAA4"/>
            <w:vAlign w:val="center"/>
          </w:tcPr>
          <w:p w14:paraId="3ABF3BE5" w14:textId="77777777" w:rsidR="002732F0" w:rsidRPr="00115C0B" w:rsidRDefault="002732F0" w:rsidP="00B63C70">
            <w:pPr>
              <w:spacing w:line="360" w:lineRule="auto"/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15C0B">
              <w:rPr>
                <w:rFonts w:ascii="Calibri" w:hAnsi="Calibri" w:cs="Calibri"/>
                <w:sz w:val="20"/>
                <w:szCs w:val="20"/>
              </w:rPr>
              <w:t>31.46%</w:t>
            </w:r>
          </w:p>
        </w:tc>
      </w:tr>
    </w:tbl>
    <w:p w14:paraId="3DEA7E1A" w14:textId="77777777" w:rsidR="000F22E7" w:rsidRDefault="000F22E7" w:rsidP="000F22E7">
      <w:pPr>
        <w:spacing w:line="360" w:lineRule="auto"/>
        <w:jc w:val="both"/>
        <w:textAlignment w:val="baseline"/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</w:p>
    <w:p w14:paraId="7DE1D42A" w14:textId="77777777" w:rsidR="00C76FFC" w:rsidRDefault="00C76FFC" w:rsidP="00A55182">
      <w:pPr>
        <w:pStyle w:val="NoSpacing"/>
        <w:rPr>
          <w:lang w:val="en-US"/>
        </w:rPr>
      </w:pPr>
    </w:p>
    <w:p w14:paraId="3B2F1325" w14:textId="61E32427" w:rsidR="00FB7BF9" w:rsidRPr="00FB7BF9" w:rsidRDefault="00FB7BF9" w:rsidP="00FB7BF9">
      <w:pPr>
        <w:pStyle w:val="Caption"/>
        <w:keepNext/>
        <w:rPr>
          <w:i w:val="0"/>
          <w:iCs w:val="0"/>
        </w:rPr>
      </w:pPr>
      <w:r w:rsidRPr="00FB7BF9">
        <w:rPr>
          <w:b/>
          <w:bCs/>
          <w:i w:val="0"/>
          <w:iCs w:val="0"/>
        </w:rPr>
        <w:t>Table 3.</w:t>
      </w:r>
      <w:r w:rsidRPr="00FB7BF9">
        <w:rPr>
          <w:i w:val="0"/>
          <w:iCs w:val="0"/>
        </w:rPr>
        <w:t xml:space="preserve"> The sentinel lymph node positivity, mean MIA score, adjuvant treatment, recurrence and disease-free survival percentage of patients in the high-risk melanoma group (T3b, T4a and T4b). MIA, Melanoma Institute Australia; SLNB, sentinel lymph node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545"/>
        <w:gridCol w:w="1984"/>
        <w:gridCol w:w="1985"/>
        <w:gridCol w:w="2126"/>
      </w:tblGrid>
      <w:tr w:rsidR="00C76FFC" w:rsidRPr="00856A69" w14:paraId="7B5AFCDA" w14:textId="77777777" w:rsidTr="003651A1">
        <w:tc>
          <w:tcPr>
            <w:tcW w:w="3545" w:type="dxa"/>
          </w:tcPr>
          <w:p w14:paraId="27A5512A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78BBB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T3b (n=36)</w:t>
            </w:r>
          </w:p>
        </w:tc>
        <w:tc>
          <w:tcPr>
            <w:tcW w:w="1985" w:type="dxa"/>
          </w:tcPr>
          <w:p w14:paraId="642845BF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T4a (n=22)</w:t>
            </w:r>
          </w:p>
        </w:tc>
        <w:tc>
          <w:tcPr>
            <w:tcW w:w="2126" w:type="dxa"/>
          </w:tcPr>
          <w:p w14:paraId="78088ECB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T4b (n=31)</w:t>
            </w:r>
          </w:p>
        </w:tc>
      </w:tr>
      <w:tr w:rsidR="00C76FFC" w:rsidRPr="00856A69" w14:paraId="293F02CC" w14:textId="77777777" w:rsidTr="00C76FFC">
        <w:tc>
          <w:tcPr>
            <w:tcW w:w="3545" w:type="dxa"/>
            <w:shd w:val="clear" w:color="auto" w:fill="D9D9D9" w:themeFill="background1" w:themeFillShade="D9"/>
          </w:tcPr>
          <w:p w14:paraId="6CA321D1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Mean MIA prediction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9553B0C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color w:val="000000"/>
                <w:sz w:val="22"/>
                <w:szCs w:val="22"/>
              </w:rPr>
              <w:t>24.0% (6%-58%)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5C71964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color w:val="000000"/>
                <w:sz w:val="22"/>
                <w:szCs w:val="22"/>
              </w:rPr>
              <w:t>27.1% (1%-51%)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2260FF6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color w:val="000000"/>
                <w:sz w:val="22"/>
                <w:szCs w:val="22"/>
              </w:rPr>
              <w:t>35.4% (18%-71%)</w:t>
            </w:r>
          </w:p>
        </w:tc>
      </w:tr>
      <w:tr w:rsidR="00C76FFC" w:rsidRPr="00856A69" w14:paraId="4103E553" w14:textId="77777777" w:rsidTr="003651A1">
        <w:tc>
          <w:tcPr>
            <w:tcW w:w="3545" w:type="dxa"/>
          </w:tcPr>
          <w:p w14:paraId="715B08F3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Actual SLNB positivity</w:t>
            </w:r>
          </w:p>
        </w:tc>
        <w:tc>
          <w:tcPr>
            <w:tcW w:w="1984" w:type="dxa"/>
          </w:tcPr>
          <w:p w14:paraId="4C733EFF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color w:val="000000"/>
                <w:sz w:val="22"/>
                <w:szCs w:val="22"/>
              </w:rPr>
              <w:t>13 (36.1%)</w:t>
            </w:r>
          </w:p>
        </w:tc>
        <w:tc>
          <w:tcPr>
            <w:tcW w:w="1985" w:type="dxa"/>
          </w:tcPr>
          <w:p w14:paraId="7C44AC0D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color w:val="000000"/>
                <w:sz w:val="22"/>
                <w:szCs w:val="22"/>
              </w:rPr>
              <w:t>8 (36.4%)</w:t>
            </w:r>
          </w:p>
        </w:tc>
        <w:tc>
          <w:tcPr>
            <w:tcW w:w="2126" w:type="dxa"/>
          </w:tcPr>
          <w:p w14:paraId="718972BE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color w:val="000000"/>
                <w:sz w:val="22"/>
                <w:szCs w:val="22"/>
              </w:rPr>
              <w:t>7 (22.5%)</w:t>
            </w:r>
          </w:p>
        </w:tc>
      </w:tr>
      <w:tr w:rsidR="00C76FFC" w:rsidRPr="00856A69" w14:paraId="0612F266" w14:textId="77777777" w:rsidTr="00C76FFC">
        <w:tc>
          <w:tcPr>
            <w:tcW w:w="3545" w:type="dxa"/>
            <w:shd w:val="clear" w:color="auto" w:fill="D9D9D9" w:themeFill="background1" w:themeFillShade="D9"/>
          </w:tcPr>
          <w:p w14:paraId="4D817632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Adjuvant treatment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A03C38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color w:val="000000"/>
                <w:sz w:val="22"/>
                <w:szCs w:val="22"/>
              </w:rPr>
              <w:t>14 (38.8%)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0332B4C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color w:val="000000"/>
                <w:sz w:val="22"/>
                <w:szCs w:val="22"/>
              </w:rPr>
              <w:t>17 (77.2%)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61105A8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color w:val="000000"/>
                <w:sz w:val="22"/>
                <w:szCs w:val="22"/>
              </w:rPr>
              <w:t>13 (41.9%)</w:t>
            </w:r>
          </w:p>
        </w:tc>
      </w:tr>
      <w:tr w:rsidR="00C76FFC" w:rsidRPr="00856A69" w14:paraId="4FF3CE93" w14:textId="77777777" w:rsidTr="003651A1">
        <w:tc>
          <w:tcPr>
            <w:tcW w:w="3545" w:type="dxa"/>
          </w:tcPr>
          <w:p w14:paraId="1FE9E9FB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Recurrence recorded</w:t>
            </w:r>
          </w:p>
        </w:tc>
        <w:tc>
          <w:tcPr>
            <w:tcW w:w="1984" w:type="dxa"/>
          </w:tcPr>
          <w:p w14:paraId="6BC1FB20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color w:val="000000"/>
                <w:sz w:val="22"/>
                <w:szCs w:val="22"/>
              </w:rPr>
              <w:t>10 (27.8%)</w:t>
            </w:r>
          </w:p>
        </w:tc>
        <w:tc>
          <w:tcPr>
            <w:tcW w:w="1985" w:type="dxa"/>
          </w:tcPr>
          <w:p w14:paraId="0BCBFCA1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color w:val="000000"/>
                <w:sz w:val="22"/>
                <w:szCs w:val="22"/>
              </w:rPr>
              <w:t>6 (27.2%)</w:t>
            </w:r>
          </w:p>
        </w:tc>
        <w:tc>
          <w:tcPr>
            <w:tcW w:w="2126" w:type="dxa"/>
          </w:tcPr>
          <w:p w14:paraId="2BA765A9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color w:val="000000"/>
                <w:sz w:val="22"/>
                <w:szCs w:val="22"/>
              </w:rPr>
              <w:t>12 (38.7%)</w:t>
            </w:r>
          </w:p>
        </w:tc>
      </w:tr>
      <w:tr w:rsidR="00C76FFC" w:rsidRPr="00856A69" w14:paraId="26A0231B" w14:textId="77777777" w:rsidTr="00C76FFC">
        <w:tc>
          <w:tcPr>
            <w:tcW w:w="3545" w:type="dxa"/>
            <w:shd w:val="clear" w:color="auto" w:fill="D9D9D9" w:themeFill="background1" w:themeFillShade="D9"/>
          </w:tcPr>
          <w:p w14:paraId="5748B07F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Alive without disease recurrence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AA7E2D6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color w:val="000000"/>
                <w:sz w:val="22"/>
                <w:szCs w:val="22"/>
              </w:rPr>
              <w:t>24 (66.7%)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5B5F865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color w:val="000000"/>
                <w:sz w:val="22"/>
                <w:szCs w:val="22"/>
              </w:rPr>
              <w:t>10 (45.5%)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1070D90" w14:textId="77777777" w:rsidR="00C76FFC" w:rsidRPr="00856A69" w:rsidRDefault="00C76FFC" w:rsidP="003651A1">
            <w:pPr>
              <w:spacing w:line="480" w:lineRule="auto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9">
              <w:rPr>
                <w:rFonts w:ascii="Calibri" w:hAnsi="Calibri" w:cs="Calibri"/>
                <w:color w:val="000000"/>
                <w:sz w:val="22"/>
                <w:szCs w:val="22"/>
              </w:rPr>
              <w:t>19 (61.3%)</w:t>
            </w:r>
          </w:p>
        </w:tc>
      </w:tr>
    </w:tbl>
    <w:p w14:paraId="415DAD4E" w14:textId="77777777" w:rsidR="00C76FFC" w:rsidRPr="00FD2291" w:rsidRDefault="00C76FFC" w:rsidP="00A55182">
      <w:pPr>
        <w:pStyle w:val="NoSpacing"/>
        <w:rPr>
          <w:lang w:val="en-US"/>
        </w:rPr>
      </w:pPr>
    </w:p>
    <w:sectPr w:rsidR="00C76FFC" w:rsidRPr="00FD2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82"/>
    <w:rsid w:val="000F22E7"/>
    <w:rsid w:val="00115C0B"/>
    <w:rsid w:val="00254960"/>
    <w:rsid w:val="002732F0"/>
    <w:rsid w:val="002D52CF"/>
    <w:rsid w:val="00383BCF"/>
    <w:rsid w:val="003B361D"/>
    <w:rsid w:val="004904F2"/>
    <w:rsid w:val="00494745"/>
    <w:rsid w:val="005D2D29"/>
    <w:rsid w:val="00633E55"/>
    <w:rsid w:val="00782535"/>
    <w:rsid w:val="0082478D"/>
    <w:rsid w:val="009458B1"/>
    <w:rsid w:val="0098391B"/>
    <w:rsid w:val="00A335F7"/>
    <w:rsid w:val="00A55182"/>
    <w:rsid w:val="00A761E2"/>
    <w:rsid w:val="00AB7ED8"/>
    <w:rsid w:val="00B51F24"/>
    <w:rsid w:val="00B63C70"/>
    <w:rsid w:val="00C76FFC"/>
    <w:rsid w:val="00D35D57"/>
    <w:rsid w:val="00D42DB8"/>
    <w:rsid w:val="00E15FCB"/>
    <w:rsid w:val="00EE4AD9"/>
    <w:rsid w:val="00F1527A"/>
    <w:rsid w:val="00F24A36"/>
    <w:rsid w:val="00F350D4"/>
    <w:rsid w:val="00FB7BF9"/>
    <w:rsid w:val="00F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B053C"/>
  <w15:chartTrackingRefBased/>
  <w15:docId w15:val="{11DE05BB-C19E-4707-A368-D49C1384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A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1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1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18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18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18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18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18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18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18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1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1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1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1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1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1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1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1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5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1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51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182"/>
    <w:pPr>
      <w:spacing w:before="160" w:after="160" w:line="259" w:lineRule="auto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5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182"/>
    <w:pPr>
      <w:spacing w:after="160" w:line="259" w:lineRule="auto"/>
      <w:ind w:left="720"/>
      <w:contextualSpacing/>
    </w:pPr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5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18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55182"/>
    <w:pPr>
      <w:spacing w:before="100" w:beforeAutospacing="1" w:after="100" w:afterAutospacing="1" w:line="288" w:lineRule="auto"/>
    </w:pPr>
    <w:rPr>
      <w:sz w:val="21"/>
      <w:szCs w:val="21"/>
    </w:rPr>
  </w:style>
  <w:style w:type="table" w:styleId="GridTable2">
    <w:name w:val="Grid Table 2"/>
    <w:basedOn w:val="TableNormal"/>
    <w:uiPriority w:val="47"/>
    <w:rsid w:val="00A55182"/>
    <w:pPr>
      <w:spacing w:after="200" w:line="288" w:lineRule="auto"/>
    </w:pPr>
    <w:rPr>
      <w:rFonts w:asciiTheme="minorHAnsi" w:eastAsiaTheme="minorEastAsia" w:hAnsiTheme="minorHAnsi"/>
      <w:kern w:val="0"/>
      <w:sz w:val="21"/>
      <w:szCs w:val="21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A55182"/>
    <w:pPr>
      <w:spacing w:after="0" w:line="240" w:lineRule="auto"/>
    </w:pPr>
    <w:rPr>
      <w:rFonts w:asciiTheme="minorHAnsi" w:eastAsiaTheme="minorEastAsia" w:hAnsiTheme="minorHAnsi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FD2291"/>
    <w:pPr>
      <w:spacing w:after="200" w:line="288" w:lineRule="auto"/>
    </w:pPr>
    <w:rPr>
      <w:rFonts w:asciiTheme="minorHAnsi" w:eastAsiaTheme="minorEastAsia" w:hAnsiTheme="minorHAnsi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15FCB"/>
    <w:pPr>
      <w:spacing w:after="200"/>
    </w:pPr>
    <w:rPr>
      <w:rFonts w:asciiTheme="minorHAnsi" w:eastAsiaTheme="minorEastAsia" w:hAnsiTheme="minorHAnsi" w:cstheme="minorBidi"/>
      <w:i/>
      <w:iCs/>
      <w:color w:val="0E2841" w:themeColor="text2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F24A36"/>
    <w:rPr>
      <w:b/>
      <w:bCs/>
    </w:rPr>
  </w:style>
  <w:style w:type="table" w:styleId="GridTable7Colourful">
    <w:name w:val="Grid Table 7 Colorful"/>
    <w:basedOn w:val="TableNormal"/>
    <w:uiPriority w:val="52"/>
    <w:rsid w:val="00A335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06CA5C-1577-2545-8BDC-33ECF4B1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Fadel, Michael G G</dc:creator>
  <cp:keywords/>
  <dc:description/>
  <cp:lastModifiedBy>HESHAM MOHAMED</cp:lastModifiedBy>
  <cp:revision>3</cp:revision>
  <dcterms:created xsi:type="dcterms:W3CDTF">2025-12-09T22:43:00Z</dcterms:created>
  <dcterms:modified xsi:type="dcterms:W3CDTF">2025-12-09T23:01:00Z</dcterms:modified>
</cp:coreProperties>
</file>