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732574" w14:textId="352F7BD5" w:rsidR="002B7A3D" w:rsidRPr="00BD2FEE" w:rsidRDefault="002B7A3D" w:rsidP="00437FD9">
      <w:pPr>
        <w:pStyle w:val="Titre1"/>
        <w:rPr>
          <w:lang w:val="en-CA"/>
        </w:rPr>
      </w:pPr>
      <w:r w:rsidRPr="00BD2FEE">
        <w:rPr>
          <w:lang w:val="en-CA"/>
        </w:rPr>
        <w:t>Supplementa</w:t>
      </w:r>
      <w:r w:rsidR="00B530BD" w:rsidRPr="00BD2FEE">
        <w:rPr>
          <w:lang w:val="en-CA"/>
        </w:rPr>
        <w:t>ry</w:t>
      </w:r>
      <w:r w:rsidRPr="00BD2FEE">
        <w:rPr>
          <w:lang w:val="en-CA"/>
        </w:rPr>
        <w:t xml:space="preserve"> Figures</w:t>
      </w:r>
    </w:p>
    <w:p w14:paraId="1E709468" w14:textId="77777777" w:rsidR="002B7A3D" w:rsidRPr="002B7A3D" w:rsidRDefault="002B7A3D" w:rsidP="002B7A3D">
      <w:pPr>
        <w:spacing w:after="0" w:line="240" w:lineRule="auto"/>
        <w:rPr>
          <w:rFonts w:ascii="Times New Roman" w:eastAsia="Times New Roman" w:hAnsi="Times New Roman" w:cs="Times New Roman"/>
          <w:kern w:val="0"/>
          <w:lang w:val="en-CA" w:eastAsia="fr-CA"/>
          <w14:ligatures w14:val="none"/>
        </w:rPr>
      </w:pPr>
    </w:p>
    <w:p w14:paraId="129EF200" w14:textId="0BDA9279" w:rsidR="002B7A3D" w:rsidRPr="0020171A" w:rsidRDefault="00B85BB5" w:rsidP="0020171A">
      <w:pPr>
        <w:spacing w:after="0" w:line="240" w:lineRule="auto"/>
        <w:jc w:val="both"/>
        <w:rPr>
          <w:rFonts w:ascii="Times New Roman" w:eastAsia="Times New Roman" w:hAnsi="Times New Roman" w:cs="Times New Roman"/>
          <w:kern w:val="0"/>
          <w:lang w:val="en-CA" w:eastAsia="fr-CA"/>
          <w14:ligatures w14:val="none"/>
        </w:rPr>
      </w:pPr>
      <w:r>
        <w:rPr>
          <w:rFonts w:ascii="Arial" w:eastAsia="Times New Roman" w:hAnsi="Arial" w:cs="Arial"/>
          <w:b/>
          <w:bCs/>
          <w:noProof/>
          <w:color w:val="000000"/>
          <w:kern w:val="0"/>
          <w:sz w:val="22"/>
          <w:szCs w:val="22"/>
          <w:lang w:val="en-CA" w:eastAsia="fr-CA"/>
        </w:rPr>
        <w:drawing>
          <wp:inline distT="0" distB="0" distL="0" distR="0" wp14:anchorId="60EC18DE" wp14:editId="169B9793">
            <wp:extent cx="6400800" cy="7216140"/>
            <wp:effectExtent l="0" t="0" r="0" b="0"/>
            <wp:docPr id="189913315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33155" name="Graphique 1899133155"/>
                    <pic:cNvPicPr/>
                  </pic:nvPicPr>
                  <pic:blipFill>
                    <a:blip r:embed="rId7">
                      <a:extLst>
                        <a:ext uri="{96DAC541-7B7A-43D3-8B79-37D633B846F1}">
                          <asvg:svgBlip xmlns:asvg="http://schemas.microsoft.com/office/drawing/2016/SVG/main" r:embed="rId8"/>
                        </a:ext>
                      </a:extLst>
                    </a:blip>
                    <a:stretch>
                      <a:fillRect/>
                    </a:stretch>
                  </pic:blipFill>
                  <pic:spPr>
                    <a:xfrm>
                      <a:off x="0" y="0"/>
                      <a:ext cx="6400800" cy="7216140"/>
                    </a:xfrm>
                    <a:prstGeom prst="rect">
                      <a:avLst/>
                    </a:prstGeom>
                  </pic:spPr>
                </pic:pic>
              </a:graphicData>
            </a:graphic>
          </wp:inline>
        </w:drawing>
      </w:r>
      <w:r w:rsidR="002B7A3D" w:rsidRPr="0020171A">
        <w:rPr>
          <w:rFonts w:ascii="Arial" w:eastAsia="Times New Roman" w:hAnsi="Arial" w:cs="Arial"/>
          <w:b/>
          <w:bCs/>
          <w:color w:val="000000"/>
          <w:kern w:val="0"/>
          <w:sz w:val="22"/>
          <w:szCs w:val="22"/>
          <w:lang w:val="en-CA" w:eastAsia="fr-CA"/>
          <w14:ligatures w14:val="none"/>
        </w:rPr>
        <w:t>Supp</w:t>
      </w:r>
      <w:r w:rsidR="001F6681">
        <w:rPr>
          <w:rFonts w:ascii="Arial" w:eastAsia="Times New Roman" w:hAnsi="Arial" w:cs="Arial"/>
          <w:b/>
          <w:bCs/>
          <w:color w:val="000000"/>
          <w:kern w:val="0"/>
          <w:sz w:val="22"/>
          <w:szCs w:val="22"/>
          <w:lang w:val="en-CA" w:eastAsia="fr-CA"/>
          <w14:ligatures w14:val="none"/>
        </w:rPr>
        <w:t>lementary</w:t>
      </w:r>
      <w:r w:rsidR="002B7A3D" w:rsidRPr="0020171A">
        <w:rPr>
          <w:rFonts w:ascii="Arial" w:eastAsia="Times New Roman" w:hAnsi="Arial" w:cs="Arial"/>
          <w:b/>
          <w:bCs/>
          <w:color w:val="000000"/>
          <w:kern w:val="0"/>
          <w:sz w:val="22"/>
          <w:szCs w:val="22"/>
          <w:lang w:val="en-CA" w:eastAsia="fr-CA"/>
          <w14:ligatures w14:val="none"/>
        </w:rPr>
        <w:t xml:space="preserve"> Figure </w:t>
      </w:r>
      <w:r w:rsidR="007E564F">
        <w:rPr>
          <w:rFonts w:ascii="Arial" w:eastAsia="Times New Roman" w:hAnsi="Arial" w:cs="Arial"/>
          <w:b/>
          <w:bCs/>
          <w:color w:val="000000"/>
          <w:kern w:val="0"/>
          <w:sz w:val="22"/>
          <w:szCs w:val="22"/>
          <w:lang w:val="en-CA" w:eastAsia="fr-CA"/>
          <w14:ligatures w14:val="none"/>
        </w:rPr>
        <w:t>1</w:t>
      </w:r>
      <w:r w:rsidR="002B7A3D" w:rsidRPr="002B7A3D">
        <w:rPr>
          <w:rFonts w:ascii="Arial" w:eastAsia="Times New Roman" w:hAnsi="Arial" w:cs="Arial"/>
          <w:color w:val="000000"/>
          <w:kern w:val="0"/>
          <w:sz w:val="22"/>
          <w:szCs w:val="22"/>
          <w:lang w:val="en-CA" w:eastAsia="fr-CA"/>
          <w14:ligatures w14:val="none"/>
        </w:rPr>
        <w:t xml:space="preserve">: </w:t>
      </w:r>
      <w:r w:rsidR="002B7A3D" w:rsidRPr="00330F2F">
        <w:rPr>
          <w:rFonts w:ascii="Arial" w:eastAsia="Times New Roman" w:hAnsi="Arial" w:cs="Arial"/>
          <w:b/>
          <w:bCs/>
          <w:color w:val="000000"/>
          <w:kern w:val="0"/>
          <w:sz w:val="22"/>
          <w:szCs w:val="22"/>
          <w:lang w:val="en-CA" w:eastAsia="fr-CA"/>
          <w14:ligatures w14:val="none"/>
        </w:rPr>
        <w:t xml:space="preserve">Distributions </w:t>
      </w:r>
      <w:r w:rsidR="00330F2F" w:rsidRPr="00330F2F">
        <w:rPr>
          <w:rFonts w:ascii="Arial" w:eastAsia="Times New Roman" w:hAnsi="Arial" w:cs="Arial"/>
          <w:b/>
          <w:bCs/>
          <w:color w:val="000000"/>
          <w:kern w:val="0"/>
          <w:sz w:val="22"/>
          <w:szCs w:val="22"/>
          <w:lang w:val="en-CA" w:eastAsia="fr-CA"/>
          <w14:ligatures w14:val="none"/>
        </w:rPr>
        <w:t>of s</w:t>
      </w:r>
      <w:r w:rsidR="002B7A3D" w:rsidRPr="00330F2F">
        <w:rPr>
          <w:rFonts w:ascii="Arial" w:eastAsia="Times New Roman" w:hAnsi="Arial" w:cs="Arial"/>
          <w:b/>
          <w:bCs/>
          <w:color w:val="000000"/>
          <w:kern w:val="0"/>
          <w:sz w:val="22"/>
          <w:szCs w:val="22"/>
          <w:lang w:val="en-CA" w:eastAsia="fr-CA"/>
          <w14:ligatures w14:val="none"/>
        </w:rPr>
        <w:t xml:space="preserve">ensitivity and </w:t>
      </w:r>
      <w:r w:rsidR="00330F2F" w:rsidRPr="00330F2F">
        <w:rPr>
          <w:rFonts w:ascii="Arial" w:eastAsia="Times New Roman" w:hAnsi="Arial" w:cs="Arial"/>
          <w:b/>
          <w:bCs/>
          <w:color w:val="000000"/>
          <w:kern w:val="0"/>
          <w:sz w:val="22"/>
          <w:szCs w:val="22"/>
          <w:lang w:val="en-CA" w:eastAsia="fr-CA"/>
          <w14:ligatures w14:val="none"/>
        </w:rPr>
        <w:t>specificity of multiple gene sets</w:t>
      </w:r>
      <w:r w:rsidR="002B7A3D" w:rsidRPr="00330F2F">
        <w:rPr>
          <w:rFonts w:ascii="Arial" w:eastAsia="Times New Roman" w:hAnsi="Arial" w:cs="Arial"/>
          <w:b/>
          <w:bCs/>
          <w:color w:val="000000"/>
          <w:kern w:val="0"/>
          <w:sz w:val="22"/>
          <w:szCs w:val="22"/>
          <w:lang w:val="en-CA" w:eastAsia="fr-CA"/>
          <w14:ligatures w14:val="none"/>
        </w:rPr>
        <w:t>.</w:t>
      </w:r>
      <w:r w:rsidR="00330F2F">
        <w:rPr>
          <w:rFonts w:ascii="Arial" w:eastAsia="Times New Roman" w:hAnsi="Arial" w:cs="Arial"/>
          <w:b/>
          <w:bCs/>
          <w:color w:val="000000"/>
          <w:kern w:val="0"/>
          <w:sz w:val="22"/>
          <w:szCs w:val="22"/>
          <w:lang w:val="en-CA" w:eastAsia="fr-CA"/>
          <w14:ligatures w14:val="none"/>
        </w:rPr>
        <w:t xml:space="preserve"> </w:t>
      </w:r>
      <w:r w:rsidR="001F6681" w:rsidRPr="001F6681">
        <w:rPr>
          <w:rFonts w:ascii="Arial" w:eastAsia="Times New Roman" w:hAnsi="Arial" w:cs="Arial"/>
          <w:color w:val="000000"/>
          <w:kern w:val="0"/>
          <w:sz w:val="22"/>
          <w:szCs w:val="22"/>
          <w:lang w:val="en-CA" w:eastAsia="fr-CA"/>
          <w14:ligatures w14:val="none"/>
        </w:rPr>
        <w:lastRenderedPageBreak/>
        <w:t>Distribution of the maximum sensitivity</w:t>
      </w:r>
      <w:r>
        <w:rPr>
          <w:rFonts w:ascii="Arial" w:eastAsia="Times New Roman" w:hAnsi="Arial" w:cs="Arial"/>
          <w:color w:val="000000"/>
          <w:kern w:val="0"/>
          <w:sz w:val="22"/>
          <w:szCs w:val="22"/>
          <w:lang w:val="en-CA" w:eastAsia="fr-CA"/>
          <w14:ligatures w14:val="none"/>
        </w:rPr>
        <w:t xml:space="preserve"> (A), specificity</w:t>
      </w:r>
      <w:r w:rsidR="001F6681" w:rsidRPr="001F6681">
        <w:rPr>
          <w:rFonts w:ascii="Arial" w:eastAsia="Times New Roman" w:hAnsi="Arial" w:cs="Arial"/>
          <w:color w:val="000000"/>
          <w:kern w:val="0"/>
          <w:sz w:val="22"/>
          <w:szCs w:val="22"/>
          <w:lang w:val="en-CA" w:eastAsia="fr-CA"/>
          <w14:ligatures w14:val="none"/>
        </w:rPr>
        <w:t xml:space="preserve"> (B)</w:t>
      </w:r>
      <w:r>
        <w:rPr>
          <w:rFonts w:ascii="Arial" w:eastAsia="Times New Roman" w:hAnsi="Arial" w:cs="Arial"/>
          <w:color w:val="000000"/>
          <w:kern w:val="0"/>
          <w:sz w:val="22"/>
          <w:szCs w:val="22"/>
          <w:lang w:val="en-CA" w:eastAsia="fr-CA"/>
          <w14:ligatures w14:val="none"/>
        </w:rPr>
        <w:t xml:space="preserve"> and the resulting AUC (C)</w:t>
      </w:r>
      <w:r w:rsidR="001F6681" w:rsidRPr="001F6681">
        <w:rPr>
          <w:rFonts w:ascii="Arial" w:eastAsia="Times New Roman" w:hAnsi="Arial" w:cs="Arial"/>
          <w:color w:val="000000"/>
          <w:kern w:val="0"/>
          <w:sz w:val="22"/>
          <w:szCs w:val="22"/>
          <w:lang w:val="en-CA" w:eastAsia="fr-CA"/>
          <w14:ligatures w14:val="none"/>
        </w:rPr>
        <w:t xml:space="preserve"> distribution of the maximum specificity </w:t>
      </w:r>
      <w:r w:rsidR="00330F2F" w:rsidRPr="00330F2F">
        <w:rPr>
          <w:rFonts w:ascii="Arial" w:eastAsia="Times New Roman" w:hAnsi="Arial" w:cs="Arial"/>
          <w:color w:val="000000"/>
          <w:kern w:val="0"/>
          <w:sz w:val="22"/>
          <w:szCs w:val="22"/>
          <w:lang w:val="en-CA" w:eastAsia="fr-CA"/>
          <w14:ligatures w14:val="none"/>
        </w:rPr>
        <w:t xml:space="preserve">computed across the 91 developmental cell types identified in the </w:t>
      </w:r>
      <w:proofErr w:type="spellStart"/>
      <w:r w:rsidR="00330F2F" w:rsidRPr="00330F2F">
        <w:rPr>
          <w:rFonts w:ascii="Arial" w:eastAsia="Times New Roman" w:hAnsi="Arial" w:cs="Arial"/>
          <w:color w:val="000000"/>
          <w:kern w:val="0"/>
          <w:sz w:val="22"/>
          <w:szCs w:val="22"/>
          <w:lang w:val="en-CA" w:eastAsia="fr-CA"/>
          <w14:ligatures w14:val="none"/>
        </w:rPr>
        <w:t>snRNAseq</w:t>
      </w:r>
      <w:proofErr w:type="spellEnd"/>
      <w:r w:rsidR="00330F2F" w:rsidRPr="00330F2F">
        <w:rPr>
          <w:rFonts w:ascii="Arial" w:eastAsia="Times New Roman" w:hAnsi="Arial" w:cs="Arial"/>
          <w:color w:val="000000"/>
          <w:kern w:val="0"/>
          <w:sz w:val="22"/>
          <w:szCs w:val="22"/>
          <w:lang w:val="en-CA" w:eastAsia="fr-CA"/>
          <w14:ligatures w14:val="none"/>
        </w:rPr>
        <w:t xml:space="preserve"> dataset</w:t>
      </w:r>
      <w:r w:rsidR="00351DB2">
        <w:rPr>
          <w:rFonts w:ascii="Arial" w:eastAsia="Times New Roman" w:hAnsi="Arial" w:cs="Arial"/>
          <w:color w:val="000000"/>
          <w:kern w:val="0"/>
          <w:sz w:val="22"/>
          <w:szCs w:val="22"/>
          <w:lang w:val="en-CA" w:eastAsia="fr-CA"/>
          <w14:ligatures w14:val="none"/>
        </w:rPr>
        <w:fldChar w:fldCharType="begin"/>
      </w:r>
      <w:r w:rsidR="00204F22">
        <w:rPr>
          <w:rFonts w:ascii="Arial" w:eastAsia="Times New Roman" w:hAnsi="Arial" w:cs="Arial"/>
          <w:color w:val="000000"/>
          <w:kern w:val="0"/>
          <w:sz w:val="22"/>
          <w:szCs w:val="22"/>
          <w:lang w:val="en-CA" w:eastAsia="fr-CA"/>
          <w14:ligatures w14:val="none"/>
        </w:rPr>
        <w:instrText xml:space="preserve"> ADDIN ZOTERO_ITEM CSL_CITATION {"citationID":"qJLfiR8z","properties":{"formattedCitation":"[1]","plainCitation":"[1]","noteIndex":0},"citationItems":[{"id":1,"uris":["http://zotero.org/users/local/RvSwZZvB/items/YVM4RUFZ"],"itemData":{"id":1,"type":"article-journal","container-title":"Cell","DOI":"10.1016/j.cell.2022.09.039","ISSN":"00928674","issue":"23","journalAbbreviation":"Cell","language":"en","page":"4428-4447.e28","source":"DOI.org (Crossref)","title":"Human prefrontal cortex gene regulatory dynamics from gestation to adulthood at single-cell resolution","volume":"185","author":[{"family":"Herring","given":"Charles A."},{"family":"Simmons","given":"Rebecca K."},{"family":"Freytag","given":"Saskia"},{"family":"Poppe","given":"Daniel"},{"family":"Moffet","given":"Joel J.D."},{"family":"Pflueger","given":"Jahnvi"},{"family":"Buckberry","given":"Sam"},{"family":"Vargas-Landin","given":"Dulce B."},{"family":"Clément","given":"Olivier"},{"family":"Echeverría","given":"Enrique Goñi"},{"family":"Sutton","given":"Gavin J."},{"family":"Alvarez-Franco","given":"Alba"},{"family":"Hou","given":"Rui"},{"family":"Pflueger","given":"Christian"},{"family":"McDonald","given":"Kerrie"},{"family":"Polo","given":"Jose M."},{"family":"Forrest","given":"Alistair R.R."},{"family":"Nowak","given":"Anna K."},{"family":"Voineagu","given":"Irina"},{"family":"Martelotto","given":"Luciano"},{"family":"Lister","given":"Ryan"}],"issued":{"date-parts":[["2022",11]]}}}],"schema":"https://github.com/citation-style-language/schema/raw/master/csl-citation.json"} </w:instrText>
      </w:r>
      <w:r w:rsidR="00351DB2">
        <w:rPr>
          <w:rFonts w:ascii="Arial" w:eastAsia="Times New Roman" w:hAnsi="Arial" w:cs="Arial"/>
          <w:color w:val="000000"/>
          <w:kern w:val="0"/>
          <w:sz w:val="22"/>
          <w:szCs w:val="22"/>
          <w:lang w:val="en-CA" w:eastAsia="fr-CA"/>
          <w14:ligatures w14:val="none"/>
        </w:rPr>
        <w:fldChar w:fldCharType="separate"/>
      </w:r>
      <w:r w:rsidR="00204F22">
        <w:rPr>
          <w:rFonts w:ascii="Arial" w:eastAsia="Times New Roman" w:hAnsi="Arial" w:cs="Arial"/>
          <w:noProof/>
          <w:color w:val="000000"/>
          <w:kern w:val="0"/>
          <w:sz w:val="22"/>
          <w:szCs w:val="22"/>
          <w:lang w:val="en-CA" w:eastAsia="fr-CA"/>
          <w14:ligatures w14:val="none"/>
        </w:rPr>
        <w:t>[1]</w:t>
      </w:r>
      <w:r w:rsidR="00351DB2">
        <w:rPr>
          <w:rFonts w:ascii="Arial" w:eastAsia="Times New Roman" w:hAnsi="Arial" w:cs="Arial"/>
          <w:color w:val="000000"/>
          <w:kern w:val="0"/>
          <w:sz w:val="22"/>
          <w:szCs w:val="22"/>
          <w:lang w:val="en-CA" w:eastAsia="fr-CA"/>
          <w14:ligatures w14:val="none"/>
        </w:rPr>
        <w:fldChar w:fldCharType="end"/>
      </w:r>
      <w:r w:rsidR="00330F2F" w:rsidRPr="00330F2F">
        <w:rPr>
          <w:rFonts w:ascii="Arial" w:eastAsia="Times New Roman" w:hAnsi="Arial" w:cs="Arial"/>
          <w:color w:val="000000"/>
          <w:kern w:val="0"/>
          <w:sz w:val="22"/>
          <w:szCs w:val="22"/>
          <w:lang w:val="en-CA" w:eastAsia="fr-CA"/>
          <w14:ligatures w14:val="none"/>
        </w:rPr>
        <w:t>.</w:t>
      </w:r>
      <w:r w:rsidR="00330F2F">
        <w:rPr>
          <w:rFonts w:ascii="Arial" w:eastAsia="Times New Roman" w:hAnsi="Arial" w:cs="Arial"/>
          <w:color w:val="000000"/>
          <w:kern w:val="0"/>
          <w:sz w:val="22"/>
          <w:szCs w:val="22"/>
          <w:lang w:val="en-CA" w:eastAsia="fr-CA"/>
          <w14:ligatures w14:val="none"/>
        </w:rPr>
        <w:t xml:space="preserve"> </w:t>
      </w:r>
      <w:r w:rsidR="0020171A">
        <w:rPr>
          <w:rFonts w:ascii="Arial" w:eastAsia="Times New Roman" w:hAnsi="Arial" w:cs="Arial"/>
          <w:color w:val="000000"/>
          <w:kern w:val="0"/>
          <w:sz w:val="22"/>
          <w:szCs w:val="22"/>
          <w:lang w:val="en-CA" w:eastAsia="fr-CA"/>
          <w14:ligatures w14:val="none"/>
        </w:rPr>
        <w:t>Medians are depicted by black</w:t>
      </w:r>
      <w:r w:rsidR="00330F2F">
        <w:rPr>
          <w:rFonts w:ascii="Arial" w:eastAsia="Times New Roman" w:hAnsi="Arial" w:cs="Arial"/>
          <w:color w:val="000000"/>
          <w:kern w:val="0"/>
          <w:sz w:val="22"/>
          <w:szCs w:val="22"/>
          <w:lang w:val="en-CA" w:eastAsia="fr-CA"/>
          <w14:ligatures w14:val="none"/>
        </w:rPr>
        <w:t xml:space="preserve"> lines</w:t>
      </w:r>
      <w:r w:rsidR="00351DB2">
        <w:rPr>
          <w:rFonts w:ascii="Arial" w:eastAsia="Times New Roman" w:hAnsi="Arial" w:cs="Arial"/>
          <w:color w:val="000000"/>
          <w:kern w:val="0"/>
          <w:sz w:val="22"/>
          <w:szCs w:val="22"/>
          <w:lang w:val="en-CA" w:eastAsia="fr-CA"/>
          <w14:ligatures w14:val="none"/>
        </w:rPr>
        <w:t>.</w:t>
      </w:r>
      <w:r w:rsidR="00B87A83">
        <w:rPr>
          <w:rFonts w:ascii="Arial" w:eastAsia="Times New Roman" w:hAnsi="Arial" w:cs="Arial"/>
          <w:color w:val="000000"/>
          <w:kern w:val="0"/>
          <w:sz w:val="22"/>
          <w:szCs w:val="22"/>
          <w:lang w:val="en-CA" w:eastAsia="fr-CA"/>
          <w14:ligatures w14:val="none"/>
        </w:rPr>
        <w:t xml:space="preserve"> Brain expressed genes were by definition all the protein-coding genes with a sensitivity &gt; 0.1.</w:t>
      </w:r>
      <w:r w:rsidR="0020171A">
        <w:rPr>
          <w:rFonts w:ascii="Arial" w:eastAsia="Times New Roman" w:hAnsi="Arial" w:cs="Arial"/>
          <w:color w:val="000000"/>
          <w:kern w:val="0"/>
          <w:sz w:val="22"/>
          <w:szCs w:val="22"/>
          <w:lang w:val="en-CA" w:eastAsia="fr-CA"/>
          <w14:ligatures w14:val="none"/>
        </w:rPr>
        <w:t xml:space="preserve"> Intolerant genes correspond to the protein-coding genes with a LOEUF v4.1</w:t>
      </w:r>
      <w:r w:rsidR="0020171A">
        <w:rPr>
          <w:rFonts w:ascii="Arial" w:eastAsia="Times New Roman" w:hAnsi="Arial" w:cs="Arial"/>
          <w:color w:val="000000"/>
          <w:kern w:val="0"/>
          <w:sz w:val="22"/>
          <w:szCs w:val="22"/>
          <w:lang w:val="en-CA" w:eastAsia="fr-CA"/>
          <w14:ligatures w14:val="none"/>
        </w:rPr>
        <w:fldChar w:fldCharType="begin"/>
      </w:r>
      <w:r w:rsidR="00204F22">
        <w:rPr>
          <w:rFonts w:ascii="Arial" w:eastAsia="Times New Roman" w:hAnsi="Arial" w:cs="Arial"/>
          <w:color w:val="000000"/>
          <w:kern w:val="0"/>
          <w:sz w:val="22"/>
          <w:szCs w:val="22"/>
          <w:lang w:val="en-CA" w:eastAsia="fr-CA"/>
          <w14:ligatures w14:val="none"/>
        </w:rPr>
        <w:instrText xml:space="preserve"> ADDIN ZOTERO_ITEM CSL_CITATION {"citationID":"chbIDJwY","properties":{"formattedCitation":"[2]","plainCitation":"[2]","noteIndex":0},"citationItems":[{"id":83,"uris":["http://zotero.org/users/local/RvSwZZvB/items/ITI9SJ2M"],"itemData":{"id":83,"type":"article-journal","abstract":"Genetic variants that inactivate protein-coding genes are a powerful source of information about the phenotypic consequences of gene disruption: genes that are crucial for the function of an organism will be depleted of such variants in natural populations, whereas non-essential genes will tolerate their accumulation. However, predicted loss-of-function variants are enriched for annotation errors, and tend to be found at extremely low frequencies, so their analysis requires careful variant annotation and very large sample sizes1. Here we describe the aggregation of 125,748 exomes and 15,708 genomes from human sequencing studies into the Genome Aggregation Database (gnomAD). We identify 443,769 high-confidence predicted loss-of-function variants in this cohort after filtering for artefacts caused by sequencing and annotation errors. Using an improved model of human mutation rates, we classify human protein-coding genes along a spectrum that represents tolerance to inactivation, validate this classification using data from model organisms and engineered human cells, and show that it can be used to improve the power of gene discovery for both common and rare diseases.","container-title":"Nature","DOI":"10.1038/s41586-020-2308-7","ISSN":"1476-4687","issue":"7809","language":"en","license":"2020 The Author(s)","note":"publisher: Nature Publishing Group","page":"434-443","source":"www.nature.com","title":"The mutational constraint spectrum quantified from variation in 141,456 humans","volume":"581","author":[{"family":"Karczewski","given":"Konrad J."},{"family":"Francioli","given":"Laurent C."},{"family":"Tiao","given":"Grace"},{"family":"Cummings","given":"Beryl B."},{"family":"Alföldi","given":"Jessica"},{"family":"Wang","given":"Qingbo"},{"family":"Collins","given":"Ryan L."},{"family":"Laricchia","given":"Kristen M."},{"family":"Ganna","given":"Andrea"},{"family":"Birnbaum","given":"Daniel P."},{"family":"Gauthier","given":"Laura D."},{"family":"Brand","given":"Harrison"},{"family":"Solomonson","given":"Matthew"},{"family":"Watts","given":"Nicholas A."},{"family":"Rhodes","given":"Daniel"},{"family":"Singer-Berk","given":"Moriel"},{"family":"England","given":"Eleina M."},{"family":"Seaby","given":"Eleanor G."},{"family":"Kosmicki","given":"Jack A."},{"family":"Walters","given":"Raymond K."},{"family":"Tashman","given":"Katherine"},{"family":"Farjoun","given":"Yossi"},{"family":"Banks","given":"Eric"},{"family":"Poterba","given":"Timothy"},{"family":"Wang","given":"Arcturus"},{"family":"Seed","given":"Cotton"},{"family":"Whiffin","given":"Nicola"},{"family":"Chong","given":"Jessica X."},{"family":"Samocha","given":"Kaitlin E."},{"family":"Pierce-Hoffman","given":"Emma"},{"family":"Zappala","given":"Zachary"},{"family":"O’Donnell-Luria","given":"Anne H."},{"family":"Minikel","given":"Eric Vallabh"},{"family":"Weisburd","given":"Ben"},{"family":"Lek","given":"Monkol"},{"family":"Ware","given":"James S."},{"family":"Vittal","given":"Christopher"},{"family":"Armean","given":"Irina M."},{"family":"Bergelson","given":"Louis"},{"family":"Cibulskis","given":"Kristian"},{"family":"Connolly","given":"Kristen M."},{"family":"Covarrubias","given":"Miguel"},{"family":"Donnelly","given":"Stacey"},{"family":"Ferriera","given":"Steven"},{"family":"Gabriel","given":"Stacey"},{"family":"Gentry","given":"Jeff"},{"family":"Gupta","given":"Namrata"},{"family":"Jeandet","given":"Thibault"},{"family":"Kaplan","given":"Diane"},{"family":"Llanwarne","given":"Christopher"},{"family":"Munshi","given":"Ruchi"},{"family":"Novod","given":"Sam"},{"family":"Petrillo","given":"Nikelle"},{"family":"Roazen","given":"David"},{"family":"Ruano-Rubio","given":"Valentin"},{"family":"Saltzman","given":"Andrea"},{"family":"Schleicher","given":"Molly"},{"family":"Soto","given":"Jose"},{"family":"Tibbetts","given":"Kathleen"},{"family":"Tolonen","given":"Charlotte"},{"family":"Wade","given":"Gordon"},{"family":"Talkowski","given":"Michael E."},{"family":"Neale","given":"Benjamin M."},{"family":"Daly","given":"Mark J."},{"family":"MacArthur","given":"Daniel G."}],"issued":{"date-parts":[["2020",5]]}}}],"schema":"https://github.com/citation-style-language/schema/raw/master/csl-citation.json"} </w:instrText>
      </w:r>
      <w:r w:rsidR="0020171A">
        <w:rPr>
          <w:rFonts w:ascii="Arial" w:eastAsia="Times New Roman" w:hAnsi="Arial" w:cs="Arial"/>
          <w:color w:val="000000"/>
          <w:kern w:val="0"/>
          <w:sz w:val="22"/>
          <w:szCs w:val="22"/>
          <w:lang w:val="en-CA" w:eastAsia="fr-CA"/>
          <w14:ligatures w14:val="none"/>
        </w:rPr>
        <w:fldChar w:fldCharType="separate"/>
      </w:r>
      <w:r w:rsidR="00204F22">
        <w:rPr>
          <w:rFonts w:ascii="Arial" w:eastAsia="Times New Roman" w:hAnsi="Arial" w:cs="Arial"/>
          <w:noProof/>
          <w:color w:val="000000"/>
          <w:kern w:val="0"/>
          <w:sz w:val="22"/>
          <w:szCs w:val="22"/>
          <w:lang w:val="en-CA" w:eastAsia="fr-CA"/>
          <w14:ligatures w14:val="none"/>
        </w:rPr>
        <w:t>[2]</w:t>
      </w:r>
      <w:r w:rsidR="0020171A">
        <w:rPr>
          <w:rFonts w:ascii="Arial" w:eastAsia="Times New Roman" w:hAnsi="Arial" w:cs="Arial"/>
          <w:color w:val="000000"/>
          <w:kern w:val="0"/>
          <w:sz w:val="22"/>
          <w:szCs w:val="22"/>
          <w:lang w:val="en-CA" w:eastAsia="fr-CA"/>
          <w14:ligatures w14:val="none"/>
        </w:rPr>
        <w:fldChar w:fldCharType="end"/>
      </w:r>
      <w:r w:rsidR="0020171A">
        <w:rPr>
          <w:rFonts w:ascii="Arial" w:eastAsia="Times New Roman" w:hAnsi="Arial" w:cs="Arial"/>
          <w:color w:val="000000"/>
          <w:kern w:val="0"/>
          <w:sz w:val="22"/>
          <w:szCs w:val="22"/>
          <w:lang w:val="en-CA" w:eastAsia="fr-CA"/>
          <w14:ligatures w14:val="none"/>
        </w:rPr>
        <w:t xml:space="preserve"> &lt; 0.6 for their MANE transcript. Genes not detected in the brain and the ubiquitous (genes with a low cell type specificity) were extracted from the human proteome atlas (</w:t>
      </w:r>
      <w:hyperlink r:id="rId9" w:history="1">
        <w:r w:rsidR="0020171A" w:rsidRPr="005C2525">
          <w:rPr>
            <w:rStyle w:val="Hyperlien"/>
            <w:rFonts w:ascii="Arial" w:eastAsia="Times New Roman" w:hAnsi="Arial" w:cs="Arial"/>
            <w:kern w:val="0"/>
            <w:sz w:val="22"/>
            <w:szCs w:val="22"/>
            <w:lang w:val="en-CA" w:eastAsia="fr-CA"/>
            <w14:ligatures w14:val="none"/>
          </w:rPr>
          <w:t>https://www.proteinatlas.org/</w:t>
        </w:r>
      </w:hyperlink>
      <w:r w:rsidR="0020171A">
        <w:rPr>
          <w:rFonts w:ascii="Arial" w:eastAsia="Times New Roman" w:hAnsi="Arial" w:cs="Arial"/>
          <w:color w:val="000000"/>
          <w:kern w:val="0"/>
          <w:sz w:val="22"/>
          <w:szCs w:val="22"/>
          <w:lang w:val="en-CA" w:eastAsia="fr-CA"/>
          <w14:ligatures w14:val="none"/>
        </w:rPr>
        <w:t>). The marker genes are the one used to create the 18 cell types of the dataset</w:t>
      </w:r>
      <w:r w:rsidR="0020171A">
        <w:rPr>
          <w:rFonts w:ascii="Arial" w:eastAsia="Times New Roman" w:hAnsi="Arial" w:cs="Arial"/>
          <w:color w:val="000000"/>
          <w:kern w:val="0"/>
          <w:sz w:val="22"/>
          <w:szCs w:val="22"/>
          <w:lang w:val="en-CA" w:eastAsia="fr-CA"/>
          <w14:ligatures w14:val="none"/>
        </w:rPr>
        <w:fldChar w:fldCharType="begin"/>
      </w:r>
      <w:r w:rsidR="00204F22">
        <w:rPr>
          <w:rFonts w:ascii="Arial" w:eastAsia="Times New Roman" w:hAnsi="Arial" w:cs="Arial"/>
          <w:color w:val="000000"/>
          <w:kern w:val="0"/>
          <w:sz w:val="22"/>
          <w:szCs w:val="22"/>
          <w:lang w:val="en-CA" w:eastAsia="fr-CA"/>
          <w14:ligatures w14:val="none"/>
        </w:rPr>
        <w:instrText xml:space="preserve"> ADDIN ZOTERO_ITEM CSL_CITATION {"citationID":"WJKWua0a","properties":{"formattedCitation":"[1]","plainCitation":"[1]","noteIndex":0},"citationItems":[{"id":1,"uris":["http://zotero.org/users/local/RvSwZZvB/items/YVM4RUFZ"],"itemData":{"id":1,"type":"article-journal","container-title":"Cell","DOI":"10.1016/j.cell.2022.09.039","ISSN":"00928674","issue":"23","journalAbbreviation":"Cell","language":"en","page":"4428-4447.e28","source":"DOI.org (Crossref)","title":"Human prefrontal cortex gene regulatory dynamics from gestation to adulthood at single-cell resolution","volume":"185","author":[{"family":"Herring","given":"Charles A."},{"family":"Simmons","given":"Rebecca K."},{"family":"Freytag","given":"Saskia"},{"family":"Poppe","given":"Daniel"},{"family":"Moffet","given":"Joel J.D."},{"family":"Pflueger","given":"Jahnvi"},{"family":"Buckberry","given":"Sam"},{"family":"Vargas-Landin","given":"Dulce B."},{"family":"Clément","given":"Olivier"},{"family":"Echeverría","given":"Enrique Goñi"},{"family":"Sutton","given":"Gavin J."},{"family":"Alvarez-Franco","given":"Alba"},{"family":"Hou","given":"Rui"},{"family":"Pflueger","given":"Christian"},{"family":"McDonald","given":"Kerrie"},{"family":"Polo","given":"Jose M."},{"family":"Forrest","given":"Alistair R.R."},{"family":"Nowak","given":"Anna K."},{"family":"Voineagu","given":"Irina"},{"family":"Martelotto","given":"Luciano"},{"family":"Lister","given":"Ryan"}],"issued":{"date-parts":[["2022",11]]}}}],"schema":"https://github.com/citation-style-language/schema/raw/master/csl-citation.json"} </w:instrText>
      </w:r>
      <w:r w:rsidR="0020171A">
        <w:rPr>
          <w:rFonts w:ascii="Arial" w:eastAsia="Times New Roman" w:hAnsi="Arial" w:cs="Arial"/>
          <w:color w:val="000000"/>
          <w:kern w:val="0"/>
          <w:sz w:val="22"/>
          <w:szCs w:val="22"/>
          <w:lang w:val="en-CA" w:eastAsia="fr-CA"/>
          <w14:ligatures w14:val="none"/>
        </w:rPr>
        <w:fldChar w:fldCharType="separate"/>
      </w:r>
      <w:r w:rsidR="00204F22">
        <w:rPr>
          <w:rFonts w:ascii="Arial" w:eastAsia="Times New Roman" w:hAnsi="Arial" w:cs="Arial"/>
          <w:noProof/>
          <w:color w:val="000000"/>
          <w:kern w:val="0"/>
          <w:sz w:val="22"/>
          <w:szCs w:val="22"/>
          <w:lang w:val="en-CA" w:eastAsia="fr-CA"/>
          <w14:ligatures w14:val="none"/>
        </w:rPr>
        <w:t>[1]</w:t>
      </w:r>
      <w:r w:rsidR="0020171A">
        <w:rPr>
          <w:rFonts w:ascii="Arial" w:eastAsia="Times New Roman" w:hAnsi="Arial" w:cs="Arial"/>
          <w:color w:val="000000"/>
          <w:kern w:val="0"/>
          <w:sz w:val="22"/>
          <w:szCs w:val="22"/>
          <w:lang w:val="en-CA" w:eastAsia="fr-CA"/>
          <w14:ligatures w14:val="none"/>
        </w:rPr>
        <w:fldChar w:fldCharType="end"/>
      </w:r>
      <w:r w:rsidR="0020171A">
        <w:rPr>
          <w:rFonts w:ascii="Arial" w:eastAsia="Times New Roman" w:hAnsi="Arial" w:cs="Arial"/>
          <w:color w:val="000000"/>
          <w:kern w:val="0"/>
          <w:sz w:val="22"/>
          <w:szCs w:val="22"/>
          <w:lang w:val="en-CA" w:eastAsia="fr-CA"/>
          <w14:ligatures w14:val="none"/>
        </w:rPr>
        <w:t xml:space="preserve">. </w:t>
      </w:r>
      <w:r w:rsidR="00330F2F">
        <w:rPr>
          <w:rFonts w:ascii="Arial" w:eastAsia="Times New Roman" w:hAnsi="Arial" w:cs="Arial"/>
          <w:color w:val="000000"/>
          <w:kern w:val="0"/>
          <w:sz w:val="22"/>
          <w:szCs w:val="22"/>
          <w:lang w:val="en-CA" w:eastAsia="fr-CA"/>
          <w14:ligatures w14:val="none"/>
        </w:rPr>
        <w:t xml:space="preserve"> </w:t>
      </w:r>
    </w:p>
    <w:p w14:paraId="76B69395" w14:textId="77777777" w:rsidR="002B7A3D" w:rsidRDefault="002B7A3D" w:rsidP="002B7A3D">
      <w:pPr>
        <w:spacing w:after="0" w:line="240" w:lineRule="auto"/>
        <w:rPr>
          <w:rFonts w:ascii="Times New Roman" w:eastAsia="Times New Roman" w:hAnsi="Times New Roman" w:cs="Times New Roman"/>
          <w:kern w:val="0"/>
          <w:lang w:val="en-CA" w:eastAsia="fr-CA"/>
          <w14:ligatures w14:val="none"/>
        </w:rPr>
      </w:pPr>
    </w:p>
    <w:p w14:paraId="4C7AB64D" w14:textId="2743FF49" w:rsidR="007E564F" w:rsidRDefault="00CD0943" w:rsidP="007E564F">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drawing>
          <wp:inline distT="0" distB="0" distL="0" distR="0" wp14:anchorId="76A56DE1" wp14:editId="6EC54FAF">
            <wp:extent cx="6400800" cy="4483735"/>
            <wp:effectExtent l="0" t="0" r="0" b="0"/>
            <wp:docPr id="876903984"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903984" name="Graphique 876903984"/>
                    <pic:cNvPicPr/>
                  </pic:nvPicPr>
                  <pic:blipFill>
                    <a:blip r:embed="rId10">
                      <a:extLst>
                        <a:ext uri="{96DAC541-7B7A-43D3-8B79-37D633B846F1}">
                          <asvg:svgBlip xmlns:asvg="http://schemas.microsoft.com/office/drawing/2016/SVG/main" r:embed="rId11"/>
                        </a:ext>
                      </a:extLst>
                    </a:blip>
                    <a:stretch>
                      <a:fillRect/>
                    </a:stretch>
                  </pic:blipFill>
                  <pic:spPr>
                    <a:xfrm>
                      <a:off x="0" y="0"/>
                      <a:ext cx="6400800" cy="4483735"/>
                    </a:xfrm>
                    <a:prstGeom prst="rect">
                      <a:avLst/>
                    </a:prstGeom>
                  </pic:spPr>
                </pic:pic>
              </a:graphicData>
            </a:graphic>
          </wp:inline>
        </w:drawing>
      </w:r>
    </w:p>
    <w:p w14:paraId="1AB0972B" w14:textId="515B8B32" w:rsidR="007E564F" w:rsidRDefault="007E564F" w:rsidP="007E564F">
      <w:pPr>
        <w:spacing w:before="240" w:after="240" w:line="240" w:lineRule="auto"/>
        <w:jc w:val="both"/>
        <w:rPr>
          <w:rFonts w:ascii="Arial" w:eastAsia="Times New Roman" w:hAnsi="Arial" w:cs="Arial"/>
          <w:color w:val="000000"/>
          <w:kern w:val="0"/>
          <w:sz w:val="22"/>
          <w:szCs w:val="22"/>
          <w:lang w:val="en-CA" w:eastAsia="fr-CA"/>
          <w14:ligatures w14:val="none"/>
        </w:rPr>
      </w:pPr>
      <w:r w:rsidRPr="001F6681">
        <w:rPr>
          <w:rFonts w:ascii="Arial" w:eastAsia="Times New Roman" w:hAnsi="Arial" w:cs="Arial"/>
          <w:b/>
          <w:bCs/>
          <w:color w:val="000000"/>
          <w:kern w:val="0"/>
          <w:sz w:val="22"/>
          <w:szCs w:val="22"/>
          <w:lang w:val="en-CA" w:eastAsia="fr-CA"/>
          <w14:ligatures w14:val="none"/>
        </w:rPr>
        <w:t>Supp</w:t>
      </w:r>
      <w:r>
        <w:rPr>
          <w:rFonts w:ascii="Arial" w:eastAsia="Times New Roman" w:hAnsi="Arial" w:cs="Arial"/>
          <w:b/>
          <w:bCs/>
          <w:color w:val="000000"/>
          <w:kern w:val="0"/>
          <w:sz w:val="22"/>
          <w:szCs w:val="22"/>
          <w:lang w:val="en-CA" w:eastAsia="fr-CA"/>
          <w14:ligatures w14:val="none"/>
        </w:rPr>
        <w:t>lementary</w:t>
      </w:r>
      <w:r w:rsidRPr="001F6681">
        <w:rPr>
          <w:rFonts w:ascii="Arial" w:eastAsia="Times New Roman" w:hAnsi="Arial" w:cs="Arial"/>
          <w:b/>
          <w:bCs/>
          <w:color w:val="000000"/>
          <w:kern w:val="0"/>
          <w:sz w:val="22"/>
          <w:szCs w:val="22"/>
          <w:lang w:val="en-CA" w:eastAsia="fr-CA"/>
          <w14:ligatures w14:val="none"/>
        </w:rPr>
        <w:t xml:space="preserve"> Figure </w:t>
      </w:r>
      <w:r>
        <w:rPr>
          <w:rFonts w:ascii="Arial" w:eastAsia="Times New Roman" w:hAnsi="Arial" w:cs="Arial"/>
          <w:b/>
          <w:bCs/>
          <w:color w:val="000000"/>
          <w:kern w:val="0"/>
          <w:sz w:val="22"/>
          <w:szCs w:val="22"/>
          <w:lang w:val="en-CA" w:eastAsia="fr-CA"/>
          <w14:ligatures w14:val="none"/>
        </w:rPr>
        <w:t>2</w:t>
      </w:r>
      <w:r w:rsidRPr="001F6681">
        <w:rPr>
          <w:rFonts w:ascii="Arial" w:eastAsia="Times New Roman" w:hAnsi="Arial" w:cs="Arial"/>
          <w:b/>
          <w:bCs/>
          <w:color w:val="000000"/>
          <w:kern w:val="0"/>
          <w:sz w:val="22"/>
          <w:szCs w:val="22"/>
          <w:lang w:val="en-CA" w:eastAsia="fr-CA"/>
          <w14:ligatures w14:val="none"/>
        </w:rPr>
        <w:t>:</w:t>
      </w:r>
      <w:r w:rsidRPr="002B7A3D">
        <w:rPr>
          <w:rFonts w:ascii="Arial" w:eastAsia="Times New Roman" w:hAnsi="Arial" w:cs="Arial"/>
          <w:color w:val="000000"/>
          <w:kern w:val="0"/>
          <w:sz w:val="22"/>
          <w:szCs w:val="22"/>
          <w:lang w:val="en-CA" w:eastAsia="fr-CA"/>
          <w14:ligatures w14:val="none"/>
        </w:rPr>
        <w:t xml:space="preserve"> </w:t>
      </w:r>
      <w:r w:rsidRPr="00330F2F">
        <w:rPr>
          <w:rFonts w:ascii="Arial" w:eastAsia="Times New Roman" w:hAnsi="Arial" w:cs="Arial"/>
          <w:b/>
          <w:bCs/>
          <w:color w:val="000000"/>
          <w:kern w:val="0"/>
          <w:sz w:val="22"/>
          <w:szCs w:val="22"/>
          <w:lang w:val="en-CA" w:eastAsia="fr-CA"/>
          <w14:ligatures w14:val="none"/>
        </w:rPr>
        <w:t>Distribution of the high-confidence ASD genes</w:t>
      </w:r>
      <w:r>
        <w:rPr>
          <w:rFonts w:ascii="Arial" w:eastAsia="Times New Roman" w:hAnsi="Arial" w:cs="Arial"/>
          <w:b/>
          <w:bCs/>
          <w:color w:val="000000"/>
          <w:kern w:val="0"/>
          <w:sz w:val="22"/>
          <w:szCs w:val="22"/>
          <w:lang w:val="en-CA" w:eastAsia="fr-CA"/>
          <w14:ligatures w14:val="none"/>
        </w:rPr>
        <w:t xml:space="preserve">. </w:t>
      </w:r>
      <w:r w:rsidRPr="00330F2F">
        <w:rPr>
          <w:rFonts w:ascii="Arial" w:eastAsia="Times New Roman" w:hAnsi="Arial" w:cs="Arial"/>
          <w:color w:val="000000"/>
          <w:kern w:val="0"/>
          <w:sz w:val="22"/>
          <w:szCs w:val="22"/>
          <w:lang w:val="en-CA" w:eastAsia="fr-CA"/>
          <w14:ligatures w14:val="none"/>
        </w:rPr>
        <w:t xml:space="preserve">Upset plot representing where the 283 </w:t>
      </w:r>
      <w:proofErr w:type="spellStart"/>
      <w:r w:rsidRPr="00330F2F">
        <w:rPr>
          <w:rFonts w:ascii="Arial" w:eastAsia="Times New Roman" w:hAnsi="Arial" w:cs="Arial"/>
          <w:color w:val="000000"/>
          <w:kern w:val="0"/>
          <w:sz w:val="22"/>
          <w:szCs w:val="22"/>
          <w:lang w:val="en-CA" w:eastAsia="fr-CA"/>
          <w14:ligatures w14:val="none"/>
        </w:rPr>
        <w:t>hcASD</w:t>
      </w:r>
      <w:proofErr w:type="spellEnd"/>
      <w:r w:rsidRPr="00330F2F">
        <w:rPr>
          <w:rFonts w:ascii="Arial" w:eastAsia="Times New Roman" w:hAnsi="Arial" w:cs="Arial"/>
          <w:color w:val="000000"/>
          <w:kern w:val="0"/>
          <w:sz w:val="22"/>
          <w:szCs w:val="22"/>
          <w:lang w:val="en-CA" w:eastAsia="fr-CA"/>
          <w14:ligatures w14:val="none"/>
        </w:rPr>
        <w:t xml:space="preserve"> genes are coming from as well as the overlap between the 3 sources</w:t>
      </w:r>
      <w:r>
        <w:rPr>
          <w:rFonts w:ascii="Arial" w:eastAsia="Times New Roman" w:hAnsi="Arial" w:cs="Arial"/>
          <w:color w:val="000000"/>
          <w:kern w:val="0"/>
          <w:sz w:val="22"/>
          <w:szCs w:val="22"/>
          <w:lang w:val="en-CA" w:eastAsia="fr-CA"/>
          <w14:ligatures w14:val="none"/>
        </w:rPr>
        <w:fldChar w:fldCharType="begin"/>
      </w:r>
      <w:r w:rsidR="00204F22">
        <w:rPr>
          <w:rFonts w:ascii="Arial" w:eastAsia="Times New Roman" w:hAnsi="Arial" w:cs="Arial"/>
          <w:color w:val="000000"/>
          <w:kern w:val="0"/>
          <w:sz w:val="22"/>
          <w:szCs w:val="22"/>
          <w:lang w:val="en-CA" w:eastAsia="fr-CA"/>
          <w14:ligatures w14:val="none"/>
        </w:rPr>
        <w:instrText xml:space="preserve"> ADDIN ZOTERO_ITEM CSL_CITATION {"citationID":"gk0bVYne","properties":{"formattedCitation":"[3], [4], [5]","plainCitation":"[3], [4], [5]","noteIndex":0},"citationItems":[{"id":31,"uris":["http://zotero.org/users/local/RvSwZZvB/items/PQFHRVMP"],"itemData":{"id":31,"type":"article-journal","abstract":"Some individuals with autism spectrum disorder (ASD) carry functional mutations rarely observed in the general population. We explored the genes disrupted by these variants from joint analysis of protein-truncating variants (PTVs), missense variants and copy number variants (CNVs) in a cohort of 63,237 individuals. We discovered 72 genes associated with ASD at false discovery rate (FDR) ≤ 0.001 (185 at FDR ≤ 0.05). De novo PTVs, damaging missense variants and CNVs represented 57.5%, 21.1% and 8.44% of association evidence, while CNVs conferred greatest relative risk. Meta-analysis with cohorts ascertained for developmental delay (DD) (n = 91,605) yielded 373 genes associated with ASD/DD at FDR ≤ 0.001 (664 at FDR ≤ 0.05), some of which differed in relative frequency of mutation between ASD and DD cohorts. The DD-associated genes were enriched in transcriptomes of progenitor and immature neuronal cells, whereas genes showing stronger evidence in ASD were more enriched in maturing neurons and overlapped with schizophrenia-associated genes, emphasizing that these neuropsychiatric disorders may share common pathways to risk.","container-title":"Nature Genetics","DOI":"10.1038/s41588-022-01104-0","ISSN":"1546-1718","issue":"9","journalAbbreviation":"Nat Genet","language":"eng","note":"PMID: 35982160\nPMCID: PMC9653013","page":"1320-1331","source":"PubMed","title":"Rare coding variation provides insight into the genetic architecture and phenotypic context of autism","volume":"54","author":[{"family":"Fu","given":"Jack M."},{"family":"Satterstrom","given":"F. Kyle"},{"family":"Peng","given":"Minshi"},{"family":"Brand","given":"Harrison"},{"family":"Collins","given":"Ryan L."},{"family":"Dong","given":"Shan"},{"family":"Wamsley","given":"Brie"},{"family":"Klei","given":"Lambertus"},{"family":"Wang","given":"Lily"},{"family":"Hao","given":"Stephanie P."},{"family":"Stevens","given":"Christine R."},{"family":"Cusick","given":"Caroline"},{"family":"Babadi","given":"Mehrtash"},{"family":"Banks","given":"Eric"},{"family":"Collins","given":"Brett"},{"family":"Dodge","given":"Sheila"},{"family":"Gabriel","given":"Stacey B."},{"family":"Gauthier","given":"Laura"},{"family":"Lee","given":"Samuel K."},{"family":"Liang","given":"Lindsay"},{"family":"Ljungdahl","given":"Alicia"},{"family":"Mahjani","given":"Behrang"},{"family":"Sloofman","given":"Laura"},{"family":"Smirnov","given":"Andrey N."},{"family":"Barbosa","given":"Mafalda"},{"family":"Betancur","given":"Catalina"},{"family":"Brusco","given":"Alfredo"},{"family":"Chung","given":"Brian H. Y."},{"family":"Cook","given":"Edwin H."},{"family":"Cuccaro","given":"Michael L."},{"family":"Domenici","given":"Enrico"},{"family":"Ferrero","given":"Giovanni Battista"},{"family":"Gargus","given":"J. Jay"},{"family":"Herman","given":"Gail E."},{"family":"Hertz-Picciotto","given":"Irva"},{"family":"Maciel","given":"Patricia"},{"family":"Manoach","given":"Dara S."},{"family":"Passos-Bueno","given":"Maria Rita"},{"family":"Persico","given":"Antonio M."},{"family":"Renieri","given":"Alessandra"},{"family":"Sutcliffe","given":"James S."},{"family":"Tassone","given":"Flora"},{"family":"Trabetti","given":"Elisabetta"},{"family":"Campos","given":"Gabriele"},{"family":"Cardaropoli","given":"Simona"},{"family":"Carli","given":"Diana"},{"family":"Chan","given":"Marcus C. Y."},{"family":"Fallerini","given":"Chiara"},{"family":"Giorgio","given":"Elisa"},{"family":"Girardi","given":"Ana Cristina"},{"family":"Hansen-Kiss","given":"Emily"},{"family":"Lee","given":"So Lun"},{"family":"Lintas","given":"Carla"},{"family":"Ludena","given":"Yunin"},{"family":"Nguyen","given":"Rachel"},{"family":"Pavinato","given":"Lisa"},{"family":"Pericak-Vance","given":"Margaret"},{"family":"Pessah","given":"Isaac N."},{"family":"Schmidt","given":"Rebecca J."},{"family":"Smith","given":"Moyra"},{"family":"Costa","given":"Claudia I. S."},{"family":"Trajkova","given":"Slavica"},{"family":"Wang","given":"Jaqueline Y. T."},{"family":"Yu","given":"Mullin H. C."},{"literal":"Autism Sequencing Consortium (ASC)"},{"literal":"Broad Institute Center for Common Disease Genomics (Broad-CCDG)"},{"literal":"iPSYCH-BROAD Consortium"},{"family":"Cutler","given":"David J."},{"family":"De Rubeis","given":"Silvia"},{"family":"Buxbaum","given":"Joseph D."},{"family":"Daly","given":"Mark J."},{"family":"Devlin","given":"Bernie"},{"family":"Roeder","given":"Kathryn"},{"family":"Sanders","given":"Stephan J."},{"family":"Talkowski","given":"Michael E."}],"issued":{"date-parts":[["2022",9]]}}},{"id":34,"uris":["http://zotero.org/users/local/RvSwZZvB/items/EJSE7LSJ"],"itemData":{"id":34,"type":"article-journal","abstract":"We present the largest exome sequencing study of autism spectrum disorder (ASD) to date (n = 35,584 total samples, 11,986 with ASD). Using an enhanced analytical framework to integrate de novo and case-control rare variation, we identify 102 risk genes at a false discovery rate of 0.1 or less. Of these genes, 49 show higher frequencies of disruptive de novo variants in individuals ascertained to have severe neurodevelopmental delay, whereas 53 show higher frequencies in individuals ascertained to have ASD; comparing ASD cases with mutations in these groups reveals phenotypic differences. Expressed early in brain development, most risk genes have roles in regulation of gene expression or neuronal communication (i.e., mutations effect neurodevelopmental and neurophysiological changes), and 13 fall within loci recurrently hit by copy number variants. In cells from the human cortex, expression of risk genes is enriched in excitatory and inhibitory neuronal lineages, consistent with multiple paths to an excitatory-inhibitory imbalance underlying ASD.","container-title":"Cell","DOI":"10.1016/j.cell.2019.12.036","ISSN":"1097-4172","issue":"3","journalAbbreviation":"Cell","language":"eng","note":"PMID: 31981491\nPMCID: PMC7250485","page":"568-584.e23","source":"PubMed","title":"Large-Scale Exome Sequencing Study Implicates Both Developmental and Functional Changes in the Neurobiology of Autism","volume":"180","author":[{"family":"Satterstrom","given":"F. Kyle"},{"family":"Kosmicki","given":"Jack A."},{"family":"Wang","given":"Jiebiao"},{"family":"Breen","given":"Michael S."},{"family":"De Rubeis","given":"Silvia"},{"family":"An","given":"Joon-Yong"},{"family":"Peng","given":"Minshi"},{"family":"Collins","given":"Ryan"},{"family":"Grove","given":"Jakob"},{"family":"Klei","given":"Lambertus"},{"family":"Stevens","given":"Christine"},{"family":"Reichert","given":"Jennifer"},{"family":"Mulhern","given":"Maureen S."},{"family":"Artomov","given":"Mykyta"},{"family":"Gerges","given":"Sherif"},{"family":"Sheppard","given":"Brooke"},{"family":"Xu","given":"Xinyi"},{"family":"Bhaduri","given":"Aparna"},{"family":"Norman","given":"Utku"},{"family":"Brand","given":"Harrison"},{"family":"Schwartz","given":"Grace"},{"family":"Nguyen","given":"Rachel"},{"family":"Guerrero","given":"Elizabeth E."},{"family":"Dias","given":"Caroline"},{"literal":"Autism Sequencing Consortium"},{"literal":"iPSYCH-Broad Consortium"},{"family":"Betancur","given":"Catalina"},{"family":"Cook","given":"Edwin H."},{"family":"Gallagher","given":"Louise"},{"family":"Gill","given":"Michael"},{"family":"Sutcliffe","given":"James S."},{"family":"Thurm","given":"Audrey"},{"family":"Zwick","given":"Michael E."},{"family":"Børglum","given":"Anders D."},{"family":"State","given":"Matthew W."},{"family":"Cicek","given":"A. Ercument"},{"family":"Talkowski","given":"Michael E."},{"family":"Cutler","given":"David J."},{"family":"Devlin","given":"Bernie"},{"family":"Sanders","given":"Stephan J."},{"family":"Roeder","given":"Kathryn"},{"family":"Daly","given":"Mark J."},{"family":"Buxbaum","given":"Joseph D."}],"issued":{"date-parts":[["2020",2,6]]}}},{"id":203,"uris":["http://zotero.org/users/local/RvSwZZvB/items/4GAY4AVJ"],"itemData":{"id":203,"type":"article-journal","abstract":"New technologies enabling genome-wide interrogation have led to a large and rapidly growing number of autism spectrum disorder (ASD) candidate genes. Although encouraging, the volume and complexity of these data make it challenging for scientists, particularly non-geneticists, to comprehensively evaluate available evidence for individual genes. Described here is the Gene Scoring module within SFARI Gene 2.0 (https://gene.sfari.org/autdb/GS_Home.do), a platform developed to enable systematic community driven assessment of genetic evidence for individual genes with regard to ASD.","container-title":"Molecular Autism","DOI":"10.1186/2040-2392-4-36","ISSN":"2040-2392","issue":"1","journalAbbreviation":"Mol Autism","language":"eng","note":"PMID: 24090431\nPMCID: PMC3851189","page":"36","source":"PubMed","title":"SFARI Gene 2.0: a community-driven knowledgebase for the autism spectrum disorders (ASDs)","title-short":"SFARI Gene 2.0","volume":"4","author":[{"family":"Abrahams","given":"Brett S."},{"family":"Arking","given":"Dan E."},{"family":"Campbell","given":"Daniel B."},{"family":"Mefford","given":"Heather C."},{"family":"Morrow","given":"Eric M."},{"family":"Weiss","given":"Lauren A."},{"family":"Menashe","given":"Idan"},{"family":"Wadkins","given":"Tim"},{"family":"Banerjee-Basu","given":"Sharmila"},{"family":"Packer","given":"Alan"}],"issued":{"date-parts":[["2013",10,3]]}}}],"schema":"https://github.com/citation-style-language/schema/raw/master/csl-citation.json"} </w:instrText>
      </w:r>
      <w:r>
        <w:rPr>
          <w:rFonts w:ascii="Arial" w:eastAsia="Times New Roman" w:hAnsi="Arial" w:cs="Arial"/>
          <w:color w:val="000000"/>
          <w:kern w:val="0"/>
          <w:sz w:val="22"/>
          <w:szCs w:val="22"/>
          <w:lang w:val="en-CA" w:eastAsia="fr-CA"/>
          <w14:ligatures w14:val="none"/>
        </w:rPr>
        <w:fldChar w:fldCharType="separate"/>
      </w:r>
      <w:r w:rsidR="00204F22">
        <w:rPr>
          <w:rFonts w:ascii="Arial" w:eastAsia="Times New Roman" w:hAnsi="Arial" w:cs="Arial"/>
          <w:noProof/>
          <w:color w:val="000000"/>
          <w:kern w:val="0"/>
          <w:sz w:val="22"/>
          <w:szCs w:val="22"/>
          <w:lang w:val="en-CA" w:eastAsia="fr-CA"/>
          <w14:ligatures w14:val="none"/>
        </w:rPr>
        <w:t>[3], [4], [5]</w:t>
      </w:r>
      <w:r>
        <w:rPr>
          <w:rFonts w:ascii="Arial" w:eastAsia="Times New Roman" w:hAnsi="Arial" w:cs="Arial"/>
          <w:color w:val="000000"/>
          <w:kern w:val="0"/>
          <w:sz w:val="22"/>
          <w:szCs w:val="22"/>
          <w:lang w:val="en-CA" w:eastAsia="fr-CA"/>
          <w14:ligatures w14:val="none"/>
        </w:rPr>
        <w:fldChar w:fldCharType="end"/>
      </w:r>
      <w:r w:rsidRPr="00330F2F">
        <w:rPr>
          <w:rFonts w:ascii="Arial" w:eastAsia="Times New Roman" w:hAnsi="Arial" w:cs="Arial"/>
          <w:color w:val="000000"/>
          <w:kern w:val="0"/>
          <w:sz w:val="22"/>
          <w:szCs w:val="22"/>
          <w:lang w:val="en-CA" w:eastAsia="fr-CA"/>
          <w14:ligatures w14:val="none"/>
        </w:rPr>
        <w:t xml:space="preserve">. </w:t>
      </w:r>
      <w:r>
        <w:rPr>
          <w:rFonts w:ascii="Arial" w:eastAsia="Times New Roman" w:hAnsi="Arial" w:cs="Arial"/>
          <w:color w:val="000000"/>
          <w:kern w:val="0"/>
          <w:sz w:val="22"/>
          <w:szCs w:val="22"/>
          <w:lang w:val="en-CA" w:eastAsia="fr-CA"/>
          <w14:ligatures w14:val="none"/>
        </w:rPr>
        <w:t>The horizontal bar chart represents the size of the three used sets of ASD-associated genes</w:t>
      </w:r>
      <w:r w:rsidRPr="001F6681">
        <w:rPr>
          <w:rFonts w:ascii="Arial" w:eastAsia="Times New Roman" w:hAnsi="Arial" w:cs="Arial"/>
          <w:color w:val="000000"/>
          <w:kern w:val="0"/>
          <w:sz w:val="22"/>
          <w:szCs w:val="22"/>
          <w:lang w:val="en-CA" w:eastAsia="fr-CA"/>
          <w14:ligatures w14:val="none"/>
        </w:rPr>
        <w:t>. The</w:t>
      </w:r>
      <w:r>
        <w:rPr>
          <w:rFonts w:ascii="Arial" w:eastAsia="Times New Roman" w:hAnsi="Arial" w:cs="Arial"/>
          <w:color w:val="000000"/>
          <w:kern w:val="0"/>
          <w:sz w:val="22"/>
          <w:szCs w:val="22"/>
          <w:lang w:val="en-CA" w:eastAsia="fr-CA"/>
          <w14:ligatures w14:val="none"/>
        </w:rPr>
        <w:t xml:space="preserve"> vertical </w:t>
      </w:r>
      <w:r w:rsidRPr="001F6681">
        <w:rPr>
          <w:rFonts w:ascii="Arial" w:eastAsia="Times New Roman" w:hAnsi="Arial" w:cs="Arial"/>
          <w:color w:val="000000"/>
          <w:kern w:val="0"/>
          <w:sz w:val="22"/>
          <w:szCs w:val="22"/>
          <w:lang w:val="en-CA" w:eastAsia="fr-CA"/>
          <w14:ligatures w14:val="none"/>
        </w:rPr>
        <w:t>bar chart indicates the number of genes in each unique or shared set, while the filled circles below represent the combinations of datasets contributing to each intersection.</w:t>
      </w:r>
    </w:p>
    <w:p w14:paraId="49B8AABB" w14:textId="77777777" w:rsidR="007E564F" w:rsidRPr="002B7A3D" w:rsidRDefault="007E564F" w:rsidP="002B7A3D">
      <w:pPr>
        <w:spacing w:after="0" w:line="240" w:lineRule="auto"/>
        <w:rPr>
          <w:rFonts w:ascii="Times New Roman" w:eastAsia="Times New Roman" w:hAnsi="Times New Roman" w:cs="Times New Roman"/>
          <w:kern w:val="0"/>
          <w:lang w:val="en-CA" w:eastAsia="fr-CA"/>
          <w14:ligatures w14:val="none"/>
        </w:rPr>
      </w:pPr>
    </w:p>
    <w:p w14:paraId="5548B410" w14:textId="0A8DC430" w:rsidR="002B7A3D" w:rsidRPr="00B760CF" w:rsidRDefault="00B760CF" w:rsidP="002B7A3D">
      <w:pPr>
        <w:spacing w:before="240" w:after="240" w:line="240" w:lineRule="auto"/>
        <w:jc w:val="both"/>
        <w:rPr>
          <w:rFonts w:ascii="Times New Roman" w:eastAsia="Times New Roman" w:hAnsi="Times New Roman" w:cs="Times New Roman"/>
          <w:kern w:val="0"/>
          <w:lang w:val="en-CA" w:eastAsia="fr-CA"/>
          <w14:ligatures w14:val="none"/>
        </w:rPr>
      </w:pPr>
      <w:r>
        <w:rPr>
          <w:rFonts w:ascii="Times New Roman" w:eastAsia="Times New Roman" w:hAnsi="Times New Roman" w:cs="Times New Roman"/>
          <w:noProof/>
          <w:kern w:val="0"/>
          <w:lang w:val="en-CA" w:eastAsia="fr-CA"/>
        </w:rPr>
        <w:lastRenderedPageBreak/>
        <w:drawing>
          <wp:inline distT="0" distB="0" distL="0" distR="0" wp14:anchorId="7BAC2AAB" wp14:editId="663848ED">
            <wp:extent cx="5473615" cy="7132320"/>
            <wp:effectExtent l="0" t="0" r="0" b="0"/>
            <wp:docPr id="134698486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84869" name="Graphique 1346984869"/>
                    <pic:cNvPicPr/>
                  </pic:nvPicPr>
                  <pic:blipFill>
                    <a:blip r:embed="rId12">
                      <a:extLst>
                        <a:ext uri="{96DAC541-7B7A-43D3-8B79-37D633B846F1}">
                          <asvg:svgBlip xmlns:asvg="http://schemas.microsoft.com/office/drawing/2016/SVG/main" r:embed="rId13"/>
                        </a:ext>
                      </a:extLst>
                    </a:blip>
                    <a:stretch>
                      <a:fillRect/>
                    </a:stretch>
                  </pic:blipFill>
                  <pic:spPr>
                    <a:xfrm>
                      <a:off x="0" y="0"/>
                      <a:ext cx="5477998" cy="7138032"/>
                    </a:xfrm>
                    <a:prstGeom prst="rect">
                      <a:avLst/>
                    </a:prstGeom>
                  </pic:spPr>
                </pic:pic>
              </a:graphicData>
            </a:graphic>
          </wp:inline>
        </w:drawing>
      </w:r>
    </w:p>
    <w:p w14:paraId="6130AA18" w14:textId="27E97367" w:rsidR="002B7A3D" w:rsidRPr="001F194F" w:rsidRDefault="002B7A3D" w:rsidP="002B7A3D">
      <w:pPr>
        <w:spacing w:before="240" w:after="240" w:line="240" w:lineRule="auto"/>
        <w:jc w:val="both"/>
        <w:rPr>
          <w:rFonts w:ascii="Times New Roman" w:eastAsia="Times New Roman" w:hAnsi="Times New Roman" w:cs="Times New Roman"/>
          <w:kern w:val="0"/>
          <w:lang w:val="en-CA" w:eastAsia="fr-CA"/>
          <w14:ligatures w14:val="none"/>
        </w:rPr>
      </w:pPr>
      <w:r w:rsidRPr="0020171A">
        <w:rPr>
          <w:rFonts w:ascii="Arial" w:eastAsia="Times New Roman" w:hAnsi="Arial" w:cs="Arial"/>
          <w:b/>
          <w:bCs/>
          <w:color w:val="000000"/>
          <w:kern w:val="0"/>
          <w:sz w:val="22"/>
          <w:szCs w:val="22"/>
          <w:lang w:val="en-CA" w:eastAsia="fr-CA"/>
          <w14:ligatures w14:val="none"/>
        </w:rPr>
        <w:t>Supp Figure 3:</w:t>
      </w:r>
      <w:r w:rsidRPr="002B7A3D">
        <w:rPr>
          <w:rFonts w:ascii="Arial" w:eastAsia="Times New Roman" w:hAnsi="Arial" w:cs="Arial"/>
          <w:color w:val="000000"/>
          <w:kern w:val="0"/>
          <w:sz w:val="22"/>
          <w:szCs w:val="22"/>
          <w:lang w:val="en-CA" w:eastAsia="fr-CA"/>
          <w14:ligatures w14:val="none"/>
        </w:rPr>
        <w:t xml:space="preserve"> </w:t>
      </w:r>
      <w:r w:rsidRPr="0020171A">
        <w:rPr>
          <w:rFonts w:ascii="Arial" w:eastAsia="Times New Roman" w:hAnsi="Arial" w:cs="Arial"/>
          <w:b/>
          <w:bCs/>
          <w:color w:val="000000"/>
          <w:kern w:val="0"/>
          <w:sz w:val="22"/>
          <w:szCs w:val="22"/>
          <w:lang w:val="en-CA" w:eastAsia="fr-CA"/>
          <w14:ligatures w14:val="none"/>
        </w:rPr>
        <w:t>Matrix of</w:t>
      </w:r>
      <w:r w:rsidR="0020171A">
        <w:rPr>
          <w:rFonts w:ascii="Arial" w:eastAsia="Times New Roman" w:hAnsi="Arial" w:cs="Arial"/>
          <w:b/>
          <w:bCs/>
          <w:color w:val="000000"/>
          <w:kern w:val="0"/>
          <w:sz w:val="22"/>
          <w:szCs w:val="22"/>
          <w:lang w:val="en-CA" w:eastAsia="fr-CA"/>
          <w14:ligatures w14:val="none"/>
        </w:rPr>
        <w:t xml:space="preserve"> Jaccard indexes between</w:t>
      </w:r>
      <w:r w:rsidRPr="0020171A">
        <w:rPr>
          <w:rFonts w:ascii="Arial" w:eastAsia="Times New Roman" w:hAnsi="Arial" w:cs="Arial"/>
          <w:b/>
          <w:bCs/>
          <w:color w:val="000000"/>
          <w:kern w:val="0"/>
          <w:sz w:val="22"/>
          <w:szCs w:val="22"/>
          <w:lang w:val="en-CA" w:eastAsia="fr-CA"/>
          <w14:ligatures w14:val="none"/>
        </w:rPr>
        <w:t xml:space="preserve"> the </w:t>
      </w:r>
      <w:r w:rsidR="0020171A">
        <w:rPr>
          <w:rFonts w:ascii="Arial" w:eastAsia="Times New Roman" w:hAnsi="Arial" w:cs="Arial"/>
          <w:b/>
          <w:bCs/>
          <w:color w:val="000000"/>
          <w:kern w:val="0"/>
          <w:sz w:val="22"/>
          <w:szCs w:val="22"/>
          <w:lang w:val="en-CA" w:eastAsia="fr-CA"/>
          <w14:ligatures w14:val="none"/>
        </w:rPr>
        <w:t xml:space="preserve">cell type </w:t>
      </w:r>
      <w:r w:rsidRPr="0020171A">
        <w:rPr>
          <w:rFonts w:ascii="Arial" w:eastAsia="Times New Roman" w:hAnsi="Arial" w:cs="Arial"/>
          <w:b/>
          <w:bCs/>
          <w:color w:val="000000"/>
          <w:kern w:val="0"/>
          <w:sz w:val="22"/>
          <w:szCs w:val="22"/>
          <w:lang w:val="en-CA" w:eastAsia="fr-CA"/>
          <w14:ligatures w14:val="none"/>
        </w:rPr>
        <w:t>gene</w:t>
      </w:r>
      <w:r w:rsidR="001F194F">
        <w:rPr>
          <w:rFonts w:ascii="Arial" w:eastAsia="Times New Roman" w:hAnsi="Arial" w:cs="Arial"/>
          <w:b/>
          <w:bCs/>
          <w:color w:val="000000"/>
          <w:kern w:val="0"/>
          <w:sz w:val="22"/>
          <w:szCs w:val="22"/>
          <w:lang w:val="en-CA" w:eastAsia="fr-CA"/>
          <w14:ligatures w14:val="none"/>
        </w:rPr>
        <w:t xml:space="preserve"> </w:t>
      </w:r>
      <w:r w:rsidRPr="0020171A">
        <w:rPr>
          <w:rFonts w:ascii="Arial" w:eastAsia="Times New Roman" w:hAnsi="Arial" w:cs="Arial"/>
          <w:b/>
          <w:bCs/>
          <w:color w:val="000000"/>
          <w:kern w:val="0"/>
          <w:sz w:val="22"/>
          <w:szCs w:val="22"/>
          <w:lang w:val="en-CA" w:eastAsia="fr-CA"/>
          <w14:ligatures w14:val="none"/>
        </w:rPr>
        <w:t>set</w:t>
      </w:r>
      <w:r w:rsidR="0020171A">
        <w:rPr>
          <w:rFonts w:ascii="Arial" w:eastAsia="Times New Roman" w:hAnsi="Arial" w:cs="Arial"/>
          <w:b/>
          <w:bCs/>
          <w:color w:val="000000"/>
          <w:kern w:val="0"/>
          <w:sz w:val="22"/>
          <w:szCs w:val="22"/>
          <w:lang w:val="en-CA" w:eastAsia="fr-CA"/>
          <w14:ligatures w14:val="none"/>
        </w:rPr>
        <w:t>s</w:t>
      </w:r>
      <w:r w:rsidR="0020171A" w:rsidRPr="001F194F">
        <w:rPr>
          <w:rFonts w:ascii="Arial" w:eastAsia="Times New Roman" w:hAnsi="Arial" w:cs="Arial"/>
          <w:color w:val="000000"/>
          <w:kern w:val="0"/>
          <w:sz w:val="22"/>
          <w:szCs w:val="22"/>
          <w:lang w:val="en-CA" w:eastAsia="fr-CA"/>
          <w14:ligatures w14:val="none"/>
        </w:rPr>
        <w:t>.</w:t>
      </w:r>
      <w:r w:rsidRPr="001F194F">
        <w:rPr>
          <w:rFonts w:ascii="Arial" w:eastAsia="Times New Roman" w:hAnsi="Arial" w:cs="Arial"/>
          <w:color w:val="000000"/>
          <w:kern w:val="0"/>
          <w:sz w:val="22"/>
          <w:szCs w:val="22"/>
          <w:lang w:val="en-CA" w:eastAsia="fr-CA"/>
          <w14:ligatures w14:val="none"/>
        </w:rPr>
        <w:t xml:space="preserve"> </w:t>
      </w:r>
      <w:r w:rsidR="001F194F" w:rsidRPr="001F194F">
        <w:rPr>
          <w:rFonts w:ascii="Arial" w:eastAsia="Times New Roman" w:hAnsi="Arial" w:cs="Arial"/>
          <w:color w:val="000000"/>
          <w:kern w:val="0"/>
          <w:sz w:val="22"/>
          <w:szCs w:val="22"/>
          <w:lang w:val="en-CA" w:eastAsia="fr-CA"/>
          <w14:ligatures w14:val="none"/>
        </w:rPr>
        <w:t xml:space="preserve">Jaccard indexes in a gray color scale are computed between each of the 91 developmental cell types. Cell types are clustered based on the matrix of Jaccard indexes with the Ward method. </w:t>
      </w:r>
      <w:r w:rsidR="001F6681" w:rsidRPr="001F6681">
        <w:rPr>
          <w:rFonts w:ascii="Arial" w:eastAsia="Times New Roman" w:hAnsi="Arial" w:cs="Arial"/>
          <w:color w:val="000000"/>
          <w:kern w:val="0"/>
          <w:sz w:val="22"/>
          <w:szCs w:val="22"/>
          <w:lang w:val="en-CA" w:eastAsia="fr-CA"/>
          <w14:ligatures w14:val="none"/>
        </w:rPr>
        <w:t xml:space="preserve">The dendrograms on the axes show the hierarchical clustering of </w:t>
      </w:r>
      <w:r w:rsidR="001F6681">
        <w:rPr>
          <w:rFonts w:ascii="Arial" w:eastAsia="Times New Roman" w:hAnsi="Arial" w:cs="Arial"/>
          <w:color w:val="000000"/>
          <w:kern w:val="0"/>
          <w:sz w:val="22"/>
          <w:szCs w:val="22"/>
          <w:lang w:val="en-CA" w:eastAsia="fr-CA"/>
          <w14:ligatures w14:val="none"/>
        </w:rPr>
        <w:t xml:space="preserve">the </w:t>
      </w:r>
      <w:r w:rsidR="001F6681" w:rsidRPr="001F6681">
        <w:rPr>
          <w:rFonts w:ascii="Arial" w:eastAsia="Times New Roman" w:hAnsi="Arial" w:cs="Arial"/>
          <w:color w:val="000000"/>
          <w:kern w:val="0"/>
          <w:sz w:val="22"/>
          <w:szCs w:val="22"/>
          <w:lang w:val="en-CA" w:eastAsia="fr-CA"/>
          <w14:ligatures w14:val="none"/>
        </w:rPr>
        <w:t>gene sets</w:t>
      </w:r>
      <w:r w:rsidR="001F6681">
        <w:rPr>
          <w:rFonts w:ascii="Arial" w:eastAsia="Times New Roman" w:hAnsi="Arial" w:cs="Arial"/>
          <w:color w:val="000000"/>
          <w:kern w:val="0"/>
          <w:sz w:val="22"/>
          <w:szCs w:val="22"/>
          <w:lang w:val="en-CA" w:eastAsia="fr-CA"/>
          <w14:ligatures w14:val="none"/>
        </w:rPr>
        <w:t xml:space="preserve"> based on their overlapping sets of genes</w:t>
      </w:r>
      <w:r w:rsidR="001F6681" w:rsidRPr="001F6681">
        <w:rPr>
          <w:rFonts w:ascii="Arial" w:eastAsia="Times New Roman" w:hAnsi="Arial" w:cs="Arial"/>
          <w:color w:val="000000"/>
          <w:kern w:val="0"/>
          <w:sz w:val="22"/>
          <w:szCs w:val="22"/>
          <w:lang w:val="en-CA" w:eastAsia="fr-CA"/>
          <w14:ligatures w14:val="none"/>
        </w:rPr>
        <w:t>.</w:t>
      </w:r>
    </w:p>
    <w:p w14:paraId="22FA4438" w14:textId="495A291F" w:rsidR="002B7A3D" w:rsidRPr="002B7A3D" w:rsidRDefault="005A2F78" w:rsidP="002B7A3D">
      <w:pPr>
        <w:spacing w:before="240" w:after="240" w:line="240" w:lineRule="auto"/>
        <w:jc w:val="both"/>
        <w:rPr>
          <w:rFonts w:ascii="Times New Roman" w:eastAsia="Times New Roman" w:hAnsi="Times New Roman" w:cs="Times New Roman"/>
          <w:kern w:val="0"/>
          <w:lang w:val="en-CA" w:eastAsia="fr-CA"/>
          <w14:ligatures w14:val="none"/>
        </w:rPr>
      </w:pPr>
      <w:r>
        <w:rPr>
          <w:rFonts w:ascii="Times New Roman" w:eastAsia="Times New Roman" w:hAnsi="Times New Roman" w:cs="Times New Roman"/>
          <w:noProof/>
          <w:kern w:val="0"/>
          <w:lang w:val="en-CA" w:eastAsia="fr-CA"/>
        </w:rPr>
        <w:lastRenderedPageBreak/>
        <w:drawing>
          <wp:inline distT="0" distB="0" distL="0" distR="0" wp14:anchorId="22E86899" wp14:editId="79269B96">
            <wp:extent cx="5943600" cy="4762885"/>
            <wp:effectExtent l="0" t="0" r="0" b="0"/>
            <wp:docPr id="984614722" name="Graphiqu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14722" name="Graphique 984614722"/>
                    <pic:cNvPicPr/>
                  </pic:nvPicPr>
                  <pic:blipFill>
                    <a:blip r:embed="rId14">
                      <a:extLst>
                        <a:ext uri="{96DAC541-7B7A-43D3-8B79-37D633B846F1}">
                          <asvg:svgBlip xmlns:asvg="http://schemas.microsoft.com/office/drawing/2016/SVG/main" r:embed="rId15"/>
                        </a:ext>
                      </a:extLst>
                    </a:blip>
                    <a:stretch>
                      <a:fillRect/>
                    </a:stretch>
                  </pic:blipFill>
                  <pic:spPr>
                    <a:xfrm>
                      <a:off x="0" y="0"/>
                      <a:ext cx="5955879" cy="4772725"/>
                    </a:xfrm>
                    <a:prstGeom prst="rect">
                      <a:avLst/>
                    </a:prstGeom>
                  </pic:spPr>
                </pic:pic>
              </a:graphicData>
            </a:graphic>
          </wp:inline>
        </w:drawing>
      </w:r>
    </w:p>
    <w:p w14:paraId="7617E897" w14:textId="1C445E65" w:rsidR="002B7A3D" w:rsidRPr="002B7A3D" w:rsidRDefault="002B7A3D" w:rsidP="002B7A3D">
      <w:pPr>
        <w:spacing w:before="240" w:after="240" w:line="240" w:lineRule="auto"/>
        <w:jc w:val="both"/>
        <w:rPr>
          <w:rFonts w:ascii="Times New Roman" w:eastAsia="Times New Roman" w:hAnsi="Times New Roman" w:cs="Times New Roman"/>
          <w:kern w:val="0"/>
          <w:lang w:val="en-CA" w:eastAsia="fr-CA"/>
          <w14:ligatures w14:val="none"/>
        </w:rPr>
      </w:pPr>
      <w:r w:rsidRPr="001F194F">
        <w:rPr>
          <w:rFonts w:ascii="Arial" w:eastAsia="Times New Roman" w:hAnsi="Arial" w:cs="Arial"/>
          <w:b/>
          <w:bCs/>
          <w:color w:val="000000"/>
          <w:kern w:val="0"/>
          <w:sz w:val="22"/>
          <w:szCs w:val="22"/>
          <w:lang w:val="en-CA" w:eastAsia="fr-CA"/>
          <w14:ligatures w14:val="none"/>
        </w:rPr>
        <w:t>Supp Figure 4: Matrix of enrichment for pre- and postnatal genes</w:t>
      </w:r>
      <w:r w:rsidR="001F194F" w:rsidRPr="001F194F">
        <w:rPr>
          <w:rFonts w:ascii="Arial" w:eastAsia="Times New Roman" w:hAnsi="Arial" w:cs="Arial"/>
          <w:b/>
          <w:bCs/>
          <w:color w:val="000000"/>
          <w:kern w:val="0"/>
          <w:sz w:val="22"/>
          <w:szCs w:val="22"/>
          <w:lang w:val="en-CA" w:eastAsia="fr-CA"/>
          <w14:ligatures w14:val="none"/>
        </w:rPr>
        <w:t>.</w:t>
      </w:r>
      <w:r w:rsidR="001F194F">
        <w:rPr>
          <w:rFonts w:ascii="Arial" w:eastAsia="Times New Roman" w:hAnsi="Arial" w:cs="Arial"/>
          <w:color w:val="000000"/>
          <w:kern w:val="0"/>
          <w:sz w:val="22"/>
          <w:szCs w:val="22"/>
          <w:lang w:val="en-CA" w:eastAsia="fr-CA"/>
          <w14:ligatures w14:val="none"/>
        </w:rPr>
        <w:t xml:space="preserve"> Matrix representing the enrichment of the 91 cell types (18 cell types in rows and 6 developmental epochs in columns) for the falling and rising genes</w:t>
      </w:r>
      <w:r w:rsidR="001F194F">
        <w:rPr>
          <w:rFonts w:ascii="Arial" w:eastAsia="Times New Roman" w:hAnsi="Arial" w:cs="Arial"/>
          <w:color w:val="000000"/>
          <w:kern w:val="0"/>
          <w:sz w:val="22"/>
          <w:szCs w:val="22"/>
          <w:lang w:val="en-CA" w:eastAsia="fr-CA"/>
          <w14:ligatures w14:val="none"/>
        </w:rPr>
        <w:fldChar w:fldCharType="begin"/>
      </w:r>
      <w:r w:rsidR="001F194F">
        <w:rPr>
          <w:rFonts w:ascii="Arial" w:eastAsia="Times New Roman" w:hAnsi="Arial" w:cs="Arial"/>
          <w:color w:val="000000"/>
          <w:kern w:val="0"/>
          <w:sz w:val="22"/>
          <w:szCs w:val="22"/>
          <w:lang w:val="en-CA" w:eastAsia="fr-CA"/>
          <w14:ligatures w14:val="none"/>
        </w:rPr>
        <w:instrText xml:space="preserve"> ADDIN ZOTERO_ITEM CSL_CITATION {"citationID":"FEPo8F0J","properties":{"formattedCitation":"[6]","plainCitation":"[6]","noteIndex":0},"citationItems":[{"id":45,"uris":["http://zotero.org/users/local/RvSwZZvB/items/SR6AP33U"],"itemData":{"id":45,"type":"article-journal","container-title":"Cell Reports","DOI":"10.1016/j.celrep.2020.03.053","ISSN":"2211-1247","issue":"1","journalAbbreviation":"Cell Reports","language":"English","note":"publisher: Elsevier\nPMID: 32268104","source":"www.cell.com","title":"Whole-Genome and RNA Sequencing Reveal Variation and Transcriptomic Coordination in the Developing Human Prefrontal Cortex","URL":"https://www.cell.com/cell-reports/abstract/S2211-1247(20)30367-3","volume":"31","author":[{"family":"Werling","given":"Donna M."},{"family":"Pochareddy","given":"Sirisha"},{"family":"Choi","given":"Jinmyung"},{"family":"An","given":"Joon-Yong"},{"family":"Sheppard","given":"Brooke"},{"family":"Peng","given":"Minshi"},{"family":"Li","given":"Zhen"},{"family":"Dastmalchi","given":"Claudia"},{"family":"Santpere","given":"Gabriel"},{"family":"Sousa","given":"André M. M."},{"family":"Tebbenkamp","given":"Andrew T. N."},{"family":"Kaur","given":"Navjot"},{"family":"Gulden","given":"Forrest O."},{"family":"Breen","given":"Michael S."},{"family":"Liang","given":"Lindsay"},{"family":"Gilson","given":"Michael C."},{"family":"Zhao","given":"Xuefang"},{"family":"Dong","given":"Shan"},{"family":"Klei","given":"Lambertus"},{"family":"Cicek","given":"A. Ercument"},{"family":"Buxbaum","given":"Joseph D."},{"family":"Adle-Biassette","given":"Homa"},{"family":"Thomas","given":"Jean-Leon"},{"family":"Aldinger","given":"Kimberly A."},{"family":"O’Day","given":"Diana R."},{"family":"Glass","given":"Ian A."},{"family":"Zaitlen","given":"Noah A."},{"family":"Talkowski","given":"Michael E."},{"family":"Roeder","given":"Kathryn"},{"family":"State","given":"Matthew W."},{"family":"Devlin","given":"Bernie"},{"family":"Sanders","given":"Stephan J."},{"family":"Sestan","given":"Nenad"}],"accessed":{"date-parts":[["2025",4,24]]},"issued":{"date-parts":[["2020",4,7]]}}}],"schema":"https://github.com/citation-style-language/schema/raw/master/csl-citation.json"} </w:instrText>
      </w:r>
      <w:r w:rsidR="001F194F">
        <w:rPr>
          <w:rFonts w:ascii="Arial" w:eastAsia="Times New Roman" w:hAnsi="Arial" w:cs="Arial"/>
          <w:color w:val="000000"/>
          <w:kern w:val="0"/>
          <w:sz w:val="22"/>
          <w:szCs w:val="22"/>
          <w:lang w:val="en-CA" w:eastAsia="fr-CA"/>
          <w14:ligatures w14:val="none"/>
        </w:rPr>
        <w:fldChar w:fldCharType="separate"/>
      </w:r>
      <w:r w:rsidR="001F194F">
        <w:rPr>
          <w:rFonts w:ascii="Arial" w:eastAsia="Times New Roman" w:hAnsi="Arial" w:cs="Arial"/>
          <w:noProof/>
          <w:color w:val="000000"/>
          <w:kern w:val="0"/>
          <w:sz w:val="22"/>
          <w:szCs w:val="22"/>
          <w:lang w:val="en-CA" w:eastAsia="fr-CA"/>
          <w14:ligatures w14:val="none"/>
        </w:rPr>
        <w:t>[6]</w:t>
      </w:r>
      <w:r w:rsidR="001F194F">
        <w:rPr>
          <w:rFonts w:ascii="Arial" w:eastAsia="Times New Roman" w:hAnsi="Arial" w:cs="Arial"/>
          <w:color w:val="000000"/>
          <w:kern w:val="0"/>
          <w:sz w:val="22"/>
          <w:szCs w:val="22"/>
          <w:lang w:val="en-CA" w:eastAsia="fr-CA"/>
          <w14:ligatures w14:val="none"/>
        </w:rPr>
        <w:fldChar w:fldCharType="end"/>
      </w:r>
      <w:r w:rsidR="001F194F">
        <w:rPr>
          <w:rFonts w:ascii="Arial" w:eastAsia="Times New Roman" w:hAnsi="Arial" w:cs="Arial"/>
          <w:color w:val="000000"/>
          <w:kern w:val="0"/>
          <w:sz w:val="22"/>
          <w:szCs w:val="22"/>
          <w:lang w:val="en-CA" w:eastAsia="fr-CA"/>
          <w14:ligatures w14:val="none"/>
        </w:rPr>
        <w:t xml:space="preserve">. </w:t>
      </w:r>
      <w:r w:rsidR="001F6681" w:rsidRPr="001F6681">
        <w:rPr>
          <w:rFonts w:ascii="Arial" w:eastAsia="Times New Roman" w:hAnsi="Arial" w:cs="Arial"/>
          <w:color w:val="000000"/>
          <w:kern w:val="0"/>
          <w:sz w:val="22"/>
          <w:szCs w:val="22"/>
          <w:lang w:val="en-CA" w:eastAsia="fr-CA"/>
          <w14:ligatures w14:val="none"/>
        </w:rPr>
        <w:t>Falling genes are defined as genes with higher expression during the prenatal stage, while rising genes have higher expression during the postnatal stage. The color scale indicates the Log2 Fold Change enrichment, ranging from -2 to 2.</w:t>
      </w:r>
    </w:p>
    <w:p w14:paraId="0E42D74E" w14:textId="564EF3C3" w:rsidR="002B7A3D" w:rsidRPr="0020171A" w:rsidRDefault="008144EA" w:rsidP="002B7A3D">
      <w:pPr>
        <w:spacing w:before="240" w:after="240" w:line="240" w:lineRule="auto"/>
        <w:jc w:val="both"/>
        <w:rPr>
          <w:rFonts w:ascii="Times New Roman" w:eastAsia="Times New Roman" w:hAnsi="Times New Roman" w:cs="Times New Roman"/>
          <w:kern w:val="0"/>
          <w:lang w:val="en-CA" w:eastAsia="fr-CA"/>
          <w14:ligatures w14:val="none"/>
        </w:rPr>
      </w:pPr>
      <w:r>
        <w:rPr>
          <w:rFonts w:ascii="Times New Roman" w:eastAsia="Times New Roman" w:hAnsi="Times New Roman" w:cs="Times New Roman"/>
          <w:noProof/>
          <w:kern w:val="0"/>
          <w:lang w:eastAsia="fr-CA"/>
        </w:rPr>
        <w:lastRenderedPageBreak/>
        <w:drawing>
          <wp:inline distT="0" distB="0" distL="0" distR="0" wp14:anchorId="2DEA6A9D" wp14:editId="05B7D3F3">
            <wp:extent cx="5815330" cy="6360289"/>
            <wp:effectExtent l="0" t="0" r="0" b="0"/>
            <wp:docPr id="267435487" name="Graphiqu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35487" name="Graphique 267435487"/>
                    <pic:cNvPicPr/>
                  </pic:nvPicPr>
                  <pic:blipFill rotWithShape="1">
                    <a:blip r:embed="rId16">
                      <a:extLst>
                        <a:ext uri="{96DAC541-7B7A-43D3-8B79-37D633B846F1}">
                          <asvg:svgBlip xmlns:asvg="http://schemas.microsoft.com/office/drawing/2016/SVG/main" r:embed="rId17"/>
                        </a:ext>
                      </a:extLst>
                    </a:blip>
                    <a:srcRect b="22714"/>
                    <a:stretch>
                      <a:fillRect/>
                    </a:stretch>
                  </pic:blipFill>
                  <pic:spPr bwMode="auto">
                    <a:xfrm>
                      <a:off x="0" y="0"/>
                      <a:ext cx="5815330" cy="6360289"/>
                    </a:xfrm>
                    <a:prstGeom prst="rect">
                      <a:avLst/>
                    </a:prstGeom>
                    <a:ln>
                      <a:noFill/>
                    </a:ln>
                    <a:extLst>
                      <a:ext uri="{53640926-AAD7-44D8-BBD7-CCE9431645EC}">
                        <a14:shadowObscured xmlns:a14="http://schemas.microsoft.com/office/drawing/2010/main"/>
                      </a:ext>
                    </a:extLst>
                  </pic:spPr>
                </pic:pic>
              </a:graphicData>
            </a:graphic>
          </wp:inline>
        </w:drawing>
      </w:r>
    </w:p>
    <w:p w14:paraId="354A74C6" w14:textId="2340FF2F" w:rsidR="002B7A3D" w:rsidRPr="0020171A" w:rsidRDefault="002B7A3D" w:rsidP="002B7A3D">
      <w:pPr>
        <w:spacing w:before="240" w:after="240" w:line="240" w:lineRule="auto"/>
        <w:jc w:val="both"/>
        <w:rPr>
          <w:rFonts w:ascii="Times New Roman" w:eastAsia="Times New Roman" w:hAnsi="Times New Roman" w:cs="Times New Roman"/>
          <w:kern w:val="0"/>
          <w:lang w:val="en-CA" w:eastAsia="fr-CA"/>
          <w14:ligatures w14:val="none"/>
        </w:rPr>
      </w:pPr>
      <w:r w:rsidRPr="00A461F9">
        <w:rPr>
          <w:rFonts w:ascii="Arial" w:eastAsia="Times New Roman" w:hAnsi="Arial" w:cs="Arial"/>
          <w:b/>
          <w:bCs/>
          <w:color w:val="000000"/>
          <w:kern w:val="0"/>
          <w:sz w:val="22"/>
          <w:szCs w:val="22"/>
          <w:lang w:val="en-CA" w:eastAsia="fr-CA"/>
          <w14:ligatures w14:val="none"/>
        </w:rPr>
        <w:t>Supp</w:t>
      </w:r>
      <w:r w:rsidR="00A461F9" w:rsidRPr="00A461F9">
        <w:rPr>
          <w:rFonts w:ascii="Arial" w:eastAsia="Times New Roman" w:hAnsi="Arial" w:cs="Arial"/>
          <w:b/>
          <w:bCs/>
          <w:color w:val="000000"/>
          <w:kern w:val="0"/>
          <w:sz w:val="22"/>
          <w:szCs w:val="22"/>
          <w:lang w:val="en-CA" w:eastAsia="fr-CA"/>
          <w14:ligatures w14:val="none"/>
        </w:rPr>
        <w:t>lementary</w:t>
      </w:r>
      <w:r w:rsidRPr="00A461F9">
        <w:rPr>
          <w:rFonts w:ascii="Arial" w:eastAsia="Times New Roman" w:hAnsi="Arial" w:cs="Arial"/>
          <w:b/>
          <w:bCs/>
          <w:color w:val="000000"/>
          <w:kern w:val="0"/>
          <w:sz w:val="22"/>
          <w:szCs w:val="22"/>
          <w:lang w:val="en-CA" w:eastAsia="fr-CA"/>
          <w14:ligatures w14:val="none"/>
        </w:rPr>
        <w:t xml:space="preserve"> Figure </w:t>
      </w:r>
      <w:r w:rsidR="00204F22">
        <w:rPr>
          <w:rFonts w:ascii="Arial" w:eastAsia="Times New Roman" w:hAnsi="Arial" w:cs="Arial"/>
          <w:b/>
          <w:bCs/>
          <w:color w:val="000000"/>
          <w:kern w:val="0"/>
          <w:sz w:val="22"/>
          <w:szCs w:val="22"/>
          <w:lang w:val="en-CA" w:eastAsia="fr-CA"/>
          <w14:ligatures w14:val="none"/>
        </w:rPr>
        <w:t>5</w:t>
      </w:r>
      <w:r w:rsidRPr="00A461F9">
        <w:rPr>
          <w:rFonts w:ascii="Arial" w:eastAsia="Times New Roman" w:hAnsi="Arial" w:cs="Arial"/>
          <w:b/>
          <w:bCs/>
          <w:color w:val="000000"/>
          <w:kern w:val="0"/>
          <w:sz w:val="22"/>
          <w:szCs w:val="22"/>
          <w:lang w:val="en-CA" w:eastAsia="fr-CA"/>
          <w14:ligatures w14:val="none"/>
        </w:rPr>
        <w:t>:</w:t>
      </w:r>
      <w:r w:rsidRPr="0020171A">
        <w:rPr>
          <w:rFonts w:ascii="Arial" w:eastAsia="Times New Roman" w:hAnsi="Arial" w:cs="Arial"/>
          <w:color w:val="000000"/>
          <w:kern w:val="0"/>
          <w:sz w:val="22"/>
          <w:szCs w:val="22"/>
          <w:lang w:val="en-CA" w:eastAsia="fr-CA"/>
          <w14:ligatures w14:val="none"/>
        </w:rPr>
        <w:t xml:space="preserve"> </w:t>
      </w:r>
      <w:r w:rsidR="001F194F" w:rsidRPr="00A461F9">
        <w:rPr>
          <w:rFonts w:ascii="Arial" w:eastAsia="Times New Roman" w:hAnsi="Arial" w:cs="Arial"/>
          <w:b/>
          <w:bCs/>
          <w:color w:val="000000"/>
          <w:kern w:val="0"/>
          <w:sz w:val="22"/>
          <w:szCs w:val="22"/>
          <w:lang w:val="en-CA" w:eastAsia="fr-CA"/>
          <w14:ligatures w14:val="none"/>
        </w:rPr>
        <w:t>Percentage of cell types with a significant liability for ASD when their genes not under genetic constraint</w:t>
      </w:r>
      <w:r w:rsidR="0009143B">
        <w:rPr>
          <w:rFonts w:ascii="Arial" w:eastAsia="Times New Roman" w:hAnsi="Arial" w:cs="Arial"/>
          <w:b/>
          <w:bCs/>
          <w:color w:val="000000"/>
          <w:kern w:val="0"/>
          <w:sz w:val="22"/>
          <w:szCs w:val="22"/>
          <w:lang w:val="en-CA" w:eastAsia="fr-CA"/>
          <w14:ligatures w14:val="none"/>
        </w:rPr>
        <w:fldChar w:fldCharType="begin"/>
      </w:r>
      <w:r w:rsidR="00204F22">
        <w:rPr>
          <w:rFonts w:ascii="Arial" w:eastAsia="Times New Roman" w:hAnsi="Arial" w:cs="Arial"/>
          <w:b/>
          <w:bCs/>
          <w:color w:val="000000"/>
          <w:kern w:val="0"/>
          <w:sz w:val="22"/>
          <w:szCs w:val="22"/>
          <w:lang w:val="en-CA" w:eastAsia="fr-CA"/>
          <w14:ligatures w14:val="none"/>
        </w:rPr>
        <w:instrText xml:space="preserve"> ADDIN ZOTERO_ITEM CSL_CITATION {"citationID":"MMkp6EPY","properties":{"formattedCitation":"[2]","plainCitation":"[2]","noteIndex":0},"citationItems":[{"id":83,"uris":["http://zotero.org/users/local/RvSwZZvB/items/ITI9SJ2M"],"itemData":{"id":83,"type":"article-journal","abstract":"Genetic variants that inactivate protein-coding genes are a powerful source of information about the phenotypic consequences of gene disruption: genes that are crucial for the function of an organism will be depleted of such variants in natural populations, whereas non-essential genes will tolerate their accumulation. However, predicted loss-of-function variants are enriched for annotation errors, and tend to be found at extremely low frequencies, so their analysis requires careful variant annotation and very large sample sizes1. Here we describe the aggregation of 125,748 exomes and 15,708 genomes from human sequencing studies into the Genome Aggregation Database (gnomAD). We identify 443,769 high-confidence predicted loss-of-function variants in this cohort after filtering for artefacts caused by sequencing and annotation errors. Using an improved model of human mutation rates, we classify human protein-coding genes along a spectrum that represents tolerance to inactivation, validate this classification using data from model organisms and engineered human cells, and show that it can be used to improve the power of gene discovery for both common and rare diseases.","container-title":"Nature","DOI":"10.1038/s41586-020-2308-7","ISSN":"1476-4687","issue":"7809","language":"en","license":"2020 The Author(s)","note":"publisher: Nature Publishing Group","page":"434-443","source":"www.nature.com","title":"The mutational constraint spectrum quantified from variation in 141,456 humans","volume":"581","author":[{"family":"Karczewski","given":"Konrad J."},{"family":"Francioli","given":"Laurent C."},{"family":"Tiao","given":"Grace"},{"family":"Cummings","given":"Beryl B."},{"family":"Alföldi","given":"Jessica"},{"family":"Wang","given":"Qingbo"},{"family":"Collins","given":"Ryan L."},{"family":"Laricchia","given":"Kristen M."},{"family":"Ganna","given":"Andrea"},{"family":"Birnbaum","given":"Daniel P."},{"family":"Gauthier","given":"Laura D."},{"family":"Brand","given":"Harrison"},{"family":"Solomonson","given":"Matthew"},{"family":"Watts","given":"Nicholas A."},{"family":"Rhodes","given":"Daniel"},{"family":"Singer-Berk","given":"Moriel"},{"family":"England","given":"Eleina M."},{"family":"Seaby","given":"Eleanor G."},{"family":"Kosmicki","given":"Jack A."},{"family":"Walters","given":"Raymond K."},{"family":"Tashman","given":"Katherine"},{"family":"Farjoun","given":"Yossi"},{"family":"Banks","given":"Eric"},{"family":"Poterba","given":"Timothy"},{"family":"Wang","given":"Arcturus"},{"family":"Seed","given":"Cotton"},{"family":"Whiffin","given":"Nicola"},{"family":"Chong","given":"Jessica X."},{"family":"Samocha","given":"Kaitlin E."},{"family":"Pierce-Hoffman","given":"Emma"},{"family":"Zappala","given":"Zachary"},{"family":"O’Donnell-Luria","given":"Anne H."},{"family":"Minikel","given":"Eric Vallabh"},{"family":"Weisburd","given":"Ben"},{"family":"Lek","given":"Monkol"},{"family":"Ware","given":"James S."},{"family":"Vittal","given":"Christopher"},{"family":"Armean","given":"Irina M."},{"family":"Bergelson","given":"Louis"},{"family":"Cibulskis","given":"Kristian"},{"family":"Connolly","given":"Kristen M."},{"family":"Covarrubias","given":"Miguel"},{"family":"Donnelly","given":"Stacey"},{"family":"Ferriera","given":"Steven"},{"family":"Gabriel","given":"Stacey"},{"family":"Gentry","given":"Jeff"},{"family":"Gupta","given":"Namrata"},{"family":"Jeandet","given":"Thibault"},{"family":"Kaplan","given":"Diane"},{"family":"Llanwarne","given":"Christopher"},{"family":"Munshi","given":"Ruchi"},{"family":"Novod","given":"Sam"},{"family":"Petrillo","given":"Nikelle"},{"family":"Roazen","given":"David"},{"family":"Ruano-Rubio","given":"Valentin"},{"family":"Saltzman","given":"Andrea"},{"family":"Schleicher","given":"Molly"},{"family":"Soto","given":"Jose"},{"family":"Tibbetts","given":"Kathleen"},{"family":"Tolonen","given":"Charlotte"},{"family":"Wade","given":"Gordon"},{"family":"Talkowski","given":"Michael E."},{"family":"Neale","given":"Benjamin M."},{"family":"Daly","given":"Mark J."},{"family":"MacArthur","given":"Daniel G."}],"issued":{"date-parts":[["2020",5]]}}}],"schema":"https://github.com/citation-style-language/schema/raw/master/csl-citation.json"} </w:instrText>
      </w:r>
      <w:r w:rsidR="0009143B">
        <w:rPr>
          <w:rFonts w:ascii="Arial" w:eastAsia="Times New Roman" w:hAnsi="Arial" w:cs="Arial"/>
          <w:b/>
          <w:bCs/>
          <w:color w:val="000000"/>
          <w:kern w:val="0"/>
          <w:sz w:val="22"/>
          <w:szCs w:val="22"/>
          <w:lang w:val="en-CA" w:eastAsia="fr-CA"/>
          <w14:ligatures w14:val="none"/>
        </w:rPr>
        <w:fldChar w:fldCharType="separate"/>
      </w:r>
      <w:r w:rsidR="00204F22">
        <w:rPr>
          <w:rFonts w:ascii="Arial" w:eastAsia="Times New Roman" w:hAnsi="Arial" w:cs="Arial"/>
          <w:b/>
          <w:bCs/>
          <w:noProof/>
          <w:color w:val="000000"/>
          <w:kern w:val="0"/>
          <w:sz w:val="22"/>
          <w:szCs w:val="22"/>
          <w:lang w:val="en-CA" w:eastAsia="fr-CA"/>
          <w14:ligatures w14:val="none"/>
        </w:rPr>
        <w:t>[2]</w:t>
      </w:r>
      <w:r w:rsidR="0009143B">
        <w:rPr>
          <w:rFonts w:ascii="Arial" w:eastAsia="Times New Roman" w:hAnsi="Arial" w:cs="Arial"/>
          <w:b/>
          <w:bCs/>
          <w:color w:val="000000"/>
          <w:kern w:val="0"/>
          <w:sz w:val="22"/>
          <w:szCs w:val="22"/>
          <w:lang w:val="en-CA" w:eastAsia="fr-CA"/>
          <w14:ligatures w14:val="none"/>
        </w:rPr>
        <w:fldChar w:fldCharType="end"/>
      </w:r>
      <w:r w:rsidR="001F194F" w:rsidRPr="00A461F9">
        <w:rPr>
          <w:rFonts w:ascii="Arial" w:eastAsia="Times New Roman" w:hAnsi="Arial" w:cs="Arial"/>
          <w:b/>
          <w:bCs/>
          <w:color w:val="000000"/>
          <w:kern w:val="0"/>
          <w:sz w:val="22"/>
          <w:szCs w:val="22"/>
          <w:lang w:val="en-CA" w:eastAsia="fr-CA"/>
          <w14:ligatures w14:val="none"/>
        </w:rPr>
        <w:t xml:space="preserve"> are disrupted.</w:t>
      </w:r>
      <w:r w:rsidR="001F194F">
        <w:rPr>
          <w:rFonts w:ascii="Arial" w:eastAsia="Times New Roman" w:hAnsi="Arial" w:cs="Arial"/>
          <w:color w:val="000000"/>
          <w:kern w:val="0"/>
          <w:sz w:val="22"/>
          <w:szCs w:val="22"/>
          <w:lang w:val="en-CA" w:eastAsia="fr-CA"/>
          <w14:ligatures w14:val="none"/>
        </w:rPr>
        <w:t xml:space="preserve"> </w:t>
      </w:r>
      <w:r w:rsidR="00A461F9">
        <w:rPr>
          <w:rFonts w:ascii="Arial" w:eastAsia="Times New Roman" w:hAnsi="Arial" w:cs="Arial"/>
          <w:color w:val="000000"/>
          <w:kern w:val="0"/>
          <w:sz w:val="22"/>
          <w:szCs w:val="22"/>
          <w:lang w:val="en-CA" w:eastAsia="fr-CA"/>
          <w14:ligatures w14:val="none"/>
        </w:rPr>
        <w:t xml:space="preserve">The analysis is split into two (A) for genes moderately intolerant (LOEUF between 0.6 and 1) and (B) for tolerant genes (LOEUF &gt; 1), </w:t>
      </w:r>
      <w:r w:rsidR="00A461F9" w:rsidRPr="00A461F9">
        <w:rPr>
          <w:rFonts w:ascii="Arial" w:eastAsia="Times New Roman" w:hAnsi="Arial" w:cs="Arial"/>
          <w:color w:val="000000"/>
          <w:kern w:val="0"/>
          <w:sz w:val="22"/>
          <w:szCs w:val="22"/>
          <w:lang w:val="en-CA" w:eastAsia="fr-CA"/>
          <w14:ligatures w14:val="none"/>
        </w:rPr>
        <w:t>The Y-axis represents the percentage of cell types significantly associated with ASD when grouped on the main cell classes (top) and the developmental stages (bottom). The X-axis represents the size of the gene sets ranging from the top 99th (n=100) to the top 90th (n=1100) percentile of genes with the highest relative expression in each cell type.</w:t>
      </w:r>
      <w:r w:rsidR="00A461F9">
        <w:rPr>
          <w:rFonts w:ascii="Arial" w:eastAsia="Times New Roman" w:hAnsi="Arial" w:cs="Arial"/>
          <w:color w:val="000000"/>
          <w:kern w:val="0"/>
          <w:sz w:val="22"/>
          <w:szCs w:val="22"/>
          <w:lang w:val="en-CA" w:eastAsia="fr-CA"/>
          <w14:ligatures w14:val="none"/>
        </w:rPr>
        <w:t xml:space="preserve"> </w:t>
      </w:r>
      <w:r w:rsidR="00A461F9" w:rsidRPr="00A461F9">
        <w:rPr>
          <w:rFonts w:ascii="Arial" w:eastAsia="Times New Roman" w:hAnsi="Arial" w:cs="Arial"/>
          <w:color w:val="000000"/>
          <w:kern w:val="0"/>
          <w:sz w:val="22"/>
          <w:szCs w:val="22"/>
          <w:lang w:val="en-CA" w:eastAsia="fr-CA"/>
          <w14:ligatures w14:val="none"/>
        </w:rPr>
        <w:t xml:space="preserve">The different types of </w:t>
      </w:r>
      <w:r w:rsidR="00A461F9">
        <w:rPr>
          <w:rFonts w:ascii="Arial" w:eastAsia="Times New Roman" w:hAnsi="Arial" w:cs="Arial"/>
          <w:color w:val="000000"/>
          <w:kern w:val="0"/>
          <w:sz w:val="22"/>
          <w:szCs w:val="22"/>
          <w:lang w:val="en-CA" w:eastAsia="fr-CA"/>
          <w14:ligatures w14:val="none"/>
        </w:rPr>
        <w:t>rare gene-disrupting</w:t>
      </w:r>
      <w:r w:rsidR="00A461F9" w:rsidRPr="00A461F9">
        <w:rPr>
          <w:rFonts w:ascii="Arial" w:eastAsia="Times New Roman" w:hAnsi="Arial" w:cs="Arial"/>
          <w:color w:val="000000"/>
          <w:kern w:val="0"/>
          <w:sz w:val="22"/>
          <w:szCs w:val="22"/>
          <w:lang w:val="en-CA" w:eastAsia="fr-CA"/>
          <w14:ligatures w14:val="none"/>
        </w:rPr>
        <w:t xml:space="preserve"> mutations are shown in separate plots.</w:t>
      </w:r>
    </w:p>
    <w:p w14:paraId="046E9491" w14:textId="191689A1" w:rsidR="002B7A3D" w:rsidRPr="0020171A" w:rsidRDefault="002B7A3D" w:rsidP="002B7A3D">
      <w:pPr>
        <w:spacing w:before="240" w:after="240" w:line="240" w:lineRule="auto"/>
        <w:jc w:val="both"/>
        <w:rPr>
          <w:rFonts w:ascii="Times New Roman" w:eastAsia="Times New Roman" w:hAnsi="Times New Roman" w:cs="Times New Roman"/>
          <w:kern w:val="0"/>
          <w:lang w:val="en-CA" w:eastAsia="fr-CA"/>
          <w14:ligatures w14:val="none"/>
        </w:rPr>
      </w:pPr>
    </w:p>
    <w:p w14:paraId="1F323A7F" w14:textId="5BD1762F" w:rsidR="002B7A3D" w:rsidRPr="002B7A3D" w:rsidRDefault="009104EB" w:rsidP="004B6A3D">
      <w:pPr>
        <w:spacing w:before="240" w:after="240" w:line="240" w:lineRule="auto"/>
        <w:jc w:val="both"/>
        <w:rPr>
          <w:rFonts w:ascii="Times New Roman" w:eastAsia="Times New Roman" w:hAnsi="Times New Roman" w:cs="Times New Roman"/>
          <w:kern w:val="0"/>
          <w:lang w:val="en-CA" w:eastAsia="fr-CA"/>
          <w14:ligatures w14:val="none"/>
        </w:rPr>
      </w:pPr>
      <w:r>
        <w:rPr>
          <w:rFonts w:ascii="Arial" w:eastAsia="Times New Roman" w:hAnsi="Arial" w:cs="Arial"/>
          <w:noProof/>
          <w:color w:val="000000"/>
          <w:kern w:val="0"/>
          <w:sz w:val="22"/>
          <w:szCs w:val="22"/>
          <w:lang w:val="en-CA" w:eastAsia="fr-CA"/>
        </w:rPr>
        <w:lastRenderedPageBreak/>
        <w:drawing>
          <wp:inline distT="0" distB="0" distL="0" distR="0" wp14:anchorId="0AD8FCEC" wp14:editId="40822F33">
            <wp:extent cx="6400800" cy="6821805"/>
            <wp:effectExtent l="0" t="0" r="0" b="0"/>
            <wp:docPr id="1929182999"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82999" name="Graphique 1929182999"/>
                    <pic:cNvPicPr/>
                  </pic:nvPicPr>
                  <pic:blipFill>
                    <a:blip r:embed="rId18">
                      <a:extLst>
                        <a:ext uri="{96DAC541-7B7A-43D3-8B79-37D633B846F1}">
                          <asvg:svgBlip xmlns:asvg="http://schemas.microsoft.com/office/drawing/2016/SVG/main" r:embed="rId19"/>
                        </a:ext>
                      </a:extLst>
                    </a:blip>
                    <a:stretch>
                      <a:fillRect/>
                    </a:stretch>
                  </pic:blipFill>
                  <pic:spPr>
                    <a:xfrm>
                      <a:off x="0" y="0"/>
                      <a:ext cx="6400800" cy="6821805"/>
                    </a:xfrm>
                    <a:prstGeom prst="rect">
                      <a:avLst/>
                    </a:prstGeom>
                  </pic:spPr>
                </pic:pic>
              </a:graphicData>
            </a:graphic>
          </wp:inline>
        </w:drawing>
      </w:r>
      <w:r w:rsidR="002B7A3D" w:rsidRPr="004B6A3D">
        <w:rPr>
          <w:rFonts w:ascii="Arial" w:eastAsia="Times New Roman" w:hAnsi="Arial" w:cs="Arial"/>
          <w:b/>
          <w:bCs/>
          <w:color w:val="000000"/>
          <w:kern w:val="0"/>
          <w:sz w:val="22"/>
          <w:szCs w:val="22"/>
          <w:lang w:val="en-CA" w:eastAsia="fr-CA"/>
          <w14:ligatures w14:val="none"/>
        </w:rPr>
        <w:t xml:space="preserve">Supp Figure 6:  </w:t>
      </w:r>
      <w:r w:rsidR="004B6A3D" w:rsidRPr="004B6A3D">
        <w:rPr>
          <w:rFonts w:ascii="Arial" w:eastAsia="Times New Roman" w:hAnsi="Arial" w:cs="Arial"/>
          <w:b/>
          <w:bCs/>
          <w:color w:val="000000"/>
          <w:kern w:val="0"/>
          <w:sz w:val="22"/>
          <w:szCs w:val="22"/>
          <w:lang w:val="en-CA" w:eastAsia="fr-CA"/>
          <w14:ligatures w14:val="none"/>
        </w:rPr>
        <w:t>Distribution of ASD liability for 2 genes expressed in the cortex or not.</w:t>
      </w:r>
      <w:r w:rsidR="004B6A3D" w:rsidRPr="004B6A3D">
        <w:rPr>
          <w:lang w:val="en-CA"/>
        </w:rPr>
        <w:t xml:space="preserve"> </w:t>
      </w:r>
      <w:r w:rsidR="004B6A3D" w:rsidRPr="004B6A3D">
        <w:rPr>
          <w:rFonts w:ascii="Arial" w:eastAsia="Times New Roman" w:hAnsi="Arial" w:cs="Arial"/>
          <w:color w:val="000000"/>
          <w:kern w:val="0"/>
          <w:sz w:val="22"/>
          <w:szCs w:val="22"/>
          <w:lang w:val="en-CA" w:eastAsia="fr-CA"/>
          <w14:ligatures w14:val="none"/>
        </w:rPr>
        <w:t xml:space="preserve">The figure shows the distribution of genetic liabilities for </w:t>
      </w:r>
      <w:proofErr w:type="gramStart"/>
      <w:r w:rsidR="004B6A3D" w:rsidRPr="004B6A3D">
        <w:rPr>
          <w:rFonts w:ascii="Arial" w:eastAsia="Times New Roman" w:hAnsi="Arial" w:cs="Arial"/>
          <w:color w:val="000000"/>
          <w:kern w:val="0"/>
          <w:sz w:val="22"/>
          <w:szCs w:val="22"/>
          <w:lang w:val="en-CA" w:eastAsia="fr-CA"/>
          <w14:ligatures w14:val="none"/>
        </w:rPr>
        <w:t>Autism Spectrum Disorder</w:t>
      </w:r>
      <w:proofErr w:type="gramEnd"/>
      <w:r w:rsidR="004B6A3D" w:rsidRPr="004B6A3D">
        <w:rPr>
          <w:rFonts w:ascii="Arial" w:eastAsia="Times New Roman" w:hAnsi="Arial" w:cs="Arial"/>
          <w:color w:val="000000"/>
          <w:kern w:val="0"/>
          <w:sz w:val="22"/>
          <w:szCs w:val="22"/>
          <w:lang w:val="en-CA" w:eastAsia="fr-CA"/>
          <w14:ligatures w14:val="none"/>
        </w:rPr>
        <w:t xml:space="preserve"> (ASD) for six types of gene-disrupting variants: DEL, DUP, </w:t>
      </w:r>
      <w:proofErr w:type="spellStart"/>
      <w:proofErr w:type="gramStart"/>
      <w:r w:rsidR="004B6A3D" w:rsidRPr="004B6A3D">
        <w:rPr>
          <w:rFonts w:ascii="Arial" w:eastAsia="Times New Roman" w:hAnsi="Arial" w:cs="Arial"/>
          <w:color w:val="000000"/>
          <w:kern w:val="0"/>
          <w:sz w:val="22"/>
          <w:szCs w:val="22"/>
          <w:lang w:val="en-CA" w:eastAsia="fr-CA"/>
          <w14:ligatures w14:val="none"/>
        </w:rPr>
        <w:t>Stop</w:t>
      </w:r>
      <w:proofErr w:type="gramEnd"/>
      <w:r w:rsidR="004B6A3D" w:rsidRPr="004B6A3D">
        <w:rPr>
          <w:rFonts w:ascii="Arial" w:eastAsia="Times New Roman" w:hAnsi="Arial" w:cs="Arial"/>
          <w:color w:val="000000"/>
          <w:kern w:val="0"/>
          <w:sz w:val="22"/>
          <w:szCs w:val="22"/>
          <w:lang w:val="en-CA" w:eastAsia="fr-CA"/>
          <w14:ligatures w14:val="none"/>
        </w:rPr>
        <w:t>_Gained</w:t>
      </w:r>
      <w:proofErr w:type="spellEnd"/>
      <w:r w:rsidR="004B6A3D" w:rsidRPr="004B6A3D">
        <w:rPr>
          <w:rFonts w:ascii="Arial" w:eastAsia="Times New Roman" w:hAnsi="Arial" w:cs="Arial"/>
          <w:color w:val="000000"/>
          <w:kern w:val="0"/>
          <w:sz w:val="22"/>
          <w:szCs w:val="22"/>
          <w:lang w:val="en-CA" w:eastAsia="fr-CA"/>
          <w14:ligatures w14:val="none"/>
        </w:rPr>
        <w:t xml:space="preserve">, Frameshift, Missense, and </w:t>
      </w:r>
      <w:proofErr w:type="spellStart"/>
      <w:r w:rsidR="004B6A3D" w:rsidRPr="004B6A3D">
        <w:rPr>
          <w:rFonts w:ascii="Arial" w:eastAsia="Times New Roman" w:hAnsi="Arial" w:cs="Arial"/>
          <w:color w:val="000000"/>
          <w:kern w:val="0"/>
          <w:sz w:val="22"/>
          <w:szCs w:val="22"/>
          <w:lang w:val="en-CA" w:eastAsia="fr-CA"/>
          <w14:ligatures w14:val="none"/>
        </w:rPr>
        <w:t>Splice_variants</w:t>
      </w:r>
      <w:proofErr w:type="spellEnd"/>
      <w:r w:rsidR="004B6A3D" w:rsidRPr="004B6A3D">
        <w:rPr>
          <w:rFonts w:ascii="Arial" w:eastAsia="Times New Roman" w:hAnsi="Arial" w:cs="Arial"/>
          <w:color w:val="000000"/>
          <w:kern w:val="0"/>
          <w:sz w:val="22"/>
          <w:szCs w:val="22"/>
          <w:lang w:val="en-CA" w:eastAsia="fr-CA"/>
          <w14:ligatures w14:val="none"/>
        </w:rPr>
        <w:t>. The distributions are shown for three categories of genes: all protein-coding genes (in grey), genes identified in the prefrontal cortex (in blue), and genes not observed in the prefrontal cortex (never observed in more than 10% of a cell type, in red). Each plot displays the significance percentage and median value for the genetic liability of ASD for each category.</w:t>
      </w:r>
    </w:p>
    <w:p w14:paraId="3D44A7F2" w14:textId="77777777" w:rsidR="003D78F4" w:rsidRDefault="003D78F4"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lastRenderedPageBreak/>
        <w:drawing>
          <wp:inline distT="0" distB="0" distL="0" distR="0" wp14:anchorId="40738ECD" wp14:editId="4BA85393">
            <wp:extent cx="4622800" cy="5435600"/>
            <wp:effectExtent l="0" t="0" r="0" b="0"/>
            <wp:docPr id="773464296" name="Graphiqu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64296" name="Graphique 773464296"/>
                    <pic:cNvPicPr/>
                  </pic:nvPicPr>
                  <pic:blipFill>
                    <a:blip r:embed="rId20">
                      <a:extLst>
                        <a:ext uri="{96DAC541-7B7A-43D3-8B79-37D633B846F1}">
                          <asvg:svgBlip xmlns:asvg="http://schemas.microsoft.com/office/drawing/2016/SVG/main" r:embed="rId21"/>
                        </a:ext>
                      </a:extLst>
                    </a:blip>
                    <a:stretch>
                      <a:fillRect/>
                    </a:stretch>
                  </pic:blipFill>
                  <pic:spPr>
                    <a:xfrm>
                      <a:off x="0" y="0"/>
                      <a:ext cx="4622800" cy="5435600"/>
                    </a:xfrm>
                    <a:prstGeom prst="rect">
                      <a:avLst/>
                    </a:prstGeom>
                  </pic:spPr>
                </pic:pic>
              </a:graphicData>
            </a:graphic>
          </wp:inline>
        </w:drawing>
      </w:r>
    </w:p>
    <w:p w14:paraId="64FACB10" w14:textId="7E3DA1C8" w:rsidR="002B7A3D" w:rsidRDefault="002B7A3D"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9E6F96">
        <w:rPr>
          <w:rFonts w:ascii="Arial" w:eastAsia="Times New Roman" w:hAnsi="Arial" w:cs="Arial"/>
          <w:b/>
          <w:bCs/>
          <w:color w:val="000000"/>
          <w:kern w:val="0"/>
          <w:sz w:val="22"/>
          <w:szCs w:val="22"/>
          <w:lang w:val="en-CA" w:eastAsia="fr-CA"/>
          <w14:ligatures w14:val="none"/>
        </w:rPr>
        <w:t>Supp</w:t>
      </w:r>
      <w:r w:rsidR="009E6F96" w:rsidRPr="009E6F96">
        <w:rPr>
          <w:rFonts w:ascii="Arial" w:eastAsia="Times New Roman" w:hAnsi="Arial" w:cs="Arial"/>
          <w:b/>
          <w:bCs/>
          <w:color w:val="000000"/>
          <w:kern w:val="0"/>
          <w:sz w:val="22"/>
          <w:szCs w:val="22"/>
          <w:lang w:val="en-CA" w:eastAsia="fr-CA"/>
          <w14:ligatures w14:val="none"/>
        </w:rPr>
        <w:t>lementary</w:t>
      </w:r>
      <w:r w:rsidRPr="009E6F96">
        <w:rPr>
          <w:rFonts w:ascii="Arial" w:eastAsia="Times New Roman" w:hAnsi="Arial" w:cs="Arial"/>
          <w:b/>
          <w:bCs/>
          <w:color w:val="000000"/>
          <w:kern w:val="0"/>
          <w:sz w:val="22"/>
          <w:szCs w:val="22"/>
          <w:lang w:val="en-CA" w:eastAsia="fr-CA"/>
          <w14:ligatures w14:val="none"/>
        </w:rPr>
        <w:t xml:space="preserve"> Figure 7: </w:t>
      </w:r>
      <w:r w:rsidR="007E1CE3" w:rsidRPr="009E6F96">
        <w:rPr>
          <w:rFonts w:ascii="Arial" w:eastAsia="Times New Roman" w:hAnsi="Arial" w:cs="Arial"/>
          <w:b/>
          <w:bCs/>
          <w:color w:val="000000"/>
          <w:kern w:val="0"/>
          <w:sz w:val="22"/>
          <w:szCs w:val="22"/>
          <w:lang w:val="en-CA" w:eastAsia="fr-CA"/>
          <w14:ligatures w14:val="none"/>
        </w:rPr>
        <w:t>Comparison of the</w:t>
      </w:r>
      <w:r w:rsidRPr="009E6F96">
        <w:rPr>
          <w:rFonts w:ascii="Arial" w:eastAsia="Times New Roman" w:hAnsi="Arial" w:cs="Arial"/>
          <w:b/>
          <w:bCs/>
          <w:color w:val="000000"/>
          <w:kern w:val="0"/>
          <w:sz w:val="22"/>
          <w:szCs w:val="22"/>
          <w:lang w:val="en-CA" w:eastAsia="fr-CA"/>
          <w14:ligatures w14:val="none"/>
        </w:rPr>
        <w:t xml:space="preserve"> number of variants per gene</w:t>
      </w:r>
      <w:r w:rsidR="004B6A3D" w:rsidRPr="009E6F96">
        <w:rPr>
          <w:rFonts w:ascii="Arial" w:eastAsia="Times New Roman" w:hAnsi="Arial" w:cs="Arial"/>
          <w:b/>
          <w:bCs/>
          <w:color w:val="000000"/>
          <w:kern w:val="0"/>
          <w:sz w:val="22"/>
          <w:szCs w:val="22"/>
          <w:lang w:val="en-CA" w:eastAsia="fr-CA"/>
          <w14:ligatures w14:val="none"/>
        </w:rPr>
        <w:t xml:space="preserve"> </w:t>
      </w:r>
      <w:r w:rsidRPr="009E6F96">
        <w:rPr>
          <w:rFonts w:ascii="Arial" w:eastAsia="Times New Roman" w:hAnsi="Arial" w:cs="Arial"/>
          <w:b/>
          <w:bCs/>
          <w:color w:val="000000"/>
          <w:kern w:val="0"/>
          <w:sz w:val="22"/>
          <w:szCs w:val="22"/>
          <w:lang w:val="en-CA" w:eastAsia="fr-CA"/>
          <w14:ligatures w14:val="none"/>
        </w:rPr>
        <w:t xml:space="preserve">sets and per </w:t>
      </w:r>
      <w:r w:rsidR="007E1CE3" w:rsidRPr="009E6F96">
        <w:rPr>
          <w:rFonts w:ascii="Arial" w:eastAsia="Times New Roman" w:hAnsi="Arial" w:cs="Arial"/>
          <w:b/>
          <w:bCs/>
          <w:color w:val="000000"/>
          <w:kern w:val="0"/>
          <w:sz w:val="22"/>
          <w:szCs w:val="22"/>
          <w:lang w:val="en-CA" w:eastAsia="fr-CA"/>
          <w14:ligatures w14:val="none"/>
        </w:rPr>
        <w:t>gene</w:t>
      </w:r>
      <w:r w:rsidR="004B6A3D" w:rsidRPr="009E6F96">
        <w:rPr>
          <w:rFonts w:ascii="Arial" w:eastAsia="Times New Roman" w:hAnsi="Arial" w:cs="Arial"/>
          <w:b/>
          <w:bCs/>
          <w:color w:val="000000"/>
          <w:kern w:val="0"/>
          <w:sz w:val="22"/>
          <w:szCs w:val="22"/>
          <w:lang w:val="en-CA" w:eastAsia="fr-CA"/>
          <w14:ligatures w14:val="none"/>
        </w:rPr>
        <w:t>.</w:t>
      </w:r>
      <w:r w:rsidR="004B6A3D">
        <w:rPr>
          <w:rFonts w:ascii="Arial" w:eastAsia="Times New Roman" w:hAnsi="Arial" w:cs="Arial"/>
          <w:color w:val="000000"/>
          <w:kern w:val="0"/>
          <w:sz w:val="22"/>
          <w:szCs w:val="22"/>
          <w:lang w:val="en-CA" w:eastAsia="fr-CA"/>
          <w14:ligatures w14:val="none"/>
        </w:rPr>
        <w:t xml:space="preserve"> (A) </w:t>
      </w:r>
      <w:r w:rsidR="00C155E5" w:rsidRPr="00C155E5">
        <w:rPr>
          <w:rFonts w:ascii="Arial" w:eastAsia="Times New Roman" w:hAnsi="Arial" w:cs="Arial"/>
          <w:color w:val="000000"/>
          <w:kern w:val="0"/>
          <w:sz w:val="22"/>
          <w:szCs w:val="22"/>
          <w:lang w:val="en-CA" w:eastAsia="fr-CA"/>
          <w14:ligatures w14:val="none"/>
        </w:rPr>
        <w:t xml:space="preserve">Matrix representing pairwise correlations </w:t>
      </w:r>
      <w:r w:rsidR="00C155E5">
        <w:rPr>
          <w:rFonts w:ascii="Arial" w:eastAsia="Times New Roman" w:hAnsi="Arial" w:cs="Arial"/>
          <w:color w:val="000000"/>
          <w:kern w:val="0"/>
          <w:sz w:val="22"/>
          <w:szCs w:val="22"/>
          <w:lang w:val="en-CA" w:eastAsia="fr-CA"/>
          <w14:ligatures w14:val="none"/>
        </w:rPr>
        <w:t>between the</w:t>
      </w:r>
      <w:r w:rsidR="00C155E5" w:rsidRPr="00C155E5">
        <w:rPr>
          <w:rFonts w:ascii="Arial" w:eastAsia="Times New Roman" w:hAnsi="Arial" w:cs="Arial"/>
          <w:color w:val="000000"/>
          <w:kern w:val="0"/>
          <w:sz w:val="22"/>
          <w:szCs w:val="22"/>
          <w:lang w:val="en-CA" w:eastAsia="fr-CA"/>
          <w14:ligatures w14:val="none"/>
        </w:rPr>
        <w:t xml:space="preserve"> </w:t>
      </w:r>
      <w:r w:rsidR="00C155E5">
        <w:rPr>
          <w:rFonts w:ascii="Arial" w:eastAsia="Times New Roman" w:hAnsi="Arial" w:cs="Arial"/>
          <w:color w:val="000000"/>
          <w:kern w:val="0"/>
          <w:sz w:val="22"/>
          <w:szCs w:val="22"/>
          <w:lang w:val="en-CA" w:eastAsia="fr-CA"/>
          <w14:ligatures w14:val="none"/>
        </w:rPr>
        <w:t xml:space="preserve">number of variants disrupting genes of the </w:t>
      </w:r>
      <w:r w:rsidR="00C155E5" w:rsidRPr="00C155E5">
        <w:rPr>
          <w:rFonts w:ascii="Arial" w:eastAsia="Times New Roman" w:hAnsi="Arial" w:cs="Arial"/>
          <w:color w:val="000000"/>
          <w:kern w:val="0"/>
          <w:sz w:val="22"/>
          <w:szCs w:val="22"/>
          <w:lang w:val="en-CA" w:eastAsia="fr-CA"/>
          <w14:ligatures w14:val="none"/>
        </w:rPr>
        <w:t>91 cell</w:t>
      </w:r>
      <w:r w:rsidR="00C155E5">
        <w:rPr>
          <w:rFonts w:ascii="Arial" w:eastAsia="Times New Roman" w:hAnsi="Arial" w:cs="Arial"/>
          <w:color w:val="000000"/>
          <w:kern w:val="0"/>
          <w:sz w:val="22"/>
          <w:szCs w:val="22"/>
          <w:lang w:val="en-CA" w:eastAsia="fr-CA"/>
          <w14:ligatures w14:val="none"/>
        </w:rPr>
        <w:t xml:space="preserve"> types</w:t>
      </w:r>
      <w:r w:rsidR="00C155E5" w:rsidRPr="00C155E5">
        <w:rPr>
          <w:rFonts w:ascii="Arial" w:eastAsia="Times New Roman" w:hAnsi="Arial" w:cs="Arial"/>
          <w:color w:val="000000"/>
          <w:kern w:val="0"/>
          <w:sz w:val="22"/>
          <w:szCs w:val="22"/>
          <w:lang w:val="en-CA" w:eastAsia="fr-CA"/>
          <w14:ligatures w14:val="none"/>
        </w:rPr>
        <w:t xml:space="preserve">. The color scale represents the </w:t>
      </w:r>
      <w:r w:rsidR="00C155E5">
        <w:rPr>
          <w:rFonts w:ascii="Arial" w:eastAsia="Times New Roman" w:hAnsi="Arial" w:cs="Arial"/>
          <w:color w:val="000000"/>
          <w:kern w:val="0"/>
          <w:sz w:val="22"/>
          <w:szCs w:val="22"/>
          <w:lang w:val="en-CA" w:eastAsia="fr-CA"/>
          <w14:ligatures w14:val="none"/>
        </w:rPr>
        <w:t>Spearman</w:t>
      </w:r>
      <w:r w:rsidR="00C155E5" w:rsidRPr="00C155E5">
        <w:rPr>
          <w:rFonts w:ascii="Arial" w:eastAsia="Times New Roman" w:hAnsi="Arial" w:cs="Arial"/>
          <w:color w:val="000000"/>
          <w:kern w:val="0"/>
          <w:sz w:val="22"/>
          <w:szCs w:val="22"/>
          <w:lang w:val="en-CA" w:eastAsia="fr-CA"/>
          <w14:ligatures w14:val="none"/>
        </w:rPr>
        <w:t xml:space="preserve"> r-value, and stars depict significant correlations.</w:t>
      </w:r>
      <w:r w:rsidR="00C155E5">
        <w:rPr>
          <w:rFonts w:ascii="Arial" w:eastAsia="Times New Roman" w:hAnsi="Arial" w:cs="Arial"/>
          <w:color w:val="000000"/>
          <w:kern w:val="0"/>
          <w:sz w:val="22"/>
          <w:szCs w:val="22"/>
          <w:lang w:val="en-CA" w:eastAsia="fr-CA"/>
          <w14:ligatures w14:val="none"/>
        </w:rPr>
        <w:t xml:space="preserve"> (B) Scatterplot representing the absence of a link between the divergence of ASD liabilities computed for stop gained and frame shifts (X-axis) and the correlation of the number of variants per gene for each cell type (Y-axis). The 91 cell types are colored based on the 3 main cell classes (green for glia, orange for excitatory neurons, and yellow for inhibitory neurons).</w:t>
      </w:r>
    </w:p>
    <w:p w14:paraId="0A4BB983" w14:textId="1CB57ECE" w:rsidR="00BD2FEE" w:rsidRDefault="003054C1"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lastRenderedPageBreak/>
        <w:drawing>
          <wp:inline distT="0" distB="0" distL="0" distR="0" wp14:anchorId="79CE6186" wp14:editId="66E35C28">
            <wp:extent cx="6400800" cy="2818765"/>
            <wp:effectExtent l="0" t="0" r="0" b="635"/>
            <wp:docPr id="1667704961"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04961" name="Graphique 1667704961"/>
                    <pic:cNvPicPr/>
                  </pic:nvPicPr>
                  <pic:blipFill>
                    <a:blip r:embed="rId22">
                      <a:extLst>
                        <a:ext uri="{96DAC541-7B7A-43D3-8B79-37D633B846F1}">
                          <asvg:svgBlip xmlns:asvg="http://schemas.microsoft.com/office/drawing/2016/SVG/main" r:embed="rId23"/>
                        </a:ext>
                      </a:extLst>
                    </a:blip>
                    <a:stretch>
                      <a:fillRect/>
                    </a:stretch>
                  </pic:blipFill>
                  <pic:spPr>
                    <a:xfrm>
                      <a:off x="0" y="0"/>
                      <a:ext cx="6400800" cy="2818765"/>
                    </a:xfrm>
                    <a:prstGeom prst="rect">
                      <a:avLst/>
                    </a:prstGeom>
                  </pic:spPr>
                </pic:pic>
              </a:graphicData>
            </a:graphic>
          </wp:inline>
        </w:drawing>
      </w:r>
    </w:p>
    <w:p w14:paraId="4416FB23" w14:textId="151ECFDF" w:rsidR="00BD2FEE" w:rsidRDefault="00BD2FEE"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3054C1">
        <w:rPr>
          <w:rFonts w:ascii="Arial" w:eastAsia="Times New Roman" w:hAnsi="Arial" w:cs="Arial"/>
          <w:b/>
          <w:bCs/>
          <w:color w:val="000000"/>
          <w:kern w:val="0"/>
          <w:sz w:val="22"/>
          <w:szCs w:val="22"/>
          <w:lang w:val="en-CA" w:eastAsia="fr-CA"/>
          <w14:ligatures w14:val="none"/>
        </w:rPr>
        <w:t>Supplementary Figure 8. Sensitivity analysis o</w:t>
      </w:r>
      <w:r w:rsidR="003054C1" w:rsidRPr="003054C1">
        <w:rPr>
          <w:rFonts w:ascii="Arial" w:eastAsia="Times New Roman" w:hAnsi="Arial" w:cs="Arial"/>
          <w:b/>
          <w:bCs/>
          <w:color w:val="000000"/>
          <w:kern w:val="0"/>
          <w:sz w:val="22"/>
          <w:szCs w:val="22"/>
          <w:lang w:val="en-CA" w:eastAsia="fr-CA"/>
          <w14:ligatures w14:val="none"/>
        </w:rPr>
        <w:t>f the cellular liability for ASD along the</w:t>
      </w:r>
      <w:r w:rsidRPr="003054C1">
        <w:rPr>
          <w:rFonts w:ascii="Arial" w:eastAsia="Times New Roman" w:hAnsi="Arial" w:cs="Arial"/>
          <w:b/>
          <w:bCs/>
          <w:color w:val="000000"/>
          <w:kern w:val="0"/>
          <w:sz w:val="22"/>
          <w:szCs w:val="22"/>
          <w:lang w:val="en-CA" w:eastAsia="fr-CA"/>
          <w14:ligatures w14:val="none"/>
        </w:rPr>
        <w:t xml:space="preserve"> population size.</w:t>
      </w:r>
      <w:r w:rsidR="003054C1">
        <w:rPr>
          <w:rFonts w:ascii="Arial" w:eastAsia="Times New Roman" w:hAnsi="Arial" w:cs="Arial"/>
          <w:color w:val="000000"/>
          <w:kern w:val="0"/>
          <w:sz w:val="22"/>
          <w:szCs w:val="22"/>
          <w:lang w:val="en-CA" w:eastAsia="fr-CA"/>
          <w14:ligatures w14:val="none"/>
        </w:rPr>
        <w:t xml:space="preserve"> (A) Spearman's correlation between the cellular liabilities computed on the total population (Figure 2.G) and randomly sampled individuals from the total population of 10 different sizes (20 samples per size, going from 10% to 90% of the initial dataset). The correlations are computed for liabilities computed for each variant type individually. The red dotted line represents the threshold for highly correlated results. (B) </w:t>
      </w:r>
      <w:proofErr w:type="spellStart"/>
      <w:r w:rsidR="003054C1">
        <w:rPr>
          <w:rFonts w:ascii="Arial" w:eastAsia="Times New Roman" w:hAnsi="Arial" w:cs="Arial"/>
          <w:color w:val="000000"/>
          <w:kern w:val="0"/>
          <w:sz w:val="22"/>
          <w:szCs w:val="22"/>
          <w:lang w:val="en-CA" w:eastAsia="fr-CA"/>
          <w14:ligatures w14:val="none"/>
        </w:rPr>
        <w:t>Subanalysis</w:t>
      </w:r>
      <w:proofErr w:type="spellEnd"/>
      <w:r w:rsidR="003054C1">
        <w:rPr>
          <w:rFonts w:ascii="Arial" w:eastAsia="Times New Roman" w:hAnsi="Arial" w:cs="Arial"/>
          <w:color w:val="000000"/>
          <w:kern w:val="0"/>
          <w:sz w:val="22"/>
          <w:szCs w:val="22"/>
          <w:lang w:val="en-CA" w:eastAsia="fr-CA"/>
          <w14:ligatures w14:val="none"/>
        </w:rPr>
        <w:t xml:space="preserve"> of the microglia sets significantly associated with ASD when disrupted by stop gained and frameshift. The plot line represents the percentage of the cell types that were also significantly associated with ASD when analyzing only a subsample of the initial dataset.  </w:t>
      </w:r>
    </w:p>
    <w:p w14:paraId="7324B9DD" w14:textId="1C64BD3C" w:rsidR="00B760CF" w:rsidRDefault="00B760CF"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lastRenderedPageBreak/>
        <w:drawing>
          <wp:inline distT="0" distB="0" distL="0" distR="0" wp14:anchorId="5FBC764B" wp14:editId="45E72661">
            <wp:extent cx="6031518" cy="6368995"/>
            <wp:effectExtent l="0" t="0" r="0" b="0"/>
            <wp:docPr id="1581508381"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08381" name="Graphique 1581508381"/>
                    <pic:cNvPicPr/>
                  </pic:nvPicPr>
                  <pic:blipFill>
                    <a:blip r:embed="rId24">
                      <a:extLst>
                        <a:ext uri="{96DAC541-7B7A-43D3-8B79-37D633B846F1}">
                          <asvg:svgBlip xmlns:asvg="http://schemas.microsoft.com/office/drawing/2016/SVG/main" r:embed="rId25"/>
                        </a:ext>
                      </a:extLst>
                    </a:blip>
                    <a:stretch>
                      <a:fillRect/>
                    </a:stretch>
                  </pic:blipFill>
                  <pic:spPr>
                    <a:xfrm>
                      <a:off x="0" y="0"/>
                      <a:ext cx="6038768" cy="6376651"/>
                    </a:xfrm>
                    <a:prstGeom prst="rect">
                      <a:avLst/>
                    </a:prstGeom>
                  </pic:spPr>
                </pic:pic>
              </a:graphicData>
            </a:graphic>
          </wp:inline>
        </w:drawing>
      </w:r>
    </w:p>
    <w:p w14:paraId="76F9027E" w14:textId="6DEDF772" w:rsidR="00B760CF" w:rsidRDefault="00B760CF"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B760CF">
        <w:rPr>
          <w:rFonts w:ascii="Arial" w:eastAsia="Times New Roman" w:hAnsi="Arial" w:cs="Arial"/>
          <w:b/>
          <w:bCs/>
          <w:color w:val="000000"/>
          <w:kern w:val="0"/>
          <w:sz w:val="22"/>
          <w:szCs w:val="22"/>
          <w:lang w:val="en-CA" w:eastAsia="fr-CA"/>
          <w14:ligatures w14:val="none"/>
        </w:rPr>
        <w:t xml:space="preserve">Supplementary Figure </w:t>
      </w:r>
      <w:r w:rsidR="00BD2FEE">
        <w:rPr>
          <w:rFonts w:ascii="Arial" w:eastAsia="Times New Roman" w:hAnsi="Arial" w:cs="Arial"/>
          <w:b/>
          <w:bCs/>
          <w:color w:val="000000"/>
          <w:kern w:val="0"/>
          <w:sz w:val="22"/>
          <w:szCs w:val="22"/>
          <w:lang w:val="en-CA" w:eastAsia="fr-CA"/>
          <w14:ligatures w14:val="none"/>
        </w:rPr>
        <w:t>9</w:t>
      </w:r>
      <w:r w:rsidRPr="00B760CF">
        <w:rPr>
          <w:rFonts w:ascii="Arial" w:eastAsia="Times New Roman" w:hAnsi="Arial" w:cs="Arial"/>
          <w:b/>
          <w:bCs/>
          <w:color w:val="000000"/>
          <w:kern w:val="0"/>
          <w:sz w:val="22"/>
          <w:szCs w:val="22"/>
          <w:lang w:val="en-CA" w:eastAsia="fr-CA"/>
          <w14:ligatures w14:val="none"/>
        </w:rPr>
        <w:t xml:space="preserve">: Enrichment of de novo variants within the ASD individuals compared to unaffected </w:t>
      </w:r>
      <w:r>
        <w:rPr>
          <w:rFonts w:ascii="Arial" w:eastAsia="Times New Roman" w:hAnsi="Arial" w:cs="Arial"/>
          <w:b/>
          <w:bCs/>
          <w:color w:val="000000"/>
          <w:kern w:val="0"/>
          <w:sz w:val="22"/>
          <w:szCs w:val="22"/>
          <w:lang w:val="en-CA" w:eastAsia="fr-CA"/>
          <w14:ligatures w14:val="none"/>
        </w:rPr>
        <w:t>siblings</w:t>
      </w:r>
      <w:r w:rsidRPr="00B760CF">
        <w:rPr>
          <w:rFonts w:ascii="Arial" w:eastAsia="Times New Roman" w:hAnsi="Arial" w:cs="Arial"/>
          <w:b/>
          <w:bCs/>
          <w:color w:val="000000"/>
          <w:kern w:val="0"/>
          <w:sz w:val="22"/>
          <w:szCs w:val="22"/>
          <w:lang w:val="en-CA" w:eastAsia="fr-CA"/>
          <w14:ligatures w14:val="none"/>
        </w:rPr>
        <w:t>.</w:t>
      </w:r>
      <w:r>
        <w:rPr>
          <w:rFonts w:ascii="Arial" w:eastAsia="Times New Roman" w:hAnsi="Arial" w:cs="Arial"/>
          <w:color w:val="000000"/>
          <w:kern w:val="0"/>
          <w:sz w:val="22"/>
          <w:szCs w:val="22"/>
          <w:lang w:val="en-CA" w:eastAsia="fr-CA"/>
          <w14:ligatures w14:val="none"/>
        </w:rPr>
        <w:t xml:space="preserve"> (A) Enrichment of de novo variant rate for the 91 cell types x developmental stages and 5 variant classes. Enrichments correspond to the rate of de novo/inherited variants for all the under-constraint (LOEUF &lt; 0.6) genes assigned to each developmental cell type between the ASD individuals and the unaffected siblings. The log2FoldChange of the enrichment is color-coded with a scale going from depleted (blue) to enriched (red). Significant enrichments are outlined in black. (B)</w:t>
      </w:r>
      <w:r w:rsidRPr="00B760CF">
        <w:rPr>
          <w:lang w:val="en-CA"/>
        </w:rPr>
        <w:t xml:space="preserve"> </w:t>
      </w:r>
      <w:r>
        <w:rPr>
          <w:lang w:val="en-CA"/>
        </w:rPr>
        <w:t xml:space="preserve">Distribution of the </w:t>
      </w:r>
      <w:r>
        <w:rPr>
          <w:rFonts w:ascii="Arial" w:eastAsia="Times New Roman" w:hAnsi="Arial" w:cs="Arial"/>
          <w:color w:val="000000"/>
          <w:kern w:val="0"/>
          <w:sz w:val="22"/>
          <w:szCs w:val="22"/>
          <w:lang w:val="en-CA" w:eastAsia="fr-CA"/>
          <w14:ligatures w14:val="none"/>
        </w:rPr>
        <w:t>e</w:t>
      </w:r>
      <w:r w:rsidRPr="00B760CF">
        <w:rPr>
          <w:rFonts w:ascii="Arial" w:eastAsia="Times New Roman" w:hAnsi="Arial" w:cs="Arial"/>
          <w:color w:val="000000"/>
          <w:kern w:val="0"/>
          <w:sz w:val="22"/>
          <w:szCs w:val="22"/>
          <w:lang w:val="en-CA" w:eastAsia="fr-CA"/>
          <w14:ligatures w14:val="none"/>
        </w:rPr>
        <w:t>nrichments</w:t>
      </w:r>
      <w:r>
        <w:rPr>
          <w:rFonts w:ascii="Arial" w:eastAsia="Times New Roman" w:hAnsi="Arial" w:cs="Arial"/>
          <w:color w:val="000000"/>
          <w:kern w:val="0"/>
          <w:sz w:val="22"/>
          <w:szCs w:val="22"/>
          <w:lang w:val="en-CA" w:eastAsia="fr-CA"/>
          <w14:ligatures w14:val="none"/>
        </w:rPr>
        <w:t xml:space="preserve"> (fold change)</w:t>
      </w:r>
      <w:r w:rsidRPr="00B760CF">
        <w:rPr>
          <w:rFonts w:ascii="Arial" w:eastAsia="Times New Roman" w:hAnsi="Arial" w:cs="Arial"/>
          <w:color w:val="000000"/>
          <w:kern w:val="0"/>
          <w:sz w:val="22"/>
          <w:szCs w:val="22"/>
          <w:lang w:val="en-CA" w:eastAsia="fr-CA"/>
          <w14:ligatures w14:val="none"/>
        </w:rPr>
        <w:t xml:space="preserve"> of de novo variants grouped in </w:t>
      </w:r>
      <w:r>
        <w:rPr>
          <w:rFonts w:ascii="Arial" w:eastAsia="Times New Roman" w:hAnsi="Arial" w:cs="Arial"/>
          <w:color w:val="000000"/>
          <w:kern w:val="0"/>
          <w:sz w:val="22"/>
          <w:szCs w:val="22"/>
          <w:lang w:val="en-CA" w:eastAsia="fr-CA"/>
          <w14:ligatures w14:val="none"/>
        </w:rPr>
        <w:t xml:space="preserve">the </w:t>
      </w:r>
      <w:r w:rsidRPr="00B760CF">
        <w:rPr>
          <w:rFonts w:ascii="Arial" w:eastAsia="Times New Roman" w:hAnsi="Arial" w:cs="Arial"/>
          <w:color w:val="000000"/>
          <w:kern w:val="0"/>
          <w:sz w:val="22"/>
          <w:szCs w:val="22"/>
          <w:lang w:val="en-CA" w:eastAsia="fr-CA"/>
          <w14:ligatures w14:val="none"/>
        </w:rPr>
        <w:t>3 main cell classes</w:t>
      </w:r>
      <w:r>
        <w:rPr>
          <w:rFonts w:ascii="Arial" w:eastAsia="Times New Roman" w:hAnsi="Arial" w:cs="Arial"/>
          <w:color w:val="000000"/>
          <w:kern w:val="0"/>
          <w:sz w:val="22"/>
          <w:szCs w:val="22"/>
          <w:lang w:val="en-CA" w:eastAsia="fr-CA"/>
          <w14:ligatures w14:val="none"/>
        </w:rPr>
        <w:t xml:space="preserve"> and 6 developmental times for the 4 types of gene-disrupting variants (stop gained, frameshift, splice variants, and missense variants)</w:t>
      </w:r>
      <w:r w:rsidRPr="00B760CF">
        <w:rPr>
          <w:rFonts w:ascii="Arial" w:eastAsia="Times New Roman" w:hAnsi="Arial" w:cs="Arial"/>
          <w:color w:val="000000"/>
          <w:kern w:val="0"/>
          <w:sz w:val="22"/>
          <w:szCs w:val="22"/>
          <w:lang w:val="en-CA" w:eastAsia="fr-CA"/>
          <w14:ligatures w14:val="none"/>
        </w:rPr>
        <w:t xml:space="preserve">. Values above 1 represent cell types enriched in de novo variants relative to </w:t>
      </w:r>
      <w:r>
        <w:rPr>
          <w:rFonts w:ascii="Arial" w:eastAsia="Times New Roman" w:hAnsi="Arial" w:cs="Arial"/>
          <w:color w:val="000000"/>
          <w:kern w:val="0"/>
          <w:sz w:val="22"/>
          <w:szCs w:val="22"/>
          <w:lang w:val="en-CA" w:eastAsia="fr-CA"/>
          <w14:ligatures w14:val="none"/>
        </w:rPr>
        <w:t>the unaffected siblings</w:t>
      </w:r>
      <w:r w:rsidRPr="00B760CF">
        <w:rPr>
          <w:rFonts w:ascii="Arial" w:eastAsia="Times New Roman" w:hAnsi="Arial" w:cs="Arial"/>
          <w:color w:val="000000"/>
          <w:kern w:val="0"/>
          <w:sz w:val="22"/>
          <w:szCs w:val="22"/>
          <w:lang w:val="en-CA" w:eastAsia="fr-CA"/>
          <w14:ligatures w14:val="none"/>
        </w:rPr>
        <w:t>.</w:t>
      </w:r>
    </w:p>
    <w:p w14:paraId="7C83F072" w14:textId="07A2096A" w:rsidR="00B760CF" w:rsidRPr="00B760CF" w:rsidRDefault="00B760CF"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lastRenderedPageBreak/>
        <w:drawing>
          <wp:inline distT="0" distB="0" distL="0" distR="0" wp14:anchorId="6A601CEA" wp14:editId="263ABC7E">
            <wp:extent cx="6400800" cy="3200400"/>
            <wp:effectExtent l="0" t="0" r="0" b="0"/>
            <wp:docPr id="1066310255"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310255" name="Graphique 1066310255"/>
                    <pic:cNvPicPr/>
                  </pic:nvPicPr>
                  <pic:blipFill>
                    <a:blip r:embed="rId26">
                      <a:extLst>
                        <a:ext uri="{96DAC541-7B7A-43D3-8B79-37D633B846F1}">
                          <asvg:svgBlip xmlns:asvg="http://schemas.microsoft.com/office/drawing/2016/SVG/main" r:embed="rId27"/>
                        </a:ext>
                      </a:extLst>
                    </a:blip>
                    <a:stretch>
                      <a:fillRect/>
                    </a:stretch>
                  </pic:blipFill>
                  <pic:spPr>
                    <a:xfrm>
                      <a:off x="0" y="0"/>
                      <a:ext cx="6400800" cy="3200400"/>
                    </a:xfrm>
                    <a:prstGeom prst="rect">
                      <a:avLst/>
                    </a:prstGeom>
                  </pic:spPr>
                </pic:pic>
              </a:graphicData>
            </a:graphic>
          </wp:inline>
        </w:drawing>
      </w:r>
      <w:r w:rsidRPr="00B760CF">
        <w:rPr>
          <w:rFonts w:ascii="Arial" w:eastAsia="Times New Roman" w:hAnsi="Arial" w:cs="Arial"/>
          <w:b/>
          <w:bCs/>
          <w:color w:val="000000"/>
          <w:kern w:val="0"/>
          <w:sz w:val="22"/>
          <w:szCs w:val="22"/>
          <w:lang w:val="en-CA" w:eastAsia="fr-CA"/>
          <w14:ligatures w14:val="none"/>
        </w:rPr>
        <w:t xml:space="preserve"> Supplementary Figure </w:t>
      </w:r>
      <w:r w:rsidR="00BD2FEE">
        <w:rPr>
          <w:rFonts w:ascii="Arial" w:eastAsia="Times New Roman" w:hAnsi="Arial" w:cs="Arial"/>
          <w:b/>
          <w:bCs/>
          <w:color w:val="000000"/>
          <w:kern w:val="0"/>
          <w:sz w:val="22"/>
          <w:szCs w:val="22"/>
          <w:lang w:val="en-CA" w:eastAsia="fr-CA"/>
          <w14:ligatures w14:val="none"/>
        </w:rPr>
        <w:t>10</w:t>
      </w:r>
      <w:r w:rsidRPr="00B760CF">
        <w:rPr>
          <w:rFonts w:ascii="Arial" w:eastAsia="Times New Roman" w:hAnsi="Arial" w:cs="Arial"/>
          <w:b/>
          <w:bCs/>
          <w:color w:val="000000"/>
          <w:kern w:val="0"/>
          <w:sz w:val="22"/>
          <w:szCs w:val="22"/>
          <w:lang w:val="en-CA" w:eastAsia="fr-CA"/>
          <w14:ligatures w14:val="none"/>
        </w:rPr>
        <w:t xml:space="preserve">: </w:t>
      </w:r>
      <w:r>
        <w:rPr>
          <w:rFonts w:ascii="Arial" w:eastAsia="Times New Roman" w:hAnsi="Arial" w:cs="Arial"/>
          <w:b/>
          <w:bCs/>
          <w:color w:val="000000"/>
          <w:kern w:val="0"/>
          <w:sz w:val="22"/>
          <w:szCs w:val="22"/>
          <w:lang w:val="en-CA" w:eastAsia="fr-CA"/>
          <w14:ligatures w14:val="none"/>
        </w:rPr>
        <w:t>For ASD individuals, e</w:t>
      </w:r>
      <w:r w:rsidRPr="00B760CF">
        <w:rPr>
          <w:rFonts w:ascii="Arial" w:eastAsia="Times New Roman" w:hAnsi="Arial" w:cs="Arial"/>
          <w:b/>
          <w:bCs/>
          <w:color w:val="000000"/>
          <w:kern w:val="0"/>
          <w:sz w:val="22"/>
          <w:szCs w:val="22"/>
          <w:lang w:val="en-CA" w:eastAsia="fr-CA"/>
          <w14:ligatures w14:val="none"/>
        </w:rPr>
        <w:t xml:space="preserve">nrichment of de novo variants within </w:t>
      </w:r>
      <w:r>
        <w:rPr>
          <w:rFonts w:ascii="Arial" w:eastAsia="Times New Roman" w:hAnsi="Arial" w:cs="Arial"/>
          <w:b/>
          <w:bCs/>
          <w:color w:val="000000"/>
          <w:kern w:val="0"/>
          <w:sz w:val="22"/>
          <w:szCs w:val="22"/>
          <w:lang w:val="en-CA" w:eastAsia="fr-CA"/>
          <w14:ligatures w14:val="none"/>
        </w:rPr>
        <w:t>each cell type</w:t>
      </w:r>
      <w:r w:rsidRPr="00B760CF">
        <w:rPr>
          <w:rFonts w:ascii="Arial" w:eastAsia="Times New Roman" w:hAnsi="Arial" w:cs="Arial"/>
          <w:b/>
          <w:bCs/>
          <w:color w:val="000000"/>
          <w:kern w:val="0"/>
          <w:sz w:val="22"/>
          <w:szCs w:val="22"/>
          <w:lang w:val="en-CA" w:eastAsia="fr-CA"/>
          <w14:ligatures w14:val="none"/>
        </w:rPr>
        <w:t xml:space="preserve"> compared to </w:t>
      </w:r>
      <w:r>
        <w:rPr>
          <w:rFonts w:ascii="Arial" w:eastAsia="Times New Roman" w:hAnsi="Arial" w:cs="Arial"/>
          <w:b/>
          <w:bCs/>
          <w:color w:val="000000"/>
          <w:kern w:val="0"/>
          <w:sz w:val="22"/>
          <w:szCs w:val="22"/>
          <w:lang w:val="en-CA" w:eastAsia="fr-CA"/>
          <w14:ligatures w14:val="none"/>
        </w:rPr>
        <w:t>the rest of brain-expressed genes</w:t>
      </w:r>
      <w:r w:rsidRPr="00B760CF">
        <w:rPr>
          <w:rFonts w:ascii="Arial" w:eastAsia="Times New Roman" w:hAnsi="Arial" w:cs="Arial"/>
          <w:b/>
          <w:bCs/>
          <w:color w:val="000000"/>
          <w:kern w:val="0"/>
          <w:sz w:val="22"/>
          <w:szCs w:val="22"/>
          <w:lang w:val="en-CA" w:eastAsia="fr-CA"/>
          <w14:ligatures w14:val="none"/>
        </w:rPr>
        <w:t>.</w:t>
      </w:r>
      <w:r>
        <w:rPr>
          <w:rFonts w:ascii="Arial" w:eastAsia="Times New Roman" w:hAnsi="Arial" w:cs="Arial"/>
          <w:color w:val="000000"/>
          <w:kern w:val="0"/>
          <w:sz w:val="22"/>
          <w:szCs w:val="22"/>
          <w:lang w:val="en-CA" w:eastAsia="fr-CA"/>
          <w14:ligatures w14:val="none"/>
        </w:rPr>
        <w:t xml:space="preserve"> (A) Enrichment of de novo variant rate for the 91 cell types x developmental stages and 5 variant classes. Enrichments correspond to the rate of de novo/inherited variants for all the under-constraint (LOEUF &lt; 0.6) genes assigned to each developmental cell type between the ASD individuals and the rate of all other brain-expressed genes (also under genetic-constraint). The log2FoldChange of the enrichment is color-coded with a scale going from depleted (blue) to enriched (red). Significant enrichments are outlined in black.</w:t>
      </w:r>
    </w:p>
    <w:p w14:paraId="019158A0" w14:textId="77777777" w:rsidR="004B6A3D" w:rsidRDefault="004B6A3D"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1C4BD5D2" w14:textId="77777777" w:rsidR="004B6A3D" w:rsidRDefault="004B6A3D"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306C3A0D" w14:textId="313067D3" w:rsidR="009723A9" w:rsidRDefault="009723A9"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drawing>
          <wp:inline distT="0" distB="0" distL="0" distR="0" wp14:anchorId="290BE511" wp14:editId="13E6E083">
            <wp:extent cx="3657600" cy="1828800"/>
            <wp:effectExtent l="0" t="0" r="0" b="0"/>
            <wp:docPr id="108632228"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2228" name="Graphique 108632228"/>
                    <pic:cNvPicPr/>
                  </pic:nvPicPr>
                  <pic:blipFill>
                    <a:blip r:embed="rId28">
                      <a:extLst>
                        <a:ext uri="{96DAC541-7B7A-43D3-8B79-37D633B846F1}">
                          <asvg:svgBlip xmlns:asvg="http://schemas.microsoft.com/office/drawing/2016/SVG/main" r:embed="rId29"/>
                        </a:ext>
                      </a:extLst>
                    </a:blip>
                    <a:stretch>
                      <a:fillRect/>
                    </a:stretch>
                  </pic:blipFill>
                  <pic:spPr>
                    <a:xfrm>
                      <a:off x="0" y="0"/>
                      <a:ext cx="3657600" cy="1828800"/>
                    </a:xfrm>
                    <a:prstGeom prst="rect">
                      <a:avLst/>
                    </a:prstGeom>
                  </pic:spPr>
                </pic:pic>
              </a:graphicData>
            </a:graphic>
          </wp:inline>
        </w:drawing>
      </w:r>
    </w:p>
    <w:p w14:paraId="4FD5F72E" w14:textId="0A45B391" w:rsidR="009723A9" w:rsidRDefault="009723A9"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9723A9">
        <w:rPr>
          <w:rFonts w:ascii="Arial" w:eastAsia="Times New Roman" w:hAnsi="Arial" w:cs="Arial"/>
          <w:b/>
          <w:bCs/>
          <w:color w:val="000000"/>
          <w:kern w:val="0"/>
          <w:sz w:val="22"/>
          <w:szCs w:val="22"/>
          <w:lang w:val="en-CA" w:eastAsia="fr-CA"/>
          <w14:ligatures w14:val="none"/>
        </w:rPr>
        <w:t>Supplementary Figure 1</w:t>
      </w:r>
      <w:r w:rsidR="00BD2FEE">
        <w:rPr>
          <w:rFonts w:ascii="Arial" w:eastAsia="Times New Roman" w:hAnsi="Arial" w:cs="Arial"/>
          <w:b/>
          <w:bCs/>
          <w:color w:val="000000"/>
          <w:kern w:val="0"/>
          <w:sz w:val="22"/>
          <w:szCs w:val="22"/>
          <w:lang w:val="en-CA" w:eastAsia="fr-CA"/>
          <w14:ligatures w14:val="none"/>
        </w:rPr>
        <w:t>1</w:t>
      </w:r>
      <w:r w:rsidRPr="009723A9">
        <w:rPr>
          <w:rFonts w:ascii="Arial" w:eastAsia="Times New Roman" w:hAnsi="Arial" w:cs="Arial"/>
          <w:b/>
          <w:bCs/>
          <w:color w:val="000000"/>
          <w:kern w:val="0"/>
          <w:sz w:val="22"/>
          <w:szCs w:val="22"/>
          <w:lang w:val="en-CA" w:eastAsia="fr-CA"/>
          <w14:ligatures w14:val="none"/>
        </w:rPr>
        <w:t xml:space="preserve">: LOEUF distribution of the genes assigned to the 36 cortical cell types in Wamsley </w:t>
      </w:r>
      <w:proofErr w:type="gramStart"/>
      <w:r w:rsidRPr="009723A9">
        <w:rPr>
          <w:rFonts w:ascii="Arial" w:eastAsia="Times New Roman" w:hAnsi="Arial" w:cs="Arial"/>
          <w:b/>
          <w:bCs/>
          <w:color w:val="000000"/>
          <w:kern w:val="0"/>
          <w:sz w:val="22"/>
          <w:szCs w:val="22"/>
          <w:lang w:val="en-CA" w:eastAsia="fr-CA"/>
          <w14:ligatures w14:val="none"/>
        </w:rPr>
        <w:t>et al..</w:t>
      </w:r>
      <w:proofErr w:type="gramEnd"/>
      <w:r>
        <w:rPr>
          <w:rFonts w:ascii="Arial" w:eastAsia="Times New Roman" w:hAnsi="Arial" w:cs="Arial"/>
          <w:color w:val="000000"/>
          <w:kern w:val="0"/>
          <w:sz w:val="22"/>
          <w:szCs w:val="22"/>
          <w:lang w:val="en-CA" w:eastAsia="fr-CA"/>
          <w14:ligatures w14:val="none"/>
        </w:rPr>
        <w:t xml:space="preserve"> The ASD upregulated genes, the ASD downregulated genes, and the cell type specific genes identified in Wamsley et al are represented in blue, red, and green, respectively.</w:t>
      </w:r>
    </w:p>
    <w:p w14:paraId="292ED93C" w14:textId="77777777" w:rsidR="00B760CF" w:rsidRDefault="00B760CF" w:rsidP="00B760CF">
      <w:pPr>
        <w:spacing w:before="240" w:after="240" w:line="240" w:lineRule="auto"/>
        <w:jc w:val="both"/>
        <w:rPr>
          <w:rFonts w:ascii="Arial" w:eastAsia="Times New Roman" w:hAnsi="Arial" w:cs="Arial"/>
          <w:color w:val="000000"/>
          <w:kern w:val="0"/>
          <w:sz w:val="22"/>
          <w:szCs w:val="22"/>
          <w:lang w:eastAsia="fr-CA"/>
          <w14:ligatures w14:val="none"/>
        </w:rPr>
      </w:pPr>
      <w:r>
        <w:rPr>
          <w:rFonts w:ascii="Arial" w:eastAsia="Times New Roman" w:hAnsi="Arial" w:cs="Arial"/>
          <w:noProof/>
          <w:color w:val="000000"/>
          <w:kern w:val="0"/>
          <w:sz w:val="22"/>
          <w:szCs w:val="22"/>
          <w:lang w:eastAsia="fr-CA"/>
        </w:rPr>
        <w:lastRenderedPageBreak/>
        <w:drawing>
          <wp:inline distT="0" distB="0" distL="0" distR="0" wp14:anchorId="7E4FF0AF" wp14:editId="5BD15D56">
            <wp:extent cx="6400800" cy="2484755"/>
            <wp:effectExtent l="0" t="0" r="0" b="0"/>
            <wp:docPr id="1065230131"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30131" name="Graphique 1065230131"/>
                    <pic:cNvPicPr/>
                  </pic:nvPicPr>
                  <pic:blipFill>
                    <a:blip r:embed="rId30">
                      <a:extLst>
                        <a:ext uri="{96DAC541-7B7A-43D3-8B79-37D633B846F1}">
                          <asvg:svgBlip xmlns:asvg="http://schemas.microsoft.com/office/drawing/2016/SVG/main" r:embed="rId31"/>
                        </a:ext>
                      </a:extLst>
                    </a:blip>
                    <a:stretch>
                      <a:fillRect/>
                    </a:stretch>
                  </pic:blipFill>
                  <pic:spPr>
                    <a:xfrm>
                      <a:off x="0" y="0"/>
                      <a:ext cx="6400800" cy="2484755"/>
                    </a:xfrm>
                    <a:prstGeom prst="rect">
                      <a:avLst/>
                    </a:prstGeom>
                  </pic:spPr>
                </pic:pic>
              </a:graphicData>
            </a:graphic>
          </wp:inline>
        </w:drawing>
      </w:r>
    </w:p>
    <w:p w14:paraId="6B7CAE12" w14:textId="23D50158" w:rsidR="00B760CF" w:rsidRDefault="00B760CF"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9723A9">
        <w:rPr>
          <w:rFonts w:ascii="Arial" w:eastAsia="Times New Roman" w:hAnsi="Arial" w:cs="Arial"/>
          <w:b/>
          <w:bCs/>
          <w:color w:val="000000"/>
          <w:kern w:val="0"/>
          <w:sz w:val="22"/>
          <w:szCs w:val="22"/>
          <w:lang w:val="en-CA" w:eastAsia="fr-CA"/>
          <w14:ligatures w14:val="none"/>
        </w:rPr>
        <w:t>Supp</w:t>
      </w:r>
      <w:r>
        <w:rPr>
          <w:rFonts w:ascii="Arial" w:eastAsia="Times New Roman" w:hAnsi="Arial" w:cs="Arial"/>
          <w:b/>
          <w:bCs/>
          <w:color w:val="000000"/>
          <w:kern w:val="0"/>
          <w:sz w:val="22"/>
          <w:szCs w:val="22"/>
          <w:lang w:val="en-CA" w:eastAsia="fr-CA"/>
          <w14:ligatures w14:val="none"/>
        </w:rPr>
        <w:t>lementary</w:t>
      </w:r>
      <w:r w:rsidRPr="009723A9">
        <w:rPr>
          <w:rFonts w:ascii="Arial" w:eastAsia="Times New Roman" w:hAnsi="Arial" w:cs="Arial"/>
          <w:b/>
          <w:bCs/>
          <w:color w:val="000000"/>
          <w:kern w:val="0"/>
          <w:sz w:val="22"/>
          <w:szCs w:val="22"/>
          <w:lang w:val="en-CA" w:eastAsia="fr-CA"/>
          <w14:ligatures w14:val="none"/>
        </w:rPr>
        <w:t xml:space="preserve"> Figure </w:t>
      </w:r>
      <w:r>
        <w:rPr>
          <w:rFonts w:ascii="Arial" w:eastAsia="Times New Roman" w:hAnsi="Arial" w:cs="Arial"/>
          <w:b/>
          <w:bCs/>
          <w:color w:val="000000"/>
          <w:kern w:val="0"/>
          <w:sz w:val="22"/>
          <w:szCs w:val="22"/>
          <w:lang w:val="en-CA" w:eastAsia="fr-CA"/>
          <w14:ligatures w14:val="none"/>
        </w:rPr>
        <w:t>1</w:t>
      </w:r>
      <w:r w:rsidR="00BD2FEE">
        <w:rPr>
          <w:rFonts w:ascii="Arial" w:eastAsia="Times New Roman" w:hAnsi="Arial" w:cs="Arial"/>
          <w:b/>
          <w:bCs/>
          <w:color w:val="000000"/>
          <w:kern w:val="0"/>
          <w:sz w:val="22"/>
          <w:szCs w:val="22"/>
          <w:lang w:val="en-CA" w:eastAsia="fr-CA"/>
          <w14:ligatures w14:val="none"/>
        </w:rPr>
        <w:t>2</w:t>
      </w:r>
      <w:r w:rsidRPr="009723A9">
        <w:rPr>
          <w:rFonts w:ascii="Arial" w:eastAsia="Times New Roman" w:hAnsi="Arial" w:cs="Arial"/>
          <w:b/>
          <w:bCs/>
          <w:color w:val="000000"/>
          <w:kern w:val="0"/>
          <w:sz w:val="22"/>
          <w:szCs w:val="22"/>
          <w:lang w:val="en-CA" w:eastAsia="fr-CA"/>
          <w14:ligatures w14:val="none"/>
        </w:rPr>
        <w:t>: Comparison between Wamsley cell type gene sets and Herring gene sets.</w:t>
      </w:r>
      <w:r>
        <w:rPr>
          <w:rFonts w:ascii="Arial" w:eastAsia="Times New Roman" w:hAnsi="Arial" w:cs="Arial"/>
          <w:color w:val="000000"/>
          <w:kern w:val="0"/>
          <w:sz w:val="22"/>
          <w:szCs w:val="22"/>
          <w:lang w:val="en-CA" w:eastAsia="fr-CA"/>
          <w14:ligatures w14:val="none"/>
        </w:rPr>
        <w:t xml:space="preserve"> (A) Enrichment of the gene sets computed from the 3 gene assignment methods (upregulated in blue, downregulated in red, and cell type specific in green) with their corresponding Herring cell types (</w:t>
      </w:r>
      <w:r w:rsidRPr="001F64E8">
        <w:rPr>
          <w:rFonts w:ascii="Arial" w:eastAsia="Times New Roman" w:hAnsi="Arial" w:cs="Arial"/>
          <w:b/>
          <w:bCs/>
          <w:color w:val="000000"/>
          <w:kern w:val="0"/>
          <w:sz w:val="22"/>
          <w:szCs w:val="22"/>
          <w:lang w:val="en-CA" w:eastAsia="fr-CA"/>
          <w14:ligatures w14:val="none"/>
        </w:rPr>
        <w:t>Supp</w:t>
      </w:r>
      <w:r w:rsidR="001F64E8">
        <w:rPr>
          <w:rFonts w:ascii="Arial" w:eastAsia="Times New Roman" w:hAnsi="Arial" w:cs="Arial"/>
          <w:b/>
          <w:bCs/>
          <w:color w:val="000000"/>
          <w:kern w:val="0"/>
          <w:sz w:val="22"/>
          <w:szCs w:val="22"/>
          <w:lang w:val="en-CA" w:eastAsia="fr-CA"/>
          <w14:ligatures w14:val="none"/>
        </w:rPr>
        <w:t>.</w:t>
      </w:r>
      <w:r w:rsidRPr="001F64E8">
        <w:rPr>
          <w:rFonts w:ascii="Arial" w:eastAsia="Times New Roman" w:hAnsi="Arial" w:cs="Arial"/>
          <w:b/>
          <w:bCs/>
          <w:color w:val="000000"/>
          <w:kern w:val="0"/>
          <w:sz w:val="22"/>
          <w:szCs w:val="22"/>
          <w:lang w:val="en-CA" w:eastAsia="fr-CA"/>
          <w14:ligatures w14:val="none"/>
        </w:rPr>
        <w:t xml:space="preserve"> table </w:t>
      </w:r>
      <w:r w:rsidR="00B530BD">
        <w:rPr>
          <w:rFonts w:ascii="Arial" w:eastAsia="Times New Roman" w:hAnsi="Arial" w:cs="Arial"/>
          <w:b/>
          <w:bCs/>
          <w:color w:val="000000"/>
          <w:kern w:val="0"/>
          <w:sz w:val="22"/>
          <w:szCs w:val="22"/>
          <w:lang w:val="en-CA" w:eastAsia="fr-CA"/>
          <w14:ligatures w14:val="none"/>
        </w:rPr>
        <w:t>5</w:t>
      </w:r>
      <w:r>
        <w:rPr>
          <w:rFonts w:ascii="Arial" w:eastAsia="Times New Roman" w:hAnsi="Arial" w:cs="Arial"/>
          <w:color w:val="000000"/>
          <w:kern w:val="0"/>
          <w:sz w:val="22"/>
          <w:szCs w:val="22"/>
          <w:lang w:val="en-CA" w:eastAsia="fr-CA"/>
          <w14:ligatures w14:val="none"/>
        </w:rPr>
        <w:t xml:space="preserve">) at 6 developmental timepoints. (B) Correlation of the ASD liabilities computed for each class of variants between the Wamsley cell type specific gene sets and the Herring cell type specific gene sets, at the 6 developmental stages. The color code represents the level of Spearman correlations, and stars represent the significant ones.  </w:t>
      </w:r>
    </w:p>
    <w:p w14:paraId="0E0F2575"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1FB6BA4A"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0F3FDEB1"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0CF44695"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65750318"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2C2C0CF5"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7B25F87F"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035A9749" w14:textId="1899A816"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7A564FD4" w14:textId="69DBF2C8"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BA7E2B">
        <w:rPr>
          <w:rFonts w:ascii="Arial" w:eastAsia="Times New Roman" w:hAnsi="Arial" w:cs="Arial"/>
          <w:noProof/>
          <w:color w:val="000000"/>
          <w:kern w:val="0"/>
          <w:sz w:val="22"/>
          <w:szCs w:val="22"/>
          <w:lang w:val="en-CA" w:eastAsia="fr-CA"/>
          <w14:ligatures w14:val="none"/>
        </w:rPr>
        <w:lastRenderedPageBreak/>
        <w:drawing>
          <wp:inline distT="0" distB="0" distL="0" distR="0" wp14:anchorId="6C73D857" wp14:editId="1A9882BA">
            <wp:extent cx="3227816" cy="1981200"/>
            <wp:effectExtent l="0" t="0" r="0" b="0"/>
            <wp:docPr id="644099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99507" name=""/>
                    <pic:cNvPicPr/>
                  </pic:nvPicPr>
                  <pic:blipFill>
                    <a:blip r:embed="rId32"/>
                    <a:stretch>
                      <a:fillRect/>
                    </a:stretch>
                  </pic:blipFill>
                  <pic:spPr>
                    <a:xfrm>
                      <a:off x="0" y="0"/>
                      <a:ext cx="3243139" cy="1990605"/>
                    </a:xfrm>
                    <a:prstGeom prst="rect">
                      <a:avLst/>
                    </a:prstGeom>
                  </pic:spPr>
                </pic:pic>
              </a:graphicData>
            </a:graphic>
          </wp:inline>
        </w:drawing>
      </w:r>
      <w:r w:rsidRPr="00BA7E2B">
        <w:rPr>
          <w:rFonts w:ascii="Arial" w:eastAsia="Times New Roman" w:hAnsi="Arial" w:cs="Arial"/>
          <w:noProof/>
          <w:color w:val="000000"/>
          <w:kern w:val="0"/>
          <w:sz w:val="22"/>
          <w:szCs w:val="22"/>
          <w:lang w:val="en-CA" w:eastAsia="fr-CA"/>
          <w14:ligatures w14:val="none"/>
        </w:rPr>
        <w:drawing>
          <wp:inline distT="0" distB="0" distL="0" distR="0" wp14:anchorId="35FDBF6B" wp14:editId="3D458BB5">
            <wp:extent cx="3103669" cy="1905000"/>
            <wp:effectExtent l="0" t="0" r="0" b="0"/>
            <wp:docPr id="18158203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20375" name=""/>
                    <pic:cNvPicPr/>
                  </pic:nvPicPr>
                  <pic:blipFill>
                    <a:blip r:embed="rId33"/>
                    <a:stretch>
                      <a:fillRect/>
                    </a:stretch>
                  </pic:blipFill>
                  <pic:spPr>
                    <a:xfrm>
                      <a:off x="0" y="0"/>
                      <a:ext cx="3124626" cy="1917863"/>
                    </a:xfrm>
                    <a:prstGeom prst="rect">
                      <a:avLst/>
                    </a:prstGeom>
                  </pic:spPr>
                </pic:pic>
              </a:graphicData>
            </a:graphic>
          </wp:inline>
        </w:drawing>
      </w:r>
    </w:p>
    <w:p w14:paraId="76E02644" w14:textId="721A7A14" w:rsidR="005D317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BA7E2B">
        <w:rPr>
          <w:rFonts w:ascii="Arial" w:eastAsia="Times New Roman" w:hAnsi="Arial" w:cs="Arial"/>
          <w:noProof/>
          <w:color w:val="000000"/>
          <w:kern w:val="0"/>
          <w:sz w:val="22"/>
          <w:szCs w:val="22"/>
          <w:lang w:val="en-CA" w:eastAsia="fr-CA"/>
          <w14:ligatures w14:val="none"/>
        </w:rPr>
        <w:drawing>
          <wp:inline distT="0" distB="0" distL="0" distR="0" wp14:anchorId="3E63129F" wp14:editId="155A22DB">
            <wp:extent cx="6400800" cy="1667510"/>
            <wp:effectExtent l="0" t="0" r="0" b="0"/>
            <wp:docPr id="1895838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38167" name=""/>
                    <pic:cNvPicPr/>
                  </pic:nvPicPr>
                  <pic:blipFill>
                    <a:blip r:embed="rId34"/>
                    <a:stretch>
                      <a:fillRect/>
                    </a:stretch>
                  </pic:blipFill>
                  <pic:spPr>
                    <a:xfrm>
                      <a:off x="0" y="0"/>
                      <a:ext cx="6400800" cy="1667510"/>
                    </a:xfrm>
                    <a:prstGeom prst="rect">
                      <a:avLst/>
                    </a:prstGeom>
                  </pic:spPr>
                </pic:pic>
              </a:graphicData>
            </a:graphic>
          </wp:inline>
        </w:drawing>
      </w:r>
      <w:r w:rsidRPr="00BA7E2B">
        <w:rPr>
          <w:rFonts w:ascii="Arial" w:eastAsia="Times New Roman" w:hAnsi="Arial" w:cs="Arial"/>
          <w:b/>
          <w:bCs/>
          <w:color w:val="000000"/>
          <w:kern w:val="0"/>
          <w:sz w:val="22"/>
          <w:szCs w:val="22"/>
          <w:lang w:val="en-CA" w:eastAsia="fr-CA"/>
          <w14:ligatures w14:val="none"/>
        </w:rPr>
        <w:t>Supplementary Figure 1</w:t>
      </w:r>
      <w:r w:rsidR="00BD2FEE">
        <w:rPr>
          <w:rFonts w:ascii="Arial" w:eastAsia="Times New Roman" w:hAnsi="Arial" w:cs="Arial"/>
          <w:b/>
          <w:bCs/>
          <w:color w:val="000000"/>
          <w:kern w:val="0"/>
          <w:sz w:val="22"/>
          <w:szCs w:val="22"/>
          <w:lang w:val="en-CA" w:eastAsia="fr-CA"/>
          <w14:ligatures w14:val="none"/>
        </w:rPr>
        <w:t>3</w:t>
      </w:r>
      <w:r w:rsidRPr="00BA7E2B">
        <w:rPr>
          <w:rFonts w:ascii="Arial" w:eastAsia="Times New Roman" w:hAnsi="Arial" w:cs="Arial"/>
          <w:b/>
          <w:bCs/>
          <w:color w:val="000000"/>
          <w:kern w:val="0"/>
          <w:sz w:val="22"/>
          <w:szCs w:val="22"/>
          <w:lang w:val="en-CA" w:eastAsia="fr-CA"/>
          <w14:ligatures w14:val="none"/>
        </w:rPr>
        <w:t>. Denovo analysis in cell type gene sets for the ASD males and ASD females.</w:t>
      </w:r>
      <w:r>
        <w:rPr>
          <w:rFonts w:ascii="Arial" w:eastAsia="Times New Roman" w:hAnsi="Arial" w:cs="Arial"/>
          <w:color w:val="000000"/>
          <w:kern w:val="0"/>
          <w:sz w:val="22"/>
          <w:szCs w:val="22"/>
          <w:lang w:val="en-CA" w:eastAsia="fr-CA"/>
          <w14:ligatures w14:val="none"/>
        </w:rPr>
        <w:t xml:space="preserve"> Distribution of the de novo enrichment computed for the genes under constraint (LOEUF &lt; 0.6) across the 91 cell types for the ASD males (A) and ASD females (B), respectively. (C) Comparison of the de novo enrichment computed between the two ASD subsets for the 91 cell types clustered into 3 categories following the 3 main cell classes (i.e., excitatory neurons, inhibitory neurons, and glia)</w:t>
      </w:r>
      <w:r w:rsidR="005D317B">
        <w:rPr>
          <w:rFonts w:ascii="Arial" w:eastAsia="Times New Roman" w:hAnsi="Arial" w:cs="Arial"/>
          <w:color w:val="000000"/>
          <w:kern w:val="0"/>
          <w:sz w:val="22"/>
          <w:szCs w:val="22"/>
          <w:lang w:val="en-CA" w:eastAsia="fr-CA"/>
          <w14:ligatures w14:val="none"/>
        </w:rPr>
        <w:t>.</w:t>
      </w:r>
    </w:p>
    <w:p w14:paraId="3086C693" w14:textId="77777777" w:rsidR="005D317B" w:rsidRDefault="005D317B">
      <w:pPr>
        <w:rPr>
          <w:rFonts w:ascii="Arial" w:eastAsia="Times New Roman" w:hAnsi="Arial" w:cs="Arial"/>
          <w:color w:val="000000"/>
          <w:kern w:val="0"/>
          <w:sz w:val="22"/>
          <w:szCs w:val="22"/>
          <w:lang w:val="en-CA" w:eastAsia="fr-CA"/>
          <w14:ligatures w14:val="none"/>
        </w:rPr>
      </w:pPr>
      <w:r>
        <w:rPr>
          <w:rFonts w:ascii="Arial" w:eastAsia="Times New Roman" w:hAnsi="Arial" w:cs="Arial"/>
          <w:color w:val="000000"/>
          <w:kern w:val="0"/>
          <w:sz w:val="22"/>
          <w:szCs w:val="22"/>
          <w:lang w:val="en-CA" w:eastAsia="fr-CA"/>
          <w14:ligatures w14:val="none"/>
        </w:rPr>
        <w:br w:type="page"/>
      </w:r>
    </w:p>
    <w:p w14:paraId="2C9C499B" w14:textId="77777777" w:rsidR="00BA7E2B" w:rsidRDefault="00BA7E2B"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56AD3D97" w14:textId="052EAC4A" w:rsidR="005D317B" w:rsidRDefault="00B760CF"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B760CF">
        <w:rPr>
          <w:noProof/>
        </w:rPr>
        <w:drawing>
          <wp:inline distT="0" distB="0" distL="0" distR="0" wp14:anchorId="6A943772" wp14:editId="58A133E6">
            <wp:extent cx="3154406" cy="1936142"/>
            <wp:effectExtent l="0" t="0" r="0" b="0"/>
            <wp:docPr id="5017157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15713" name=""/>
                    <pic:cNvPicPr/>
                  </pic:nvPicPr>
                  <pic:blipFill>
                    <a:blip r:embed="rId35"/>
                    <a:stretch>
                      <a:fillRect/>
                    </a:stretch>
                  </pic:blipFill>
                  <pic:spPr>
                    <a:xfrm>
                      <a:off x="0" y="0"/>
                      <a:ext cx="3247205" cy="1993101"/>
                    </a:xfrm>
                    <a:prstGeom prst="rect">
                      <a:avLst/>
                    </a:prstGeom>
                  </pic:spPr>
                </pic:pic>
              </a:graphicData>
            </a:graphic>
          </wp:inline>
        </w:drawing>
      </w:r>
      <w:r w:rsidRPr="00B760CF">
        <w:rPr>
          <w:noProof/>
        </w:rPr>
        <w:t xml:space="preserve"> </w:t>
      </w:r>
      <w:r w:rsidRPr="00B760CF">
        <w:rPr>
          <w:rFonts w:ascii="Arial" w:eastAsia="Times New Roman" w:hAnsi="Arial" w:cs="Arial"/>
          <w:noProof/>
          <w:color w:val="000000"/>
          <w:kern w:val="0"/>
          <w:sz w:val="22"/>
          <w:szCs w:val="22"/>
          <w:lang w:val="en-CA" w:eastAsia="fr-CA"/>
          <w14:ligatures w14:val="none"/>
        </w:rPr>
        <w:drawing>
          <wp:inline distT="0" distB="0" distL="0" distR="0" wp14:anchorId="4E96B6F3" wp14:editId="161A7A23">
            <wp:extent cx="3160644" cy="1939971"/>
            <wp:effectExtent l="0" t="0" r="1905" b="3175"/>
            <wp:docPr id="9575157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15711" name=""/>
                    <pic:cNvPicPr/>
                  </pic:nvPicPr>
                  <pic:blipFill>
                    <a:blip r:embed="rId36"/>
                    <a:stretch>
                      <a:fillRect/>
                    </a:stretch>
                  </pic:blipFill>
                  <pic:spPr>
                    <a:xfrm>
                      <a:off x="0" y="0"/>
                      <a:ext cx="3259436" cy="2000608"/>
                    </a:xfrm>
                    <a:prstGeom prst="rect">
                      <a:avLst/>
                    </a:prstGeom>
                  </pic:spPr>
                </pic:pic>
              </a:graphicData>
            </a:graphic>
          </wp:inline>
        </w:drawing>
      </w:r>
    </w:p>
    <w:p w14:paraId="079C3409" w14:textId="5A5B1A87" w:rsidR="005D317B" w:rsidRDefault="00B760CF"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sidRPr="00B760CF">
        <w:rPr>
          <w:rFonts w:ascii="Arial" w:eastAsia="Times New Roman" w:hAnsi="Arial" w:cs="Arial"/>
          <w:noProof/>
          <w:color w:val="000000"/>
          <w:kern w:val="0"/>
          <w:sz w:val="22"/>
          <w:szCs w:val="22"/>
          <w:lang w:val="en-CA" w:eastAsia="fr-CA"/>
          <w14:ligatures w14:val="none"/>
        </w:rPr>
        <w:drawing>
          <wp:inline distT="0" distB="0" distL="0" distR="0" wp14:anchorId="74159F75" wp14:editId="653FEF6F">
            <wp:extent cx="6400800" cy="1670685"/>
            <wp:effectExtent l="0" t="0" r="0" b="5715"/>
            <wp:docPr id="18069490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49034" name=""/>
                    <pic:cNvPicPr/>
                  </pic:nvPicPr>
                  <pic:blipFill>
                    <a:blip r:embed="rId37"/>
                    <a:stretch>
                      <a:fillRect/>
                    </a:stretch>
                  </pic:blipFill>
                  <pic:spPr>
                    <a:xfrm>
                      <a:off x="0" y="0"/>
                      <a:ext cx="6400800" cy="1670685"/>
                    </a:xfrm>
                    <a:prstGeom prst="rect">
                      <a:avLst/>
                    </a:prstGeom>
                  </pic:spPr>
                </pic:pic>
              </a:graphicData>
            </a:graphic>
          </wp:inline>
        </w:drawing>
      </w:r>
    </w:p>
    <w:p w14:paraId="7CD38324" w14:textId="765F9476" w:rsidR="008E54E5" w:rsidRDefault="005D317B" w:rsidP="008E54E5">
      <w:pPr>
        <w:spacing w:before="240" w:after="240" w:line="240" w:lineRule="auto"/>
        <w:jc w:val="both"/>
        <w:rPr>
          <w:rFonts w:ascii="Arial" w:eastAsia="Times New Roman" w:hAnsi="Arial" w:cs="Arial"/>
          <w:color w:val="000000"/>
          <w:kern w:val="0"/>
          <w:sz w:val="22"/>
          <w:szCs w:val="22"/>
          <w:lang w:val="en-CA" w:eastAsia="fr-CA"/>
          <w14:ligatures w14:val="none"/>
        </w:rPr>
      </w:pPr>
      <w:r w:rsidRPr="00BA7E2B">
        <w:rPr>
          <w:rFonts w:ascii="Arial" w:eastAsia="Times New Roman" w:hAnsi="Arial" w:cs="Arial"/>
          <w:b/>
          <w:bCs/>
          <w:color w:val="000000"/>
          <w:kern w:val="0"/>
          <w:sz w:val="22"/>
          <w:szCs w:val="22"/>
          <w:lang w:val="en-CA" w:eastAsia="fr-CA"/>
          <w14:ligatures w14:val="none"/>
        </w:rPr>
        <w:t>Supplementary Figure 1</w:t>
      </w:r>
      <w:r w:rsidR="00BD2FEE">
        <w:rPr>
          <w:rFonts w:ascii="Arial" w:eastAsia="Times New Roman" w:hAnsi="Arial" w:cs="Arial"/>
          <w:b/>
          <w:bCs/>
          <w:color w:val="000000"/>
          <w:kern w:val="0"/>
          <w:sz w:val="22"/>
          <w:szCs w:val="22"/>
          <w:lang w:val="en-CA" w:eastAsia="fr-CA"/>
          <w14:ligatures w14:val="none"/>
        </w:rPr>
        <w:t>4</w:t>
      </w:r>
      <w:r w:rsidRPr="00BA7E2B">
        <w:rPr>
          <w:rFonts w:ascii="Arial" w:eastAsia="Times New Roman" w:hAnsi="Arial" w:cs="Arial"/>
          <w:b/>
          <w:bCs/>
          <w:color w:val="000000"/>
          <w:kern w:val="0"/>
          <w:sz w:val="22"/>
          <w:szCs w:val="22"/>
          <w:lang w:val="en-CA" w:eastAsia="fr-CA"/>
          <w14:ligatures w14:val="none"/>
        </w:rPr>
        <w:t xml:space="preserve">. </w:t>
      </w:r>
      <w:r w:rsidRPr="00B760CF">
        <w:rPr>
          <w:rFonts w:ascii="Arial" w:eastAsia="Times New Roman" w:hAnsi="Arial" w:cs="Arial"/>
          <w:b/>
          <w:bCs/>
          <w:i/>
          <w:iCs/>
          <w:color w:val="000000"/>
          <w:kern w:val="0"/>
          <w:sz w:val="22"/>
          <w:szCs w:val="22"/>
          <w:lang w:val="en-CA" w:eastAsia="fr-CA"/>
          <w14:ligatures w14:val="none"/>
        </w:rPr>
        <w:t>De</w:t>
      </w:r>
      <w:r w:rsidR="00B760CF" w:rsidRPr="00B760CF">
        <w:rPr>
          <w:rFonts w:ascii="Arial" w:eastAsia="Times New Roman" w:hAnsi="Arial" w:cs="Arial"/>
          <w:b/>
          <w:bCs/>
          <w:i/>
          <w:iCs/>
          <w:color w:val="000000"/>
          <w:kern w:val="0"/>
          <w:sz w:val="22"/>
          <w:szCs w:val="22"/>
          <w:lang w:val="en-CA" w:eastAsia="fr-CA"/>
          <w14:ligatures w14:val="none"/>
        </w:rPr>
        <w:t xml:space="preserve"> </w:t>
      </w:r>
      <w:r w:rsidRPr="00B760CF">
        <w:rPr>
          <w:rFonts w:ascii="Arial" w:eastAsia="Times New Roman" w:hAnsi="Arial" w:cs="Arial"/>
          <w:b/>
          <w:bCs/>
          <w:i/>
          <w:iCs/>
          <w:color w:val="000000"/>
          <w:kern w:val="0"/>
          <w:sz w:val="22"/>
          <w:szCs w:val="22"/>
          <w:lang w:val="en-CA" w:eastAsia="fr-CA"/>
          <w14:ligatures w14:val="none"/>
        </w:rPr>
        <w:t>novo</w:t>
      </w:r>
      <w:r w:rsidRPr="00BA7E2B">
        <w:rPr>
          <w:rFonts w:ascii="Arial" w:eastAsia="Times New Roman" w:hAnsi="Arial" w:cs="Arial"/>
          <w:b/>
          <w:bCs/>
          <w:color w:val="000000"/>
          <w:kern w:val="0"/>
          <w:sz w:val="22"/>
          <w:szCs w:val="22"/>
          <w:lang w:val="en-CA" w:eastAsia="fr-CA"/>
          <w14:ligatures w14:val="none"/>
        </w:rPr>
        <w:t xml:space="preserve"> analysis in cell type gene sets for </w:t>
      </w:r>
      <w:r w:rsidR="00B760CF">
        <w:rPr>
          <w:rFonts w:ascii="Arial" w:eastAsia="Times New Roman" w:hAnsi="Arial" w:cs="Arial"/>
          <w:b/>
          <w:bCs/>
          <w:color w:val="000000"/>
          <w:kern w:val="0"/>
          <w:sz w:val="22"/>
          <w:szCs w:val="22"/>
          <w:lang w:val="en-CA" w:eastAsia="fr-CA"/>
          <w14:ligatures w14:val="none"/>
        </w:rPr>
        <w:t>e</w:t>
      </w:r>
      <w:r>
        <w:rPr>
          <w:rFonts w:ascii="Arial" w:eastAsia="Times New Roman" w:hAnsi="Arial" w:cs="Arial"/>
          <w:b/>
          <w:bCs/>
          <w:color w:val="000000"/>
          <w:kern w:val="0"/>
          <w:sz w:val="22"/>
          <w:szCs w:val="22"/>
          <w:lang w:val="en-CA" w:eastAsia="fr-CA"/>
          <w14:ligatures w14:val="none"/>
        </w:rPr>
        <w:t>arly</w:t>
      </w:r>
      <w:r w:rsidR="00B760CF">
        <w:rPr>
          <w:rFonts w:ascii="Arial" w:eastAsia="Times New Roman" w:hAnsi="Arial" w:cs="Arial"/>
          <w:b/>
          <w:bCs/>
          <w:color w:val="000000"/>
          <w:kern w:val="0"/>
          <w:sz w:val="22"/>
          <w:szCs w:val="22"/>
          <w:lang w:val="en-CA" w:eastAsia="fr-CA"/>
          <w14:ligatures w14:val="none"/>
        </w:rPr>
        <w:t>-</w:t>
      </w:r>
      <w:r>
        <w:rPr>
          <w:rFonts w:ascii="Arial" w:eastAsia="Times New Roman" w:hAnsi="Arial" w:cs="Arial"/>
          <w:b/>
          <w:bCs/>
          <w:color w:val="000000"/>
          <w:kern w:val="0"/>
          <w:sz w:val="22"/>
          <w:szCs w:val="22"/>
          <w:lang w:val="en-CA" w:eastAsia="fr-CA"/>
          <w14:ligatures w14:val="none"/>
        </w:rPr>
        <w:t xml:space="preserve">diagnosed </w:t>
      </w:r>
      <w:r w:rsidRPr="00BA7E2B">
        <w:rPr>
          <w:rFonts w:ascii="Arial" w:eastAsia="Times New Roman" w:hAnsi="Arial" w:cs="Arial"/>
          <w:b/>
          <w:bCs/>
          <w:color w:val="000000"/>
          <w:kern w:val="0"/>
          <w:sz w:val="22"/>
          <w:szCs w:val="22"/>
          <w:lang w:val="en-CA" w:eastAsia="fr-CA"/>
          <w14:ligatures w14:val="none"/>
        </w:rPr>
        <w:t xml:space="preserve">ASD and </w:t>
      </w:r>
      <w:r>
        <w:rPr>
          <w:rFonts w:ascii="Arial" w:eastAsia="Times New Roman" w:hAnsi="Arial" w:cs="Arial"/>
          <w:b/>
          <w:bCs/>
          <w:color w:val="000000"/>
          <w:kern w:val="0"/>
          <w:sz w:val="22"/>
          <w:szCs w:val="22"/>
          <w:lang w:val="en-CA" w:eastAsia="fr-CA"/>
          <w14:ligatures w14:val="none"/>
        </w:rPr>
        <w:t>late</w:t>
      </w:r>
      <w:r w:rsidR="00B760CF">
        <w:rPr>
          <w:rFonts w:ascii="Arial" w:eastAsia="Times New Roman" w:hAnsi="Arial" w:cs="Arial"/>
          <w:b/>
          <w:bCs/>
          <w:color w:val="000000"/>
          <w:kern w:val="0"/>
          <w:sz w:val="22"/>
          <w:szCs w:val="22"/>
          <w:lang w:val="en-CA" w:eastAsia="fr-CA"/>
          <w14:ligatures w14:val="none"/>
        </w:rPr>
        <w:t>-</w:t>
      </w:r>
      <w:r>
        <w:rPr>
          <w:rFonts w:ascii="Arial" w:eastAsia="Times New Roman" w:hAnsi="Arial" w:cs="Arial"/>
          <w:b/>
          <w:bCs/>
          <w:color w:val="000000"/>
          <w:kern w:val="0"/>
          <w:sz w:val="22"/>
          <w:szCs w:val="22"/>
          <w:lang w:val="en-CA" w:eastAsia="fr-CA"/>
          <w14:ligatures w14:val="none"/>
        </w:rPr>
        <w:t xml:space="preserve">diagnosed </w:t>
      </w:r>
      <w:r w:rsidRPr="00BA7E2B">
        <w:rPr>
          <w:rFonts w:ascii="Arial" w:eastAsia="Times New Roman" w:hAnsi="Arial" w:cs="Arial"/>
          <w:b/>
          <w:bCs/>
          <w:color w:val="000000"/>
          <w:kern w:val="0"/>
          <w:sz w:val="22"/>
          <w:szCs w:val="22"/>
          <w:lang w:val="en-CA" w:eastAsia="fr-CA"/>
          <w14:ligatures w14:val="none"/>
        </w:rPr>
        <w:t>ASD</w:t>
      </w:r>
      <w:r w:rsidR="00B760CF">
        <w:rPr>
          <w:rFonts w:ascii="Arial" w:eastAsia="Times New Roman" w:hAnsi="Arial" w:cs="Arial"/>
          <w:b/>
          <w:bCs/>
          <w:color w:val="000000"/>
          <w:kern w:val="0"/>
          <w:sz w:val="22"/>
          <w:szCs w:val="22"/>
          <w:lang w:val="en-CA" w:eastAsia="fr-CA"/>
          <w14:ligatures w14:val="none"/>
        </w:rPr>
        <w:t xml:space="preserve"> in males</w:t>
      </w:r>
      <w:r w:rsidRPr="00BA7E2B">
        <w:rPr>
          <w:rFonts w:ascii="Arial" w:eastAsia="Times New Roman" w:hAnsi="Arial" w:cs="Arial"/>
          <w:b/>
          <w:bCs/>
          <w:color w:val="000000"/>
          <w:kern w:val="0"/>
          <w:sz w:val="22"/>
          <w:szCs w:val="22"/>
          <w:lang w:val="en-CA" w:eastAsia="fr-CA"/>
          <w14:ligatures w14:val="none"/>
        </w:rPr>
        <w:t>.</w:t>
      </w:r>
      <w:r>
        <w:rPr>
          <w:rFonts w:ascii="Arial" w:eastAsia="Times New Roman" w:hAnsi="Arial" w:cs="Arial"/>
          <w:color w:val="000000"/>
          <w:kern w:val="0"/>
          <w:sz w:val="22"/>
          <w:szCs w:val="22"/>
          <w:lang w:val="en-CA" w:eastAsia="fr-CA"/>
          <w14:ligatures w14:val="none"/>
        </w:rPr>
        <w:t xml:space="preserve"> Distribution of the </w:t>
      </w:r>
      <w:r w:rsidRPr="00B760CF">
        <w:rPr>
          <w:rFonts w:ascii="Arial" w:eastAsia="Times New Roman" w:hAnsi="Arial" w:cs="Arial"/>
          <w:i/>
          <w:iCs/>
          <w:color w:val="000000"/>
          <w:kern w:val="0"/>
          <w:sz w:val="22"/>
          <w:szCs w:val="22"/>
          <w:lang w:val="en-CA" w:eastAsia="fr-CA"/>
          <w14:ligatures w14:val="none"/>
        </w:rPr>
        <w:t>de novo</w:t>
      </w:r>
      <w:r>
        <w:rPr>
          <w:rFonts w:ascii="Arial" w:eastAsia="Times New Roman" w:hAnsi="Arial" w:cs="Arial"/>
          <w:color w:val="000000"/>
          <w:kern w:val="0"/>
          <w:sz w:val="22"/>
          <w:szCs w:val="22"/>
          <w:lang w:val="en-CA" w:eastAsia="fr-CA"/>
          <w14:ligatures w14:val="none"/>
        </w:rPr>
        <w:t xml:space="preserve"> enrichment computed for the genes under constraint (LOEUF &lt; 0.6) across the 91 cell types for (A) the early diagnosed ASD (before 4 years old) </w:t>
      </w:r>
      <w:r w:rsidR="00B760CF">
        <w:rPr>
          <w:rFonts w:ascii="Arial" w:eastAsia="Times New Roman" w:hAnsi="Arial" w:cs="Arial"/>
          <w:color w:val="000000"/>
          <w:kern w:val="0"/>
          <w:sz w:val="22"/>
          <w:szCs w:val="22"/>
          <w:lang w:val="en-CA" w:eastAsia="fr-CA"/>
          <w14:ligatures w14:val="none"/>
        </w:rPr>
        <w:t>and (</w:t>
      </w:r>
      <w:r>
        <w:rPr>
          <w:rFonts w:ascii="Arial" w:eastAsia="Times New Roman" w:hAnsi="Arial" w:cs="Arial"/>
          <w:color w:val="000000"/>
          <w:kern w:val="0"/>
          <w:sz w:val="22"/>
          <w:szCs w:val="22"/>
          <w:lang w:val="en-CA" w:eastAsia="fr-CA"/>
          <w14:ligatures w14:val="none"/>
        </w:rPr>
        <w:t>B</w:t>
      </w:r>
      <w:r w:rsidR="00B760CF">
        <w:rPr>
          <w:rFonts w:ascii="Arial" w:eastAsia="Times New Roman" w:hAnsi="Arial" w:cs="Arial"/>
          <w:color w:val="000000"/>
          <w:kern w:val="0"/>
          <w:sz w:val="22"/>
          <w:szCs w:val="22"/>
          <w:lang w:val="en-CA" w:eastAsia="fr-CA"/>
          <w14:ligatures w14:val="none"/>
        </w:rPr>
        <w:t>)</w:t>
      </w:r>
      <w:r>
        <w:rPr>
          <w:rFonts w:ascii="Arial" w:eastAsia="Times New Roman" w:hAnsi="Arial" w:cs="Arial"/>
          <w:color w:val="000000"/>
          <w:kern w:val="0"/>
          <w:sz w:val="22"/>
          <w:szCs w:val="22"/>
          <w:lang w:val="en-CA" w:eastAsia="fr-CA"/>
          <w14:ligatures w14:val="none"/>
        </w:rPr>
        <w:t xml:space="preserve"> the late diagnosed ASD (after 4 years old), respectively. (C) Comparison of the </w:t>
      </w:r>
      <w:r w:rsidRPr="00B760CF">
        <w:rPr>
          <w:rFonts w:ascii="Arial" w:eastAsia="Times New Roman" w:hAnsi="Arial" w:cs="Arial"/>
          <w:i/>
          <w:iCs/>
          <w:color w:val="000000"/>
          <w:kern w:val="0"/>
          <w:sz w:val="22"/>
          <w:szCs w:val="22"/>
          <w:lang w:val="en-CA" w:eastAsia="fr-CA"/>
          <w14:ligatures w14:val="none"/>
        </w:rPr>
        <w:t>de novo</w:t>
      </w:r>
      <w:r>
        <w:rPr>
          <w:rFonts w:ascii="Arial" w:eastAsia="Times New Roman" w:hAnsi="Arial" w:cs="Arial"/>
          <w:color w:val="000000"/>
          <w:kern w:val="0"/>
          <w:sz w:val="22"/>
          <w:szCs w:val="22"/>
          <w:lang w:val="en-CA" w:eastAsia="fr-CA"/>
          <w14:ligatures w14:val="none"/>
        </w:rPr>
        <w:t xml:space="preserve"> enrichment computed between the two ASD subsets for the 91 cell types clustered into 3 categories following the 3 main cell classes (i.e., excitatory neurons, inhibitory neurons, and glia).</w:t>
      </w:r>
    </w:p>
    <w:p w14:paraId="5A0A6217" w14:textId="77777777" w:rsidR="00B760CF" w:rsidRDefault="00B760CF" w:rsidP="008E54E5">
      <w:pPr>
        <w:spacing w:before="240" w:after="240" w:line="240" w:lineRule="auto"/>
        <w:jc w:val="both"/>
        <w:rPr>
          <w:rFonts w:ascii="Arial" w:eastAsia="Times New Roman" w:hAnsi="Arial" w:cs="Arial"/>
          <w:color w:val="000000"/>
          <w:kern w:val="0"/>
          <w:sz w:val="22"/>
          <w:szCs w:val="22"/>
          <w:lang w:val="en-CA" w:eastAsia="fr-CA"/>
          <w14:ligatures w14:val="none"/>
        </w:rPr>
      </w:pPr>
    </w:p>
    <w:p w14:paraId="4D88E5A4" w14:textId="77777777" w:rsidR="00B760CF" w:rsidRDefault="00B760CF" w:rsidP="008E54E5">
      <w:pPr>
        <w:spacing w:before="240" w:after="240" w:line="240" w:lineRule="auto"/>
        <w:jc w:val="both"/>
        <w:rPr>
          <w:rFonts w:ascii="Arial" w:eastAsia="Times New Roman" w:hAnsi="Arial" w:cs="Arial"/>
          <w:color w:val="000000"/>
          <w:kern w:val="0"/>
          <w:sz w:val="22"/>
          <w:szCs w:val="22"/>
          <w:lang w:val="en-CA" w:eastAsia="fr-CA"/>
          <w14:ligatures w14:val="none"/>
        </w:rPr>
      </w:pPr>
    </w:p>
    <w:p w14:paraId="60CAE757" w14:textId="77777777" w:rsidR="00B760CF" w:rsidRDefault="00B760CF" w:rsidP="008E54E5">
      <w:pPr>
        <w:spacing w:before="240" w:after="240" w:line="240" w:lineRule="auto"/>
        <w:jc w:val="both"/>
        <w:rPr>
          <w:rFonts w:ascii="Arial" w:eastAsia="Times New Roman" w:hAnsi="Arial" w:cs="Arial"/>
          <w:color w:val="000000"/>
          <w:kern w:val="0"/>
          <w:sz w:val="22"/>
          <w:szCs w:val="22"/>
          <w:lang w:val="en-CA" w:eastAsia="fr-CA"/>
          <w14:ligatures w14:val="none"/>
        </w:rPr>
      </w:pPr>
    </w:p>
    <w:p w14:paraId="587F630D" w14:textId="605BA8D6" w:rsidR="00B760CF" w:rsidRDefault="00B760CF" w:rsidP="008E54E5">
      <w:pPr>
        <w:spacing w:before="240" w:after="240" w:line="240" w:lineRule="auto"/>
        <w:jc w:val="both"/>
        <w:rPr>
          <w:rFonts w:ascii="Arial" w:eastAsia="Times New Roman" w:hAnsi="Arial" w:cs="Arial"/>
          <w:color w:val="000000"/>
          <w:kern w:val="0"/>
          <w:sz w:val="22"/>
          <w:szCs w:val="22"/>
          <w:lang w:val="en-CA" w:eastAsia="fr-CA"/>
          <w14:ligatures w14:val="none"/>
        </w:rPr>
      </w:pPr>
      <w:r w:rsidRPr="00B760CF">
        <w:rPr>
          <w:rFonts w:ascii="Arial" w:eastAsia="Times New Roman" w:hAnsi="Arial" w:cs="Arial"/>
          <w:noProof/>
          <w:color w:val="000000"/>
          <w:kern w:val="0"/>
          <w:sz w:val="22"/>
          <w:szCs w:val="22"/>
          <w:lang w:val="en-CA" w:eastAsia="fr-CA"/>
          <w14:ligatures w14:val="none"/>
        </w:rPr>
        <w:lastRenderedPageBreak/>
        <w:drawing>
          <wp:inline distT="0" distB="0" distL="0" distR="0" wp14:anchorId="3768F78E" wp14:editId="3E7EA757">
            <wp:extent cx="3168595" cy="1943908"/>
            <wp:effectExtent l="0" t="0" r="0" b="0"/>
            <wp:docPr id="10728403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40320" name=""/>
                    <pic:cNvPicPr/>
                  </pic:nvPicPr>
                  <pic:blipFill>
                    <a:blip r:embed="rId38"/>
                    <a:stretch>
                      <a:fillRect/>
                    </a:stretch>
                  </pic:blipFill>
                  <pic:spPr>
                    <a:xfrm>
                      <a:off x="0" y="0"/>
                      <a:ext cx="3348515" cy="2054287"/>
                    </a:xfrm>
                    <a:prstGeom prst="rect">
                      <a:avLst/>
                    </a:prstGeom>
                  </pic:spPr>
                </pic:pic>
              </a:graphicData>
            </a:graphic>
          </wp:inline>
        </w:drawing>
      </w:r>
      <w:r w:rsidRPr="00B760CF">
        <w:rPr>
          <w:rFonts w:ascii="Arial" w:eastAsia="Times New Roman" w:hAnsi="Arial" w:cs="Arial"/>
          <w:noProof/>
          <w:color w:val="000000"/>
          <w:kern w:val="0"/>
          <w:sz w:val="22"/>
          <w:szCs w:val="22"/>
          <w:lang w:val="en-CA" w:eastAsia="fr-CA"/>
          <w14:ligatures w14:val="none"/>
        </w:rPr>
        <w:drawing>
          <wp:inline distT="0" distB="0" distL="0" distR="0" wp14:anchorId="47363493" wp14:editId="14797E62">
            <wp:extent cx="3156668" cy="1936590"/>
            <wp:effectExtent l="0" t="0" r="0" b="0"/>
            <wp:docPr id="1778733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3357" name=""/>
                    <pic:cNvPicPr/>
                  </pic:nvPicPr>
                  <pic:blipFill>
                    <a:blip r:embed="rId39"/>
                    <a:stretch>
                      <a:fillRect/>
                    </a:stretch>
                  </pic:blipFill>
                  <pic:spPr>
                    <a:xfrm>
                      <a:off x="0" y="0"/>
                      <a:ext cx="3316603" cy="2034709"/>
                    </a:xfrm>
                    <a:prstGeom prst="rect">
                      <a:avLst/>
                    </a:prstGeom>
                  </pic:spPr>
                </pic:pic>
              </a:graphicData>
            </a:graphic>
          </wp:inline>
        </w:drawing>
      </w:r>
    </w:p>
    <w:p w14:paraId="09787F5F" w14:textId="11F78F77" w:rsidR="00B760CF" w:rsidRDefault="00B760CF" w:rsidP="008E54E5">
      <w:pPr>
        <w:spacing w:before="240" w:after="240" w:line="240" w:lineRule="auto"/>
        <w:jc w:val="both"/>
        <w:rPr>
          <w:rFonts w:ascii="Arial" w:eastAsia="Times New Roman" w:hAnsi="Arial" w:cs="Arial"/>
          <w:color w:val="000000"/>
          <w:kern w:val="0"/>
          <w:sz w:val="22"/>
          <w:szCs w:val="22"/>
          <w:lang w:val="en-CA" w:eastAsia="fr-CA"/>
          <w14:ligatures w14:val="none"/>
        </w:rPr>
      </w:pPr>
      <w:r w:rsidRPr="00B760CF">
        <w:rPr>
          <w:rFonts w:ascii="Arial" w:eastAsia="Times New Roman" w:hAnsi="Arial" w:cs="Arial"/>
          <w:noProof/>
          <w:color w:val="000000"/>
          <w:kern w:val="0"/>
          <w:sz w:val="22"/>
          <w:szCs w:val="22"/>
          <w:lang w:val="en-CA" w:eastAsia="fr-CA"/>
          <w14:ligatures w14:val="none"/>
        </w:rPr>
        <w:drawing>
          <wp:inline distT="0" distB="0" distL="0" distR="0" wp14:anchorId="614771BD" wp14:editId="5847A503">
            <wp:extent cx="6400800" cy="1670685"/>
            <wp:effectExtent l="0" t="0" r="0" b="5715"/>
            <wp:docPr id="1968204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0430" name=""/>
                    <pic:cNvPicPr/>
                  </pic:nvPicPr>
                  <pic:blipFill>
                    <a:blip r:embed="rId40"/>
                    <a:stretch>
                      <a:fillRect/>
                    </a:stretch>
                  </pic:blipFill>
                  <pic:spPr>
                    <a:xfrm>
                      <a:off x="0" y="0"/>
                      <a:ext cx="6400800" cy="1670685"/>
                    </a:xfrm>
                    <a:prstGeom prst="rect">
                      <a:avLst/>
                    </a:prstGeom>
                  </pic:spPr>
                </pic:pic>
              </a:graphicData>
            </a:graphic>
          </wp:inline>
        </w:drawing>
      </w:r>
    </w:p>
    <w:p w14:paraId="162C9943" w14:textId="6FC093D2" w:rsidR="00B760CF" w:rsidRDefault="00B760CF" w:rsidP="00B760CF">
      <w:pPr>
        <w:spacing w:before="240" w:after="240" w:line="240" w:lineRule="auto"/>
        <w:jc w:val="both"/>
        <w:rPr>
          <w:rFonts w:ascii="Arial" w:eastAsia="Times New Roman" w:hAnsi="Arial" w:cs="Arial"/>
          <w:color w:val="000000"/>
          <w:kern w:val="0"/>
          <w:sz w:val="22"/>
          <w:szCs w:val="22"/>
          <w:lang w:val="en-CA" w:eastAsia="fr-CA"/>
          <w14:ligatures w14:val="none"/>
        </w:rPr>
      </w:pPr>
      <w:r w:rsidRPr="00BA7E2B">
        <w:rPr>
          <w:rFonts w:ascii="Arial" w:eastAsia="Times New Roman" w:hAnsi="Arial" w:cs="Arial"/>
          <w:b/>
          <w:bCs/>
          <w:color w:val="000000"/>
          <w:kern w:val="0"/>
          <w:sz w:val="22"/>
          <w:szCs w:val="22"/>
          <w:lang w:val="en-CA" w:eastAsia="fr-CA"/>
          <w14:ligatures w14:val="none"/>
        </w:rPr>
        <w:t>Supplementary Figure 1</w:t>
      </w:r>
      <w:r w:rsidR="00BD2FEE">
        <w:rPr>
          <w:rFonts w:ascii="Arial" w:eastAsia="Times New Roman" w:hAnsi="Arial" w:cs="Arial"/>
          <w:b/>
          <w:bCs/>
          <w:color w:val="000000"/>
          <w:kern w:val="0"/>
          <w:sz w:val="22"/>
          <w:szCs w:val="22"/>
          <w:lang w:val="en-CA" w:eastAsia="fr-CA"/>
          <w14:ligatures w14:val="none"/>
        </w:rPr>
        <w:t>5</w:t>
      </w:r>
      <w:r w:rsidRPr="00BA7E2B">
        <w:rPr>
          <w:rFonts w:ascii="Arial" w:eastAsia="Times New Roman" w:hAnsi="Arial" w:cs="Arial"/>
          <w:b/>
          <w:bCs/>
          <w:color w:val="000000"/>
          <w:kern w:val="0"/>
          <w:sz w:val="22"/>
          <w:szCs w:val="22"/>
          <w:lang w:val="en-CA" w:eastAsia="fr-CA"/>
          <w14:ligatures w14:val="none"/>
        </w:rPr>
        <w:t xml:space="preserve">. </w:t>
      </w:r>
      <w:r w:rsidRPr="00B760CF">
        <w:rPr>
          <w:rFonts w:ascii="Arial" w:eastAsia="Times New Roman" w:hAnsi="Arial" w:cs="Arial"/>
          <w:b/>
          <w:bCs/>
          <w:i/>
          <w:iCs/>
          <w:color w:val="000000"/>
          <w:kern w:val="0"/>
          <w:sz w:val="22"/>
          <w:szCs w:val="22"/>
          <w:lang w:val="en-CA" w:eastAsia="fr-CA"/>
          <w14:ligatures w14:val="none"/>
        </w:rPr>
        <w:t>De novo</w:t>
      </w:r>
      <w:r w:rsidRPr="00BA7E2B">
        <w:rPr>
          <w:rFonts w:ascii="Arial" w:eastAsia="Times New Roman" w:hAnsi="Arial" w:cs="Arial"/>
          <w:b/>
          <w:bCs/>
          <w:color w:val="000000"/>
          <w:kern w:val="0"/>
          <w:sz w:val="22"/>
          <w:szCs w:val="22"/>
          <w:lang w:val="en-CA" w:eastAsia="fr-CA"/>
          <w14:ligatures w14:val="none"/>
        </w:rPr>
        <w:t xml:space="preserve"> analysis in cell type gene sets for </w:t>
      </w:r>
      <w:r>
        <w:rPr>
          <w:rFonts w:ascii="Arial" w:eastAsia="Times New Roman" w:hAnsi="Arial" w:cs="Arial"/>
          <w:b/>
          <w:bCs/>
          <w:color w:val="000000"/>
          <w:kern w:val="0"/>
          <w:sz w:val="22"/>
          <w:szCs w:val="22"/>
          <w:lang w:val="en-CA" w:eastAsia="fr-CA"/>
          <w14:ligatures w14:val="none"/>
        </w:rPr>
        <w:t xml:space="preserve">early-diagnosed </w:t>
      </w:r>
      <w:r w:rsidRPr="00BA7E2B">
        <w:rPr>
          <w:rFonts w:ascii="Arial" w:eastAsia="Times New Roman" w:hAnsi="Arial" w:cs="Arial"/>
          <w:b/>
          <w:bCs/>
          <w:color w:val="000000"/>
          <w:kern w:val="0"/>
          <w:sz w:val="22"/>
          <w:szCs w:val="22"/>
          <w:lang w:val="en-CA" w:eastAsia="fr-CA"/>
          <w14:ligatures w14:val="none"/>
        </w:rPr>
        <w:t xml:space="preserve">ASD and </w:t>
      </w:r>
      <w:r>
        <w:rPr>
          <w:rFonts w:ascii="Arial" w:eastAsia="Times New Roman" w:hAnsi="Arial" w:cs="Arial"/>
          <w:b/>
          <w:bCs/>
          <w:color w:val="000000"/>
          <w:kern w:val="0"/>
          <w:sz w:val="22"/>
          <w:szCs w:val="22"/>
          <w:lang w:val="en-CA" w:eastAsia="fr-CA"/>
          <w14:ligatures w14:val="none"/>
        </w:rPr>
        <w:t xml:space="preserve">late-diagnosed </w:t>
      </w:r>
      <w:r w:rsidRPr="00BA7E2B">
        <w:rPr>
          <w:rFonts w:ascii="Arial" w:eastAsia="Times New Roman" w:hAnsi="Arial" w:cs="Arial"/>
          <w:b/>
          <w:bCs/>
          <w:color w:val="000000"/>
          <w:kern w:val="0"/>
          <w:sz w:val="22"/>
          <w:szCs w:val="22"/>
          <w:lang w:val="en-CA" w:eastAsia="fr-CA"/>
          <w14:ligatures w14:val="none"/>
        </w:rPr>
        <w:t>ASD</w:t>
      </w:r>
      <w:r>
        <w:rPr>
          <w:rFonts w:ascii="Arial" w:eastAsia="Times New Roman" w:hAnsi="Arial" w:cs="Arial"/>
          <w:b/>
          <w:bCs/>
          <w:color w:val="000000"/>
          <w:kern w:val="0"/>
          <w:sz w:val="22"/>
          <w:szCs w:val="22"/>
          <w:lang w:val="en-CA" w:eastAsia="fr-CA"/>
          <w14:ligatures w14:val="none"/>
        </w:rPr>
        <w:t xml:space="preserve"> in females</w:t>
      </w:r>
      <w:r w:rsidRPr="00BA7E2B">
        <w:rPr>
          <w:rFonts w:ascii="Arial" w:eastAsia="Times New Roman" w:hAnsi="Arial" w:cs="Arial"/>
          <w:b/>
          <w:bCs/>
          <w:color w:val="000000"/>
          <w:kern w:val="0"/>
          <w:sz w:val="22"/>
          <w:szCs w:val="22"/>
          <w:lang w:val="en-CA" w:eastAsia="fr-CA"/>
          <w14:ligatures w14:val="none"/>
        </w:rPr>
        <w:t>.</w:t>
      </w:r>
      <w:r>
        <w:rPr>
          <w:rFonts w:ascii="Arial" w:eastAsia="Times New Roman" w:hAnsi="Arial" w:cs="Arial"/>
          <w:color w:val="000000"/>
          <w:kern w:val="0"/>
          <w:sz w:val="22"/>
          <w:szCs w:val="22"/>
          <w:lang w:val="en-CA" w:eastAsia="fr-CA"/>
          <w14:ligatures w14:val="none"/>
        </w:rPr>
        <w:t xml:space="preserve"> Distribution of the </w:t>
      </w:r>
      <w:r w:rsidRPr="00B760CF">
        <w:rPr>
          <w:rFonts w:ascii="Arial" w:eastAsia="Times New Roman" w:hAnsi="Arial" w:cs="Arial"/>
          <w:i/>
          <w:iCs/>
          <w:color w:val="000000"/>
          <w:kern w:val="0"/>
          <w:sz w:val="22"/>
          <w:szCs w:val="22"/>
          <w:lang w:val="en-CA" w:eastAsia="fr-CA"/>
          <w14:ligatures w14:val="none"/>
        </w:rPr>
        <w:t>de novo</w:t>
      </w:r>
      <w:r>
        <w:rPr>
          <w:rFonts w:ascii="Arial" w:eastAsia="Times New Roman" w:hAnsi="Arial" w:cs="Arial"/>
          <w:color w:val="000000"/>
          <w:kern w:val="0"/>
          <w:sz w:val="22"/>
          <w:szCs w:val="22"/>
          <w:lang w:val="en-CA" w:eastAsia="fr-CA"/>
          <w14:ligatures w14:val="none"/>
        </w:rPr>
        <w:t xml:space="preserve"> enrichment computed for the genes under constraint (LOEUF &lt; 0.6) across the 91 cell types for (A) the early diagnosed ASD (before 4 years old) and (B) the late diagnosed ASD (after 4 years old), respectively. (C) Comparison of the </w:t>
      </w:r>
      <w:r w:rsidRPr="00B760CF">
        <w:rPr>
          <w:rFonts w:ascii="Arial" w:eastAsia="Times New Roman" w:hAnsi="Arial" w:cs="Arial"/>
          <w:i/>
          <w:iCs/>
          <w:color w:val="000000"/>
          <w:kern w:val="0"/>
          <w:sz w:val="22"/>
          <w:szCs w:val="22"/>
          <w:lang w:val="en-CA" w:eastAsia="fr-CA"/>
          <w14:ligatures w14:val="none"/>
        </w:rPr>
        <w:t>de novo</w:t>
      </w:r>
      <w:r>
        <w:rPr>
          <w:rFonts w:ascii="Arial" w:eastAsia="Times New Roman" w:hAnsi="Arial" w:cs="Arial"/>
          <w:color w:val="000000"/>
          <w:kern w:val="0"/>
          <w:sz w:val="22"/>
          <w:szCs w:val="22"/>
          <w:lang w:val="en-CA" w:eastAsia="fr-CA"/>
          <w14:ligatures w14:val="none"/>
        </w:rPr>
        <w:t xml:space="preserve"> enrichment computed between the two ASD subsets for the 91 cell types clustered into 3 categories following the 3 main cell classes (i.e., excitatory neurons, inhibitory neurons, and glia).</w:t>
      </w:r>
    </w:p>
    <w:p w14:paraId="63CEF8D3" w14:textId="77777777" w:rsidR="00B760CF" w:rsidRDefault="00B760CF" w:rsidP="008E54E5">
      <w:pPr>
        <w:spacing w:before="240" w:after="240" w:line="240" w:lineRule="auto"/>
        <w:jc w:val="both"/>
        <w:rPr>
          <w:rFonts w:ascii="Arial" w:eastAsia="Times New Roman" w:hAnsi="Arial" w:cs="Arial"/>
          <w:color w:val="000000"/>
          <w:kern w:val="0"/>
          <w:sz w:val="22"/>
          <w:szCs w:val="22"/>
          <w:lang w:val="en-CA" w:eastAsia="fr-CA"/>
          <w14:ligatures w14:val="none"/>
        </w:rPr>
      </w:pPr>
    </w:p>
    <w:p w14:paraId="0FDE26BE" w14:textId="7386AE69" w:rsidR="008E54E5" w:rsidRDefault="008E54E5" w:rsidP="008E54E5">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lastRenderedPageBreak/>
        <w:drawing>
          <wp:inline distT="0" distB="0" distL="0" distR="0" wp14:anchorId="10DDDB46" wp14:editId="1C8EE779">
            <wp:extent cx="6357235" cy="6400800"/>
            <wp:effectExtent l="0" t="0" r="0" b="0"/>
            <wp:docPr id="103815107"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5107" name="Graphique 103815107"/>
                    <pic:cNvPicPr/>
                  </pic:nvPicPr>
                  <pic:blipFill rotWithShape="1">
                    <a:blip r:embed="rId41">
                      <a:extLst>
                        <a:ext uri="{96DAC541-7B7A-43D3-8B79-37D633B846F1}">
                          <asvg:svgBlip xmlns:asvg="http://schemas.microsoft.com/office/drawing/2016/SVG/main" r:embed="rId42"/>
                        </a:ext>
                      </a:extLst>
                    </a:blip>
                    <a:srcRect t="1" b="22195"/>
                    <a:stretch>
                      <a:fillRect/>
                    </a:stretch>
                  </pic:blipFill>
                  <pic:spPr bwMode="auto">
                    <a:xfrm>
                      <a:off x="0" y="0"/>
                      <a:ext cx="6359074" cy="6402652"/>
                    </a:xfrm>
                    <a:prstGeom prst="rect">
                      <a:avLst/>
                    </a:prstGeom>
                    <a:ln>
                      <a:noFill/>
                    </a:ln>
                    <a:extLst>
                      <a:ext uri="{53640926-AAD7-44D8-BBD7-CCE9431645EC}">
                        <a14:shadowObscured xmlns:a14="http://schemas.microsoft.com/office/drawing/2010/main"/>
                      </a:ext>
                    </a:extLst>
                  </pic:spPr>
                </pic:pic>
              </a:graphicData>
            </a:graphic>
          </wp:inline>
        </w:drawing>
      </w:r>
    </w:p>
    <w:p w14:paraId="6D50F3A0" w14:textId="27904776" w:rsidR="008E54E5" w:rsidRPr="00FA1634" w:rsidRDefault="008E54E5" w:rsidP="008E54E5">
      <w:pPr>
        <w:spacing w:before="240" w:after="240" w:line="240" w:lineRule="auto"/>
        <w:jc w:val="both"/>
        <w:rPr>
          <w:rFonts w:ascii="Arial" w:eastAsia="Times New Roman" w:hAnsi="Arial" w:cs="Arial"/>
          <w:color w:val="000000"/>
          <w:kern w:val="0"/>
          <w:sz w:val="22"/>
          <w:szCs w:val="22"/>
          <w:lang w:val="en-CA" w:eastAsia="fr-CA"/>
          <w14:ligatures w14:val="none"/>
        </w:rPr>
      </w:pPr>
      <w:r w:rsidRPr="008E54E5">
        <w:rPr>
          <w:rFonts w:ascii="Arial" w:eastAsia="Times New Roman" w:hAnsi="Arial" w:cs="Arial"/>
          <w:b/>
          <w:bCs/>
          <w:color w:val="000000"/>
          <w:kern w:val="0"/>
          <w:sz w:val="22"/>
          <w:szCs w:val="22"/>
          <w:lang w:val="en-CA" w:eastAsia="fr-CA"/>
          <w14:ligatures w14:val="none"/>
        </w:rPr>
        <w:t>Supplementary Figure 1</w:t>
      </w:r>
      <w:r w:rsidR="00BD2FEE">
        <w:rPr>
          <w:rFonts w:ascii="Arial" w:eastAsia="Times New Roman" w:hAnsi="Arial" w:cs="Arial"/>
          <w:b/>
          <w:bCs/>
          <w:color w:val="000000"/>
          <w:kern w:val="0"/>
          <w:sz w:val="22"/>
          <w:szCs w:val="22"/>
          <w:lang w:val="en-CA" w:eastAsia="fr-CA"/>
          <w14:ligatures w14:val="none"/>
        </w:rPr>
        <w:t>6</w:t>
      </w:r>
      <w:r w:rsidRPr="008E54E5">
        <w:rPr>
          <w:rFonts w:ascii="Arial" w:eastAsia="Times New Roman" w:hAnsi="Arial" w:cs="Arial"/>
          <w:b/>
          <w:bCs/>
          <w:color w:val="000000"/>
          <w:kern w:val="0"/>
          <w:sz w:val="22"/>
          <w:szCs w:val="22"/>
          <w:lang w:val="en-CA" w:eastAsia="fr-CA"/>
          <w14:ligatures w14:val="none"/>
        </w:rPr>
        <w:t>. Cellular liability biases computed for different subsets of ASD.</w:t>
      </w:r>
      <w:r w:rsidR="00FA1634">
        <w:rPr>
          <w:rFonts w:ascii="Arial" w:eastAsia="Times New Roman" w:hAnsi="Arial" w:cs="Arial"/>
          <w:b/>
          <w:bCs/>
          <w:color w:val="000000"/>
          <w:kern w:val="0"/>
          <w:sz w:val="22"/>
          <w:szCs w:val="22"/>
          <w:lang w:val="en-CA" w:eastAsia="fr-CA"/>
          <w14:ligatures w14:val="none"/>
        </w:rPr>
        <w:t xml:space="preserve"> </w:t>
      </w:r>
      <w:r w:rsidR="00FA1634" w:rsidRPr="00FA1634">
        <w:rPr>
          <w:rFonts w:ascii="Arial" w:eastAsia="Times New Roman" w:hAnsi="Arial" w:cs="Arial"/>
          <w:color w:val="000000"/>
          <w:kern w:val="0"/>
          <w:sz w:val="22"/>
          <w:szCs w:val="22"/>
          <w:lang w:val="en-CA" w:eastAsia="fr-CA"/>
          <w14:ligatures w14:val="none"/>
        </w:rPr>
        <w:t>(A)</w:t>
      </w:r>
      <w:r w:rsidR="00FA1634">
        <w:rPr>
          <w:rFonts w:ascii="Arial" w:eastAsia="Times New Roman" w:hAnsi="Arial" w:cs="Arial"/>
          <w:color w:val="000000"/>
          <w:kern w:val="0"/>
          <w:sz w:val="22"/>
          <w:szCs w:val="22"/>
          <w:lang w:val="en-CA" w:eastAsia="fr-CA"/>
          <w14:ligatures w14:val="none"/>
        </w:rPr>
        <w:t xml:space="preserve"> Sex bias of the cellular liabilities computed for the 91 developmental cell types across 6 types of variants. The bias is color-coding the bias toward males (blue) and females (red). Significant biases (empirical p-value &lt; 0.05) are outlined in black. </w:t>
      </w:r>
      <w:r w:rsidR="00FA1634" w:rsidRPr="00FA1634">
        <w:rPr>
          <w:rFonts w:ascii="Arial" w:eastAsia="Times New Roman" w:hAnsi="Arial" w:cs="Arial"/>
          <w:color w:val="000000"/>
          <w:kern w:val="0"/>
          <w:sz w:val="22"/>
          <w:szCs w:val="22"/>
          <w:lang w:val="en-CA" w:eastAsia="fr-CA"/>
          <w14:ligatures w14:val="none"/>
        </w:rPr>
        <w:t>(</w:t>
      </w:r>
      <w:r w:rsidR="00FA1634">
        <w:rPr>
          <w:rFonts w:ascii="Arial" w:eastAsia="Times New Roman" w:hAnsi="Arial" w:cs="Arial"/>
          <w:color w:val="000000"/>
          <w:kern w:val="0"/>
          <w:sz w:val="22"/>
          <w:szCs w:val="22"/>
          <w:lang w:val="en-CA" w:eastAsia="fr-CA"/>
          <w14:ligatures w14:val="none"/>
        </w:rPr>
        <w:t>B</w:t>
      </w:r>
      <w:r w:rsidR="00FA1634" w:rsidRPr="00FA1634">
        <w:rPr>
          <w:rFonts w:ascii="Arial" w:eastAsia="Times New Roman" w:hAnsi="Arial" w:cs="Arial"/>
          <w:color w:val="000000"/>
          <w:kern w:val="0"/>
          <w:sz w:val="22"/>
          <w:szCs w:val="22"/>
          <w:lang w:val="en-CA" w:eastAsia="fr-CA"/>
          <w14:ligatures w14:val="none"/>
        </w:rPr>
        <w:t>)</w:t>
      </w:r>
      <w:r w:rsidR="00FA1634">
        <w:rPr>
          <w:rFonts w:ascii="Arial" w:eastAsia="Times New Roman" w:hAnsi="Arial" w:cs="Arial"/>
          <w:color w:val="000000"/>
          <w:kern w:val="0"/>
          <w:sz w:val="22"/>
          <w:szCs w:val="22"/>
          <w:lang w:val="en-CA" w:eastAsia="fr-CA"/>
          <w14:ligatures w14:val="none"/>
        </w:rPr>
        <w:t xml:space="preserve"> Age-at-diagnosis bias of the cellular liabilities computed for the 91 developmental cell types across 6 types of variants. The bias is color-coding the bias toward earlier diagnosis (orange) and later diagnosis (blue). Significant biases (empirical p-value &lt; 0.05) are outlined in black.</w:t>
      </w:r>
    </w:p>
    <w:p w14:paraId="4726035B" w14:textId="595AEA5F" w:rsidR="00DB427E" w:rsidRDefault="00DB427E" w:rsidP="008E54E5">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color w:val="000000"/>
          <w:kern w:val="0"/>
          <w:sz w:val="22"/>
          <w:szCs w:val="22"/>
          <w:lang w:val="en-CA" w:eastAsia="fr-CA"/>
          <w14:ligatures w14:val="none"/>
        </w:rPr>
        <w:br w:type="page"/>
      </w:r>
    </w:p>
    <w:p w14:paraId="542E74E4" w14:textId="5D5BFB98" w:rsidR="00DB427E" w:rsidRDefault="00DB427E" w:rsidP="002B7A3D">
      <w:pPr>
        <w:spacing w:before="240" w:after="240" w:line="240" w:lineRule="auto"/>
        <w:jc w:val="both"/>
        <w:rPr>
          <w:rFonts w:ascii="Arial" w:eastAsia="Times New Roman" w:hAnsi="Arial" w:cs="Arial"/>
          <w:color w:val="000000"/>
          <w:kern w:val="0"/>
          <w:sz w:val="22"/>
          <w:szCs w:val="22"/>
          <w:lang w:val="en-CA" w:eastAsia="fr-CA"/>
          <w14:ligatures w14:val="none"/>
        </w:rPr>
      </w:pPr>
    </w:p>
    <w:p w14:paraId="167B9857" w14:textId="7AA38428" w:rsidR="00DB427E" w:rsidRDefault="00EC1511" w:rsidP="002B7A3D">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drawing>
          <wp:inline distT="0" distB="0" distL="0" distR="0" wp14:anchorId="6E11EAA4" wp14:editId="73BC42D3">
            <wp:extent cx="4535303" cy="6418162"/>
            <wp:effectExtent l="0" t="0" r="0" b="0"/>
            <wp:docPr id="443200144"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00144" name="Graphique 443200144"/>
                    <pic:cNvPicPr/>
                  </pic:nvPicPr>
                  <pic:blipFill>
                    <a:blip r:embed="rId43">
                      <a:extLst>
                        <a:ext uri="{96DAC541-7B7A-43D3-8B79-37D633B846F1}">
                          <asvg:svgBlip xmlns:asvg="http://schemas.microsoft.com/office/drawing/2016/SVG/main" r:embed="rId44"/>
                        </a:ext>
                      </a:extLst>
                    </a:blip>
                    <a:stretch>
                      <a:fillRect/>
                    </a:stretch>
                  </pic:blipFill>
                  <pic:spPr>
                    <a:xfrm>
                      <a:off x="0" y="0"/>
                      <a:ext cx="4538241" cy="6422320"/>
                    </a:xfrm>
                    <a:prstGeom prst="rect">
                      <a:avLst/>
                    </a:prstGeom>
                  </pic:spPr>
                </pic:pic>
              </a:graphicData>
            </a:graphic>
          </wp:inline>
        </w:drawing>
      </w:r>
    </w:p>
    <w:p w14:paraId="60F91C0E" w14:textId="76C5E00C" w:rsidR="00B530BD" w:rsidRDefault="007E1CE3" w:rsidP="00BD2FEE">
      <w:pPr>
        <w:jc w:val="both"/>
        <w:rPr>
          <w:lang w:val="en-CA" w:eastAsia="fr-CA"/>
        </w:rPr>
      </w:pPr>
      <w:r w:rsidRPr="00B530BD">
        <w:rPr>
          <w:b/>
          <w:bCs/>
          <w:lang w:val="en-CA" w:eastAsia="fr-CA"/>
        </w:rPr>
        <w:t>Supp</w:t>
      </w:r>
      <w:r w:rsidR="00D94947">
        <w:rPr>
          <w:b/>
          <w:bCs/>
          <w:lang w:val="en-CA" w:eastAsia="fr-CA"/>
        </w:rPr>
        <w:t>lementary</w:t>
      </w:r>
      <w:r w:rsidRPr="00B530BD">
        <w:rPr>
          <w:b/>
          <w:bCs/>
          <w:lang w:val="en-CA" w:eastAsia="fr-CA"/>
        </w:rPr>
        <w:t xml:space="preserve"> Figure </w:t>
      </w:r>
      <w:r w:rsidR="009A4AD7" w:rsidRPr="00B530BD">
        <w:rPr>
          <w:b/>
          <w:bCs/>
          <w:lang w:val="en-CA" w:eastAsia="fr-CA"/>
        </w:rPr>
        <w:t>1</w:t>
      </w:r>
      <w:r w:rsidR="00BD2FEE">
        <w:rPr>
          <w:b/>
          <w:bCs/>
          <w:lang w:val="en-CA" w:eastAsia="fr-CA"/>
        </w:rPr>
        <w:t>7</w:t>
      </w:r>
      <w:r w:rsidR="009A4AD7">
        <w:rPr>
          <w:b/>
          <w:bCs/>
          <w:lang w:val="en-CA" w:eastAsia="fr-CA"/>
        </w:rPr>
        <w:t>.</w:t>
      </w:r>
      <w:r w:rsidRPr="00B530BD">
        <w:rPr>
          <w:b/>
          <w:bCs/>
          <w:lang w:val="en-CA" w:eastAsia="fr-CA"/>
        </w:rPr>
        <w:t xml:space="preserve"> </w:t>
      </w:r>
      <w:r w:rsidR="00B530BD" w:rsidRPr="00B530BD">
        <w:rPr>
          <w:b/>
          <w:bCs/>
          <w:lang w:val="en-CA" w:eastAsia="fr-CA"/>
        </w:rPr>
        <w:t>ASD association of the cell-type</w:t>
      </w:r>
      <w:r w:rsidR="00B530BD">
        <w:rPr>
          <w:b/>
          <w:bCs/>
          <w:lang w:val="en-CA" w:eastAsia="fr-CA"/>
        </w:rPr>
        <w:t>-</w:t>
      </w:r>
      <w:r w:rsidR="00B530BD" w:rsidRPr="00B530BD">
        <w:rPr>
          <w:b/>
          <w:bCs/>
          <w:lang w:val="en-CA" w:eastAsia="fr-CA"/>
        </w:rPr>
        <w:t>specific genes assigned by Expression Enrichment.</w:t>
      </w:r>
      <w:r w:rsidR="00B530BD">
        <w:rPr>
          <w:lang w:val="en-CA" w:eastAsia="fr-CA"/>
        </w:rPr>
        <w:t xml:space="preserve"> (A) LOEUF distribution of the autosomal protein-coding genes, the genes not expressed in the PFC, the genes expressed in the cortex but not assigned to any cell type, and the genes assigned to at least one cell type. (B) For the 7 classes of variants, distributions of the ASD associations (odd ratios) were computed for 1,000 bootstraps of the genes expressed in the cortex but not assigned to any cell</w:t>
      </w:r>
      <w:r w:rsidR="00CC43A2">
        <w:rPr>
          <w:lang w:val="en-CA" w:eastAsia="fr-CA"/>
        </w:rPr>
        <w:t xml:space="preserve"> </w:t>
      </w:r>
      <w:r w:rsidR="00B530BD">
        <w:rPr>
          <w:lang w:val="en-CA" w:eastAsia="fr-CA"/>
        </w:rPr>
        <w:t xml:space="preserve">type (red) and the genes assigned to at least one cell type (blue). </w:t>
      </w:r>
    </w:p>
    <w:p w14:paraId="24BB4F36" w14:textId="07ABD129" w:rsidR="00EC49E4" w:rsidRDefault="00BD2FEE" w:rsidP="007E1CE3">
      <w:pPr>
        <w:rPr>
          <w:lang w:val="en-CA" w:eastAsia="fr-CA"/>
        </w:rPr>
      </w:pPr>
      <w:r>
        <w:rPr>
          <w:noProof/>
          <w:lang w:val="en-CA" w:eastAsia="fr-CA"/>
        </w:rPr>
        <w:lastRenderedPageBreak/>
        <w:drawing>
          <wp:inline distT="0" distB="0" distL="0" distR="0" wp14:anchorId="6583D21B" wp14:editId="2F80AEFD">
            <wp:extent cx="6400800" cy="5798185"/>
            <wp:effectExtent l="0" t="0" r="0" b="5715"/>
            <wp:docPr id="2130496450"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496450" name="Graphique 2130496450"/>
                    <pic:cNvPicPr/>
                  </pic:nvPicPr>
                  <pic:blipFill>
                    <a:blip r:embed="rId45">
                      <a:extLst>
                        <a:ext uri="{96DAC541-7B7A-43D3-8B79-37D633B846F1}">
                          <asvg:svgBlip xmlns:asvg="http://schemas.microsoft.com/office/drawing/2016/SVG/main" r:embed="rId46"/>
                        </a:ext>
                      </a:extLst>
                    </a:blip>
                    <a:stretch>
                      <a:fillRect/>
                    </a:stretch>
                  </pic:blipFill>
                  <pic:spPr>
                    <a:xfrm>
                      <a:off x="0" y="0"/>
                      <a:ext cx="6400800" cy="5798185"/>
                    </a:xfrm>
                    <a:prstGeom prst="rect">
                      <a:avLst/>
                    </a:prstGeom>
                  </pic:spPr>
                </pic:pic>
              </a:graphicData>
            </a:graphic>
          </wp:inline>
        </w:drawing>
      </w:r>
    </w:p>
    <w:p w14:paraId="2AB69F49" w14:textId="2281571D" w:rsidR="00252465" w:rsidRDefault="009A4AD7" w:rsidP="007E1CE3">
      <w:pPr>
        <w:rPr>
          <w:b/>
          <w:bCs/>
          <w:lang w:val="en-CA" w:eastAsia="fr-CA"/>
        </w:rPr>
      </w:pPr>
      <w:r>
        <w:rPr>
          <w:b/>
          <w:bCs/>
          <w:lang w:val="en-CA" w:eastAsia="fr-CA"/>
        </w:rPr>
        <w:t>Supplementary</w:t>
      </w:r>
      <w:r w:rsidR="00252465" w:rsidRPr="00EC49E4">
        <w:rPr>
          <w:b/>
          <w:bCs/>
          <w:lang w:val="en-CA" w:eastAsia="fr-CA"/>
        </w:rPr>
        <w:t xml:space="preserve"> Figure 1</w:t>
      </w:r>
      <w:r w:rsidR="00BD2FEE">
        <w:rPr>
          <w:b/>
          <w:bCs/>
          <w:lang w:val="en-CA" w:eastAsia="fr-CA"/>
        </w:rPr>
        <w:t>8</w:t>
      </w:r>
      <w:r>
        <w:rPr>
          <w:b/>
          <w:bCs/>
          <w:lang w:val="en-CA" w:eastAsia="fr-CA"/>
        </w:rPr>
        <w:t>.</w:t>
      </w:r>
      <w:r w:rsidR="00252465" w:rsidRPr="00EC49E4">
        <w:rPr>
          <w:b/>
          <w:bCs/>
          <w:lang w:val="en-CA" w:eastAsia="fr-CA"/>
        </w:rPr>
        <w:t xml:space="preserve"> </w:t>
      </w:r>
      <w:r w:rsidR="00EC49E4" w:rsidRPr="00EC49E4">
        <w:rPr>
          <w:b/>
          <w:bCs/>
          <w:lang w:val="en-CA" w:eastAsia="fr-CA"/>
        </w:rPr>
        <w:t>Total number of SNVs used in the analysis and the applied QC filtering</w:t>
      </w:r>
      <w:r w:rsidR="00802B7B">
        <w:rPr>
          <w:b/>
          <w:bCs/>
          <w:lang w:val="en-CA" w:eastAsia="fr-CA"/>
        </w:rPr>
        <w:t>.</w:t>
      </w:r>
    </w:p>
    <w:p w14:paraId="1FEB3F46" w14:textId="378E5DE8" w:rsidR="00802B7B" w:rsidRPr="00EC49E4" w:rsidRDefault="00005693" w:rsidP="007E1CE3">
      <w:pPr>
        <w:rPr>
          <w:b/>
          <w:bCs/>
          <w:lang w:val="en-CA" w:eastAsia="fr-CA"/>
        </w:rPr>
      </w:pPr>
      <w:r>
        <w:rPr>
          <w:b/>
          <w:bCs/>
          <w:noProof/>
          <w:lang w:val="en-CA" w:eastAsia="fr-CA"/>
        </w:rPr>
        <w:lastRenderedPageBreak/>
        <w:drawing>
          <wp:inline distT="0" distB="0" distL="0" distR="0" wp14:anchorId="6BB55729" wp14:editId="5D599BE3">
            <wp:extent cx="6400800" cy="4324350"/>
            <wp:effectExtent l="0" t="0" r="0" b="0"/>
            <wp:docPr id="1298670545"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70545" name="Graphique 1298670545"/>
                    <pic:cNvPicPr/>
                  </pic:nvPicPr>
                  <pic:blipFill>
                    <a:blip r:embed="rId47">
                      <a:extLst>
                        <a:ext uri="{96DAC541-7B7A-43D3-8B79-37D633B846F1}">
                          <asvg:svgBlip xmlns:asvg="http://schemas.microsoft.com/office/drawing/2016/SVG/main" r:embed="rId48"/>
                        </a:ext>
                      </a:extLst>
                    </a:blip>
                    <a:stretch>
                      <a:fillRect/>
                    </a:stretch>
                  </pic:blipFill>
                  <pic:spPr>
                    <a:xfrm>
                      <a:off x="0" y="0"/>
                      <a:ext cx="6400800" cy="4324350"/>
                    </a:xfrm>
                    <a:prstGeom prst="rect">
                      <a:avLst/>
                    </a:prstGeom>
                  </pic:spPr>
                </pic:pic>
              </a:graphicData>
            </a:graphic>
          </wp:inline>
        </w:drawing>
      </w:r>
    </w:p>
    <w:p w14:paraId="39DA789D" w14:textId="16908434" w:rsidR="00252465" w:rsidRDefault="00252465" w:rsidP="00005693">
      <w:pPr>
        <w:jc w:val="both"/>
        <w:rPr>
          <w:lang w:val="en-CA" w:eastAsia="fr-CA"/>
        </w:rPr>
      </w:pPr>
      <w:r w:rsidRPr="00802B7B">
        <w:rPr>
          <w:b/>
          <w:bCs/>
          <w:lang w:val="en-CA" w:eastAsia="fr-CA"/>
        </w:rPr>
        <w:t>Supp</w:t>
      </w:r>
      <w:r w:rsidR="00D94947">
        <w:rPr>
          <w:b/>
          <w:bCs/>
          <w:lang w:val="en-CA" w:eastAsia="fr-CA"/>
        </w:rPr>
        <w:t>lementary</w:t>
      </w:r>
      <w:r w:rsidRPr="00802B7B">
        <w:rPr>
          <w:b/>
          <w:bCs/>
          <w:lang w:val="en-CA" w:eastAsia="fr-CA"/>
        </w:rPr>
        <w:t xml:space="preserve"> Figure 1</w:t>
      </w:r>
      <w:r w:rsidR="00BD2FEE">
        <w:rPr>
          <w:b/>
          <w:bCs/>
          <w:lang w:val="en-CA" w:eastAsia="fr-CA"/>
        </w:rPr>
        <w:t>9</w:t>
      </w:r>
      <w:r w:rsidR="009A4AD7" w:rsidRPr="00802B7B">
        <w:rPr>
          <w:b/>
          <w:bCs/>
          <w:lang w:val="en-CA" w:eastAsia="fr-CA"/>
        </w:rPr>
        <w:t>.</w:t>
      </w:r>
      <w:r w:rsidRPr="00802B7B">
        <w:rPr>
          <w:b/>
          <w:bCs/>
          <w:lang w:val="en-CA" w:eastAsia="fr-CA"/>
        </w:rPr>
        <w:t xml:space="preserve"> </w:t>
      </w:r>
      <w:r w:rsidR="009A4AD7" w:rsidRPr="00802B7B">
        <w:rPr>
          <w:b/>
          <w:bCs/>
          <w:lang w:val="en-CA" w:eastAsia="fr-CA"/>
        </w:rPr>
        <w:t>Comparison between p-values computed with</w:t>
      </w:r>
      <w:r w:rsidRPr="00802B7B">
        <w:rPr>
          <w:b/>
          <w:bCs/>
          <w:lang w:val="en-CA" w:eastAsia="fr-CA"/>
        </w:rPr>
        <w:t xml:space="preserve"> SKAT-Burden </w:t>
      </w:r>
      <w:r w:rsidR="009A4AD7" w:rsidRPr="00802B7B">
        <w:rPr>
          <w:b/>
          <w:bCs/>
          <w:lang w:val="en-CA" w:eastAsia="fr-CA"/>
        </w:rPr>
        <w:t>and</w:t>
      </w:r>
      <w:r w:rsidRPr="00802B7B">
        <w:rPr>
          <w:b/>
          <w:bCs/>
          <w:lang w:val="en-CA" w:eastAsia="fr-CA"/>
        </w:rPr>
        <w:t xml:space="preserve"> </w:t>
      </w:r>
      <w:proofErr w:type="spellStart"/>
      <w:r w:rsidRPr="00802B7B">
        <w:rPr>
          <w:b/>
          <w:bCs/>
          <w:lang w:val="en-CA" w:eastAsia="fr-CA"/>
        </w:rPr>
        <w:t>FunBAT</w:t>
      </w:r>
      <w:proofErr w:type="spellEnd"/>
      <w:r w:rsidR="00802B7B">
        <w:rPr>
          <w:b/>
          <w:bCs/>
          <w:lang w:val="en-CA" w:eastAsia="fr-CA"/>
        </w:rPr>
        <w:t>.</w:t>
      </w:r>
      <w:r w:rsidR="00005693">
        <w:rPr>
          <w:lang w:val="en-CA"/>
        </w:rPr>
        <w:t xml:space="preserve"> </w:t>
      </w:r>
      <w:r w:rsidR="00005693" w:rsidRPr="00005693">
        <w:rPr>
          <w:lang w:val="en-CA" w:eastAsia="fr-CA"/>
        </w:rPr>
        <w:t>Concordance analysis between the p-values (</w:t>
      </w:r>
      <w:r w:rsidR="00005693">
        <w:rPr>
          <w:lang w:val="en-CA" w:eastAsia="fr-CA"/>
        </w:rPr>
        <w:t>-</w:t>
      </w:r>
      <w:r w:rsidR="00005693" w:rsidRPr="00005693">
        <w:rPr>
          <w:lang w:val="en-CA" w:eastAsia="fr-CA"/>
        </w:rPr>
        <w:t>log10) of the associations provided by SKAT-</w:t>
      </w:r>
      <w:r w:rsidR="00005693">
        <w:rPr>
          <w:lang w:val="en-CA" w:eastAsia="fr-CA"/>
        </w:rPr>
        <w:t>Burden</w:t>
      </w:r>
      <w:r w:rsidR="00005693" w:rsidRPr="00005693">
        <w:rPr>
          <w:lang w:val="en-CA" w:eastAsia="fr-CA"/>
        </w:rPr>
        <w:t xml:space="preserve"> and </w:t>
      </w:r>
      <w:proofErr w:type="spellStart"/>
      <w:r w:rsidR="00005693">
        <w:rPr>
          <w:lang w:val="en-CA" w:eastAsia="fr-CA"/>
        </w:rPr>
        <w:t>FunBAT</w:t>
      </w:r>
      <w:proofErr w:type="spellEnd"/>
      <w:r w:rsidR="00005693">
        <w:rPr>
          <w:lang w:val="en-CA" w:eastAsia="fr-CA"/>
        </w:rPr>
        <w:t xml:space="preserve">. (A) </w:t>
      </w:r>
      <w:proofErr w:type="spellStart"/>
      <w:r w:rsidR="00005693">
        <w:rPr>
          <w:lang w:val="en-CA" w:eastAsia="fr-CA"/>
        </w:rPr>
        <w:t>FunBAT</w:t>
      </w:r>
      <w:proofErr w:type="spellEnd"/>
      <w:r w:rsidR="00005693">
        <w:rPr>
          <w:lang w:val="en-CA" w:eastAsia="fr-CA"/>
        </w:rPr>
        <w:t xml:space="preserve"> association of the cell types with the ASD risk computed through a logistic regression model and (B) </w:t>
      </w:r>
      <w:proofErr w:type="spellStart"/>
      <w:r w:rsidR="00005693">
        <w:rPr>
          <w:lang w:val="en-CA" w:eastAsia="fr-CA"/>
        </w:rPr>
        <w:t>FunBAT</w:t>
      </w:r>
      <w:proofErr w:type="spellEnd"/>
      <w:r w:rsidR="00005693">
        <w:rPr>
          <w:lang w:val="en-CA" w:eastAsia="fr-CA"/>
        </w:rPr>
        <w:t xml:space="preserve"> association computed with the conditional logistic regression model (model used for the main analyses) to correct for the dependence of the individuals. </w:t>
      </w:r>
      <w:r w:rsidR="00005693" w:rsidRPr="00005693">
        <w:rPr>
          <w:lang w:val="en-CA" w:eastAsia="fr-CA"/>
        </w:rPr>
        <w:t xml:space="preserve">Data points correspond to the 91 cell types. The bias is reported for each class of variants as the slope </w:t>
      </w:r>
      <w:r w:rsidR="00005693">
        <w:rPr>
          <w:lang w:val="en-CA" w:eastAsia="fr-CA"/>
        </w:rPr>
        <w:t>of the</w:t>
      </w:r>
      <w:r w:rsidR="00005693" w:rsidRPr="00005693">
        <w:rPr>
          <w:lang w:val="en-CA" w:eastAsia="fr-CA"/>
        </w:rPr>
        <w:t xml:space="preserve"> regression line. The red lines represent the thresholds of significance (p=1e-4; Bonferroni correction, n = 364 tests).</w:t>
      </w:r>
    </w:p>
    <w:p w14:paraId="33FB2572" w14:textId="77777777" w:rsidR="00D94947" w:rsidRDefault="00D94947" w:rsidP="00005693">
      <w:pPr>
        <w:jc w:val="both"/>
        <w:rPr>
          <w:b/>
          <w:bCs/>
          <w:lang w:val="en-CA" w:eastAsia="fr-CA"/>
        </w:rPr>
      </w:pPr>
    </w:p>
    <w:p w14:paraId="6C7334D5" w14:textId="411D7100" w:rsidR="007A61A4" w:rsidRPr="00005693" w:rsidRDefault="000678D9" w:rsidP="00005693">
      <w:pPr>
        <w:jc w:val="both"/>
        <w:rPr>
          <w:b/>
          <w:bCs/>
          <w:lang w:val="en-CA" w:eastAsia="fr-CA"/>
        </w:rPr>
      </w:pPr>
      <w:r>
        <w:rPr>
          <w:b/>
          <w:bCs/>
          <w:noProof/>
          <w:lang w:val="en-CA" w:eastAsia="fr-CA"/>
        </w:rPr>
        <w:lastRenderedPageBreak/>
        <w:drawing>
          <wp:inline distT="0" distB="0" distL="0" distR="0" wp14:anchorId="2184E3B2" wp14:editId="4EB206BB">
            <wp:extent cx="6400800" cy="4352925"/>
            <wp:effectExtent l="0" t="0" r="0" b="3175"/>
            <wp:docPr id="767468050"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8050" name="Graphique 767468050"/>
                    <pic:cNvPicPr/>
                  </pic:nvPicPr>
                  <pic:blipFill>
                    <a:blip r:embed="rId49">
                      <a:extLst>
                        <a:ext uri="{96DAC541-7B7A-43D3-8B79-37D633B846F1}">
                          <asvg:svgBlip xmlns:asvg="http://schemas.microsoft.com/office/drawing/2016/SVG/main" r:embed="rId50"/>
                        </a:ext>
                      </a:extLst>
                    </a:blip>
                    <a:stretch>
                      <a:fillRect/>
                    </a:stretch>
                  </pic:blipFill>
                  <pic:spPr>
                    <a:xfrm>
                      <a:off x="0" y="0"/>
                      <a:ext cx="6400800" cy="4352925"/>
                    </a:xfrm>
                    <a:prstGeom prst="rect">
                      <a:avLst/>
                    </a:prstGeom>
                  </pic:spPr>
                </pic:pic>
              </a:graphicData>
            </a:graphic>
          </wp:inline>
        </w:drawing>
      </w:r>
    </w:p>
    <w:p w14:paraId="3E17E1C8" w14:textId="7EA7CE62" w:rsidR="00252465" w:rsidRPr="00D94947" w:rsidRDefault="00252465" w:rsidP="000678D9">
      <w:pPr>
        <w:jc w:val="both"/>
        <w:rPr>
          <w:b/>
          <w:bCs/>
          <w:lang w:val="en-CA" w:eastAsia="fr-CA"/>
        </w:rPr>
      </w:pPr>
      <w:r w:rsidRPr="00D94947">
        <w:rPr>
          <w:b/>
          <w:bCs/>
          <w:lang w:val="en-CA" w:eastAsia="fr-CA"/>
        </w:rPr>
        <w:t>Supp</w:t>
      </w:r>
      <w:r w:rsidR="00D94947" w:rsidRPr="00D94947">
        <w:rPr>
          <w:b/>
          <w:bCs/>
          <w:lang w:val="en-CA" w:eastAsia="fr-CA"/>
        </w:rPr>
        <w:t>lementary</w:t>
      </w:r>
      <w:r w:rsidRPr="00D94947">
        <w:rPr>
          <w:b/>
          <w:bCs/>
          <w:lang w:val="en-CA" w:eastAsia="fr-CA"/>
        </w:rPr>
        <w:t xml:space="preserve"> Figure </w:t>
      </w:r>
      <w:r w:rsidR="00BD2FEE">
        <w:rPr>
          <w:b/>
          <w:bCs/>
          <w:lang w:val="en-CA" w:eastAsia="fr-CA"/>
        </w:rPr>
        <w:t>20</w:t>
      </w:r>
      <w:r w:rsidR="00D94947" w:rsidRPr="00D94947">
        <w:rPr>
          <w:b/>
          <w:bCs/>
          <w:lang w:val="en-CA" w:eastAsia="fr-CA"/>
        </w:rPr>
        <w:t>.</w:t>
      </w:r>
      <w:r w:rsidRPr="00D94947">
        <w:rPr>
          <w:b/>
          <w:bCs/>
          <w:lang w:val="en-CA" w:eastAsia="fr-CA"/>
        </w:rPr>
        <w:t xml:space="preserve"> Distribution </w:t>
      </w:r>
      <w:r w:rsidR="00D94947" w:rsidRPr="00D94947">
        <w:rPr>
          <w:b/>
          <w:bCs/>
          <w:lang w:val="en-CA" w:eastAsia="fr-CA"/>
        </w:rPr>
        <w:t>of ASD associations across random gene sets of multiple sizes.</w:t>
      </w:r>
      <w:r w:rsidR="000678D9">
        <w:rPr>
          <w:b/>
          <w:bCs/>
          <w:lang w:val="en-CA" w:eastAsia="fr-CA"/>
        </w:rPr>
        <w:t xml:space="preserve"> </w:t>
      </w:r>
      <w:r w:rsidR="000678D9" w:rsidRPr="000678D9">
        <w:rPr>
          <w:lang w:val="en-CA" w:eastAsia="fr-CA"/>
        </w:rPr>
        <w:t>Grey areas represent the IC95 of the ASD associations (odd ratios) computed on gene sets randomly created. Sizes of the random gene set vary from 50 genes to 900 genes to capture the whole size diversity of the ASD-DE gene sets.</w:t>
      </w:r>
      <w:r w:rsidR="000678D9">
        <w:rPr>
          <w:lang w:val="en-CA" w:eastAsia="fr-CA"/>
        </w:rPr>
        <w:t xml:space="preserve"> ASD associations of the ASD-DE gene sets were mapped to their corresponding gene set size and color coded with downregulated in blue and upregulated in red. ASD-DE gene sets with a significant ASD association (FDR &lt; 0.05) were labeled.</w:t>
      </w:r>
    </w:p>
    <w:p w14:paraId="15A97875" w14:textId="6BDB9D97" w:rsidR="00B760CF" w:rsidRDefault="00185636" w:rsidP="00B760CF">
      <w:pPr>
        <w:spacing w:before="240" w:after="240" w:line="240" w:lineRule="auto"/>
        <w:jc w:val="both"/>
        <w:rPr>
          <w:rFonts w:ascii="Arial" w:eastAsia="Times New Roman" w:hAnsi="Arial" w:cs="Arial"/>
          <w:color w:val="000000"/>
          <w:kern w:val="0"/>
          <w:sz w:val="22"/>
          <w:szCs w:val="22"/>
          <w:lang w:val="en-CA" w:eastAsia="fr-CA"/>
          <w14:ligatures w14:val="none"/>
        </w:rPr>
      </w:pPr>
      <w:r>
        <w:rPr>
          <w:rFonts w:ascii="Arial" w:eastAsia="Times New Roman" w:hAnsi="Arial" w:cs="Arial"/>
          <w:noProof/>
          <w:color w:val="000000"/>
          <w:kern w:val="0"/>
          <w:sz w:val="22"/>
          <w:szCs w:val="22"/>
          <w:lang w:val="en-CA" w:eastAsia="fr-CA"/>
        </w:rPr>
        <w:lastRenderedPageBreak/>
        <w:drawing>
          <wp:inline distT="0" distB="0" distL="0" distR="0" wp14:anchorId="6339972D" wp14:editId="6F8BC912">
            <wp:extent cx="5486400" cy="3657600"/>
            <wp:effectExtent l="0" t="0" r="0" b="0"/>
            <wp:docPr id="68857333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73334" name="Graphique 688573334"/>
                    <pic:cNvPicPr/>
                  </pic:nvPicPr>
                  <pic:blipFill>
                    <a:blip r:embed="rId51">
                      <a:extLst>
                        <a:ext uri="{96DAC541-7B7A-43D3-8B79-37D633B846F1}">
                          <asvg:svgBlip xmlns:asvg="http://schemas.microsoft.com/office/drawing/2016/SVG/main" r:embed="rId52"/>
                        </a:ext>
                      </a:extLst>
                    </a:blip>
                    <a:stretch>
                      <a:fillRect/>
                    </a:stretch>
                  </pic:blipFill>
                  <pic:spPr>
                    <a:xfrm>
                      <a:off x="0" y="0"/>
                      <a:ext cx="5486400" cy="3657600"/>
                    </a:xfrm>
                    <a:prstGeom prst="rect">
                      <a:avLst/>
                    </a:prstGeom>
                  </pic:spPr>
                </pic:pic>
              </a:graphicData>
            </a:graphic>
          </wp:inline>
        </w:drawing>
      </w:r>
    </w:p>
    <w:p w14:paraId="70C6CCBE" w14:textId="15A3B1AD" w:rsidR="00B760CF" w:rsidRPr="00D94947" w:rsidRDefault="00B760CF" w:rsidP="00D94947">
      <w:pPr>
        <w:spacing w:before="240" w:after="240" w:line="240" w:lineRule="auto"/>
        <w:jc w:val="both"/>
        <w:rPr>
          <w:rFonts w:ascii="Arial" w:eastAsia="Times New Roman" w:hAnsi="Arial" w:cs="Arial"/>
          <w:color w:val="000000"/>
          <w:kern w:val="0"/>
          <w:sz w:val="22"/>
          <w:szCs w:val="22"/>
          <w:lang w:val="en-CA" w:eastAsia="fr-CA"/>
          <w14:ligatures w14:val="none"/>
        </w:rPr>
      </w:pPr>
      <w:r w:rsidRPr="000F6DE1">
        <w:rPr>
          <w:rFonts w:ascii="Arial" w:eastAsia="Times New Roman" w:hAnsi="Arial" w:cs="Arial"/>
          <w:b/>
          <w:bCs/>
          <w:color w:val="000000"/>
          <w:kern w:val="0"/>
          <w:sz w:val="22"/>
          <w:szCs w:val="22"/>
          <w:lang w:val="en-CA" w:eastAsia="fr-CA"/>
          <w14:ligatures w14:val="none"/>
        </w:rPr>
        <w:t xml:space="preserve">Supplementary Figure </w:t>
      </w:r>
      <w:r w:rsidR="00185636">
        <w:rPr>
          <w:rFonts w:ascii="Arial" w:eastAsia="Times New Roman" w:hAnsi="Arial" w:cs="Arial"/>
          <w:b/>
          <w:bCs/>
          <w:color w:val="000000"/>
          <w:kern w:val="0"/>
          <w:sz w:val="22"/>
          <w:szCs w:val="22"/>
          <w:lang w:val="en-CA" w:eastAsia="fr-CA"/>
          <w14:ligatures w14:val="none"/>
        </w:rPr>
        <w:t>2</w:t>
      </w:r>
      <w:r w:rsidR="00BD2FEE">
        <w:rPr>
          <w:rFonts w:ascii="Arial" w:eastAsia="Times New Roman" w:hAnsi="Arial" w:cs="Arial"/>
          <w:b/>
          <w:bCs/>
          <w:color w:val="000000"/>
          <w:kern w:val="0"/>
          <w:sz w:val="22"/>
          <w:szCs w:val="22"/>
          <w:lang w:val="en-CA" w:eastAsia="fr-CA"/>
          <w14:ligatures w14:val="none"/>
        </w:rPr>
        <w:t>1</w:t>
      </w:r>
      <w:r w:rsidRPr="000F6DE1">
        <w:rPr>
          <w:rFonts w:ascii="Arial" w:eastAsia="Times New Roman" w:hAnsi="Arial" w:cs="Arial"/>
          <w:b/>
          <w:bCs/>
          <w:color w:val="000000"/>
          <w:kern w:val="0"/>
          <w:sz w:val="22"/>
          <w:szCs w:val="22"/>
          <w:lang w:val="en-CA" w:eastAsia="fr-CA"/>
          <w14:ligatures w14:val="none"/>
        </w:rPr>
        <w:t>. Distribution of age at diagnosis between males and females.</w:t>
      </w:r>
      <w:r>
        <w:rPr>
          <w:rFonts w:ascii="Arial" w:eastAsia="Times New Roman" w:hAnsi="Arial" w:cs="Arial"/>
          <w:color w:val="000000"/>
          <w:kern w:val="0"/>
          <w:sz w:val="22"/>
          <w:szCs w:val="22"/>
          <w:lang w:val="en-CA" w:eastAsia="fr-CA"/>
          <w14:ligatures w14:val="none"/>
        </w:rPr>
        <w:t xml:space="preserve"> Medians for males and females are equal to 44 and 62 months, respectively. Mann-Whitney U-test p-value &lt; 1e-300</w:t>
      </w:r>
    </w:p>
    <w:p w14:paraId="4354D56D" w14:textId="77777777" w:rsidR="00D94947" w:rsidRDefault="00D94947">
      <w:pPr>
        <w:rPr>
          <w:rFonts w:ascii="Arial" w:eastAsia="Times New Roman" w:hAnsi="Arial" w:cs="Arial"/>
          <w:color w:val="000000"/>
          <w:kern w:val="0"/>
          <w:sz w:val="52"/>
          <w:szCs w:val="52"/>
          <w:lang w:val="en-CA" w:eastAsia="fr-CA"/>
          <w14:ligatures w14:val="none"/>
        </w:rPr>
      </w:pPr>
      <w:r>
        <w:rPr>
          <w:rFonts w:ascii="Arial" w:eastAsia="Times New Roman" w:hAnsi="Arial" w:cs="Arial"/>
          <w:color w:val="000000"/>
          <w:kern w:val="0"/>
          <w:sz w:val="52"/>
          <w:szCs w:val="52"/>
          <w:lang w:val="en-CA" w:eastAsia="fr-CA"/>
          <w14:ligatures w14:val="none"/>
        </w:rPr>
        <w:br w:type="page"/>
      </w:r>
    </w:p>
    <w:p w14:paraId="4F810709" w14:textId="3F0BA61B" w:rsidR="002B7A3D" w:rsidRPr="00B760CF" w:rsidRDefault="002B7A3D" w:rsidP="00437FD9">
      <w:pPr>
        <w:pStyle w:val="Titre1"/>
        <w:rPr>
          <w:rFonts w:ascii="Times New Roman" w:eastAsia="Times New Roman" w:hAnsi="Times New Roman" w:cs="Times New Roman"/>
          <w:lang w:val="en-CA" w:eastAsia="fr-CA"/>
        </w:rPr>
      </w:pPr>
      <w:r w:rsidRPr="00B760CF">
        <w:rPr>
          <w:rFonts w:eastAsia="Times New Roman"/>
          <w:lang w:val="en-CA" w:eastAsia="fr-CA"/>
        </w:rPr>
        <w:lastRenderedPageBreak/>
        <w:t>Supplementa</w:t>
      </w:r>
      <w:r w:rsidR="00437FD9">
        <w:rPr>
          <w:rFonts w:eastAsia="Times New Roman"/>
          <w:lang w:val="en-CA" w:eastAsia="fr-CA"/>
        </w:rPr>
        <w:t>ry</w:t>
      </w:r>
      <w:r w:rsidRPr="00B760CF">
        <w:rPr>
          <w:rFonts w:eastAsia="Times New Roman"/>
          <w:lang w:val="en-CA" w:eastAsia="fr-CA"/>
        </w:rPr>
        <w:t xml:space="preserve"> tables</w:t>
      </w:r>
    </w:p>
    <w:p w14:paraId="23F7CA2D" w14:textId="6FADC666" w:rsidR="002B7A3D" w:rsidRPr="00437FD9" w:rsidRDefault="002B7A3D" w:rsidP="002B7A3D">
      <w:pPr>
        <w:spacing w:before="240" w:after="240" w:line="240" w:lineRule="auto"/>
        <w:jc w:val="both"/>
        <w:rPr>
          <w:rFonts w:ascii="Arial" w:eastAsia="Times New Roman" w:hAnsi="Arial" w:cs="Arial"/>
          <w:b/>
          <w:bCs/>
          <w:color w:val="000000"/>
          <w:kern w:val="0"/>
          <w:sz w:val="22"/>
          <w:szCs w:val="22"/>
          <w:lang w:val="en-CA" w:eastAsia="fr-CA"/>
          <w14:ligatures w14:val="none"/>
        </w:rPr>
      </w:pPr>
      <w:r w:rsidRPr="00437FD9">
        <w:rPr>
          <w:rFonts w:ascii="Arial" w:eastAsia="Times New Roman" w:hAnsi="Arial" w:cs="Arial"/>
          <w:b/>
          <w:bCs/>
          <w:color w:val="000000"/>
          <w:kern w:val="0"/>
          <w:sz w:val="22"/>
          <w:szCs w:val="22"/>
          <w:lang w:val="en-CA" w:eastAsia="fr-CA"/>
          <w14:ligatures w14:val="none"/>
        </w:rPr>
        <w:t>Supp</w:t>
      </w:r>
      <w:r w:rsidR="00437FD9" w:rsidRPr="00437FD9">
        <w:rPr>
          <w:rFonts w:ascii="Arial" w:eastAsia="Times New Roman" w:hAnsi="Arial" w:cs="Arial"/>
          <w:b/>
          <w:bCs/>
          <w:color w:val="000000"/>
          <w:kern w:val="0"/>
          <w:sz w:val="22"/>
          <w:szCs w:val="22"/>
          <w:lang w:val="en-CA" w:eastAsia="fr-CA"/>
          <w14:ligatures w14:val="none"/>
        </w:rPr>
        <w:t>lementary</w:t>
      </w:r>
      <w:r w:rsidRPr="00437FD9">
        <w:rPr>
          <w:rFonts w:ascii="Arial" w:eastAsia="Times New Roman" w:hAnsi="Arial" w:cs="Arial"/>
          <w:b/>
          <w:bCs/>
          <w:color w:val="000000"/>
          <w:kern w:val="0"/>
          <w:sz w:val="22"/>
          <w:szCs w:val="22"/>
          <w:lang w:val="en-CA" w:eastAsia="fr-CA"/>
          <w14:ligatures w14:val="none"/>
        </w:rPr>
        <w:t xml:space="preserve"> Table 1</w:t>
      </w:r>
      <w:r w:rsidR="00437FD9">
        <w:rPr>
          <w:rFonts w:ascii="Arial" w:eastAsia="Times New Roman" w:hAnsi="Arial" w:cs="Arial"/>
          <w:b/>
          <w:bCs/>
          <w:color w:val="000000"/>
          <w:kern w:val="0"/>
          <w:sz w:val="22"/>
          <w:szCs w:val="22"/>
          <w:lang w:val="en-CA" w:eastAsia="fr-CA"/>
          <w14:ligatures w14:val="none"/>
        </w:rPr>
        <w:t>.</w:t>
      </w:r>
      <w:r w:rsidR="00437FD9" w:rsidRPr="00437FD9">
        <w:rPr>
          <w:rFonts w:ascii="Arial" w:eastAsia="Times New Roman" w:hAnsi="Arial" w:cs="Arial"/>
          <w:b/>
          <w:bCs/>
          <w:color w:val="000000"/>
          <w:kern w:val="0"/>
          <w:sz w:val="22"/>
          <w:szCs w:val="22"/>
          <w:lang w:val="en-CA" w:eastAsia="fr-CA"/>
          <w14:ligatures w14:val="none"/>
        </w:rPr>
        <w:t xml:space="preserve"> Number of individuals with whole exome sequencing and used for the </w:t>
      </w:r>
      <w:proofErr w:type="spellStart"/>
      <w:r w:rsidR="00437FD9" w:rsidRPr="00437FD9">
        <w:rPr>
          <w:rFonts w:ascii="Arial" w:eastAsia="Times New Roman" w:hAnsi="Arial" w:cs="Arial"/>
          <w:b/>
          <w:bCs/>
          <w:color w:val="000000"/>
          <w:kern w:val="0"/>
          <w:sz w:val="22"/>
          <w:szCs w:val="22"/>
          <w:lang w:val="en-CA" w:eastAsia="fr-CA"/>
          <w14:ligatures w14:val="none"/>
        </w:rPr>
        <w:t>FunBAT</w:t>
      </w:r>
      <w:proofErr w:type="spellEnd"/>
      <w:r w:rsidR="00437FD9" w:rsidRPr="00437FD9">
        <w:rPr>
          <w:rFonts w:ascii="Arial" w:eastAsia="Times New Roman" w:hAnsi="Arial" w:cs="Arial"/>
          <w:b/>
          <w:bCs/>
          <w:color w:val="000000"/>
          <w:kern w:val="0"/>
          <w:sz w:val="22"/>
          <w:szCs w:val="22"/>
          <w:lang w:val="en-CA" w:eastAsia="fr-CA"/>
          <w14:ligatures w14:val="none"/>
        </w:rPr>
        <w:t xml:space="preserve"> analysis</w:t>
      </w:r>
      <w:r w:rsidRPr="00437FD9">
        <w:rPr>
          <w:rFonts w:ascii="Arial" w:eastAsia="Times New Roman" w:hAnsi="Arial" w:cs="Arial"/>
          <w:b/>
          <w:bCs/>
          <w:color w:val="000000"/>
          <w:kern w:val="0"/>
          <w:sz w:val="22"/>
          <w:szCs w:val="22"/>
          <w:lang w:val="en-CA" w:eastAsia="fr-CA"/>
          <w14:ligatures w14:val="none"/>
        </w:rPr>
        <w:t xml:space="preserve"> </w:t>
      </w:r>
    </w:p>
    <w:p w14:paraId="6C03B206" w14:textId="4324A35E" w:rsidR="00084677" w:rsidRPr="00437FD9" w:rsidRDefault="00437FD9" w:rsidP="002B7A3D">
      <w:pPr>
        <w:spacing w:before="240" w:after="240" w:line="240" w:lineRule="auto"/>
        <w:jc w:val="both"/>
        <w:rPr>
          <w:rFonts w:ascii="Arial" w:eastAsia="Times New Roman" w:hAnsi="Arial" w:cs="Arial"/>
          <w:b/>
          <w:bCs/>
          <w:color w:val="000000"/>
          <w:kern w:val="0"/>
          <w:sz w:val="22"/>
          <w:szCs w:val="22"/>
          <w:lang w:val="en-CA" w:eastAsia="fr-CA"/>
          <w14:ligatures w14:val="none"/>
        </w:rPr>
      </w:pPr>
      <w:r w:rsidRPr="00437FD9">
        <w:rPr>
          <w:rFonts w:ascii="Arial" w:eastAsia="Times New Roman" w:hAnsi="Arial" w:cs="Arial"/>
          <w:b/>
          <w:bCs/>
          <w:color w:val="000000"/>
          <w:kern w:val="0"/>
          <w:sz w:val="22"/>
          <w:szCs w:val="22"/>
          <w:lang w:val="en-CA" w:eastAsia="fr-CA"/>
          <w14:ligatures w14:val="none"/>
        </w:rPr>
        <w:t xml:space="preserve">Supplementary </w:t>
      </w:r>
      <w:r w:rsidR="00084677" w:rsidRPr="00437FD9">
        <w:rPr>
          <w:rFonts w:ascii="Arial" w:eastAsia="Times New Roman" w:hAnsi="Arial" w:cs="Arial"/>
          <w:b/>
          <w:bCs/>
          <w:color w:val="000000"/>
          <w:kern w:val="0"/>
          <w:sz w:val="22"/>
          <w:szCs w:val="22"/>
          <w:lang w:val="en-CA" w:eastAsia="fr-CA"/>
          <w14:ligatures w14:val="none"/>
        </w:rPr>
        <w:t>Table 2</w:t>
      </w:r>
      <w:r w:rsidRPr="00437FD9">
        <w:rPr>
          <w:rFonts w:ascii="Arial" w:eastAsia="Times New Roman" w:hAnsi="Arial" w:cs="Arial"/>
          <w:b/>
          <w:bCs/>
          <w:color w:val="000000"/>
          <w:kern w:val="0"/>
          <w:sz w:val="22"/>
          <w:szCs w:val="22"/>
          <w:lang w:val="en-CA" w:eastAsia="fr-CA"/>
          <w14:ligatures w14:val="none"/>
        </w:rPr>
        <w:t>. Genetic enrichment of the 59 candidate genes identified in L56_TLE4 deep layer excitatory neurons.</w:t>
      </w:r>
    </w:p>
    <w:p w14:paraId="4C5C873B" w14:textId="2EE99816" w:rsidR="00084677" w:rsidRPr="00437FD9" w:rsidRDefault="00437FD9" w:rsidP="002B7A3D">
      <w:pPr>
        <w:spacing w:before="240" w:after="240" w:line="240" w:lineRule="auto"/>
        <w:jc w:val="both"/>
        <w:rPr>
          <w:rFonts w:ascii="Arial" w:eastAsia="Times New Roman" w:hAnsi="Arial" w:cs="Arial"/>
          <w:b/>
          <w:bCs/>
          <w:color w:val="000000"/>
          <w:kern w:val="0"/>
          <w:sz w:val="22"/>
          <w:szCs w:val="22"/>
          <w:lang w:val="en-CA" w:eastAsia="fr-CA"/>
          <w14:ligatures w14:val="none"/>
        </w:rPr>
      </w:pPr>
      <w:r w:rsidRPr="00437FD9">
        <w:rPr>
          <w:rFonts w:ascii="Arial" w:eastAsia="Times New Roman" w:hAnsi="Arial" w:cs="Arial"/>
          <w:b/>
          <w:bCs/>
          <w:color w:val="000000"/>
          <w:kern w:val="0"/>
          <w:sz w:val="22"/>
          <w:szCs w:val="22"/>
          <w:lang w:val="en-CA" w:eastAsia="fr-CA"/>
          <w14:ligatures w14:val="none"/>
        </w:rPr>
        <w:t xml:space="preserve">Supplementary </w:t>
      </w:r>
      <w:r w:rsidR="00084677" w:rsidRPr="00437FD9">
        <w:rPr>
          <w:rFonts w:ascii="Arial" w:eastAsia="Times New Roman" w:hAnsi="Arial" w:cs="Arial"/>
          <w:b/>
          <w:bCs/>
          <w:color w:val="000000"/>
          <w:kern w:val="0"/>
          <w:sz w:val="22"/>
          <w:szCs w:val="22"/>
          <w:lang w:val="en-CA" w:eastAsia="fr-CA"/>
          <w14:ligatures w14:val="none"/>
        </w:rPr>
        <w:t>Table 3</w:t>
      </w:r>
      <w:r w:rsidRPr="00437FD9">
        <w:rPr>
          <w:rFonts w:ascii="Arial" w:eastAsia="Times New Roman" w:hAnsi="Arial" w:cs="Arial"/>
          <w:b/>
          <w:bCs/>
          <w:color w:val="000000"/>
          <w:kern w:val="0"/>
          <w:sz w:val="22"/>
          <w:szCs w:val="22"/>
          <w:lang w:val="en-CA" w:eastAsia="fr-CA"/>
          <w14:ligatures w14:val="none"/>
        </w:rPr>
        <w:t>. Genetic enrichment of the 45 candidate genes identified in ID2 inhibitory neurons.</w:t>
      </w:r>
    </w:p>
    <w:p w14:paraId="7413D505" w14:textId="527C56F0" w:rsidR="002B7A3D" w:rsidRDefault="00437FD9" w:rsidP="00437FD9">
      <w:pPr>
        <w:spacing w:before="240" w:after="240" w:line="240" w:lineRule="auto"/>
        <w:jc w:val="both"/>
        <w:rPr>
          <w:rFonts w:ascii="Arial" w:eastAsia="Times New Roman" w:hAnsi="Arial" w:cs="Arial"/>
          <w:b/>
          <w:bCs/>
          <w:color w:val="000000"/>
          <w:kern w:val="0"/>
          <w:sz w:val="22"/>
          <w:szCs w:val="22"/>
          <w:lang w:val="en-CA" w:eastAsia="fr-CA"/>
          <w14:ligatures w14:val="none"/>
        </w:rPr>
      </w:pPr>
      <w:r w:rsidRPr="00437FD9">
        <w:rPr>
          <w:rFonts w:ascii="Arial" w:eastAsia="Times New Roman" w:hAnsi="Arial" w:cs="Arial"/>
          <w:b/>
          <w:bCs/>
          <w:color w:val="000000"/>
          <w:kern w:val="0"/>
          <w:sz w:val="22"/>
          <w:szCs w:val="22"/>
          <w:lang w:val="en-CA" w:eastAsia="fr-CA"/>
          <w14:ligatures w14:val="none"/>
        </w:rPr>
        <w:t xml:space="preserve">Supplementary </w:t>
      </w:r>
      <w:r w:rsidR="00084677" w:rsidRPr="00437FD9">
        <w:rPr>
          <w:rFonts w:ascii="Arial" w:eastAsia="Times New Roman" w:hAnsi="Arial" w:cs="Arial"/>
          <w:b/>
          <w:bCs/>
          <w:color w:val="000000"/>
          <w:kern w:val="0"/>
          <w:sz w:val="22"/>
          <w:szCs w:val="22"/>
          <w:lang w:val="en-CA" w:eastAsia="fr-CA"/>
          <w14:ligatures w14:val="none"/>
        </w:rPr>
        <w:t>Table 4</w:t>
      </w:r>
      <w:r w:rsidRPr="00437FD9">
        <w:rPr>
          <w:rFonts w:ascii="Arial" w:eastAsia="Times New Roman" w:hAnsi="Arial" w:cs="Arial"/>
          <w:b/>
          <w:bCs/>
          <w:color w:val="000000"/>
          <w:kern w:val="0"/>
          <w:sz w:val="22"/>
          <w:szCs w:val="22"/>
          <w:lang w:val="en-CA" w:eastAsia="fr-CA"/>
          <w14:ligatures w14:val="none"/>
        </w:rPr>
        <w:t>. Genetic enrichment of the 55 candidate genes identified in microglia.</w:t>
      </w:r>
    </w:p>
    <w:p w14:paraId="0E27C4C8" w14:textId="00834240" w:rsidR="001F64E8" w:rsidRDefault="001F64E8" w:rsidP="00437FD9">
      <w:pPr>
        <w:spacing w:before="240" w:after="240" w:line="240" w:lineRule="auto"/>
        <w:jc w:val="both"/>
        <w:rPr>
          <w:rFonts w:ascii="Arial" w:eastAsia="Times New Roman" w:hAnsi="Arial" w:cs="Arial"/>
          <w:b/>
          <w:bCs/>
          <w:color w:val="000000"/>
          <w:kern w:val="0"/>
          <w:sz w:val="22"/>
          <w:szCs w:val="22"/>
          <w:lang w:val="en-CA" w:eastAsia="fr-CA"/>
          <w14:ligatures w14:val="none"/>
        </w:rPr>
      </w:pPr>
      <w:r>
        <w:rPr>
          <w:rFonts w:ascii="Arial" w:eastAsia="Times New Roman" w:hAnsi="Arial" w:cs="Arial"/>
          <w:b/>
          <w:bCs/>
          <w:color w:val="000000"/>
          <w:kern w:val="0"/>
          <w:sz w:val="22"/>
          <w:szCs w:val="22"/>
          <w:lang w:val="en-CA" w:eastAsia="fr-CA"/>
          <w14:ligatures w14:val="none"/>
        </w:rPr>
        <w:t>Supplementary Table 5. Equivalence table of the cell type annotations between the Herring et al. and the Wamsley et al. datasets.</w:t>
      </w:r>
    </w:p>
    <w:p w14:paraId="666D33CD" w14:textId="2ED7F109" w:rsidR="00437FD9" w:rsidRPr="00437FD9" w:rsidRDefault="00437FD9" w:rsidP="00437FD9">
      <w:pPr>
        <w:pStyle w:val="Titre1"/>
        <w:rPr>
          <w:rFonts w:eastAsia="Times New Roman"/>
          <w:lang w:val="en-CA" w:eastAsia="fr-CA"/>
        </w:rPr>
      </w:pPr>
      <w:r>
        <w:rPr>
          <w:rFonts w:eastAsia="Times New Roman"/>
          <w:lang w:val="en-CA" w:eastAsia="fr-CA"/>
        </w:rPr>
        <w:t>References</w:t>
      </w:r>
    </w:p>
    <w:p w14:paraId="37E01541" w14:textId="77777777" w:rsidR="002B7A3D" w:rsidRPr="002B7A3D" w:rsidRDefault="002B7A3D" w:rsidP="002B7A3D">
      <w:pPr>
        <w:spacing w:after="0" w:line="240" w:lineRule="auto"/>
        <w:rPr>
          <w:rFonts w:ascii="Times New Roman" w:eastAsia="Times New Roman" w:hAnsi="Times New Roman" w:cs="Times New Roman"/>
          <w:kern w:val="0"/>
          <w:lang w:val="en-CA" w:eastAsia="fr-CA"/>
          <w14:ligatures w14:val="none"/>
        </w:rPr>
      </w:pPr>
    </w:p>
    <w:p w14:paraId="06F587E7" w14:textId="77777777" w:rsidR="00204F22" w:rsidRPr="00204F22" w:rsidRDefault="00351DB2" w:rsidP="00204F22">
      <w:pPr>
        <w:pStyle w:val="Bibliographie"/>
        <w:rPr>
          <w:lang w:val="en-CA"/>
        </w:rPr>
      </w:pPr>
      <w:r>
        <w:rPr>
          <w:lang w:val="en-CA"/>
        </w:rPr>
        <w:fldChar w:fldCharType="begin"/>
      </w:r>
      <w:r>
        <w:rPr>
          <w:lang w:val="en-CA"/>
        </w:rPr>
        <w:instrText xml:space="preserve"> ADDIN ZOTERO_BIBL {"uncited":[],"omitted":[],"custom":[]} CSL_BIBLIOGRAPHY </w:instrText>
      </w:r>
      <w:r>
        <w:rPr>
          <w:lang w:val="en-CA"/>
        </w:rPr>
        <w:fldChar w:fldCharType="separate"/>
      </w:r>
      <w:r w:rsidR="00204F22" w:rsidRPr="00204F22">
        <w:rPr>
          <w:lang w:val="en-CA"/>
        </w:rPr>
        <w:t>[1]</w:t>
      </w:r>
      <w:r w:rsidR="00204F22" w:rsidRPr="00204F22">
        <w:rPr>
          <w:lang w:val="en-CA"/>
        </w:rPr>
        <w:tab/>
        <w:t xml:space="preserve">C. A. Herring </w:t>
      </w:r>
      <w:r w:rsidR="00204F22" w:rsidRPr="00204F22">
        <w:rPr>
          <w:i/>
          <w:iCs/>
          <w:lang w:val="en-CA"/>
        </w:rPr>
        <w:t>et al.</w:t>
      </w:r>
      <w:r w:rsidR="00204F22" w:rsidRPr="00204F22">
        <w:rPr>
          <w:lang w:val="en-CA"/>
        </w:rPr>
        <w:t xml:space="preserve">, « Human prefrontal cortex gene regulatory dynamics from gestation to adulthood at single-cell resolution », </w:t>
      </w:r>
      <w:r w:rsidR="00204F22" w:rsidRPr="00204F22">
        <w:rPr>
          <w:i/>
          <w:iCs/>
          <w:lang w:val="en-CA"/>
        </w:rPr>
        <w:t>Cell</w:t>
      </w:r>
      <w:r w:rsidR="00204F22" w:rsidRPr="00204F22">
        <w:rPr>
          <w:lang w:val="en-CA"/>
        </w:rPr>
        <w:t>, vol. 185, n</w:t>
      </w:r>
      <w:r w:rsidR="00204F22" w:rsidRPr="00204F22">
        <w:rPr>
          <w:vertAlign w:val="superscript"/>
          <w:lang w:val="en-CA"/>
        </w:rPr>
        <w:t>o</w:t>
      </w:r>
      <w:r w:rsidR="00204F22" w:rsidRPr="00204F22">
        <w:rPr>
          <w:lang w:val="en-CA"/>
        </w:rPr>
        <w:t xml:space="preserve"> 23, p. 4428-4447.e28, nov. 2022, doi: 10.1016/j.cell.2022.09.039.</w:t>
      </w:r>
    </w:p>
    <w:p w14:paraId="146B4F22" w14:textId="77777777" w:rsidR="00204F22" w:rsidRPr="00204F22" w:rsidRDefault="00204F22" w:rsidP="00204F22">
      <w:pPr>
        <w:pStyle w:val="Bibliographie"/>
        <w:rPr>
          <w:lang w:val="en-CA"/>
        </w:rPr>
      </w:pPr>
      <w:r w:rsidRPr="00204F22">
        <w:rPr>
          <w:lang w:val="en-CA"/>
        </w:rPr>
        <w:t>[2]</w:t>
      </w:r>
      <w:r w:rsidRPr="00204F22">
        <w:rPr>
          <w:lang w:val="en-CA"/>
        </w:rPr>
        <w:tab/>
        <w:t xml:space="preserve">K. J. Karczewski </w:t>
      </w:r>
      <w:r w:rsidRPr="00204F22">
        <w:rPr>
          <w:i/>
          <w:iCs/>
          <w:lang w:val="en-CA"/>
        </w:rPr>
        <w:t>et al.</w:t>
      </w:r>
      <w:r w:rsidRPr="00204F22">
        <w:rPr>
          <w:lang w:val="en-CA"/>
        </w:rPr>
        <w:t xml:space="preserve">, « The mutational constraint spectrum quantified from variation in 141,456 humans », </w:t>
      </w:r>
      <w:r w:rsidRPr="00204F22">
        <w:rPr>
          <w:i/>
          <w:iCs/>
          <w:lang w:val="en-CA"/>
        </w:rPr>
        <w:t>Nature</w:t>
      </w:r>
      <w:r w:rsidRPr="00204F22">
        <w:rPr>
          <w:lang w:val="en-CA"/>
        </w:rPr>
        <w:t>, vol. 581, n</w:t>
      </w:r>
      <w:r w:rsidRPr="00204F22">
        <w:rPr>
          <w:vertAlign w:val="superscript"/>
          <w:lang w:val="en-CA"/>
        </w:rPr>
        <w:t>o</w:t>
      </w:r>
      <w:r w:rsidRPr="00204F22">
        <w:rPr>
          <w:lang w:val="en-CA"/>
        </w:rPr>
        <w:t xml:space="preserve"> 7809, p. 434</w:t>
      </w:r>
      <w:r w:rsidRPr="00204F22">
        <w:rPr>
          <w:rFonts w:ascii="Cambria Math" w:hAnsi="Cambria Math" w:cs="Cambria Math"/>
          <w:lang w:val="en-CA"/>
        </w:rPr>
        <w:t>‑</w:t>
      </w:r>
      <w:r w:rsidRPr="00204F22">
        <w:rPr>
          <w:lang w:val="en-CA"/>
        </w:rPr>
        <w:t>443, mai 2020, doi: 10.1038/s41586-020-2308-7.</w:t>
      </w:r>
    </w:p>
    <w:p w14:paraId="73C79740" w14:textId="77777777" w:rsidR="00204F22" w:rsidRPr="00204F22" w:rsidRDefault="00204F22" w:rsidP="00204F22">
      <w:pPr>
        <w:pStyle w:val="Bibliographie"/>
        <w:rPr>
          <w:lang w:val="en-CA"/>
        </w:rPr>
      </w:pPr>
      <w:r w:rsidRPr="00204F22">
        <w:rPr>
          <w:lang w:val="en-CA"/>
        </w:rPr>
        <w:t>[3]</w:t>
      </w:r>
      <w:r w:rsidRPr="00204F22">
        <w:rPr>
          <w:lang w:val="en-CA"/>
        </w:rPr>
        <w:tab/>
        <w:t xml:space="preserve">J. M. Fu </w:t>
      </w:r>
      <w:r w:rsidRPr="00204F22">
        <w:rPr>
          <w:i/>
          <w:iCs/>
          <w:lang w:val="en-CA"/>
        </w:rPr>
        <w:t>et al.</w:t>
      </w:r>
      <w:r w:rsidRPr="00204F22">
        <w:rPr>
          <w:lang w:val="en-CA"/>
        </w:rPr>
        <w:t xml:space="preserve">, « Rare coding variation provides insight into the genetic architecture and phenotypic context of autism », </w:t>
      </w:r>
      <w:r w:rsidRPr="00204F22">
        <w:rPr>
          <w:i/>
          <w:iCs/>
          <w:lang w:val="en-CA"/>
        </w:rPr>
        <w:t>Nat. Genet.</w:t>
      </w:r>
      <w:r w:rsidRPr="00204F22">
        <w:rPr>
          <w:lang w:val="en-CA"/>
        </w:rPr>
        <w:t>, vol. 54, n</w:t>
      </w:r>
      <w:r w:rsidRPr="00204F22">
        <w:rPr>
          <w:vertAlign w:val="superscript"/>
          <w:lang w:val="en-CA"/>
        </w:rPr>
        <w:t>o</w:t>
      </w:r>
      <w:r w:rsidRPr="00204F22">
        <w:rPr>
          <w:lang w:val="en-CA"/>
        </w:rPr>
        <w:t xml:space="preserve"> 9, p. 1320</w:t>
      </w:r>
      <w:r w:rsidRPr="00204F22">
        <w:rPr>
          <w:rFonts w:ascii="Cambria Math" w:hAnsi="Cambria Math" w:cs="Cambria Math"/>
          <w:lang w:val="en-CA"/>
        </w:rPr>
        <w:t>‑</w:t>
      </w:r>
      <w:r w:rsidRPr="00204F22">
        <w:rPr>
          <w:lang w:val="en-CA"/>
        </w:rPr>
        <w:t>1331, sept. 2022, doi: 10.1038/s41588-022-01104-0.</w:t>
      </w:r>
    </w:p>
    <w:p w14:paraId="4B027287" w14:textId="77777777" w:rsidR="00204F22" w:rsidRPr="00204F22" w:rsidRDefault="00204F22" w:rsidP="00204F22">
      <w:pPr>
        <w:pStyle w:val="Bibliographie"/>
        <w:rPr>
          <w:lang w:val="en-CA"/>
        </w:rPr>
      </w:pPr>
      <w:r w:rsidRPr="00204F22">
        <w:rPr>
          <w:lang w:val="en-CA"/>
        </w:rPr>
        <w:t>[4]</w:t>
      </w:r>
      <w:r w:rsidRPr="00204F22">
        <w:rPr>
          <w:lang w:val="en-CA"/>
        </w:rPr>
        <w:tab/>
        <w:t xml:space="preserve">F. K. Satterstrom </w:t>
      </w:r>
      <w:r w:rsidRPr="00204F22">
        <w:rPr>
          <w:i/>
          <w:iCs/>
          <w:lang w:val="en-CA"/>
        </w:rPr>
        <w:t>et al.</w:t>
      </w:r>
      <w:r w:rsidRPr="00204F22">
        <w:rPr>
          <w:lang w:val="en-CA"/>
        </w:rPr>
        <w:t xml:space="preserve">, « Large-Scale Exome Sequencing Study Implicates Both Developmental and Functional Changes in the Neurobiology of Autism », </w:t>
      </w:r>
      <w:r w:rsidRPr="00204F22">
        <w:rPr>
          <w:i/>
          <w:iCs/>
          <w:lang w:val="en-CA"/>
        </w:rPr>
        <w:t>Cell</w:t>
      </w:r>
      <w:r w:rsidRPr="00204F22">
        <w:rPr>
          <w:lang w:val="en-CA"/>
        </w:rPr>
        <w:t>, vol. 180, n</w:t>
      </w:r>
      <w:r w:rsidRPr="00204F22">
        <w:rPr>
          <w:vertAlign w:val="superscript"/>
          <w:lang w:val="en-CA"/>
        </w:rPr>
        <w:t>o</w:t>
      </w:r>
      <w:r w:rsidRPr="00204F22">
        <w:rPr>
          <w:lang w:val="en-CA"/>
        </w:rPr>
        <w:t xml:space="preserve"> 3, p. 568-584.e23, févr. 2020, doi: 10.1016/j.cell.2019.12.036.</w:t>
      </w:r>
    </w:p>
    <w:p w14:paraId="37F07DAF" w14:textId="77777777" w:rsidR="00204F22" w:rsidRPr="00204F22" w:rsidRDefault="00204F22" w:rsidP="00204F22">
      <w:pPr>
        <w:pStyle w:val="Bibliographie"/>
        <w:rPr>
          <w:lang w:val="en-CA"/>
        </w:rPr>
      </w:pPr>
      <w:r w:rsidRPr="00204F22">
        <w:rPr>
          <w:lang w:val="en-CA"/>
        </w:rPr>
        <w:t>[5]</w:t>
      </w:r>
      <w:r w:rsidRPr="00204F22">
        <w:rPr>
          <w:lang w:val="en-CA"/>
        </w:rPr>
        <w:tab/>
        <w:t xml:space="preserve">B. S. Abrahams </w:t>
      </w:r>
      <w:r w:rsidRPr="00204F22">
        <w:rPr>
          <w:i/>
          <w:iCs/>
          <w:lang w:val="en-CA"/>
        </w:rPr>
        <w:t>et al.</w:t>
      </w:r>
      <w:r w:rsidRPr="00204F22">
        <w:rPr>
          <w:lang w:val="en-CA"/>
        </w:rPr>
        <w:t xml:space="preserve">, « SFARI Gene 2.0: a community-driven knowledgebase for the autism spectrum disorders (ASDs) », </w:t>
      </w:r>
      <w:r w:rsidRPr="00204F22">
        <w:rPr>
          <w:i/>
          <w:iCs/>
          <w:lang w:val="en-CA"/>
        </w:rPr>
        <w:t>Mol. Autism</w:t>
      </w:r>
      <w:r w:rsidRPr="00204F22">
        <w:rPr>
          <w:lang w:val="en-CA"/>
        </w:rPr>
        <w:t>, vol. 4, n</w:t>
      </w:r>
      <w:r w:rsidRPr="00204F22">
        <w:rPr>
          <w:vertAlign w:val="superscript"/>
          <w:lang w:val="en-CA"/>
        </w:rPr>
        <w:t>o</w:t>
      </w:r>
      <w:r w:rsidRPr="00204F22">
        <w:rPr>
          <w:lang w:val="en-CA"/>
        </w:rPr>
        <w:t xml:space="preserve"> 1, p. 36, oct. 2013, doi: 10.1186/2040-2392-4-36.</w:t>
      </w:r>
    </w:p>
    <w:p w14:paraId="201277D8" w14:textId="77777777" w:rsidR="00204F22" w:rsidRPr="00204F22" w:rsidRDefault="00204F22" w:rsidP="00204F22">
      <w:pPr>
        <w:pStyle w:val="Bibliographie"/>
        <w:rPr>
          <w:lang w:val="en-CA"/>
        </w:rPr>
      </w:pPr>
      <w:r w:rsidRPr="00204F22">
        <w:rPr>
          <w:lang w:val="en-CA"/>
        </w:rPr>
        <w:t>[6]</w:t>
      </w:r>
      <w:r w:rsidRPr="00204F22">
        <w:rPr>
          <w:lang w:val="en-CA"/>
        </w:rPr>
        <w:tab/>
        <w:t xml:space="preserve">D. M. Werling </w:t>
      </w:r>
      <w:r w:rsidRPr="00204F22">
        <w:rPr>
          <w:i/>
          <w:iCs/>
          <w:lang w:val="en-CA"/>
        </w:rPr>
        <w:t>et al.</w:t>
      </w:r>
      <w:r w:rsidRPr="00204F22">
        <w:rPr>
          <w:lang w:val="en-CA"/>
        </w:rPr>
        <w:t xml:space="preserve">, « Whole-Genome and RNA Sequencing Reveal Variation and Transcriptomic Coordination in the Developing Human Prefrontal Cortex », </w:t>
      </w:r>
      <w:r w:rsidRPr="00204F22">
        <w:rPr>
          <w:i/>
          <w:iCs/>
          <w:lang w:val="en-CA"/>
        </w:rPr>
        <w:t>Cell Rep.</w:t>
      </w:r>
      <w:r w:rsidRPr="00204F22">
        <w:rPr>
          <w:lang w:val="en-CA"/>
        </w:rPr>
        <w:t>, vol. 31, n</w:t>
      </w:r>
      <w:r w:rsidRPr="00204F22">
        <w:rPr>
          <w:vertAlign w:val="superscript"/>
          <w:lang w:val="en-CA"/>
        </w:rPr>
        <w:t>o</w:t>
      </w:r>
      <w:r w:rsidRPr="00204F22">
        <w:rPr>
          <w:lang w:val="en-CA"/>
        </w:rPr>
        <w:t xml:space="preserve"> 1, avr. 2020, doi: 10.1016/j.celrep.2020.03.053.</w:t>
      </w:r>
    </w:p>
    <w:p w14:paraId="7F8C6811" w14:textId="77777777" w:rsidR="00204F22" w:rsidRPr="00204F22" w:rsidRDefault="00204F22" w:rsidP="00204F22">
      <w:pPr>
        <w:pStyle w:val="Bibliographie"/>
      </w:pPr>
      <w:r w:rsidRPr="00204F22">
        <w:rPr>
          <w:lang w:val="en-CA"/>
        </w:rPr>
        <w:t>[7]</w:t>
      </w:r>
      <w:r w:rsidRPr="00204F22">
        <w:rPr>
          <w:lang w:val="en-CA"/>
        </w:rPr>
        <w:tab/>
        <w:t xml:space="preserve">L. Kolberg, U. Raudvere, I. Kuzmin, P. Adler, J. Vilo, et H. Peterson, « g:Profiler—interoperable web service for functional enrichment analysis and gene identifier mapping (2023 update) », </w:t>
      </w:r>
      <w:r w:rsidRPr="00204F22">
        <w:rPr>
          <w:i/>
          <w:iCs/>
          <w:lang w:val="en-CA"/>
        </w:rPr>
        <w:t>Nucleic Acids Res.</w:t>
      </w:r>
      <w:r w:rsidRPr="00204F22">
        <w:rPr>
          <w:lang w:val="en-CA"/>
        </w:rPr>
        <w:t>, vol. 51, n</w:t>
      </w:r>
      <w:r w:rsidRPr="00204F22">
        <w:rPr>
          <w:vertAlign w:val="superscript"/>
          <w:lang w:val="en-CA"/>
        </w:rPr>
        <w:t>o</w:t>
      </w:r>
      <w:r w:rsidRPr="00204F22">
        <w:rPr>
          <w:lang w:val="en-CA"/>
        </w:rPr>
        <w:t xml:space="preserve"> W1, p. W207</w:t>
      </w:r>
      <w:r w:rsidRPr="00204F22">
        <w:rPr>
          <w:rFonts w:ascii="Cambria Math" w:hAnsi="Cambria Math" w:cs="Cambria Math"/>
          <w:lang w:val="en-CA"/>
        </w:rPr>
        <w:t>‑</w:t>
      </w:r>
      <w:r w:rsidRPr="00204F22">
        <w:rPr>
          <w:lang w:val="en-CA"/>
        </w:rPr>
        <w:t xml:space="preserve">W212, juill. </w:t>
      </w:r>
      <w:r w:rsidRPr="00204F22">
        <w:t>2023, doi: 10.1093/nar/gkad347.</w:t>
      </w:r>
    </w:p>
    <w:p w14:paraId="499CA084" w14:textId="488142C5" w:rsidR="00C43874" w:rsidRPr="002B7A3D" w:rsidRDefault="00351DB2" w:rsidP="00204F22">
      <w:pPr>
        <w:pStyle w:val="Bibliographie"/>
        <w:rPr>
          <w:lang w:val="en-CA"/>
        </w:rPr>
      </w:pPr>
      <w:r>
        <w:rPr>
          <w:lang w:val="en-CA"/>
        </w:rPr>
        <w:fldChar w:fldCharType="end"/>
      </w:r>
    </w:p>
    <w:sectPr w:rsidR="00C43874" w:rsidRPr="002B7A3D" w:rsidSect="005F3F45">
      <w:footerReference w:type="even" r:id="rId53"/>
      <w:footerReference w:type="default" r:id="rId54"/>
      <w:pgSz w:w="12240" w:h="15840"/>
      <w:pgMar w:top="1440" w:right="1080" w:bottom="1440" w:left="108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0D8FBF" w14:textId="77777777" w:rsidR="00491328" w:rsidRDefault="00491328" w:rsidP="0009143B">
      <w:pPr>
        <w:spacing w:after="0" w:line="240" w:lineRule="auto"/>
      </w:pPr>
      <w:r>
        <w:separator/>
      </w:r>
    </w:p>
  </w:endnote>
  <w:endnote w:type="continuationSeparator" w:id="0">
    <w:p w14:paraId="115515C4" w14:textId="77777777" w:rsidR="00491328" w:rsidRDefault="00491328" w:rsidP="000914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62225445"/>
      <w:docPartObj>
        <w:docPartGallery w:val="Page Numbers (Bottom of Page)"/>
        <w:docPartUnique/>
      </w:docPartObj>
    </w:sdtPr>
    <w:sdtContent>
      <w:p w14:paraId="5118CBF2" w14:textId="3882A8CF" w:rsidR="0009143B" w:rsidRDefault="0009143B" w:rsidP="005C2525">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14:paraId="13CD96A4" w14:textId="77777777" w:rsidR="0009143B" w:rsidRDefault="0009143B" w:rsidP="0009143B">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382595498"/>
      <w:docPartObj>
        <w:docPartGallery w:val="Page Numbers (Bottom of Page)"/>
        <w:docPartUnique/>
      </w:docPartObj>
    </w:sdtPr>
    <w:sdtContent>
      <w:p w14:paraId="702CD127" w14:textId="682E7601" w:rsidR="0009143B" w:rsidRDefault="0009143B" w:rsidP="005C2525">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70D68157" w14:textId="77777777" w:rsidR="0009143B" w:rsidRDefault="0009143B" w:rsidP="0009143B">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B1CAE9" w14:textId="77777777" w:rsidR="00491328" w:rsidRDefault="00491328" w:rsidP="0009143B">
      <w:pPr>
        <w:spacing w:after="0" w:line="240" w:lineRule="auto"/>
      </w:pPr>
      <w:r>
        <w:separator/>
      </w:r>
    </w:p>
  </w:footnote>
  <w:footnote w:type="continuationSeparator" w:id="0">
    <w:p w14:paraId="6A4C39C7" w14:textId="77777777" w:rsidR="00491328" w:rsidRDefault="00491328" w:rsidP="0009143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7A3D"/>
    <w:rsid w:val="00005693"/>
    <w:rsid w:val="0005429E"/>
    <w:rsid w:val="000678D9"/>
    <w:rsid w:val="00084677"/>
    <w:rsid w:val="00087797"/>
    <w:rsid w:val="0009143B"/>
    <w:rsid w:val="000F6DE1"/>
    <w:rsid w:val="00185636"/>
    <w:rsid w:val="001F194F"/>
    <w:rsid w:val="001F64E8"/>
    <w:rsid w:val="001F6681"/>
    <w:rsid w:val="0020171A"/>
    <w:rsid w:val="00204F22"/>
    <w:rsid w:val="00205E72"/>
    <w:rsid w:val="00252465"/>
    <w:rsid w:val="00276D28"/>
    <w:rsid w:val="002B7A3D"/>
    <w:rsid w:val="003054C1"/>
    <w:rsid w:val="00330F2F"/>
    <w:rsid w:val="00351DB2"/>
    <w:rsid w:val="00356D8C"/>
    <w:rsid w:val="00370953"/>
    <w:rsid w:val="003B16C4"/>
    <w:rsid w:val="003D78F4"/>
    <w:rsid w:val="004178AE"/>
    <w:rsid w:val="00424EB8"/>
    <w:rsid w:val="00437FD9"/>
    <w:rsid w:val="0045441E"/>
    <w:rsid w:val="00491328"/>
    <w:rsid w:val="004B6A3D"/>
    <w:rsid w:val="00566B24"/>
    <w:rsid w:val="00592673"/>
    <w:rsid w:val="005A2F78"/>
    <w:rsid w:val="005A3708"/>
    <w:rsid w:val="005D20ED"/>
    <w:rsid w:val="005D317B"/>
    <w:rsid w:val="005E12F6"/>
    <w:rsid w:val="005F3F45"/>
    <w:rsid w:val="006420D3"/>
    <w:rsid w:val="006B32B0"/>
    <w:rsid w:val="006E6E82"/>
    <w:rsid w:val="0073481E"/>
    <w:rsid w:val="007A61A4"/>
    <w:rsid w:val="007E1CE3"/>
    <w:rsid w:val="007E564F"/>
    <w:rsid w:val="00802B7B"/>
    <w:rsid w:val="008144EA"/>
    <w:rsid w:val="008E54E5"/>
    <w:rsid w:val="009104EB"/>
    <w:rsid w:val="009476E1"/>
    <w:rsid w:val="009723A9"/>
    <w:rsid w:val="009725D4"/>
    <w:rsid w:val="009A4AD7"/>
    <w:rsid w:val="009E6F96"/>
    <w:rsid w:val="00A13A65"/>
    <w:rsid w:val="00A20987"/>
    <w:rsid w:val="00A461F9"/>
    <w:rsid w:val="00A47B86"/>
    <w:rsid w:val="00A672E9"/>
    <w:rsid w:val="00A727B3"/>
    <w:rsid w:val="00A77414"/>
    <w:rsid w:val="00B4133D"/>
    <w:rsid w:val="00B530BD"/>
    <w:rsid w:val="00B760CF"/>
    <w:rsid w:val="00B85BB5"/>
    <w:rsid w:val="00B87A83"/>
    <w:rsid w:val="00BA7E2B"/>
    <w:rsid w:val="00BC1C7A"/>
    <w:rsid w:val="00BD2FEE"/>
    <w:rsid w:val="00BE5261"/>
    <w:rsid w:val="00C155E5"/>
    <w:rsid w:val="00C359D8"/>
    <w:rsid w:val="00C43874"/>
    <w:rsid w:val="00CC43A2"/>
    <w:rsid w:val="00CD0943"/>
    <w:rsid w:val="00CD3EB3"/>
    <w:rsid w:val="00D94947"/>
    <w:rsid w:val="00DB427E"/>
    <w:rsid w:val="00DB6334"/>
    <w:rsid w:val="00EC1511"/>
    <w:rsid w:val="00EC49E4"/>
    <w:rsid w:val="00EF2212"/>
    <w:rsid w:val="00F128FF"/>
    <w:rsid w:val="00FA163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5B892D"/>
  <w15:chartTrackingRefBased/>
  <w15:docId w15:val="{E55D1C27-88E0-7F49-807D-66AF6D67B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2B7A3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2B7A3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2B7A3D"/>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2B7A3D"/>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2B7A3D"/>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2B7A3D"/>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2B7A3D"/>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2B7A3D"/>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2B7A3D"/>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B7A3D"/>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2B7A3D"/>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2B7A3D"/>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2B7A3D"/>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2B7A3D"/>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2B7A3D"/>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2B7A3D"/>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2B7A3D"/>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2B7A3D"/>
    <w:rPr>
      <w:rFonts w:eastAsiaTheme="majorEastAsia" w:cstheme="majorBidi"/>
      <w:color w:val="272727" w:themeColor="text1" w:themeTint="D8"/>
    </w:rPr>
  </w:style>
  <w:style w:type="paragraph" w:styleId="Titre">
    <w:name w:val="Title"/>
    <w:basedOn w:val="Normal"/>
    <w:next w:val="Normal"/>
    <w:link w:val="TitreCar"/>
    <w:uiPriority w:val="10"/>
    <w:qFormat/>
    <w:rsid w:val="002B7A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2B7A3D"/>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2B7A3D"/>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2B7A3D"/>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2B7A3D"/>
    <w:pPr>
      <w:spacing w:before="160"/>
      <w:jc w:val="center"/>
    </w:pPr>
    <w:rPr>
      <w:i/>
      <w:iCs/>
      <w:color w:val="404040" w:themeColor="text1" w:themeTint="BF"/>
    </w:rPr>
  </w:style>
  <w:style w:type="character" w:customStyle="1" w:styleId="CitationCar">
    <w:name w:val="Citation Car"/>
    <w:basedOn w:val="Policepardfaut"/>
    <w:link w:val="Citation"/>
    <w:uiPriority w:val="29"/>
    <w:rsid w:val="002B7A3D"/>
    <w:rPr>
      <w:i/>
      <w:iCs/>
      <w:color w:val="404040" w:themeColor="text1" w:themeTint="BF"/>
    </w:rPr>
  </w:style>
  <w:style w:type="paragraph" w:styleId="Paragraphedeliste">
    <w:name w:val="List Paragraph"/>
    <w:basedOn w:val="Normal"/>
    <w:uiPriority w:val="34"/>
    <w:qFormat/>
    <w:rsid w:val="002B7A3D"/>
    <w:pPr>
      <w:ind w:left="720"/>
      <w:contextualSpacing/>
    </w:pPr>
  </w:style>
  <w:style w:type="character" w:styleId="Accentuationintense">
    <w:name w:val="Intense Emphasis"/>
    <w:basedOn w:val="Policepardfaut"/>
    <w:uiPriority w:val="21"/>
    <w:qFormat/>
    <w:rsid w:val="002B7A3D"/>
    <w:rPr>
      <w:i/>
      <w:iCs/>
      <w:color w:val="0F4761" w:themeColor="accent1" w:themeShade="BF"/>
    </w:rPr>
  </w:style>
  <w:style w:type="paragraph" w:styleId="Citationintense">
    <w:name w:val="Intense Quote"/>
    <w:basedOn w:val="Normal"/>
    <w:next w:val="Normal"/>
    <w:link w:val="CitationintenseCar"/>
    <w:uiPriority w:val="30"/>
    <w:qFormat/>
    <w:rsid w:val="002B7A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2B7A3D"/>
    <w:rPr>
      <w:i/>
      <w:iCs/>
      <w:color w:val="0F4761" w:themeColor="accent1" w:themeShade="BF"/>
    </w:rPr>
  </w:style>
  <w:style w:type="character" w:styleId="Rfrenceintense">
    <w:name w:val="Intense Reference"/>
    <w:basedOn w:val="Policepardfaut"/>
    <w:uiPriority w:val="32"/>
    <w:qFormat/>
    <w:rsid w:val="002B7A3D"/>
    <w:rPr>
      <w:b/>
      <w:bCs/>
      <w:smallCaps/>
      <w:color w:val="0F4761" w:themeColor="accent1" w:themeShade="BF"/>
      <w:spacing w:val="5"/>
    </w:rPr>
  </w:style>
  <w:style w:type="paragraph" w:styleId="NormalWeb">
    <w:name w:val="Normal (Web)"/>
    <w:basedOn w:val="Normal"/>
    <w:uiPriority w:val="99"/>
    <w:semiHidden/>
    <w:unhideWhenUsed/>
    <w:rsid w:val="002B7A3D"/>
    <w:pPr>
      <w:spacing w:before="100" w:beforeAutospacing="1" w:after="100" w:afterAutospacing="1" w:line="240" w:lineRule="auto"/>
    </w:pPr>
    <w:rPr>
      <w:rFonts w:ascii="Times New Roman" w:eastAsia="Times New Roman" w:hAnsi="Times New Roman" w:cs="Times New Roman"/>
      <w:kern w:val="0"/>
      <w:lang w:eastAsia="fr-CA"/>
      <w14:ligatures w14:val="none"/>
    </w:rPr>
  </w:style>
  <w:style w:type="paragraph" w:styleId="Bibliographie">
    <w:name w:val="Bibliography"/>
    <w:basedOn w:val="Normal"/>
    <w:next w:val="Normal"/>
    <w:uiPriority w:val="37"/>
    <w:unhideWhenUsed/>
    <w:rsid w:val="00351DB2"/>
    <w:pPr>
      <w:tabs>
        <w:tab w:val="left" w:pos="380"/>
      </w:tabs>
      <w:spacing w:after="0" w:line="240" w:lineRule="auto"/>
      <w:ind w:left="384" w:hanging="384"/>
    </w:pPr>
  </w:style>
  <w:style w:type="character" w:styleId="Hyperlien">
    <w:name w:val="Hyperlink"/>
    <w:basedOn w:val="Policepardfaut"/>
    <w:uiPriority w:val="99"/>
    <w:unhideWhenUsed/>
    <w:rsid w:val="0020171A"/>
    <w:rPr>
      <w:color w:val="467886" w:themeColor="hyperlink"/>
      <w:u w:val="single"/>
    </w:rPr>
  </w:style>
  <w:style w:type="character" w:styleId="Mentionnonrsolue">
    <w:name w:val="Unresolved Mention"/>
    <w:basedOn w:val="Policepardfaut"/>
    <w:uiPriority w:val="99"/>
    <w:semiHidden/>
    <w:unhideWhenUsed/>
    <w:rsid w:val="0020171A"/>
    <w:rPr>
      <w:color w:val="605E5C"/>
      <w:shd w:val="clear" w:color="auto" w:fill="E1DFDD"/>
    </w:rPr>
  </w:style>
  <w:style w:type="paragraph" w:styleId="Pieddepage">
    <w:name w:val="footer"/>
    <w:basedOn w:val="Normal"/>
    <w:link w:val="PieddepageCar"/>
    <w:uiPriority w:val="99"/>
    <w:unhideWhenUsed/>
    <w:rsid w:val="0009143B"/>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09143B"/>
  </w:style>
  <w:style w:type="character" w:styleId="Numrodepage">
    <w:name w:val="page number"/>
    <w:basedOn w:val="Policepardfaut"/>
    <w:uiPriority w:val="99"/>
    <w:semiHidden/>
    <w:unhideWhenUsed/>
    <w:rsid w:val="000914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svg"/><Relationship Id="rId34" Type="http://schemas.openxmlformats.org/officeDocument/2006/relationships/image" Target="media/image27.png"/><Relationship Id="rId42" Type="http://schemas.openxmlformats.org/officeDocument/2006/relationships/image" Target="media/image35.svg"/><Relationship Id="rId47" Type="http://schemas.openxmlformats.org/officeDocument/2006/relationships/image" Target="media/image40.png"/><Relationship Id="rId50" Type="http://schemas.openxmlformats.org/officeDocument/2006/relationships/image" Target="media/image43.svg"/><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svg"/><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image" Target="media/image24.svg"/><Relationship Id="rId44" Type="http://schemas.openxmlformats.org/officeDocument/2006/relationships/image" Target="media/image37.svg"/><Relationship Id="rId52" Type="http://schemas.openxmlformats.org/officeDocument/2006/relationships/image" Target="media/image45.svg"/><Relationship Id="rId4" Type="http://schemas.openxmlformats.org/officeDocument/2006/relationships/webSettings" Target="webSettings.xml"/><Relationship Id="rId9" Type="http://schemas.openxmlformats.org/officeDocument/2006/relationships/hyperlink" Target="https://www.proteinatlas.org/"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svg"/><Relationship Id="rId56" Type="http://schemas.openxmlformats.org/officeDocument/2006/relationships/theme" Target="theme/theme1.xml"/><Relationship Id="rId8" Type="http://schemas.openxmlformats.org/officeDocument/2006/relationships/image" Target="media/image2.sv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sv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B82BE2-9BAE-6C4C-A2D4-88427FFD9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5912</Words>
  <Characters>32518</Characters>
  <Application>Microsoft Office Word</Application>
  <DocSecurity>0</DocSecurity>
  <Lines>270</Lines>
  <Paragraphs>76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Renne (HSJ)</dc:creator>
  <cp:keywords/>
  <dc:description/>
  <cp:lastModifiedBy>Thomas Renne (HSJ)</cp:lastModifiedBy>
  <cp:revision>2</cp:revision>
  <dcterms:created xsi:type="dcterms:W3CDTF">2025-12-09T22:06:00Z</dcterms:created>
  <dcterms:modified xsi:type="dcterms:W3CDTF">2025-12-09T22:06:00Z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a7d8d5d-78e2-4a62-9fcd-016eb5e4c57c_Enabled">
    <vt:lpwstr>true</vt:lpwstr>
  </property>
  <property fmtid="{D5CDD505-2E9C-101B-9397-08002B2CF9AE}" pid="3" name="MSIP_Label_6a7d8d5d-78e2-4a62-9fcd-016eb5e4c57c_SetDate">
    <vt:lpwstr>2025-09-02T19:02:22Z</vt:lpwstr>
  </property>
  <property fmtid="{D5CDD505-2E9C-101B-9397-08002B2CF9AE}" pid="4" name="MSIP_Label_6a7d8d5d-78e2-4a62-9fcd-016eb5e4c57c_Method">
    <vt:lpwstr>Standard</vt:lpwstr>
  </property>
  <property fmtid="{D5CDD505-2E9C-101B-9397-08002B2CF9AE}" pid="5" name="MSIP_Label_6a7d8d5d-78e2-4a62-9fcd-016eb5e4c57c_Name">
    <vt:lpwstr>Général</vt:lpwstr>
  </property>
  <property fmtid="{D5CDD505-2E9C-101B-9397-08002B2CF9AE}" pid="6" name="MSIP_Label_6a7d8d5d-78e2-4a62-9fcd-016eb5e4c57c_SiteId">
    <vt:lpwstr>06e1fe28-5f8b-4075-bf6c-ae24be1a7992</vt:lpwstr>
  </property>
  <property fmtid="{D5CDD505-2E9C-101B-9397-08002B2CF9AE}" pid="7" name="MSIP_Label_6a7d8d5d-78e2-4a62-9fcd-016eb5e4c57c_ActionId">
    <vt:lpwstr>72f5f4ad-f29d-41d7-857b-f1a88b82500f</vt:lpwstr>
  </property>
  <property fmtid="{D5CDD505-2E9C-101B-9397-08002B2CF9AE}" pid="8" name="MSIP_Label_6a7d8d5d-78e2-4a62-9fcd-016eb5e4c57c_ContentBits">
    <vt:lpwstr>0</vt:lpwstr>
  </property>
  <property fmtid="{D5CDD505-2E9C-101B-9397-08002B2CF9AE}" pid="9" name="MSIP_Label_6a7d8d5d-78e2-4a62-9fcd-016eb5e4c57c_Tag">
    <vt:lpwstr>50, 3, 0, 1</vt:lpwstr>
  </property>
  <property fmtid="{D5CDD505-2E9C-101B-9397-08002B2CF9AE}" pid="10" name="ZOTERO_PREF_1">
    <vt:lpwstr>&lt;data data-version="3" zotero-version="7.0.28"&gt;&lt;session id="3MJ8hbZ9"/&gt;&lt;style id="http://www.zotero.org/styles/ieee" locale="fr-FR" hasBibliography="1" bibliographyStyleHasBeenSet="1"/&gt;&lt;prefs&gt;&lt;pref name="fieldType" value="Field"/&gt;&lt;pref name="automaticJour</vt:lpwstr>
  </property>
  <property fmtid="{D5CDD505-2E9C-101B-9397-08002B2CF9AE}" pid="11" name="ZOTERO_PREF_2">
    <vt:lpwstr>nalAbbreviations" value="true"/&gt;&lt;/prefs&gt;&lt;/data&gt;</vt:lpwstr>
  </property>
</Properties>
</file>