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943CB" w14:textId="0FF56069" w:rsidR="00E66BBD" w:rsidRPr="0048384B" w:rsidRDefault="00E66BBD" w:rsidP="0048384B">
      <w:pPr>
        <w:spacing w:line="480" w:lineRule="auto"/>
        <w:jc w:val="center"/>
        <w:rPr>
          <w:rFonts w:ascii="Times New Roman" w:hAnsi="Times New Roman" w:cs="Times New Roman"/>
          <w:b/>
          <w:bCs/>
        </w:rPr>
      </w:pPr>
      <w:r w:rsidRPr="0048384B">
        <w:rPr>
          <w:rFonts w:ascii="Times New Roman" w:hAnsi="Times New Roman" w:cs="Times New Roman"/>
          <w:b/>
          <w:bCs/>
        </w:rPr>
        <w:t>Electronic Supplementary Material</w:t>
      </w:r>
    </w:p>
    <w:p w14:paraId="72DDDD01" w14:textId="77777777" w:rsidR="00E66BBD" w:rsidRPr="0048384B" w:rsidRDefault="00E66BBD" w:rsidP="0048384B">
      <w:pPr>
        <w:spacing w:line="480" w:lineRule="auto"/>
        <w:jc w:val="center"/>
        <w:rPr>
          <w:rFonts w:ascii="Times New Roman" w:hAnsi="Times New Roman" w:cs="Times New Roman"/>
          <w:b/>
          <w:bCs/>
        </w:rPr>
      </w:pPr>
    </w:p>
    <w:p w14:paraId="603A2DBD" w14:textId="77777777" w:rsidR="00E66BBD" w:rsidRPr="0048384B" w:rsidRDefault="00E66BBD" w:rsidP="0048384B">
      <w:pPr>
        <w:spacing w:line="480" w:lineRule="auto"/>
        <w:jc w:val="center"/>
        <w:rPr>
          <w:rFonts w:ascii="Times New Roman" w:hAnsi="Times New Roman" w:cs="Times New Roman"/>
          <w:b/>
          <w:bCs/>
        </w:rPr>
      </w:pPr>
    </w:p>
    <w:p w14:paraId="2946F3E4" w14:textId="77777777" w:rsidR="00E66BBD" w:rsidRPr="0048384B" w:rsidRDefault="00E66BBD" w:rsidP="0048384B">
      <w:pPr>
        <w:spacing w:line="480" w:lineRule="auto"/>
        <w:jc w:val="center"/>
        <w:rPr>
          <w:rFonts w:ascii="Times New Roman" w:hAnsi="Times New Roman" w:cs="Times New Roman"/>
          <w:b/>
          <w:bCs/>
        </w:rPr>
      </w:pPr>
    </w:p>
    <w:p w14:paraId="6FF4CFA9" w14:textId="77777777" w:rsidR="00E66BBD" w:rsidRPr="0048384B" w:rsidRDefault="00E66BBD" w:rsidP="0048384B">
      <w:pPr>
        <w:spacing w:line="480" w:lineRule="auto"/>
        <w:jc w:val="center"/>
        <w:rPr>
          <w:rFonts w:ascii="Times New Roman" w:eastAsia="Aptos" w:hAnsi="Times New Roman" w:cs="Times New Roman"/>
          <w:b/>
          <w:bCs/>
        </w:rPr>
      </w:pPr>
      <w:r w:rsidRPr="0048384B">
        <w:rPr>
          <w:rFonts w:ascii="Times New Roman" w:eastAsia="Aptos" w:hAnsi="Times New Roman" w:cs="Times New Roman"/>
          <w:b/>
          <w:bCs/>
        </w:rPr>
        <w:t>Sociality Predicts Enhanced Auditory Thresholds and Binaural Hearing Processing Across Rodent Species</w:t>
      </w:r>
    </w:p>
    <w:p w14:paraId="19030F79" w14:textId="77777777" w:rsidR="00E66BBD" w:rsidRPr="0048384B" w:rsidRDefault="00E66BBD" w:rsidP="0048384B">
      <w:pPr>
        <w:spacing w:line="480" w:lineRule="auto"/>
        <w:jc w:val="center"/>
        <w:rPr>
          <w:rFonts w:ascii="Times New Roman" w:eastAsia="Aptos" w:hAnsi="Times New Roman" w:cs="Times New Roman"/>
          <w:b/>
          <w:bCs/>
        </w:rPr>
      </w:pPr>
    </w:p>
    <w:p w14:paraId="20517186" w14:textId="77777777" w:rsidR="00E66BBD" w:rsidRPr="0048384B" w:rsidRDefault="00E66BBD" w:rsidP="0048384B">
      <w:pPr>
        <w:spacing w:line="480" w:lineRule="auto"/>
        <w:jc w:val="center"/>
        <w:rPr>
          <w:rFonts w:ascii="Times New Roman" w:eastAsia="Aptos" w:hAnsi="Times New Roman" w:cs="Times New Roman"/>
          <w:b/>
          <w:bCs/>
        </w:rPr>
      </w:pPr>
    </w:p>
    <w:p w14:paraId="24B0BE32" w14:textId="77777777" w:rsidR="00E66BBD" w:rsidRPr="0048384B" w:rsidRDefault="00E66BBD" w:rsidP="0048384B">
      <w:pPr>
        <w:spacing w:line="480" w:lineRule="auto"/>
        <w:jc w:val="center"/>
        <w:rPr>
          <w:rFonts w:ascii="Times New Roman" w:eastAsia="Aptos" w:hAnsi="Times New Roman" w:cs="Times New Roman"/>
          <w:b/>
          <w:bCs/>
        </w:rPr>
      </w:pPr>
    </w:p>
    <w:p w14:paraId="1DCF7F68" w14:textId="5D80093B" w:rsidR="00E66BBD" w:rsidRPr="0048384B" w:rsidRDefault="00E66BBD" w:rsidP="0048384B">
      <w:pPr>
        <w:spacing w:line="480" w:lineRule="auto"/>
        <w:jc w:val="center"/>
        <w:rPr>
          <w:rFonts w:ascii="Times New Roman" w:eastAsia="Aptos" w:hAnsi="Times New Roman" w:cs="Times New Roman"/>
          <w:vertAlign w:val="superscript"/>
        </w:rPr>
      </w:pPr>
      <w:proofErr w:type="spellStart"/>
      <w:r w:rsidRPr="0048384B">
        <w:rPr>
          <w:rFonts w:ascii="Times New Roman" w:eastAsia="Aptos" w:hAnsi="Times New Roman" w:cs="Times New Roman"/>
        </w:rPr>
        <w:t>Luberson</w:t>
      </w:r>
      <w:proofErr w:type="spellEnd"/>
      <w:r w:rsidRPr="0048384B">
        <w:rPr>
          <w:rFonts w:ascii="Times New Roman" w:eastAsia="Aptos" w:hAnsi="Times New Roman" w:cs="Times New Roman"/>
        </w:rPr>
        <w:t xml:space="preserve"> Joseph</w:t>
      </w:r>
      <w:r w:rsidRPr="0048384B">
        <w:rPr>
          <w:rFonts w:ascii="Times New Roman" w:eastAsia="Times New Roman" w:hAnsi="Times New Roman" w:cs="Times New Roman"/>
        </w:rPr>
        <w:t xml:space="preserve">, Fabio A. Machado, </w:t>
      </w:r>
      <w:r w:rsidRPr="0048384B">
        <w:rPr>
          <w:rFonts w:ascii="Times New Roman" w:eastAsia="Aptos" w:hAnsi="Times New Roman" w:cs="Times New Roman"/>
        </w:rPr>
        <w:t>and Elizabeth A. McCullagh</w:t>
      </w:r>
    </w:p>
    <w:p w14:paraId="518D2B8D" w14:textId="77777777" w:rsidR="00E66BBD" w:rsidRPr="0048384B" w:rsidRDefault="00E66BBD" w:rsidP="0048384B">
      <w:pPr>
        <w:spacing w:line="480" w:lineRule="auto"/>
        <w:jc w:val="center"/>
        <w:rPr>
          <w:rFonts w:ascii="Times New Roman" w:eastAsia="Aptos" w:hAnsi="Times New Roman" w:cs="Times New Roman"/>
          <w:vertAlign w:val="superscript"/>
        </w:rPr>
      </w:pPr>
    </w:p>
    <w:p w14:paraId="55847D66" w14:textId="39DEF128" w:rsidR="00E66BBD" w:rsidRPr="0048384B" w:rsidRDefault="00E66BBD" w:rsidP="0048384B">
      <w:pPr>
        <w:spacing w:line="480" w:lineRule="auto"/>
        <w:rPr>
          <w:rFonts w:ascii="Times New Roman" w:eastAsia="Aptos" w:hAnsi="Times New Roman" w:cs="Times New Roman"/>
        </w:rPr>
      </w:pPr>
      <w:r w:rsidRPr="0048384B">
        <w:rPr>
          <w:rFonts w:ascii="Times New Roman" w:eastAsia="Aptos" w:hAnsi="Times New Roman" w:cs="Times New Roman"/>
        </w:rPr>
        <w:t>Corresponding author:</w:t>
      </w:r>
    </w:p>
    <w:p w14:paraId="10EDE25D" w14:textId="00A62BC6" w:rsidR="00E66BBD" w:rsidRPr="0048384B" w:rsidRDefault="00E66BBD" w:rsidP="0048384B">
      <w:pPr>
        <w:spacing w:line="480" w:lineRule="auto"/>
        <w:rPr>
          <w:rFonts w:ascii="Times New Roman" w:eastAsia="Aptos" w:hAnsi="Times New Roman" w:cs="Times New Roman"/>
        </w:rPr>
      </w:pPr>
      <w:r w:rsidRPr="0048384B">
        <w:rPr>
          <w:rFonts w:ascii="Times New Roman" w:eastAsia="Aptos" w:hAnsi="Times New Roman" w:cs="Times New Roman"/>
        </w:rPr>
        <w:t>Elizabeth A. McCullagh</w:t>
      </w:r>
    </w:p>
    <w:p w14:paraId="08D1AD75" w14:textId="214A1820" w:rsidR="00E66BBD" w:rsidRPr="0048384B" w:rsidRDefault="00E66BBD" w:rsidP="0048384B">
      <w:pPr>
        <w:spacing w:line="480" w:lineRule="auto"/>
        <w:rPr>
          <w:rFonts w:ascii="Times New Roman" w:eastAsia="Times New Roman" w:hAnsi="Times New Roman" w:cs="Times New Roman"/>
          <w:kern w:val="0"/>
          <w:lang w:eastAsia="ja-JP"/>
          <w14:ligatures w14:val="none"/>
        </w:rPr>
      </w:pPr>
      <w:r w:rsidRPr="0048384B">
        <w:rPr>
          <w:rFonts w:ascii="Times New Roman" w:eastAsia="Aptos" w:hAnsi="Times New Roman" w:cs="Times New Roman"/>
        </w:rPr>
        <w:t xml:space="preserve">E-mail: </w:t>
      </w:r>
      <w:hyperlink r:id="rId7" w:history="1">
        <w:r w:rsidRPr="0048384B">
          <w:rPr>
            <w:rFonts w:ascii="Times New Roman" w:eastAsia="Aptos" w:hAnsi="Times New Roman" w:cs="Times New Roman"/>
            <w:color w:val="0000FF"/>
            <w:u w:val="single"/>
          </w:rPr>
          <w:t>elizabeth.mccullagh@okstate.edu</w:t>
        </w:r>
      </w:hyperlink>
    </w:p>
    <w:p w14:paraId="3C5779BF" w14:textId="77777777" w:rsidR="00E66BBD" w:rsidRPr="0048384B" w:rsidRDefault="00E66BBD" w:rsidP="0048384B">
      <w:pPr>
        <w:spacing w:line="480" w:lineRule="auto"/>
        <w:rPr>
          <w:rFonts w:ascii="Times New Roman" w:eastAsia="Aptos" w:hAnsi="Times New Roman" w:cs="Times New Roman"/>
        </w:rPr>
      </w:pPr>
      <w:r w:rsidRPr="0048384B">
        <w:rPr>
          <w:rFonts w:ascii="Times New Roman" w:eastAsia="Aptos" w:hAnsi="Times New Roman" w:cs="Times New Roman"/>
        </w:rPr>
        <w:t>Department of Biology, Oklahoma State University (OSU), College of Arts and Sciences, Stillwater, Oklahoma 74078, USA</w:t>
      </w:r>
    </w:p>
    <w:p w14:paraId="7B75C433" w14:textId="77777777" w:rsidR="00E66BBD" w:rsidRPr="0048384B" w:rsidRDefault="00E66BBD" w:rsidP="0048384B">
      <w:pPr>
        <w:spacing w:line="480" w:lineRule="auto"/>
        <w:rPr>
          <w:rFonts w:ascii="Times New Roman" w:eastAsia="Aptos" w:hAnsi="Times New Roman" w:cs="Times New Roman"/>
        </w:rPr>
      </w:pPr>
    </w:p>
    <w:p w14:paraId="70DF0E45" w14:textId="77777777" w:rsidR="00E66BBD" w:rsidRDefault="00E66BBD" w:rsidP="0048384B">
      <w:pPr>
        <w:spacing w:line="480" w:lineRule="auto"/>
        <w:rPr>
          <w:rFonts w:ascii="Times New Roman" w:eastAsia="Aptos" w:hAnsi="Times New Roman" w:cs="Times New Roman"/>
        </w:rPr>
      </w:pPr>
    </w:p>
    <w:p w14:paraId="6155002F" w14:textId="77777777" w:rsidR="0048384B" w:rsidRPr="0048384B" w:rsidRDefault="0048384B" w:rsidP="0048384B">
      <w:pPr>
        <w:spacing w:line="480" w:lineRule="auto"/>
        <w:rPr>
          <w:rFonts w:ascii="Times New Roman" w:eastAsia="Aptos" w:hAnsi="Times New Roman" w:cs="Times New Roman"/>
        </w:rPr>
      </w:pPr>
    </w:p>
    <w:p w14:paraId="2DADDA35" w14:textId="45791071" w:rsidR="00E66BBD" w:rsidRPr="0048384B" w:rsidRDefault="00E66BBD" w:rsidP="0048384B">
      <w:pPr>
        <w:spacing w:line="480" w:lineRule="auto"/>
        <w:rPr>
          <w:rFonts w:ascii="Times New Roman" w:eastAsia="Aptos" w:hAnsi="Times New Roman" w:cs="Times New Roman"/>
          <w:b/>
          <w:bCs/>
        </w:rPr>
      </w:pPr>
      <w:r w:rsidRPr="0048384B">
        <w:rPr>
          <w:rFonts w:ascii="Times New Roman" w:eastAsia="Aptos" w:hAnsi="Times New Roman" w:cs="Times New Roman"/>
          <w:b/>
          <w:bCs/>
        </w:rPr>
        <w:lastRenderedPageBreak/>
        <w:t>Content:</w:t>
      </w:r>
    </w:p>
    <w:p w14:paraId="73D0F63C" w14:textId="30F7E988" w:rsidR="0040387C" w:rsidRPr="0048384B" w:rsidRDefault="0040387C" w:rsidP="0048384B">
      <w:pPr>
        <w:pStyle w:val="ListParagraph"/>
        <w:numPr>
          <w:ilvl w:val="0"/>
          <w:numId w:val="2"/>
        </w:numPr>
        <w:spacing w:line="480" w:lineRule="auto"/>
        <w:jc w:val="both"/>
        <w:rPr>
          <w:rFonts w:ascii="Times New Roman" w:eastAsia="Aptos" w:hAnsi="Times New Roman" w:cs="Times New Roman"/>
        </w:rPr>
      </w:pPr>
      <w:r w:rsidRPr="0048384B">
        <w:rPr>
          <w:rFonts w:ascii="Times New Roman" w:eastAsia="Aptos" w:hAnsi="Times New Roman" w:cs="Times New Roman"/>
        </w:rPr>
        <w:t>Deoxyribonucleic acid (DNA) analysis</w:t>
      </w:r>
    </w:p>
    <w:p w14:paraId="1C34D9AB" w14:textId="5434BDE1" w:rsidR="0040387C" w:rsidRPr="0048384B" w:rsidRDefault="0040387C" w:rsidP="0048384B">
      <w:pPr>
        <w:pStyle w:val="ListParagraph"/>
        <w:numPr>
          <w:ilvl w:val="0"/>
          <w:numId w:val="2"/>
        </w:numPr>
        <w:spacing w:line="480" w:lineRule="auto"/>
        <w:jc w:val="both"/>
        <w:rPr>
          <w:rFonts w:ascii="Times New Roman" w:eastAsia="Aptos" w:hAnsi="Times New Roman" w:cs="Times New Roman"/>
          <w:b/>
          <w:bCs/>
        </w:rPr>
      </w:pPr>
      <w:r w:rsidRPr="0048384B">
        <w:rPr>
          <w:rFonts w:ascii="Times New Roman" w:eastAsia="Aptos" w:hAnsi="Times New Roman" w:cs="Times New Roman"/>
          <w:b/>
          <w:bCs/>
        </w:rPr>
        <w:t xml:space="preserve">Fig S1: </w:t>
      </w:r>
      <w:r w:rsidRPr="0048384B">
        <w:rPr>
          <w:rFonts w:ascii="Times New Roman" w:hAnsi="Times New Roman" w:cs="Times New Roman"/>
        </w:rPr>
        <w:t>Mean auditory brainstem response thresholds in solitary, monogamous, and group-living rodents across tested frequencies</w:t>
      </w:r>
    </w:p>
    <w:p w14:paraId="4E757055" w14:textId="6EBDC337" w:rsidR="0040387C" w:rsidRPr="0048384B" w:rsidRDefault="0040387C" w:rsidP="0048384B">
      <w:pPr>
        <w:pStyle w:val="ListParagraph"/>
        <w:numPr>
          <w:ilvl w:val="0"/>
          <w:numId w:val="2"/>
        </w:numPr>
        <w:spacing w:line="480" w:lineRule="auto"/>
        <w:jc w:val="both"/>
        <w:rPr>
          <w:rFonts w:ascii="Times New Roman" w:eastAsia="Aptos" w:hAnsi="Times New Roman" w:cs="Times New Roman"/>
          <w:b/>
          <w:bCs/>
        </w:rPr>
      </w:pPr>
      <w:r w:rsidRPr="0048384B">
        <w:rPr>
          <w:rFonts w:ascii="Times New Roman" w:eastAsia="Aptos" w:hAnsi="Times New Roman" w:cs="Times New Roman"/>
          <w:b/>
          <w:bCs/>
        </w:rPr>
        <w:t xml:space="preserve">Fig S2: Mean </w:t>
      </w:r>
      <w:r w:rsidRPr="0048384B">
        <w:rPr>
          <w:rFonts w:ascii="Times New Roman" w:hAnsi="Times New Roman" w:cs="Times New Roman"/>
        </w:rPr>
        <w:t>click response thresholds in solitary, monogamous, and group-living rodents tested</w:t>
      </w:r>
    </w:p>
    <w:p w14:paraId="1D993000" w14:textId="115B01CB" w:rsidR="0040387C" w:rsidRPr="0048384B" w:rsidRDefault="0040387C" w:rsidP="0048384B">
      <w:pPr>
        <w:pStyle w:val="ListParagraph"/>
        <w:numPr>
          <w:ilvl w:val="0"/>
          <w:numId w:val="2"/>
        </w:numPr>
        <w:spacing w:line="480" w:lineRule="auto"/>
        <w:jc w:val="both"/>
        <w:rPr>
          <w:rFonts w:ascii="Times New Roman" w:eastAsia="Aptos" w:hAnsi="Times New Roman" w:cs="Times New Roman"/>
          <w:b/>
          <w:bCs/>
        </w:rPr>
      </w:pPr>
      <w:r w:rsidRPr="0048384B">
        <w:rPr>
          <w:rFonts w:ascii="Times New Roman" w:eastAsia="Aptos" w:hAnsi="Times New Roman" w:cs="Times New Roman"/>
          <w:b/>
          <w:bCs/>
        </w:rPr>
        <w:t xml:space="preserve">Fig S3: </w:t>
      </w:r>
      <w:r w:rsidRPr="0048384B">
        <w:rPr>
          <w:rFonts w:ascii="Times New Roman" w:eastAsia="Aptos" w:hAnsi="Times New Roman" w:cs="Times New Roman"/>
        </w:rPr>
        <w:t>Example of ABR trace of each tested species</w:t>
      </w:r>
    </w:p>
    <w:p w14:paraId="398A8557" w14:textId="23B06601" w:rsidR="0040387C" w:rsidRPr="0048384B" w:rsidRDefault="0040387C" w:rsidP="0048384B">
      <w:pPr>
        <w:pStyle w:val="ListParagraph"/>
        <w:numPr>
          <w:ilvl w:val="0"/>
          <w:numId w:val="2"/>
        </w:numPr>
        <w:spacing w:line="480" w:lineRule="auto"/>
        <w:jc w:val="both"/>
        <w:rPr>
          <w:rFonts w:ascii="Times New Roman" w:eastAsia="Aptos" w:hAnsi="Times New Roman" w:cs="Times New Roman"/>
          <w:b/>
          <w:bCs/>
        </w:rPr>
      </w:pPr>
      <w:r w:rsidRPr="0048384B">
        <w:rPr>
          <w:rFonts w:ascii="Times New Roman" w:eastAsia="Aptos" w:hAnsi="Times New Roman" w:cs="Times New Roman"/>
          <w:b/>
          <w:bCs/>
        </w:rPr>
        <w:t xml:space="preserve">Fig </w:t>
      </w:r>
      <w:r w:rsidR="0048384B" w:rsidRPr="0048384B">
        <w:rPr>
          <w:rFonts w:ascii="Times New Roman" w:eastAsia="Aptos" w:hAnsi="Times New Roman" w:cs="Times New Roman"/>
          <w:b/>
          <w:bCs/>
        </w:rPr>
        <w:t>S</w:t>
      </w:r>
      <w:r w:rsidRPr="0048384B">
        <w:rPr>
          <w:rFonts w:ascii="Times New Roman" w:eastAsia="Aptos" w:hAnsi="Times New Roman" w:cs="Times New Roman"/>
          <w:b/>
          <w:bCs/>
        </w:rPr>
        <w:t xml:space="preserve">4: </w:t>
      </w:r>
      <w:r w:rsidR="0048384B" w:rsidRPr="0048384B">
        <w:rPr>
          <w:rFonts w:ascii="Times New Roman" w:eastAsia="Aptos" w:hAnsi="Times New Roman" w:cs="Times New Roman"/>
        </w:rPr>
        <w:t xml:space="preserve">Average peak latency of ABR waves I and IV determined with clicks of different intensities </w:t>
      </w:r>
    </w:p>
    <w:p w14:paraId="46CF0F6B" w14:textId="4C2E1B00" w:rsidR="0048384B" w:rsidRPr="004E592E" w:rsidRDefault="0048384B" w:rsidP="004E592E">
      <w:pPr>
        <w:pStyle w:val="ListParagraph"/>
        <w:numPr>
          <w:ilvl w:val="0"/>
          <w:numId w:val="2"/>
        </w:numPr>
        <w:spacing w:line="480" w:lineRule="auto"/>
        <w:jc w:val="both"/>
        <w:rPr>
          <w:rFonts w:ascii="Times New Roman" w:eastAsia="Aptos" w:hAnsi="Times New Roman" w:cs="Times New Roman"/>
          <w:b/>
          <w:bCs/>
        </w:rPr>
      </w:pPr>
      <w:r w:rsidRPr="0048384B">
        <w:rPr>
          <w:rFonts w:ascii="Times New Roman" w:eastAsia="Aptos" w:hAnsi="Times New Roman" w:cs="Times New Roman"/>
          <w:b/>
          <w:bCs/>
        </w:rPr>
        <w:t xml:space="preserve">Table S1: </w:t>
      </w:r>
      <w:r w:rsidR="004E592E" w:rsidRPr="003144C0">
        <w:rPr>
          <w:rFonts w:ascii="Times New Roman" w:eastAsia="Aptos" w:hAnsi="Times New Roman" w:cs="Times New Roman"/>
        </w:rPr>
        <w:t>Deviance Informati</w:t>
      </w:r>
      <w:r w:rsidR="004E592E">
        <w:rPr>
          <w:rFonts w:ascii="Times New Roman" w:eastAsia="Aptos" w:hAnsi="Times New Roman" w:cs="Times New Roman"/>
        </w:rPr>
        <w:t>on</w:t>
      </w:r>
      <w:r w:rsidR="004E592E" w:rsidRPr="003144C0">
        <w:rPr>
          <w:rFonts w:ascii="Times New Roman" w:eastAsia="Aptos" w:hAnsi="Times New Roman" w:cs="Times New Roman"/>
        </w:rPr>
        <w:t xml:space="preserve"> Criterion (DIC)</w:t>
      </w:r>
      <w:r w:rsidR="004E592E">
        <w:rPr>
          <w:rFonts w:ascii="Times New Roman" w:eastAsia="Aptos" w:hAnsi="Times New Roman" w:cs="Times New Roman"/>
        </w:rPr>
        <w:t xml:space="preserve"> of all models</w:t>
      </w:r>
    </w:p>
    <w:p w14:paraId="13A8DB7E" w14:textId="69C53834" w:rsidR="0048384B" w:rsidRPr="0048384B" w:rsidRDefault="0048384B" w:rsidP="0048384B">
      <w:pPr>
        <w:pStyle w:val="ListParagraph"/>
        <w:numPr>
          <w:ilvl w:val="0"/>
          <w:numId w:val="2"/>
        </w:numPr>
        <w:spacing w:line="480" w:lineRule="auto"/>
        <w:jc w:val="both"/>
        <w:rPr>
          <w:rFonts w:ascii="Times New Roman" w:eastAsia="Aptos" w:hAnsi="Times New Roman" w:cs="Times New Roman"/>
        </w:rPr>
      </w:pPr>
      <w:r w:rsidRPr="0048384B">
        <w:rPr>
          <w:rFonts w:ascii="Times New Roman" w:eastAsia="Aptos" w:hAnsi="Times New Roman" w:cs="Times New Roman"/>
        </w:rPr>
        <w:t>References</w:t>
      </w:r>
    </w:p>
    <w:p w14:paraId="4095CEEF" w14:textId="77777777" w:rsidR="00A369EE" w:rsidRPr="0048384B" w:rsidRDefault="00A369EE" w:rsidP="0048384B">
      <w:pPr>
        <w:spacing w:line="480" w:lineRule="auto"/>
        <w:rPr>
          <w:rFonts w:ascii="Times New Roman" w:eastAsia="Aptos" w:hAnsi="Times New Roman" w:cs="Times New Roman"/>
        </w:rPr>
      </w:pPr>
    </w:p>
    <w:p w14:paraId="3340E866" w14:textId="77777777" w:rsidR="00A369EE" w:rsidRPr="0048384B" w:rsidRDefault="00A369EE" w:rsidP="0048384B">
      <w:pPr>
        <w:spacing w:line="480" w:lineRule="auto"/>
        <w:rPr>
          <w:rFonts w:ascii="Times New Roman" w:eastAsia="Aptos" w:hAnsi="Times New Roman" w:cs="Times New Roman"/>
        </w:rPr>
      </w:pPr>
    </w:p>
    <w:p w14:paraId="62FC6180" w14:textId="77777777" w:rsidR="00A369EE" w:rsidRPr="0048384B" w:rsidRDefault="00A369EE" w:rsidP="0048384B">
      <w:pPr>
        <w:spacing w:line="480" w:lineRule="auto"/>
        <w:rPr>
          <w:rFonts w:ascii="Times New Roman" w:eastAsia="Aptos" w:hAnsi="Times New Roman" w:cs="Times New Roman"/>
        </w:rPr>
      </w:pPr>
    </w:p>
    <w:p w14:paraId="22D15F59" w14:textId="77777777" w:rsidR="00A369EE" w:rsidRPr="0048384B" w:rsidRDefault="00A369EE" w:rsidP="0048384B">
      <w:pPr>
        <w:spacing w:line="480" w:lineRule="auto"/>
        <w:rPr>
          <w:rFonts w:ascii="Times New Roman" w:eastAsia="Aptos" w:hAnsi="Times New Roman" w:cs="Times New Roman"/>
        </w:rPr>
      </w:pPr>
    </w:p>
    <w:p w14:paraId="1CE7E294" w14:textId="77777777" w:rsidR="00A369EE" w:rsidRPr="0048384B" w:rsidRDefault="00A369EE" w:rsidP="0048384B">
      <w:pPr>
        <w:spacing w:line="480" w:lineRule="auto"/>
        <w:rPr>
          <w:rFonts w:ascii="Times New Roman" w:eastAsia="Aptos" w:hAnsi="Times New Roman" w:cs="Times New Roman"/>
        </w:rPr>
      </w:pPr>
    </w:p>
    <w:p w14:paraId="28AD2D32" w14:textId="77777777" w:rsidR="00A369EE" w:rsidRPr="0048384B" w:rsidRDefault="00A369EE" w:rsidP="0048384B">
      <w:pPr>
        <w:spacing w:line="480" w:lineRule="auto"/>
        <w:rPr>
          <w:rFonts w:ascii="Times New Roman" w:eastAsia="Aptos" w:hAnsi="Times New Roman" w:cs="Times New Roman"/>
        </w:rPr>
      </w:pPr>
    </w:p>
    <w:p w14:paraId="4E5442DA" w14:textId="77777777" w:rsidR="00A369EE" w:rsidRPr="0048384B" w:rsidRDefault="00A369EE" w:rsidP="0048384B">
      <w:pPr>
        <w:spacing w:line="480" w:lineRule="auto"/>
        <w:rPr>
          <w:rFonts w:ascii="Times New Roman" w:eastAsia="Aptos" w:hAnsi="Times New Roman" w:cs="Times New Roman"/>
        </w:rPr>
      </w:pPr>
    </w:p>
    <w:p w14:paraId="3125B7B3" w14:textId="77777777" w:rsidR="00A369EE" w:rsidRPr="0048384B" w:rsidRDefault="00A369EE" w:rsidP="0048384B">
      <w:pPr>
        <w:spacing w:line="480" w:lineRule="auto"/>
        <w:rPr>
          <w:rFonts w:ascii="Times New Roman" w:eastAsia="Aptos" w:hAnsi="Times New Roman" w:cs="Times New Roman"/>
        </w:rPr>
      </w:pPr>
    </w:p>
    <w:p w14:paraId="047C5511" w14:textId="77777777" w:rsidR="0040387C" w:rsidRPr="0048384B" w:rsidRDefault="0040387C" w:rsidP="0048384B">
      <w:pPr>
        <w:spacing w:line="480" w:lineRule="auto"/>
        <w:rPr>
          <w:rFonts w:ascii="Times New Roman" w:eastAsia="Aptos" w:hAnsi="Times New Roman" w:cs="Times New Roman"/>
        </w:rPr>
      </w:pPr>
    </w:p>
    <w:p w14:paraId="4137FA2B" w14:textId="77777777" w:rsidR="0040387C" w:rsidRPr="0040387C" w:rsidRDefault="0040387C" w:rsidP="0048384B">
      <w:pPr>
        <w:spacing w:line="480" w:lineRule="auto"/>
        <w:jc w:val="both"/>
        <w:rPr>
          <w:rFonts w:ascii="Times New Roman" w:eastAsia="Aptos" w:hAnsi="Times New Roman" w:cs="Times New Roman"/>
          <w:b/>
          <w:bCs/>
        </w:rPr>
      </w:pPr>
      <w:r w:rsidRPr="0040387C">
        <w:rPr>
          <w:rFonts w:ascii="Times New Roman" w:eastAsia="Aptos" w:hAnsi="Times New Roman" w:cs="Times New Roman"/>
          <w:b/>
          <w:bCs/>
        </w:rPr>
        <w:lastRenderedPageBreak/>
        <w:t>Deoxyribonucleic acid (DNA) analysis</w:t>
      </w:r>
    </w:p>
    <w:p w14:paraId="6955F653" w14:textId="4A68415E" w:rsidR="00A369EE" w:rsidRPr="0048384B" w:rsidRDefault="0040387C" w:rsidP="0048384B">
      <w:pPr>
        <w:spacing w:line="480" w:lineRule="auto"/>
        <w:jc w:val="both"/>
        <w:rPr>
          <w:rFonts w:ascii="Times New Roman" w:eastAsia="Aptos" w:hAnsi="Times New Roman" w:cs="Times New Roman"/>
        </w:rPr>
      </w:pPr>
      <w:r w:rsidRPr="0040387C">
        <w:rPr>
          <w:rFonts w:ascii="Times New Roman" w:eastAsia="Aptos" w:hAnsi="Times New Roman" w:cs="Times New Roman"/>
        </w:rPr>
        <w:tab/>
        <w:t>Tail tissue samples were used to genetically confirm species following the protocol described by</w:t>
      </w:r>
      <w:r w:rsidR="004E592E">
        <w:rPr>
          <w:rFonts w:ascii="Times New Roman" w:eastAsia="Aptos" w:hAnsi="Times New Roman" w:cs="Times New Roman"/>
        </w:rPr>
        <w:t xml:space="preserve"> Nicolas and colleagues</w:t>
      </w:r>
      <w:r w:rsidRPr="0040387C">
        <w:rPr>
          <w:rFonts w:ascii="Times New Roman" w:eastAsia="Aptos" w:hAnsi="Times New Roman" w:cs="Times New Roman"/>
        </w:rPr>
        <w:fldChar w:fldCharType="begin"/>
      </w:r>
      <w:r w:rsidR="004E592E">
        <w:rPr>
          <w:rFonts w:ascii="Times New Roman" w:eastAsia="Aptos" w:hAnsi="Times New Roman" w:cs="Times New Roman"/>
        </w:rPr>
        <w:instrText xml:space="preserve"> ADDIN ZOTERO_ITEM CSL_CITATION {"citationID":"kSL9v9Hx","properties":{"formattedCitation":"\\super 1\\nosupersub{}","plainCitation":"1","noteIndex":0},"citationItems":[{"id":31,"uris":["http://zotero.org/users/local/6cCdIcoX/items/XWI3J3CW","http://zotero.org/users/9969646/items/XWI3J3CW"],"itemData":{"id":31,"type":"article-journal","abstract":"The Praomyini tribe is one of the most diverse and abundant groups of Old World rodents. Several species are known to be involved in crop damage and in the epidemiology of several human and cattle diseases. Due to the existence of sibling species their identification is often problematic. Thus an easy, fast and accurate species identification tool is needed for non-systematicians to correctly identify Praomyini species. In this study we compare the usefulness of three genes (16S, Cytb, CO1) for identifying species of this tribe. A total of 426 specimens representing 40 species (sampled across their geographical range) were sequenced for the three genes. Nearly all of the species included in our study are monophyletic in the neighbour joining trees. The degree of intra-specific variability tends to be lower than the divergence between species, but no barcoding gap is detected. The success rate of the statistical methods of species identification is excellent (up to 99% or 100% for statistical supervised classification methods as the k-Nearest Neighbour or Random Forest). The 16S gene is 2.5 less variable than the Cytb and CO1 genes. As a result its discriminatory power is smaller. To sum up, our results suggest that using DNA markers for identifying species in the Praomyini tribe is a largely valid approach, and that the CO1 and Cytb genes are better DNA markers than the 16S gene. Our results confirm the usefulness of statistical methods such as the Random Forest and the 1-NN methods to assign a sequence to a species, even when the number of species is relatively large. Based on our NJ trees and the distribution of all intraspecific and interspecific pairwise nucleotide distances, we highlight the presence of several potentially new species within the Praomyini tribe that should be subject to corroboration assessments.","container-title":"PLOS ONE","DOI":"10.1371/journal.pone.0036586","ISSN":"1932-6203","issue":"5","journalAbbreviation":"PLOS ONE","language":"en","note":"publisher: Public Library of Science","page":"e36586","source":"PLoS Journals","title":"Assessment of Three Mitochondrial Genes (16S, Cytb, CO1) for Identifying Species in the Praomyini Tribe (Rodentia: Muridae)","title-short":"Assessment of Three Mitochondrial Genes (16S, Cytb, CO1) for Identifying Species in the Praomyini Tribe (Rodentia","URL":"https://journals.plos.org/plosone/article?id=10.1371/journal.pone.0036586","volume":"7","author":[{"family":"Nicolas","given":"Violaine"},{"family":"Schaeffer","given":"Brigitte"},{"family":"Missoup","given":"Alain Didier"},{"family":"Kennis","given":"Jan"},{"family":"Colyn","given":"Marc"},{"family":"Denys","given":"Christiane"},{"family":"Tatard","given":"Caroline"},{"family":"Cruaud","given":"Corinne"},{"family":"Laredo","given":"Catherine"}],"accessed":{"date-parts":[["2025",4,22]]},"issued":{"date-parts":[["2012",5,4]]}}}],"schema":"https://github.com/citation-style-language/schema/raw/master/csl-citation.json"} </w:instrText>
      </w:r>
      <w:r w:rsidRPr="0040387C">
        <w:rPr>
          <w:rFonts w:ascii="Times New Roman" w:eastAsia="Aptos" w:hAnsi="Times New Roman" w:cs="Times New Roman"/>
        </w:rPr>
        <w:fldChar w:fldCharType="separate"/>
      </w:r>
      <w:r w:rsidR="004E592E" w:rsidRPr="004E592E">
        <w:rPr>
          <w:rFonts w:ascii="Times New Roman" w:hAnsi="Times New Roman" w:cs="Times New Roman"/>
          <w:kern w:val="0"/>
          <w:vertAlign w:val="superscript"/>
        </w:rPr>
        <w:t>1</w:t>
      </w:r>
      <w:r w:rsidRPr="0040387C">
        <w:rPr>
          <w:rFonts w:ascii="Times New Roman" w:eastAsia="Aptos" w:hAnsi="Times New Roman" w:cs="Times New Roman"/>
        </w:rPr>
        <w:fldChar w:fldCharType="end"/>
      </w:r>
      <w:r w:rsidRPr="0040387C">
        <w:rPr>
          <w:rFonts w:ascii="Times New Roman" w:eastAsia="Aptos" w:hAnsi="Times New Roman" w:cs="Times New Roman"/>
        </w:rPr>
        <w:t>. DNA samples were primarily incubated overnight in a mixture of Buffer ALT and Proteinase K at 56</w:t>
      </w:r>
      <w:r w:rsidRPr="0040387C">
        <w:rPr>
          <w:rFonts w:ascii="Times New Roman" w:eastAsia="Aptos" w:hAnsi="Times New Roman" w:cs="Times New Roman"/>
          <w:vertAlign w:val="superscript"/>
        </w:rPr>
        <w:t>o</w:t>
      </w:r>
      <w:r w:rsidRPr="0040387C">
        <w:rPr>
          <w:rFonts w:ascii="Times New Roman" w:eastAsia="Aptos" w:hAnsi="Times New Roman" w:cs="Times New Roman"/>
        </w:rPr>
        <w:t xml:space="preserve">C for cells lysing. DNA were next extracted using a Qiagen </w:t>
      </w:r>
      <w:proofErr w:type="spellStart"/>
      <w:r w:rsidRPr="0040387C">
        <w:rPr>
          <w:rFonts w:ascii="Times New Roman" w:eastAsia="Aptos" w:hAnsi="Times New Roman" w:cs="Times New Roman"/>
        </w:rPr>
        <w:t>DNeasy</w:t>
      </w:r>
      <w:proofErr w:type="spellEnd"/>
      <w:r w:rsidRPr="0040387C">
        <w:rPr>
          <w:rFonts w:ascii="Times New Roman" w:eastAsia="Aptos" w:hAnsi="Times New Roman" w:cs="Times New Roman"/>
        </w:rPr>
        <w:t xml:space="preserve"> blood and tissue extraction kit (Qiagen Inc., Hilden, Germany), following the manufacturer’s guidelines. To monitor for potential DNA contamination, we performed blank readings in each extraction batch with no DNA sample (i.e., only water). We next measured the purity and concentration of the DNA extracted for each sample with a </w:t>
      </w:r>
      <w:proofErr w:type="spellStart"/>
      <w:r w:rsidRPr="0040387C">
        <w:rPr>
          <w:rFonts w:ascii="Times New Roman" w:eastAsia="Aptos" w:hAnsi="Times New Roman" w:cs="Times New Roman"/>
        </w:rPr>
        <w:t>Thermo</w:t>
      </w:r>
      <w:proofErr w:type="spellEnd"/>
      <w:r w:rsidRPr="0040387C">
        <w:rPr>
          <w:rFonts w:ascii="Times New Roman" w:eastAsia="Aptos" w:hAnsi="Times New Roman" w:cs="Times New Roman"/>
        </w:rPr>
        <w:t xml:space="preserve"> Scientific Nano-Drop (Fisher Scientific, Spectrophotometer, Nanodrop Life 6V 18W, Wilmington, DE). For all samples, the primer sequences (CCTACTCRGCCATTTTACCTATG) and (ACTTCTGGGTGCCAAAGAATCA) were used for amplifying the cytochrome c oxidase subunit I (COI) gene </w:t>
      </w:r>
      <w:r w:rsidRPr="0040387C">
        <w:rPr>
          <w:rFonts w:ascii="Times New Roman" w:eastAsia="Aptos" w:hAnsi="Times New Roman" w:cs="Times New Roman"/>
        </w:rPr>
        <w:fldChar w:fldCharType="begin"/>
      </w:r>
      <w:r w:rsidR="004E592E">
        <w:rPr>
          <w:rFonts w:ascii="Times New Roman" w:eastAsia="Aptos" w:hAnsi="Times New Roman" w:cs="Times New Roman"/>
        </w:rPr>
        <w:instrText xml:space="preserve"> ADDIN ZOTERO_ITEM CSL_CITATION {"citationID":"9mTZcjTz","properties":{"formattedCitation":"\\super 2,3\\nosupersub{}","plainCitation":"2,3","noteIndex":0},"citationItems":[{"id":33,"uris":["http://zotero.org/users/local/6cCdIcoX/items/H3XXNHFT","http://zotero.org/users/9969646/items/H3XXNHFT"],"itemData":{"id":33,"type":"article-journal","abstract":"Mitochondrial DNA sequences of cytochrome b (1140-bp), 12S (375-bp) and 16S (475-bp) ribosomal RNA gene fragments were used to investigate the phylogenetic relationships of a group of African rodents referred as the arvicanthines (Family Muridae, Subfamily Murinae). A total of 49 specimens including all seven genera and 15 of the 24 arvicanthine species currently recognized as well as outgroups from the subfamily Acomyinae, Arvicolinae, Gerbillinae, Murinae and Otomyinae were examined. Our molecular data support the monophyly of the African arvicanthine genera and their partition into three distinct lineages: one composed of Arvicanthis, Mylomys and Pelomys, one composed of Desmomys and Rhabdomys, and one represented by Lemniscomys. The Indian arvicanthine Golunda is external to this clade and is part of a larger clade, together with the African arvicanthines and other African Murinae such as Aethomys, Dasymys, Grammomys, and Hybomys, for which we propose the use of the tribal name Arvicanthini. The basal relationships within this set of species are poorly resolved, suggesting the possibility of a rapid radiation. Calibration based on the fossil record suggests that this radiative event would have taken place at about 8.0 Mya (Million years ago). The identification of the Otomyinae as the sister-taxon to Arvicanthini implies that the former are true murines and should therefore be given only tribal rank within the Murinae.","container-title":"Journal of Mammalian Evolution","DOI":"10.1023/A:1012277012303","ISSN":"1573-7055","issue":"3","journalAbbreviation":"Journal of Mammalian Evolution","language":"en","page":"173-206","source":"Springer Link","title":"An Assessment of the Systematics of Arvicanthine Rodents Using Mitochondrial DNA Sequences: Evolutionary and Biogeographical Implications","title-short":"An Assessment of the Systematics of Arvicanthine Rodents Using Mitochondrial DNA Sequences","URL":"https://doi.org/10.1023/A:1012277012303","volume":"8","author":[{"family":"Ducroz","given":"J. F."},{"family":"Volobouev","given":"V."},{"family":"Granjon","given":"L."}],"accessed":{"date-parts":[["2025",4,23]]},"issued":{"date-parts":[["2001",9,1]]}},"label":"page"},{"id":35,"uris":["http://zotero.org/users/local/6cCdIcoX/items/7B7PLJ9F","http://zotero.org/users/9969646/items/7B7PLJ9F"],"itemData":{"id":35,"type":"article-journal","abstract":"In recent years, research has shown that geographical variation in mitochondrial DNA of commensal rats provides a strong signal of human dispersal and migration. However, interpretation of genetic variation is complicated by the presence of multiple species of Rattus especially in Island Southeast Asia, by the occurrence of some of these Rattus sp. as subfossils in archaeological and natural sites, and by the difficulty of osteological identification of these remains. Amplification of DNA from ancient sources usually yields only small fragments (</w:instrText>
      </w:r>
      <w:r w:rsidR="004E592E">
        <w:rPr>
          <w:rFonts w:ascii="Cambria Math" w:eastAsia="Aptos" w:hAnsi="Cambria Math" w:cs="Cambria Math"/>
        </w:rPr>
        <w:instrText>∼</w:instrText>
      </w:r>
      <w:r w:rsidR="004E592E">
        <w:rPr>
          <w:rFonts w:ascii="Times New Roman" w:eastAsia="Aptos" w:hAnsi="Times New Roman" w:cs="Times New Roman"/>
        </w:rPr>
        <w:instrText xml:space="preserve">200 bp). We assessed whether we could identify Rattus sp. reliably with DNA barcoding using cytochrome oxidase I (COI) sequences, or tree-based methods using D-loop, cytochrome b and COI sequences. Species forming well-differentiated clades in a molecular phylogeny were accurately identified by both methods, even when we used short DNA fragments. Identification was less accurate for paraphyletic and polyphyletic species. We suggest that taxonomic revisions that recognize cryptic or polytypic species will lead to even greater accuracy of DNA-based identification methods.","container-title":"Molecular Ecology Notes","DOI":"10.1111/j.1471-8286.2007.01752.x","ISSN":"1471-8286","issue":"5","language":"en","note":"_eprint: https://onlinelibrary.wiley.com/doi/pdf/10.1111/j.1471-8286.2007.01752.x","page":"717-729","source":"Wiley Online Library","title":"Identifying Rattus species using mitochondrial DNA","URL":"https://onlinelibrary.wiley.com/doi/abs/10.1111/j.1471-8286.2007.01752.x","volume":"7","author":[{"family":"Robins","given":"Judith H."},{"family":"Hingston","given":"Melanie"},{"family":"Matisoo-Smith","given":"Elizabeth"},{"family":"Ross","given":"Howard A."}],"accessed":{"date-parts":[["2025",4,23]]},"issued":{"date-parts":[["2007"]]}},"label":"page"}],"schema":"https://github.com/citation-style-language/schema/raw/master/csl-citation.json"} </w:instrText>
      </w:r>
      <w:r w:rsidRPr="0040387C">
        <w:rPr>
          <w:rFonts w:ascii="Times New Roman" w:eastAsia="Aptos" w:hAnsi="Times New Roman" w:cs="Times New Roman"/>
        </w:rPr>
        <w:fldChar w:fldCharType="separate"/>
      </w:r>
      <w:r w:rsidR="004E592E" w:rsidRPr="004E592E">
        <w:rPr>
          <w:rFonts w:ascii="Times New Roman" w:hAnsi="Times New Roman" w:cs="Times New Roman"/>
          <w:kern w:val="0"/>
          <w:vertAlign w:val="superscript"/>
        </w:rPr>
        <w:t>2,3</w:t>
      </w:r>
      <w:r w:rsidRPr="0040387C">
        <w:rPr>
          <w:rFonts w:ascii="Times New Roman" w:eastAsia="Aptos" w:hAnsi="Times New Roman" w:cs="Times New Roman"/>
        </w:rPr>
        <w:fldChar w:fldCharType="end"/>
      </w:r>
      <w:r w:rsidRPr="0040387C">
        <w:rPr>
          <w:rFonts w:ascii="Times New Roman" w:eastAsia="Aptos" w:hAnsi="Times New Roman" w:cs="Times New Roman"/>
        </w:rPr>
        <w:t xml:space="preserve">. DNA samples were assayed in a 50 </w:t>
      </w:r>
      <w:proofErr w:type="spellStart"/>
      <w:r w:rsidRPr="0040387C">
        <w:rPr>
          <w:rFonts w:ascii="Times New Roman" w:eastAsia="Aptos" w:hAnsi="Times New Roman" w:cs="Times New Roman"/>
        </w:rPr>
        <w:t>μL</w:t>
      </w:r>
      <w:proofErr w:type="spellEnd"/>
      <w:r w:rsidRPr="0040387C">
        <w:rPr>
          <w:rFonts w:ascii="Times New Roman" w:eastAsia="Aptos" w:hAnsi="Times New Roman" w:cs="Times New Roman"/>
        </w:rPr>
        <w:t xml:space="preserve"> reaction comprising 25 </w:t>
      </w:r>
      <w:proofErr w:type="spellStart"/>
      <w:r w:rsidRPr="0040387C">
        <w:rPr>
          <w:rFonts w:ascii="Times New Roman" w:eastAsia="Aptos" w:hAnsi="Times New Roman" w:cs="Times New Roman"/>
        </w:rPr>
        <w:t>μL</w:t>
      </w:r>
      <w:proofErr w:type="spellEnd"/>
      <w:r w:rsidRPr="0040387C">
        <w:rPr>
          <w:rFonts w:ascii="Times New Roman" w:eastAsia="Aptos" w:hAnsi="Times New Roman" w:cs="Times New Roman"/>
        </w:rPr>
        <w:t xml:space="preserve"> Phusion Master mix, </w:t>
      </w:r>
      <w:bookmarkStart w:id="0" w:name="_Hlk207261985"/>
      <w:r w:rsidRPr="0040387C">
        <w:rPr>
          <w:rFonts w:ascii="Times New Roman" w:eastAsia="Aptos" w:hAnsi="Times New Roman" w:cs="Times New Roman"/>
        </w:rPr>
        <w:t xml:space="preserve">2.5 </w:t>
      </w:r>
      <w:proofErr w:type="spellStart"/>
      <w:r w:rsidRPr="0040387C">
        <w:rPr>
          <w:rFonts w:ascii="Times New Roman" w:eastAsia="Aptos" w:hAnsi="Times New Roman" w:cs="Times New Roman"/>
        </w:rPr>
        <w:t>μL</w:t>
      </w:r>
      <w:proofErr w:type="spellEnd"/>
      <w:r w:rsidRPr="0040387C">
        <w:rPr>
          <w:rFonts w:ascii="Times New Roman" w:eastAsia="Aptos" w:hAnsi="Times New Roman" w:cs="Times New Roman"/>
        </w:rPr>
        <w:t xml:space="preserve"> </w:t>
      </w:r>
      <w:bookmarkEnd w:id="0"/>
      <w:r w:rsidRPr="0040387C">
        <w:rPr>
          <w:rFonts w:ascii="Times New Roman" w:eastAsia="Aptos" w:hAnsi="Times New Roman" w:cs="Times New Roman"/>
        </w:rPr>
        <w:t xml:space="preserve">reverse primer, 2.5 </w:t>
      </w:r>
      <w:proofErr w:type="spellStart"/>
      <w:r w:rsidRPr="0040387C">
        <w:rPr>
          <w:rFonts w:ascii="Times New Roman" w:eastAsia="Aptos" w:hAnsi="Times New Roman" w:cs="Times New Roman"/>
        </w:rPr>
        <w:t>μL</w:t>
      </w:r>
      <w:proofErr w:type="spellEnd"/>
      <w:r w:rsidRPr="0040387C">
        <w:rPr>
          <w:rFonts w:ascii="Times New Roman" w:eastAsia="Aptos" w:hAnsi="Times New Roman" w:cs="Times New Roman"/>
        </w:rPr>
        <w:t xml:space="preserve"> forward primer, and 20 </w:t>
      </w:r>
      <w:proofErr w:type="spellStart"/>
      <w:r w:rsidRPr="0040387C">
        <w:rPr>
          <w:rFonts w:ascii="Times New Roman" w:eastAsia="Aptos" w:hAnsi="Times New Roman" w:cs="Times New Roman"/>
        </w:rPr>
        <w:t>μL</w:t>
      </w:r>
      <w:proofErr w:type="spellEnd"/>
      <w:r w:rsidRPr="0040387C">
        <w:rPr>
          <w:rFonts w:ascii="Times New Roman" w:eastAsia="Aptos" w:hAnsi="Times New Roman" w:cs="Times New Roman"/>
        </w:rPr>
        <w:t xml:space="preserve"> </w:t>
      </w:r>
      <w:proofErr w:type="spellStart"/>
      <w:r w:rsidRPr="0040387C">
        <w:rPr>
          <w:rFonts w:ascii="Times New Roman" w:eastAsia="Aptos" w:hAnsi="Times New Roman" w:cs="Times New Roman"/>
        </w:rPr>
        <w:t>mQ</w:t>
      </w:r>
      <w:proofErr w:type="spellEnd"/>
      <w:r w:rsidRPr="0040387C">
        <w:rPr>
          <w:rFonts w:ascii="Times New Roman" w:eastAsia="Aptos" w:hAnsi="Times New Roman" w:cs="Times New Roman"/>
        </w:rPr>
        <w:t xml:space="preserve"> water. The total polymerase chain reaction (PCR) amplifications were performed using an Eppendorf Thermal Cycler (Eppendorf 6346000021 </w:t>
      </w:r>
      <w:proofErr w:type="spellStart"/>
      <w:r w:rsidRPr="0040387C">
        <w:rPr>
          <w:rFonts w:ascii="Times New Roman" w:eastAsia="Aptos" w:hAnsi="Times New Roman" w:cs="Times New Roman"/>
        </w:rPr>
        <w:t>Mastercycler</w:t>
      </w:r>
      <w:proofErr w:type="spellEnd"/>
      <w:r w:rsidRPr="0040387C">
        <w:rPr>
          <w:rFonts w:ascii="Times New Roman" w:eastAsia="Aptos" w:hAnsi="Times New Roman" w:cs="Times New Roman"/>
        </w:rPr>
        <w:t xml:space="preserve"> Nexus SX1 Thermal Cycler, California, USA) under the following criteria: initial denaturation at 95</w:t>
      </w:r>
      <w:r w:rsidRPr="0040387C">
        <w:rPr>
          <w:rFonts w:ascii="Times New Roman" w:eastAsia="Aptos" w:hAnsi="Times New Roman" w:cs="Times New Roman"/>
          <w:vertAlign w:val="superscript"/>
        </w:rPr>
        <w:t xml:space="preserve">o </w:t>
      </w:r>
      <w:r w:rsidRPr="0040387C">
        <w:rPr>
          <w:rFonts w:ascii="Times New Roman" w:eastAsia="Aptos" w:hAnsi="Times New Roman" w:cs="Times New Roman"/>
        </w:rPr>
        <w:t>C for 300 seconds; 35 cycles of denaturation at 94</w:t>
      </w:r>
      <w:r w:rsidRPr="0040387C">
        <w:rPr>
          <w:rFonts w:ascii="Times New Roman" w:eastAsia="Aptos" w:hAnsi="Times New Roman" w:cs="Times New Roman"/>
          <w:vertAlign w:val="superscript"/>
        </w:rPr>
        <w:t xml:space="preserve"> o </w:t>
      </w:r>
      <w:r w:rsidRPr="0040387C">
        <w:rPr>
          <w:rFonts w:ascii="Times New Roman" w:eastAsia="Aptos" w:hAnsi="Times New Roman" w:cs="Times New Roman"/>
        </w:rPr>
        <w:t>C for 30 seconds, annealing at 55</w:t>
      </w:r>
      <w:r w:rsidRPr="0040387C">
        <w:rPr>
          <w:rFonts w:ascii="Times New Roman" w:eastAsia="Aptos" w:hAnsi="Times New Roman" w:cs="Times New Roman"/>
          <w:vertAlign w:val="superscript"/>
        </w:rPr>
        <w:t xml:space="preserve"> o </w:t>
      </w:r>
      <w:r w:rsidRPr="0040387C">
        <w:rPr>
          <w:rFonts w:ascii="Times New Roman" w:eastAsia="Aptos" w:hAnsi="Times New Roman" w:cs="Times New Roman"/>
        </w:rPr>
        <w:t>C for 40 seconds, and an extension step at 72</w:t>
      </w:r>
      <w:r w:rsidRPr="0040387C">
        <w:rPr>
          <w:rFonts w:ascii="Times New Roman" w:eastAsia="Aptos" w:hAnsi="Times New Roman" w:cs="Times New Roman"/>
          <w:vertAlign w:val="superscript"/>
        </w:rPr>
        <w:t xml:space="preserve"> o </w:t>
      </w:r>
      <w:r w:rsidRPr="0040387C">
        <w:rPr>
          <w:rFonts w:ascii="Times New Roman" w:eastAsia="Aptos" w:hAnsi="Times New Roman" w:cs="Times New Roman"/>
        </w:rPr>
        <w:t>C for 90 seconds; followed by a second extension at 72</w:t>
      </w:r>
      <w:r w:rsidRPr="0040387C">
        <w:rPr>
          <w:rFonts w:ascii="Times New Roman" w:eastAsia="Aptos" w:hAnsi="Times New Roman" w:cs="Times New Roman"/>
          <w:vertAlign w:val="superscript"/>
        </w:rPr>
        <w:t xml:space="preserve"> o </w:t>
      </w:r>
      <w:r w:rsidRPr="0040387C">
        <w:rPr>
          <w:rFonts w:ascii="Times New Roman" w:eastAsia="Aptos" w:hAnsi="Times New Roman" w:cs="Times New Roman"/>
        </w:rPr>
        <w:t xml:space="preserve">C for 300 seconds. Amplified double-stranded PCR products were purified and sequenced at the Oklahoma State University’s Center for Genomic and Proteomic (Stillwater, Oklahoma, USA). Resulting sequencing were adjusted manually using the software 4peaks and compared with other COI sequences using the National Center for Biotechnology Information (NCBI) GenBank database to confirm species identity </w:t>
      </w:r>
      <w:r w:rsidRPr="0040387C">
        <w:rPr>
          <w:rFonts w:ascii="Times New Roman" w:eastAsia="Aptos" w:hAnsi="Times New Roman" w:cs="Times New Roman"/>
        </w:rPr>
        <w:fldChar w:fldCharType="begin"/>
      </w:r>
      <w:r w:rsidR="004E592E">
        <w:rPr>
          <w:rFonts w:ascii="Times New Roman" w:eastAsia="Aptos" w:hAnsi="Times New Roman" w:cs="Times New Roman"/>
        </w:rPr>
        <w:instrText xml:space="preserve"> ADDIN ZOTERO_ITEM CSL_CITATION {"citationID":"NQDmrHpd","properties":{"formattedCitation":"\\super 4,5\\nosupersub{}","plainCitation":"4,5","noteIndex":0},"citationItems":[{"id":40,"uris":["http://zotero.org/users/local/6cCdIcoX/items/8TWKH48C","http://zotero.org/users/9969646/items/8TWKH48C"],"itemData":{"id":40,"type":"article-journal","abstract":"The National Center for Biotechnology Information (NCBI) provides a large suite of online resources for biological information and data, including the GenBank® nucleic acid sequence database and the PubMed® database of citations and abstracts published in life science journals. The Entrez system provides search and retrieval operations for most of these data from 34 distinct databases. The E-utilities serve as the programming interface for the Entrez system. Custom implementations of the BLAST program provide sequence-based searching of many specialized datasets. New resources released in the past year include a new PubMed interface and NCBI datasets. Additional resources that were updated in the past year include PMC, Bookshelf, Genome Data Viewer, SRA, ClinVar, dbSNP, dbVar, Pathogen Detection, BLAST, Primer-BLAST, IgBLAST, iCn3D and PubChem. All of these resources can be accessed through the NCBI home page at https://www.ncbi.nlm.nih.gov.","container-title":"Nucleic Acids Research","DOI":"10.1093/nar/gkaa892","ISSN":"0305-1048","issue":"D1","journalAbbreviation":"Nucleic Acids Research","page":"D10-D17","source":"Silverchair","title":"Database resources of the National Center for Biotechnology Information","URL":"https://doi.org/10.1093/nar/gkaa892","volume":"49","author":[{"family":"Sayers","given":"Eric W"},{"family":"Beck","given":"Jeffrey"},{"family":"Bolton","given":"Evan E"},{"family":"Bourexis","given":"Devon"},{"family":"Brister","given":"James R"},{"family":"Canese","given":"Kathi"},{"family":"Comeau","given":"Donald C"},{"family":"Funk","given":"Kathryn"},{"family":"Kim","given":"Sunghwan"},{"family":"Klimke","given":"William"},{"family":"Marchler-Bauer","given":"Aron"},{"family":"Landrum","given":"Melissa"},{"family":"Lathrop","given":"Stacy"},{"family":"Lu","given":"Zhiyong"},{"family":"Madden","given":"Thomas L"},{"family":"O’Leary","given":"Nuala"},{"family":"Phan","given":"Lon"},{"family":"Rangwala","given":"Sanjida H"},{"family":"Schneider","given":"Valerie A"},{"family":"Skripchenko","given":"Yuri"},{"family":"Wang","given":"Jiyao"},{"family":"Ye","given":"Jian"},{"family":"Trawick","given":"Barton W"},{"family":"Pruitt","given":"Kim D"},{"family":"Sherry","given":"Stephen T"}],"accessed":{"date-parts":[["2025",4,23]]},"issued":{"date-parts":[["2021",1,8]]}},"label":"page"},{"id":38,"uris":["http://zotero.org/users/local/6cCdIcoX/items/RVQ9WJUZ","http://zotero.org/users/9969646/items/RVQ9WJUZ"],"itemData":{"id":38,"type":"article-journal","abstract":"GenBank® (https://www.ncbi.nlm.nih.gov/genbank/) is a comprehensive, public database that contains 15.3 trillion base pairs from over 2.5 billion nucleotide sequences for 504 000 formally described species. Recent updates include resources for data from the SARS-CoV-2 virus, including a SARS-CoV-2 landing page, NCBI Datasets, NCBI Virus and the Submission Portal. We also discuss upcoming changes to GI identifiers, a new data management interface for BioProject, and advice for providing contextual metadata in submissions.","container-title":"Nucleic Acids Research","DOI":"10.1093/nar/gkab1135","ISSN":"0305-1048","issue":"D1","journalAbbreviation":"Nucleic Acids Research","page":"D161-D164","source":"Silverchair","title":"GenBank","URL":"https://doi.org/10.1093/nar/gkab1135","volume":"50","author":[{"family":"Sayers","given":"Eric W"},{"family":"Cavanaugh","given":"Mark"},{"family":"Clark","given":"Karen"},{"family":"Pruitt","given":"Kim D"},{"family":"Schoch","given":"Conrad L"},{"family":"Sherry","given":"Stephen T"},{"family":"Karsch-Mizrachi","given":"Ilene"}],"accessed":{"date-parts":[["2025",4,23]]},"issued":{"date-parts":[["2022",1,7]]}},"label":"page"}],"schema":"https://github.com/citation-style-language/schema/raw/master/csl-citation.json"} </w:instrText>
      </w:r>
      <w:r w:rsidRPr="0040387C">
        <w:rPr>
          <w:rFonts w:ascii="Times New Roman" w:eastAsia="Aptos" w:hAnsi="Times New Roman" w:cs="Times New Roman"/>
        </w:rPr>
        <w:fldChar w:fldCharType="separate"/>
      </w:r>
      <w:r w:rsidR="004E592E" w:rsidRPr="004E592E">
        <w:rPr>
          <w:rFonts w:ascii="Times New Roman" w:hAnsi="Times New Roman" w:cs="Times New Roman"/>
          <w:kern w:val="0"/>
          <w:vertAlign w:val="superscript"/>
        </w:rPr>
        <w:t>4,5</w:t>
      </w:r>
      <w:r w:rsidRPr="0040387C">
        <w:rPr>
          <w:rFonts w:ascii="Times New Roman" w:eastAsia="Aptos" w:hAnsi="Times New Roman" w:cs="Times New Roman"/>
        </w:rPr>
        <w:fldChar w:fldCharType="end"/>
      </w:r>
      <w:r w:rsidRPr="0040387C">
        <w:rPr>
          <w:rFonts w:ascii="Times New Roman" w:eastAsia="Aptos" w:hAnsi="Times New Roman" w:cs="Times New Roman"/>
        </w:rPr>
        <w:t xml:space="preserve">. </w:t>
      </w:r>
    </w:p>
    <w:p w14:paraId="6DDAF8D3" w14:textId="77777777" w:rsidR="00A369EE" w:rsidRPr="0048384B" w:rsidRDefault="00A369EE" w:rsidP="0048384B">
      <w:pPr>
        <w:spacing w:line="480" w:lineRule="auto"/>
        <w:rPr>
          <w:rFonts w:ascii="Times New Roman" w:eastAsia="Aptos" w:hAnsi="Times New Roman" w:cs="Times New Roman"/>
        </w:rPr>
      </w:pPr>
    </w:p>
    <w:p w14:paraId="0A1E3548" w14:textId="77777777" w:rsidR="00A369EE" w:rsidRPr="0048384B" w:rsidRDefault="00A369EE" w:rsidP="0048384B">
      <w:pPr>
        <w:spacing w:line="480" w:lineRule="auto"/>
        <w:rPr>
          <w:rFonts w:ascii="Times New Roman" w:eastAsia="Aptos" w:hAnsi="Times New Roman" w:cs="Times New Roman"/>
        </w:rPr>
      </w:pPr>
    </w:p>
    <w:p w14:paraId="35A2EF35" w14:textId="643506F4" w:rsidR="00D3582E" w:rsidRPr="0048384B" w:rsidRDefault="00D3582E" w:rsidP="0048384B">
      <w:pPr>
        <w:spacing w:line="480" w:lineRule="auto"/>
        <w:jc w:val="center"/>
        <w:rPr>
          <w:rFonts w:ascii="Times New Roman" w:hAnsi="Times New Roman" w:cs="Times New Roman"/>
          <w:noProof/>
        </w:rPr>
      </w:pPr>
      <w:r w:rsidRPr="0048384B">
        <w:rPr>
          <w:rFonts w:ascii="Times New Roman" w:hAnsi="Times New Roman" w:cs="Times New Roman"/>
          <w:noProof/>
        </w:rPr>
        <w:drawing>
          <wp:inline distT="0" distB="0" distL="0" distR="0" wp14:anchorId="36BE38CC" wp14:editId="53CFFE75">
            <wp:extent cx="6662262" cy="5486400"/>
            <wp:effectExtent l="0" t="0" r="5715" b="0"/>
            <wp:docPr id="1353173309"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73309" name="Picture 2" descr="A graph of different colored lin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2262" cy="5486400"/>
                    </a:xfrm>
                    <a:prstGeom prst="rect">
                      <a:avLst/>
                    </a:prstGeom>
                  </pic:spPr>
                </pic:pic>
              </a:graphicData>
            </a:graphic>
          </wp:inline>
        </w:drawing>
      </w:r>
    </w:p>
    <w:p w14:paraId="0D1E8930" w14:textId="66C727E8" w:rsidR="00D3582E" w:rsidRPr="0048384B" w:rsidRDefault="00D3582E" w:rsidP="0048384B">
      <w:pPr>
        <w:spacing w:line="480" w:lineRule="auto"/>
        <w:rPr>
          <w:rFonts w:ascii="Times New Roman" w:hAnsi="Times New Roman" w:cs="Times New Roman"/>
        </w:rPr>
      </w:pPr>
      <w:r w:rsidRPr="0048384B">
        <w:rPr>
          <w:rFonts w:ascii="Times New Roman" w:hAnsi="Times New Roman" w:cs="Times New Roman"/>
          <w:b/>
          <w:bCs/>
        </w:rPr>
        <w:t>Fig S1</w:t>
      </w:r>
      <w:bookmarkStart w:id="1" w:name="_Hlk212300476"/>
      <w:r w:rsidRPr="0048384B">
        <w:rPr>
          <w:rFonts w:ascii="Times New Roman" w:hAnsi="Times New Roman" w:cs="Times New Roman"/>
          <w:b/>
          <w:bCs/>
        </w:rPr>
        <w:t>:</w:t>
      </w:r>
      <w:r w:rsidRPr="0048384B">
        <w:rPr>
          <w:rFonts w:ascii="Times New Roman" w:hAnsi="Times New Roman" w:cs="Times New Roman"/>
        </w:rPr>
        <w:t xml:space="preserve"> </w:t>
      </w:r>
      <w:bookmarkStart w:id="2" w:name="_Hlk215728429"/>
      <w:r w:rsidRPr="0048384B">
        <w:rPr>
          <w:rFonts w:ascii="Times New Roman" w:hAnsi="Times New Roman" w:cs="Times New Roman"/>
        </w:rPr>
        <w:t xml:space="preserve">Mean auditory brainstem response thresholds in solitary, monogamous, and group-living wild-caught rodents across tested frequencies </w:t>
      </w:r>
      <w:bookmarkEnd w:id="2"/>
      <w:r w:rsidRPr="0048384B">
        <w:rPr>
          <w:rFonts w:ascii="Times New Roman" w:hAnsi="Times New Roman" w:cs="Times New Roman"/>
        </w:rPr>
        <w:t xml:space="preserve">(n = 90, 10 individuals per species). Error bars represent the standard error of the mean (SEM) at each tested frequency. Blue represents solitary </w:t>
      </w:r>
      <w:proofErr w:type="gramStart"/>
      <w:r w:rsidRPr="0048384B">
        <w:rPr>
          <w:rFonts w:ascii="Times New Roman" w:hAnsi="Times New Roman" w:cs="Times New Roman"/>
        </w:rPr>
        <w:t>species,</w:t>
      </w:r>
      <w:proofErr w:type="gramEnd"/>
      <w:r w:rsidRPr="0048384B">
        <w:rPr>
          <w:rFonts w:ascii="Times New Roman" w:hAnsi="Times New Roman" w:cs="Times New Roman"/>
        </w:rPr>
        <w:t xml:space="preserve"> pink indicates monogamous species and green represents group-living species.</w:t>
      </w:r>
    </w:p>
    <w:p w14:paraId="104095E3" w14:textId="77777777" w:rsidR="00F9253B" w:rsidRPr="0048384B" w:rsidRDefault="00F9253B" w:rsidP="0048384B">
      <w:pPr>
        <w:spacing w:line="480" w:lineRule="auto"/>
        <w:rPr>
          <w:rFonts w:ascii="Times New Roman" w:hAnsi="Times New Roman" w:cs="Times New Roman"/>
        </w:rPr>
      </w:pPr>
    </w:p>
    <w:p w14:paraId="5F8B67C3" w14:textId="77777777" w:rsidR="00F9253B" w:rsidRPr="0048384B" w:rsidRDefault="00F9253B" w:rsidP="0048384B">
      <w:pPr>
        <w:spacing w:line="480" w:lineRule="auto"/>
        <w:rPr>
          <w:rFonts w:ascii="Times New Roman" w:hAnsi="Times New Roman" w:cs="Times New Roman"/>
        </w:rPr>
      </w:pPr>
    </w:p>
    <w:p w14:paraId="34ACAD34" w14:textId="1C58F984" w:rsidR="00F9253B" w:rsidRPr="0048384B" w:rsidRDefault="00F9253B" w:rsidP="0048384B">
      <w:pPr>
        <w:spacing w:line="480" w:lineRule="auto"/>
        <w:jc w:val="center"/>
        <w:rPr>
          <w:rFonts w:ascii="Times New Roman" w:hAnsi="Times New Roman" w:cs="Times New Roman"/>
        </w:rPr>
      </w:pPr>
      <w:r w:rsidRPr="0048384B">
        <w:rPr>
          <w:rFonts w:ascii="Times New Roman" w:hAnsi="Times New Roman" w:cs="Times New Roman"/>
          <w:noProof/>
        </w:rPr>
        <w:drawing>
          <wp:inline distT="0" distB="0" distL="0" distR="0" wp14:anchorId="1C68F574" wp14:editId="70C66546">
            <wp:extent cx="6514637" cy="4114800"/>
            <wp:effectExtent l="0" t="0" r="635" b="0"/>
            <wp:docPr id="563659242" name="Picture 3" descr="A chart with different colored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59242" name="Picture 3" descr="A chart with different colored boxe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514637" cy="4114800"/>
                    </a:xfrm>
                    <a:prstGeom prst="rect">
                      <a:avLst/>
                    </a:prstGeom>
                  </pic:spPr>
                </pic:pic>
              </a:graphicData>
            </a:graphic>
          </wp:inline>
        </w:drawing>
      </w:r>
    </w:p>
    <w:bookmarkEnd w:id="1"/>
    <w:p w14:paraId="1318F598" w14:textId="498B52CF" w:rsidR="00592D4C" w:rsidRPr="0048384B" w:rsidRDefault="00592D4C" w:rsidP="0048384B">
      <w:pPr>
        <w:spacing w:line="480" w:lineRule="auto"/>
        <w:rPr>
          <w:rFonts w:ascii="Times New Roman" w:hAnsi="Times New Roman" w:cs="Times New Roman"/>
        </w:rPr>
      </w:pPr>
      <w:r w:rsidRPr="0048384B">
        <w:rPr>
          <w:rFonts w:ascii="Times New Roman" w:hAnsi="Times New Roman" w:cs="Times New Roman"/>
          <w:b/>
          <w:bCs/>
        </w:rPr>
        <w:t>Fi</w:t>
      </w:r>
      <w:r w:rsidR="00A0618E">
        <w:rPr>
          <w:rFonts w:ascii="Times New Roman" w:hAnsi="Times New Roman" w:cs="Times New Roman"/>
          <w:b/>
          <w:bCs/>
        </w:rPr>
        <w:t>g</w:t>
      </w:r>
      <w:r w:rsidRPr="0048384B">
        <w:rPr>
          <w:rFonts w:ascii="Times New Roman" w:hAnsi="Times New Roman" w:cs="Times New Roman"/>
          <w:b/>
          <w:bCs/>
        </w:rPr>
        <w:t xml:space="preserve"> S2:</w:t>
      </w:r>
      <w:r w:rsidRPr="0048384B">
        <w:rPr>
          <w:rFonts w:ascii="Times New Roman" w:hAnsi="Times New Roman" w:cs="Times New Roman"/>
        </w:rPr>
        <w:t xml:space="preserve"> Boxplots illustrating </w:t>
      </w:r>
      <w:bookmarkStart w:id="3" w:name="_Hlk215728498"/>
      <w:r w:rsidRPr="0048384B">
        <w:rPr>
          <w:rFonts w:ascii="Times New Roman" w:hAnsi="Times New Roman" w:cs="Times New Roman"/>
        </w:rPr>
        <w:t xml:space="preserve">click response thresholds for the mine studied species </w:t>
      </w:r>
      <w:bookmarkEnd w:id="3"/>
      <w:r w:rsidRPr="0048384B">
        <w:rPr>
          <w:rFonts w:ascii="Times New Roman" w:hAnsi="Times New Roman" w:cs="Times New Roman"/>
        </w:rPr>
        <w:t xml:space="preserve">(solitary = blue, monogamous = pink, group-living = green). The horizontal bars represent the minimum, the median and the maximum values. The whiskers represent the first and the fifth quantile. </w:t>
      </w:r>
    </w:p>
    <w:p w14:paraId="3EAE0113" w14:textId="6781B753" w:rsidR="00D3582E" w:rsidRPr="0048384B" w:rsidRDefault="00D3582E" w:rsidP="0048384B">
      <w:pPr>
        <w:spacing w:line="480" w:lineRule="auto"/>
        <w:rPr>
          <w:rFonts w:ascii="Times New Roman" w:hAnsi="Times New Roman" w:cs="Times New Roman"/>
        </w:rPr>
      </w:pPr>
    </w:p>
    <w:p w14:paraId="3D6D2BAA" w14:textId="77777777" w:rsidR="00DC5E24" w:rsidRDefault="00DC5E24" w:rsidP="0048384B">
      <w:pPr>
        <w:spacing w:line="480" w:lineRule="auto"/>
        <w:rPr>
          <w:rFonts w:ascii="Times New Roman" w:hAnsi="Times New Roman" w:cs="Times New Roman"/>
        </w:rPr>
      </w:pPr>
    </w:p>
    <w:p w14:paraId="1FEFCBCE" w14:textId="77777777" w:rsidR="00A0618E" w:rsidRDefault="00A0618E" w:rsidP="0048384B">
      <w:pPr>
        <w:spacing w:line="480" w:lineRule="auto"/>
        <w:rPr>
          <w:rFonts w:ascii="Times New Roman" w:hAnsi="Times New Roman" w:cs="Times New Roman"/>
        </w:rPr>
      </w:pPr>
    </w:p>
    <w:p w14:paraId="055EDD7A" w14:textId="77777777" w:rsidR="00A0618E" w:rsidRPr="0048384B" w:rsidRDefault="00A0618E" w:rsidP="0048384B">
      <w:pPr>
        <w:spacing w:line="480" w:lineRule="auto"/>
        <w:rPr>
          <w:rFonts w:ascii="Times New Roman" w:hAnsi="Times New Roman" w:cs="Times New Roman"/>
        </w:rPr>
      </w:pPr>
    </w:p>
    <w:p w14:paraId="11D1BE01" w14:textId="2924E8BC" w:rsidR="00DC5E24" w:rsidRPr="0048384B" w:rsidRDefault="00101502" w:rsidP="0048384B">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08012E4C" wp14:editId="08D6191B">
            <wp:extent cx="6400800" cy="6400800"/>
            <wp:effectExtent l="0" t="0" r="0" b="0"/>
            <wp:docPr id="1317358308" name="Picture 6" descr="A group of graphs showing different types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58308" name="Picture 6" descr="A group of graphs showing different types of number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p w14:paraId="09BBEFD3" w14:textId="76204606" w:rsidR="00101502" w:rsidRPr="00101502" w:rsidRDefault="00101502" w:rsidP="00101502">
      <w:pPr>
        <w:spacing w:line="276" w:lineRule="auto"/>
        <w:jc w:val="both"/>
        <w:rPr>
          <w:rFonts w:ascii="Times New Roman" w:eastAsia="Aptos" w:hAnsi="Times New Roman" w:cs="Times New Roman"/>
          <w:sz w:val="22"/>
          <w:szCs w:val="22"/>
        </w:rPr>
      </w:pPr>
      <w:r w:rsidRPr="00101502">
        <w:rPr>
          <w:rFonts w:ascii="Times New Roman" w:eastAsia="Aptos" w:hAnsi="Times New Roman" w:cs="Times New Roman"/>
          <w:b/>
          <w:bCs/>
        </w:rPr>
        <w:t>Fig</w:t>
      </w:r>
      <w:r>
        <w:rPr>
          <w:rFonts w:ascii="Times New Roman" w:eastAsia="Aptos" w:hAnsi="Times New Roman" w:cs="Times New Roman"/>
          <w:b/>
          <w:bCs/>
        </w:rPr>
        <w:t xml:space="preserve"> S3</w:t>
      </w:r>
      <w:r w:rsidRPr="00101502">
        <w:rPr>
          <w:rFonts w:ascii="Times New Roman" w:eastAsia="Aptos" w:hAnsi="Times New Roman" w:cs="Times New Roman"/>
          <w:b/>
          <w:bCs/>
        </w:rPr>
        <w:t>:</w:t>
      </w:r>
      <w:r w:rsidRPr="00101502">
        <w:rPr>
          <w:rFonts w:ascii="Times New Roman" w:eastAsia="Aptos" w:hAnsi="Times New Roman" w:cs="Times New Roman"/>
        </w:rPr>
        <w:t xml:space="preserve"> </w:t>
      </w:r>
      <w:r w:rsidRPr="00101502">
        <w:rPr>
          <w:rFonts w:ascii="Times New Roman" w:eastAsia="Aptos" w:hAnsi="Times New Roman" w:cs="Times New Roman"/>
          <w:sz w:val="22"/>
          <w:szCs w:val="22"/>
        </w:rPr>
        <w:t xml:space="preserve">ABR traces to click stimuli for a representative male of the </w:t>
      </w:r>
      <w:r>
        <w:rPr>
          <w:rFonts w:ascii="Times New Roman" w:eastAsia="Aptos" w:hAnsi="Times New Roman" w:cs="Times New Roman"/>
          <w:sz w:val="22"/>
          <w:szCs w:val="22"/>
        </w:rPr>
        <w:t>nine</w:t>
      </w:r>
      <w:r w:rsidRPr="00101502">
        <w:rPr>
          <w:rFonts w:ascii="Times New Roman" w:eastAsia="Aptos" w:hAnsi="Times New Roman" w:cs="Times New Roman"/>
          <w:sz w:val="22"/>
          <w:szCs w:val="22"/>
        </w:rPr>
        <w:t xml:space="preserve"> species included in this study (Fig 2A- 2</w:t>
      </w:r>
      <w:r>
        <w:rPr>
          <w:rFonts w:ascii="Times New Roman" w:eastAsia="Aptos" w:hAnsi="Times New Roman" w:cs="Times New Roman"/>
          <w:sz w:val="22"/>
          <w:szCs w:val="22"/>
        </w:rPr>
        <w:t>I</w:t>
      </w:r>
      <w:r w:rsidRPr="00101502">
        <w:rPr>
          <w:rFonts w:ascii="Times New Roman" w:eastAsia="Aptos" w:hAnsi="Times New Roman" w:cs="Times New Roman"/>
          <w:sz w:val="22"/>
          <w:szCs w:val="22"/>
        </w:rPr>
        <w:t xml:space="preserve">). Waves I – IV are labeled in the 90 dB SPL example for </w:t>
      </w:r>
      <w:proofErr w:type="gramStart"/>
      <w:r w:rsidRPr="00101502">
        <w:rPr>
          <w:rFonts w:ascii="Times New Roman" w:eastAsia="Aptos" w:hAnsi="Times New Roman" w:cs="Times New Roman"/>
          <w:sz w:val="22"/>
          <w:szCs w:val="22"/>
        </w:rPr>
        <w:t>each individual</w:t>
      </w:r>
      <w:proofErr w:type="gramEnd"/>
      <w:r w:rsidRPr="00101502">
        <w:rPr>
          <w:rFonts w:ascii="Times New Roman" w:eastAsia="Aptos" w:hAnsi="Times New Roman" w:cs="Times New Roman"/>
          <w:sz w:val="22"/>
          <w:szCs w:val="22"/>
        </w:rPr>
        <w:t xml:space="preserve">. In figure 2A, the arrow labeled “ab” indicates how amplitude was measured, while cd arrow illustrates how latency was determined. </w:t>
      </w:r>
    </w:p>
    <w:p w14:paraId="73B3C23A" w14:textId="77777777" w:rsidR="00DC5E24" w:rsidRPr="0048384B" w:rsidRDefault="00DC5E24" w:rsidP="0048384B">
      <w:pPr>
        <w:spacing w:line="480" w:lineRule="auto"/>
        <w:rPr>
          <w:rFonts w:ascii="Times New Roman" w:hAnsi="Times New Roman" w:cs="Times New Roman"/>
        </w:rPr>
      </w:pPr>
    </w:p>
    <w:p w14:paraId="7493A5A8" w14:textId="469DE3F1" w:rsidR="00DC5E24" w:rsidRPr="0048384B" w:rsidRDefault="00A0618E" w:rsidP="0048384B">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323E6434" wp14:editId="5ED3977B">
            <wp:extent cx="5943600" cy="7866380"/>
            <wp:effectExtent l="0" t="0" r="0" b="1270"/>
            <wp:docPr id="7242314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31463" name="Picture 7242314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866380"/>
                    </a:xfrm>
                    <a:prstGeom prst="rect">
                      <a:avLst/>
                    </a:prstGeom>
                  </pic:spPr>
                </pic:pic>
              </a:graphicData>
            </a:graphic>
          </wp:inline>
        </w:drawing>
      </w:r>
    </w:p>
    <w:p w14:paraId="76B3B77A" w14:textId="7EA6C4AA" w:rsidR="00A0618E" w:rsidRPr="00A0618E" w:rsidRDefault="00A0618E" w:rsidP="00A0618E">
      <w:pPr>
        <w:spacing w:line="276" w:lineRule="auto"/>
        <w:jc w:val="both"/>
        <w:rPr>
          <w:rFonts w:ascii="Times New Roman" w:eastAsia="Aptos" w:hAnsi="Times New Roman" w:cs="Times New Roman"/>
          <w:sz w:val="22"/>
          <w:szCs w:val="22"/>
        </w:rPr>
      </w:pPr>
      <w:bookmarkStart w:id="4" w:name="_Hlk212305484"/>
      <w:r w:rsidRPr="00A0618E">
        <w:rPr>
          <w:rFonts w:ascii="Times New Roman" w:eastAsia="Aptos" w:hAnsi="Times New Roman" w:cs="Times New Roman"/>
          <w:b/>
          <w:bCs/>
        </w:rPr>
        <w:lastRenderedPageBreak/>
        <w:t xml:space="preserve">Fig </w:t>
      </w:r>
      <w:r>
        <w:rPr>
          <w:rFonts w:ascii="Times New Roman" w:eastAsia="Aptos" w:hAnsi="Times New Roman" w:cs="Times New Roman"/>
          <w:b/>
          <w:bCs/>
        </w:rPr>
        <w:t>S4</w:t>
      </w:r>
      <w:r w:rsidRPr="00A0618E">
        <w:rPr>
          <w:rFonts w:ascii="Times New Roman" w:eastAsia="Aptos" w:hAnsi="Times New Roman" w:cs="Times New Roman"/>
          <w:b/>
          <w:bCs/>
        </w:rPr>
        <w:t>: A</w:t>
      </w:r>
      <w:r w:rsidRPr="00A0618E">
        <w:rPr>
          <w:rFonts w:ascii="Times New Roman" w:eastAsia="Aptos" w:hAnsi="Times New Roman" w:cs="Times New Roman"/>
        </w:rPr>
        <w:t>. The a</w:t>
      </w:r>
      <w:r w:rsidRPr="00A0618E">
        <w:rPr>
          <w:rFonts w:ascii="Times New Roman" w:eastAsia="Aptos" w:hAnsi="Times New Roman" w:cs="Times New Roman"/>
          <w:sz w:val="22"/>
          <w:szCs w:val="22"/>
        </w:rPr>
        <w:t xml:space="preserve">verage latency of ABR waves I determined with clicks of different intensities (blue represents solitary species, pink represents monogamous species, and green represents group-living species). </w:t>
      </w:r>
      <w:r w:rsidRPr="00A0618E">
        <w:rPr>
          <w:rFonts w:ascii="Times New Roman" w:eastAsia="Aptos" w:hAnsi="Times New Roman" w:cs="Times New Roman"/>
          <w:b/>
          <w:bCs/>
        </w:rPr>
        <w:t>B</w:t>
      </w:r>
      <w:r w:rsidRPr="00A0618E">
        <w:rPr>
          <w:rFonts w:ascii="Times New Roman" w:eastAsia="Aptos" w:hAnsi="Times New Roman" w:cs="Times New Roman"/>
        </w:rPr>
        <w:t>. The a</w:t>
      </w:r>
      <w:r w:rsidRPr="00A0618E">
        <w:rPr>
          <w:rFonts w:ascii="Times New Roman" w:eastAsia="Aptos" w:hAnsi="Times New Roman" w:cs="Times New Roman"/>
          <w:sz w:val="22"/>
          <w:szCs w:val="22"/>
        </w:rPr>
        <w:t xml:space="preserve">verage ABR waves I amplitude determined with clicks of different intensities. </w:t>
      </w:r>
      <w:bookmarkEnd w:id="4"/>
      <w:r w:rsidRPr="00A0618E">
        <w:rPr>
          <w:rFonts w:ascii="Times New Roman" w:eastAsia="Aptos" w:hAnsi="Times New Roman" w:cs="Times New Roman"/>
          <w:b/>
          <w:bCs/>
          <w:sz w:val="22"/>
          <w:szCs w:val="22"/>
        </w:rPr>
        <w:t>C.</w:t>
      </w:r>
      <w:r w:rsidRPr="00A0618E">
        <w:rPr>
          <w:rFonts w:ascii="Times New Roman" w:eastAsia="Aptos" w:hAnsi="Times New Roman" w:cs="Times New Roman"/>
          <w:sz w:val="22"/>
          <w:szCs w:val="22"/>
        </w:rPr>
        <w:t xml:space="preserve"> </w:t>
      </w:r>
      <w:r>
        <w:rPr>
          <w:rFonts w:ascii="Times New Roman" w:eastAsia="Aptos" w:hAnsi="Times New Roman" w:cs="Times New Roman"/>
          <w:sz w:val="22"/>
          <w:szCs w:val="22"/>
        </w:rPr>
        <w:t>The average latency of ABR wave IV determined with click of different intensities</w:t>
      </w:r>
      <w:r w:rsidRPr="00A0618E">
        <w:rPr>
          <w:rFonts w:ascii="Times New Roman" w:eastAsia="Aptos" w:hAnsi="Times New Roman" w:cs="Times New Roman"/>
          <w:sz w:val="22"/>
          <w:szCs w:val="22"/>
        </w:rPr>
        <w:t xml:space="preserve">. </w:t>
      </w:r>
      <w:r w:rsidRPr="00A0618E">
        <w:rPr>
          <w:rFonts w:ascii="Times New Roman" w:eastAsia="Aptos" w:hAnsi="Times New Roman" w:cs="Times New Roman"/>
          <w:b/>
          <w:bCs/>
          <w:sz w:val="22"/>
          <w:szCs w:val="22"/>
        </w:rPr>
        <w:t>D.</w:t>
      </w:r>
      <w:r w:rsidRPr="00A0618E">
        <w:rPr>
          <w:rFonts w:ascii="Times New Roman" w:eastAsia="Aptos" w:hAnsi="Times New Roman" w:cs="Times New Roman"/>
          <w:sz w:val="22"/>
          <w:szCs w:val="22"/>
        </w:rPr>
        <w:t xml:space="preserve"> </w:t>
      </w:r>
      <w:r>
        <w:rPr>
          <w:rFonts w:ascii="Times New Roman" w:eastAsia="Aptos" w:hAnsi="Times New Roman" w:cs="Times New Roman"/>
          <w:sz w:val="22"/>
          <w:szCs w:val="22"/>
        </w:rPr>
        <w:t>The average ABR wave IV amplitude determined with clicks of different intensities</w:t>
      </w:r>
      <w:r w:rsidRPr="00A0618E">
        <w:rPr>
          <w:rFonts w:ascii="Times New Roman" w:eastAsia="Aptos" w:hAnsi="Times New Roman" w:cs="Times New Roman"/>
          <w:sz w:val="22"/>
          <w:szCs w:val="22"/>
        </w:rPr>
        <w:t>. White circle (solitary), white triangle (Monogamous), and white square (Group-living) represent the mean value for each group.</w:t>
      </w:r>
      <w:r>
        <w:rPr>
          <w:rFonts w:ascii="Times New Roman" w:eastAsia="Aptos" w:hAnsi="Times New Roman" w:cs="Times New Roman"/>
          <w:sz w:val="22"/>
          <w:szCs w:val="22"/>
        </w:rPr>
        <w:t xml:space="preserve"> Significant differences were detected in ABR wave I latency across social groups.</w:t>
      </w:r>
      <w:r w:rsidRPr="00A0618E">
        <w:rPr>
          <w:rFonts w:ascii="Times New Roman" w:eastAsia="Aptos" w:hAnsi="Times New Roman" w:cs="Times New Roman"/>
          <w:sz w:val="22"/>
          <w:szCs w:val="22"/>
        </w:rPr>
        <w:t xml:space="preserve"> </w:t>
      </w:r>
      <w:bookmarkStart w:id="5" w:name="_Hlk214022352"/>
      <w:r w:rsidRPr="00A0618E">
        <w:rPr>
          <w:rFonts w:ascii="Times New Roman" w:eastAsia="Aptos" w:hAnsi="Times New Roman" w:cs="Times New Roman"/>
          <w:sz w:val="22"/>
          <w:szCs w:val="22"/>
        </w:rPr>
        <w:t xml:space="preserve">No significant differences were detected in </w:t>
      </w:r>
      <w:r>
        <w:rPr>
          <w:rFonts w:ascii="Times New Roman" w:eastAsia="Aptos" w:hAnsi="Times New Roman" w:cs="Times New Roman"/>
          <w:sz w:val="22"/>
          <w:szCs w:val="22"/>
        </w:rPr>
        <w:t xml:space="preserve">ABR wave IV latency, wave I amplitude, and wave IV amplitude across </w:t>
      </w:r>
      <w:r w:rsidRPr="00A0618E">
        <w:rPr>
          <w:rFonts w:ascii="Times New Roman" w:eastAsia="Aptos" w:hAnsi="Times New Roman" w:cs="Times New Roman"/>
          <w:sz w:val="22"/>
          <w:szCs w:val="22"/>
        </w:rPr>
        <w:t>social groups.</w:t>
      </w:r>
      <w:bookmarkEnd w:id="5"/>
      <w:r>
        <w:rPr>
          <w:rFonts w:ascii="Times New Roman" w:eastAsia="Aptos" w:hAnsi="Times New Roman" w:cs="Times New Roman"/>
          <w:sz w:val="22"/>
          <w:szCs w:val="22"/>
        </w:rPr>
        <w:t xml:space="preserve"> </w:t>
      </w:r>
      <w:r w:rsidRPr="00A0618E">
        <w:rPr>
          <w:rFonts w:ascii="Times New Roman" w:eastAsia="Aptos" w:hAnsi="Times New Roman" w:cs="Times New Roman"/>
          <w:sz w:val="22"/>
          <w:szCs w:val="22"/>
        </w:rPr>
        <w:t>Asterisks represent Bayesian statistical differences across social groups with p &lt; 0.05 **.</w:t>
      </w:r>
    </w:p>
    <w:p w14:paraId="4531E333" w14:textId="77777777" w:rsidR="00DC5E24" w:rsidRDefault="00DC5E24" w:rsidP="0048384B">
      <w:pPr>
        <w:spacing w:line="480" w:lineRule="auto"/>
        <w:rPr>
          <w:rFonts w:ascii="Times New Roman" w:hAnsi="Times New Roman" w:cs="Times New Roman"/>
        </w:rPr>
      </w:pPr>
    </w:p>
    <w:p w14:paraId="4C1D47AD" w14:textId="77777777" w:rsidR="00101502" w:rsidRDefault="00101502" w:rsidP="0048384B">
      <w:pPr>
        <w:spacing w:line="480" w:lineRule="auto"/>
        <w:rPr>
          <w:rFonts w:ascii="Times New Roman" w:hAnsi="Times New Roman" w:cs="Times New Roman"/>
        </w:rPr>
      </w:pPr>
    </w:p>
    <w:p w14:paraId="13A137C2" w14:textId="77777777" w:rsidR="00101502" w:rsidRDefault="00101502" w:rsidP="0048384B">
      <w:pPr>
        <w:spacing w:line="480" w:lineRule="auto"/>
        <w:rPr>
          <w:rFonts w:ascii="Times New Roman" w:hAnsi="Times New Roman" w:cs="Times New Roman"/>
        </w:rPr>
      </w:pPr>
    </w:p>
    <w:p w14:paraId="267D2EC9" w14:textId="77777777" w:rsidR="00101502" w:rsidRDefault="00101502" w:rsidP="0048384B">
      <w:pPr>
        <w:spacing w:line="480" w:lineRule="auto"/>
        <w:rPr>
          <w:rFonts w:ascii="Times New Roman" w:hAnsi="Times New Roman" w:cs="Times New Roman"/>
        </w:rPr>
      </w:pPr>
    </w:p>
    <w:p w14:paraId="4E82EEFC" w14:textId="77777777" w:rsidR="00101502" w:rsidRDefault="00101502" w:rsidP="0048384B">
      <w:pPr>
        <w:spacing w:line="480" w:lineRule="auto"/>
        <w:rPr>
          <w:rFonts w:ascii="Times New Roman" w:hAnsi="Times New Roman" w:cs="Times New Roman"/>
        </w:rPr>
      </w:pPr>
    </w:p>
    <w:p w14:paraId="5EFF3DC4" w14:textId="77777777" w:rsidR="00101502" w:rsidRDefault="00101502" w:rsidP="0048384B">
      <w:pPr>
        <w:spacing w:line="480" w:lineRule="auto"/>
        <w:rPr>
          <w:rFonts w:ascii="Times New Roman" w:hAnsi="Times New Roman" w:cs="Times New Roman"/>
        </w:rPr>
      </w:pPr>
    </w:p>
    <w:p w14:paraId="4A7E4CCF" w14:textId="77777777" w:rsidR="00101502" w:rsidRDefault="00101502" w:rsidP="0048384B">
      <w:pPr>
        <w:spacing w:line="480" w:lineRule="auto"/>
        <w:rPr>
          <w:rFonts w:ascii="Times New Roman" w:hAnsi="Times New Roman" w:cs="Times New Roman"/>
        </w:rPr>
      </w:pPr>
    </w:p>
    <w:p w14:paraId="6E831311" w14:textId="77777777" w:rsidR="00101502" w:rsidRDefault="00101502" w:rsidP="0048384B">
      <w:pPr>
        <w:spacing w:line="480" w:lineRule="auto"/>
        <w:rPr>
          <w:rFonts w:ascii="Times New Roman" w:hAnsi="Times New Roman" w:cs="Times New Roman"/>
        </w:rPr>
      </w:pPr>
    </w:p>
    <w:p w14:paraId="713B92DE" w14:textId="77777777" w:rsidR="00101502" w:rsidRDefault="00101502" w:rsidP="0048384B">
      <w:pPr>
        <w:spacing w:line="480" w:lineRule="auto"/>
        <w:rPr>
          <w:rFonts w:ascii="Times New Roman" w:hAnsi="Times New Roman" w:cs="Times New Roman"/>
        </w:rPr>
      </w:pPr>
    </w:p>
    <w:p w14:paraId="285941BE" w14:textId="77777777" w:rsidR="00101502" w:rsidRDefault="00101502" w:rsidP="0048384B">
      <w:pPr>
        <w:spacing w:line="480" w:lineRule="auto"/>
        <w:rPr>
          <w:rFonts w:ascii="Times New Roman" w:hAnsi="Times New Roman" w:cs="Times New Roman"/>
        </w:rPr>
      </w:pPr>
    </w:p>
    <w:p w14:paraId="29A50E8B" w14:textId="77777777" w:rsidR="00101502" w:rsidRDefault="00101502" w:rsidP="0048384B">
      <w:pPr>
        <w:spacing w:line="480" w:lineRule="auto"/>
        <w:rPr>
          <w:rFonts w:ascii="Times New Roman" w:hAnsi="Times New Roman" w:cs="Times New Roman"/>
        </w:rPr>
      </w:pPr>
    </w:p>
    <w:p w14:paraId="716F1596" w14:textId="77777777" w:rsidR="00101502" w:rsidRDefault="00101502" w:rsidP="0048384B">
      <w:pPr>
        <w:spacing w:line="480" w:lineRule="auto"/>
        <w:rPr>
          <w:rFonts w:ascii="Times New Roman" w:hAnsi="Times New Roman" w:cs="Times New Roman"/>
        </w:rPr>
      </w:pPr>
    </w:p>
    <w:p w14:paraId="750839A3" w14:textId="77777777" w:rsidR="00101502" w:rsidRDefault="00101502" w:rsidP="0048384B">
      <w:pPr>
        <w:spacing w:line="480" w:lineRule="auto"/>
        <w:rPr>
          <w:rFonts w:ascii="Times New Roman" w:hAnsi="Times New Roman" w:cs="Times New Roman"/>
        </w:rPr>
      </w:pPr>
    </w:p>
    <w:p w14:paraId="01E61AA0" w14:textId="77777777" w:rsidR="00101502" w:rsidRDefault="00101502" w:rsidP="0048384B">
      <w:pPr>
        <w:spacing w:line="480" w:lineRule="auto"/>
        <w:rPr>
          <w:rFonts w:ascii="Times New Roman" w:hAnsi="Times New Roman" w:cs="Times New Roman"/>
        </w:rPr>
      </w:pPr>
    </w:p>
    <w:p w14:paraId="2E37C62A" w14:textId="6A43E959" w:rsidR="00101502" w:rsidRPr="0019492A" w:rsidRDefault="00101502" w:rsidP="0048384B">
      <w:pPr>
        <w:spacing w:line="480" w:lineRule="auto"/>
        <w:rPr>
          <w:rFonts w:ascii="Times New Roman" w:hAnsi="Times New Roman" w:cs="Times New Roman"/>
          <w:b/>
          <w:bCs/>
        </w:rPr>
      </w:pPr>
      <w:r w:rsidRPr="004E592E">
        <w:rPr>
          <w:rFonts w:ascii="Times New Roman" w:hAnsi="Times New Roman" w:cs="Times New Roman"/>
          <w:b/>
          <w:bCs/>
        </w:rPr>
        <w:lastRenderedPageBreak/>
        <w:t>Table S1:</w:t>
      </w:r>
      <w:r w:rsidR="0019492A">
        <w:rPr>
          <w:rFonts w:ascii="Times New Roman" w:hAnsi="Times New Roman" w:cs="Times New Roman"/>
        </w:rPr>
        <w:t xml:space="preserve"> </w:t>
      </w:r>
      <w:r w:rsidR="0019492A" w:rsidRPr="003144C0">
        <w:rPr>
          <w:rFonts w:ascii="Times New Roman" w:eastAsia="Aptos" w:hAnsi="Times New Roman" w:cs="Times New Roman"/>
        </w:rPr>
        <w:t>Deviance Informati</w:t>
      </w:r>
      <w:r w:rsidR="0019492A">
        <w:rPr>
          <w:rFonts w:ascii="Times New Roman" w:eastAsia="Aptos" w:hAnsi="Times New Roman" w:cs="Times New Roman"/>
        </w:rPr>
        <w:t>on</w:t>
      </w:r>
      <w:r w:rsidR="0019492A" w:rsidRPr="003144C0">
        <w:rPr>
          <w:rFonts w:ascii="Times New Roman" w:eastAsia="Aptos" w:hAnsi="Times New Roman" w:cs="Times New Roman"/>
        </w:rPr>
        <w:t xml:space="preserve"> Criterion (DIC)</w:t>
      </w:r>
      <w:r w:rsidR="0019492A">
        <w:rPr>
          <w:rFonts w:ascii="Times New Roman" w:eastAsia="Aptos" w:hAnsi="Times New Roman" w:cs="Times New Roman"/>
        </w:rPr>
        <w:t xml:space="preserve"> of all models</w:t>
      </w:r>
    </w:p>
    <w:tbl>
      <w:tblPr>
        <w:tblStyle w:val="TableGrid"/>
        <w:tblW w:w="92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3"/>
        <w:gridCol w:w="1530"/>
        <w:gridCol w:w="1261"/>
        <w:gridCol w:w="1261"/>
        <w:gridCol w:w="1263"/>
        <w:gridCol w:w="1351"/>
        <w:gridCol w:w="236"/>
      </w:tblGrid>
      <w:tr w:rsidR="00101502" w:rsidRPr="00101502" w14:paraId="2239E507" w14:textId="77777777" w:rsidTr="0019492A">
        <w:trPr>
          <w:gridAfter w:val="2"/>
          <w:wAfter w:w="1585" w:type="dxa"/>
          <w:jc w:val="center"/>
        </w:trPr>
        <w:tc>
          <w:tcPr>
            <w:tcW w:w="7650" w:type="dxa"/>
            <w:gridSpan w:val="5"/>
            <w:tcBorders>
              <w:top w:val="single" w:sz="4" w:space="0" w:color="auto"/>
              <w:bottom w:val="single" w:sz="4" w:space="0" w:color="auto"/>
            </w:tcBorders>
          </w:tcPr>
          <w:p w14:paraId="019DEA80" w14:textId="281F4CBB" w:rsidR="00101502" w:rsidRPr="00101502" w:rsidRDefault="00101502" w:rsidP="00101502">
            <w:pPr>
              <w:spacing w:line="276" w:lineRule="auto"/>
              <w:jc w:val="center"/>
              <w:rPr>
                <w:rFonts w:ascii="Times New Roman" w:eastAsia="Aptos" w:hAnsi="Times New Roman" w:cs="Times New Roman"/>
                <w:b/>
                <w:bCs/>
                <w:sz w:val="22"/>
                <w:szCs w:val="22"/>
              </w:rPr>
            </w:pPr>
            <w:r w:rsidRPr="00101502">
              <w:rPr>
                <w:rFonts w:ascii="Times New Roman" w:eastAsia="Aptos" w:hAnsi="Times New Roman" w:cs="Times New Roman"/>
                <w:b/>
                <w:bCs/>
                <w:sz w:val="22"/>
                <w:szCs w:val="22"/>
              </w:rPr>
              <w:t xml:space="preserve">TABLE </w:t>
            </w:r>
            <w:r w:rsidR="0019492A">
              <w:rPr>
                <w:rFonts w:ascii="Times New Roman" w:eastAsia="Aptos" w:hAnsi="Times New Roman" w:cs="Times New Roman"/>
                <w:b/>
                <w:bCs/>
                <w:sz w:val="22"/>
                <w:szCs w:val="22"/>
              </w:rPr>
              <w:t>1</w:t>
            </w:r>
          </w:p>
        </w:tc>
      </w:tr>
      <w:tr w:rsidR="00101502" w:rsidRPr="00101502" w14:paraId="73F7F421" w14:textId="77777777" w:rsidTr="0019492A">
        <w:trPr>
          <w:gridAfter w:val="2"/>
          <w:wAfter w:w="1585" w:type="dxa"/>
          <w:jc w:val="center"/>
        </w:trPr>
        <w:tc>
          <w:tcPr>
            <w:tcW w:w="7650" w:type="dxa"/>
            <w:gridSpan w:val="5"/>
            <w:tcBorders>
              <w:top w:val="single" w:sz="4" w:space="0" w:color="auto"/>
              <w:bottom w:val="single" w:sz="4" w:space="0" w:color="auto"/>
            </w:tcBorders>
          </w:tcPr>
          <w:p w14:paraId="2213FDAF" w14:textId="34B366CB" w:rsidR="00101502" w:rsidRPr="00101502" w:rsidRDefault="0019492A" w:rsidP="00101502">
            <w:pPr>
              <w:spacing w:line="276" w:lineRule="auto"/>
              <w:jc w:val="center"/>
              <w:rPr>
                <w:rFonts w:ascii="Times New Roman" w:eastAsia="Aptos" w:hAnsi="Times New Roman" w:cs="Times New Roman"/>
                <w:sz w:val="22"/>
                <w:szCs w:val="22"/>
              </w:rPr>
            </w:pPr>
            <w:r w:rsidRPr="003144C0">
              <w:rPr>
                <w:rFonts w:ascii="Times New Roman" w:eastAsia="Aptos" w:hAnsi="Times New Roman" w:cs="Times New Roman"/>
              </w:rPr>
              <w:t>Deviance Informati</w:t>
            </w:r>
            <w:r>
              <w:rPr>
                <w:rFonts w:ascii="Times New Roman" w:eastAsia="Aptos" w:hAnsi="Times New Roman" w:cs="Times New Roman"/>
              </w:rPr>
              <w:t>on</w:t>
            </w:r>
            <w:r w:rsidRPr="003144C0">
              <w:rPr>
                <w:rFonts w:ascii="Times New Roman" w:eastAsia="Aptos" w:hAnsi="Times New Roman" w:cs="Times New Roman"/>
              </w:rPr>
              <w:t xml:space="preserve"> Criterion (DIC)</w:t>
            </w:r>
          </w:p>
        </w:tc>
      </w:tr>
      <w:tr w:rsidR="0019492A" w:rsidRPr="00101502" w14:paraId="6A4522A7" w14:textId="77777777" w:rsidTr="0019492A">
        <w:trPr>
          <w:gridAfter w:val="2"/>
          <w:wAfter w:w="1587" w:type="dxa"/>
          <w:jc w:val="center"/>
        </w:trPr>
        <w:tc>
          <w:tcPr>
            <w:tcW w:w="2335" w:type="dxa"/>
            <w:tcBorders>
              <w:bottom w:val="single" w:sz="4" w:space="0" w:color="auto"/>
            </w:tcBorders>
          </w:tcPr>
          <w:p w14:paraId="0A5D9E79" w14:textId="7122CDED" w:rsidR="0019492A" w:rsidRPr="00101502" w:rsidRDefault="0019492A" w:rsidP="00101502">
            <w:pPr>
              <w:spacing w:line="276" w:lineRule="auto"/>
              <w:ind w:left="520"/>
              <w:jc w:val="both"/>
              <w:rPr>
                <w:rFonts w:ascii="Times New Roman" w:eastAsia="Aptos" w:hAnsi="Times New Roman" w:cs="Times New Roman"/>
                <w:b/>
                <w:bCs/>
                <w:sz w:val="22"/>
                <w:szCs w:val="22"/>
              </w:rPr>
            </w:pPr>
            <w:r>
              <w:rPr>
                <w:rFonts w:ascii="Times New Roman" w:eastAsia="Aptos" w:hAnsi="Times New Roman" w:cs="Times New Roman"/>
                <w:b/>
                <w:bCs/>
                <w:sz w:val="22"/>
                <w:szCs w:val="22"/>
              </w:rPr>
              <w:t>Measured variables</w:t>
            </w:r>
          </w:p>
        </w:tc>
        <w:tc>
          <w:tcPr>
            <w:tcW w:w="1530" w:type="dxa"/>
            <w:tcBorders>
              <w:bottom w:val="single" w:sz="4" w:space="0" w:color="auto"/>
            </w:tcBorders>
          </w:tcPr>
          <w:p w14:paraId="44954938" w14:textId="0B018774" w:rsidR="0019492A" w:rsidRPr="00101502" w:rsidRDefault="0019492A" w:rsidP="00101502">
            <w:pPr>
              <w:spacing w:line="276" w:lineRule="auto"/>
              <w:jc w:val="both"/>
              <w:rPr>
                <w:rFonts w:ascii="Times New Roman" w:eastAsia="Aptos" w:hAnsi="Times New Roman" w:cs="Times New Roman"/>
                <w:b/>
                <w:bCs/>
                <w:sz w:val="22"/>
                <w:szCs w:val="22"/>
              </w:rPr>
            </w:pPr>
            <w:r>
              <w:rPr>
                <w:rFonts w:ascii="Times New Roman" w:eastAsia="Aptos" w:hAnsi="Times New Roman" w:cs="Times New Roman"/>
                <w:b/>
                <w:bCs/>
                <w:sz w:val="22"/>
                <w:szCs w:val="22"/>
              </w:rPr>
              <w:t>Null model</w:t>
            </w:r>
          </w:p>
        </w:tc>
        <w:tc>
          <w:tcPr>
            <w:tcW w:w="1261" w:type="dxa"/>
            <w:tcBorders>
              <w:bottom w:val="single" w:sz="4" w:space="0" w:color="auto"/>
            </w:tcBorders>
          </w:tcPr>
          <w:p w14:paraId="2E26CB34" w14:textId="41EC86EC" w:rsidR="0019492A" w:rsidRPr="00101502" w:rsidRDefault="0019492A" w:rsidP="00101502">
            <w:pPr>
              <w:spacing w:line="276" w:lineRule="auto"/>
              <w:jc w:val="both"/>
              <w:rPr>
                <w:rFonts w:ascii="Times New Roman" w:eastAsia="Aptos" w:hAnsi="Times New Roman" w:cs="Times New Roman"/>
                <w:b/>
                <w:bCs/>
                <w:sz w:val="22"/>
                <w:szCs w:val="22"/>
              </w:rPr>
            </w:pPr>
            <w:r>
              <w:rPr>
                <w:rFonts w:ascii="Times New Roman" w:eastAsia="Aptos" w:hAnsi="Times New Roman" w:cs="Times New Roman"/>
                <w:b/>
                <w:bCs/>
                <w:sz w:val="22"/>
                <w:szCs w:val="22"/>
              </w:rPr>
              <w:t>Additive model</w:t>
            </w:r>
          </w:p>
        </w:tc>
        <w:tc>
          <w:tcPr>
            <w:tcW w:w="1261" w:type="dxa"/>
            <w:tcBorders>
              <w:bottom w:val="single" w:sz="4" w:space="0" w:color="auto"/>
            </w:tcBorders>
          </w:tcPr>
          <w:p w14:paraId="214E45E9" w14:textId="7B74CBF7" w:rsidR="0019492A" w:rsidRPr="00101502" w:rsidRDefault="0019492A" w:rsidP="00101502">
            <w:pPr>
              <w:spacing w:line="276" w:lineRule="auto"/>
              <w:jc w:val="both"/>
              <w:rPr>
                <w:rFonts w:ascii="Times New Roman" w:eastAsia="Aptos" w:hAnsi="Times New Roman" w:cs="Times New Roman"/>
                <w:b/>
                <w:bCs/>
                <w:sz w:val="22"/>
                <w:szCs w:val="22"/>
              </w:rPr>
            </w:pPr>
            <w:r>
              <w:rPr>
                <w:rFonts w:ascii="Times New Roman" w:eastAsia="Aptos" w:hAnsi="Times New Roman" w:cs="Times New Roman"/>
                <w:b/>
                <w:bCs/>
                <w:sz w:val="22"/>
                <w:szCs w:val="22"/>
              </w:rPr>
              <w:t>Full model</w:t>
            </w:r>
          </w:p>
        </w:tc>
        <w:tc>
          <w:tcPr>
            <w:tcW w:w="1261" w:type="dxa"/>
            <w:tcBorders>
              <w:bottom w:val="single" w:sz="4" w:space="0" w:color="auto"/>
            </w:tcBorders>
          </w:tcPr>
          <w:p w14:paraId="52DCC214" w14:textId="66A1FE09" w:rsidR="0019492A" w:rsidRPr="00101502" w:rsidRDefault="0019492A" w:rsidP="00101502">
            <w:pPr>
              <w:spacing w:line="276" w:lineRule="auto"/>
              <w:jc w:val="both"/>
              <w:rPr>
                <w:rFonts w:ascii="Times New Roman" w:eastAsia="Aptos" w:hAnsi="Times New Roman" w:cs="Times New Roman"/>
                <w:b/>
                <w:bCs/>
                <w:sz w:val="22"/>
                <w:szCs w:val="22"/>
              </w:rPr>
            </w:pPr>
            <w:r>
              <w:rPr>
                <w:rFonts w:ascii="Times New Roman" w:eastAsia="Aptos" w:hAnsi="Times New Roman" w:cs="Times New Roman"/>
                <w:b/>
                <w:bCs/>
                <w:sz w:val="22"/>
                <w:szCs w:val="22"/>
              </w:rPr>
              <w:t>Best model</w:t>
            </w:r>
          </w:p>
        </w:tc>
      </w:tr>
      <w:tr w:rsidR="0019492A" w:rsidRPr="00101502" w14:paraId="7A76AB57" w14:textId="77777777" w:rsidTr="0019492A">
        <w:trPr>
          <w:gridAfter w:val="2"/>
          <w:wAfter w:w="1587" w:type="dxa"/>
          <w:jc w:val="center"/>
        </w:trPr>
        <w:tc>
          <w:tcPr>
            <w:tcW w:w="2335" w:type="dxa"/>
            <w:tcBorders>
              <w:top w:val="single" w:sz="4" w:space="0" w:color="auto"/>
            </w:tcBorders>
          </w:tcPr>
          <w:p w14:paraId="794F581A" w14:textId="2178EC53" w:rsidR="0019492A" w:rsidRPr="00101502" w:rsidRDefault="0019492A" w:rsidP="00101502">
            <w:pPr>
              <w:spacing w:line="276" w:lineRule="auto"/>
              <w:rPr>
                <w:rFonts w:ascii="Times New Roman" w:eastAsia="Aptos" w:hAnsi="Times New Roman" w:cs="Times New Roman"/>
              </w:rPr>
            </w:pPr>
            <w:r w:rsidRPr="0019492A">
              <w:rPr>
                <w:rFonts w:ascii="Times New Roman" w:eastAsia="Aptos" w:hAnsi="Times New Roman" w:cs="Times New Roman"/>
              </w:rPr>
              <w:t>Auditory thresholds</w:t>
            </w:r>
          </w:p>
        </w:tc>
        <w:tc>
          <w:tcPr>
            <w:tcW w:w="1530" w:type="dxa"/>
            <w:tcBorders>
              <w:top w:val="single" w:sz="4" w:space="0" w:color="auto"/>
            </w:tcBorders>
          </w:tcPr>
          <w:p w14:paraId="73F3CBD0" w14:textId="58C6E13D" w:rsidR="0019492A" w:rsidRPr="00101502" w:rsidRDefault="0019492A"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5752.525</w:t>
            </w:r>
          </w:p>
        </w:tc>
        <w:tc>
          <w:tcPr>
            <w:tcW w:w="1261" w:type="dxa"/>
            <w:tcBorders>
              <w:top w:val="single" w:sz="4" w:space="0" w:color="auto"/>
            </w:tcBorders>
          </w:tcPr>
          <w:p w14:paraId="6ADED9D4" w14:textId="53A2298D" w:rsidR="0019492A" w:rsidRPr="00101502" w:rsidRDefault="0019492A"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5752.839</w:t>
            </w:r>
          </w:p>
        </w:tc>
        <w:tc>
          <w:tcPr>
            <w:tcW w:w="1261" w:type="dxa"/>
            <w:tcBorders>
              <w:top w:val="single" w:sz="4" w:space="0" w:color="auto"/>
            </w:tcBorders>
          </w:tcPr>
          <w:p w14:paraId="0257902E" w14:textId="41AD2B4D" w:rsidR="0019492A" w:rsidRPr="00101502" w:rsidRDefault="0019492A"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5725.523</w:t>
            </w:r>
          </w:p>
        </w:tc>
        <w:tc>
          <w:tcPr>
            <w:tcW w:w="1261" w:type="dxa"/>
            <w:tcBorders>
              <w:top w:val="single" w:sz="4" w:space="0" w:color="auto"/>
            </w:tcBorders>
          </w:tcPr>
          <w:p w14:paraId="7442F96B" w14:textId="192561C9" w:rsidR="0019492A" w:rsidRPr="00101502" w:rsidRDefault="0019492A"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Full</w:t>
            </w:r>
          </w:p>
        </w:tc>
      </w:tr>
      <w:tr w:rsidR="0019492A" w:rsidRPr="00101502" w14:paraId="35D643D7" w14:textId="77777777" w:rsidTr="0019492A">
        <w:trPr>
          <w:gridAfter w:val="2"/>
          <w:wAfter w:w="1587" w:type="dxa"/>
          <w:jc w:val="center"/>
        </w:trPr>
        <w:tc>
          <w:tcPr>
            <w:tcW w:w="2335" w:type="dxa"/>
          </w:tcPr>
          <w:p w14:paraId="35981314" w14:textId="62180668" w:rsidR="0019492A" w:rsidRPr="00101502" w:rsidRDefault="0019492A" w:rsidP="00101502">
            <w:pPr>
              <w:spacing w:line="276" w:lineRule="auto"/>
              <w:rPr>
                <w:rFonts w:ascii="Times New Roman" w:eastAsia="Aptos" w:hAnsi="Times New Roman" w:cs="Times New Roman"/>
              </w:rPr>
            </w:pPr>
            <w:r w:rsidRPr="0019492A">
              <w:rPr>
                <w:rFonts w:ascii="Times New Roman" w:eastAsia="Aptos" w:hAnsi="Times New Roman" w:cs="Times New Roman"/>
              </w:rPr>
              <w:t>Click thresholds</w:t>
            </w:r>
          </w:p>
        </w:tc>
        <w:tc>
          <w:tcPr>
            <w:tcW w:w="1530" w:type="dxa"/>
          </w:tcPr>
          <w:p w14:paraId="2620C474" w14:textId="50A64730" w:rsidR="0019492A" w:rsidRPr="00101502" w:rsidRDefault="0019492A"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- 539.0838</w:t>
            </w:r>
          </w:p>
        </w:tc>
        <w:tc>
          <w:tcPr>
            <w:tcW w:w="1261" w:type="dxa"/>
          </w:tcPr>
          <w:p w14:paraId="521D55FB" w14:textId="6C3DFBAC" w:rsidR="0019492A" w:rsidRPr="00101502" w:rsidRDefault="0019492A"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w:t>
            </w:r>
          </w:p>
        </w:tc>
        <w:tc>
          <w:tcPr>
            <w:tcW w:w="1261" w:type="dxa"/>
          </w:tcPr>
          <w:p w14:paraId="4A784EBB" w14:textId="1605EB30" w:rsidR="0019492A" w:rsidRPr="00101502" w:rsidRDefault="0019492A"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- 601.8546</w:t>
            </w:r>
          </w:p>
        </w:tc>
        <w:tc>
          <w:tcPr>
            <w:tcW w:w="1261" w:type="dxa"/>
          </w:tcPr>
          <w:p w14:paraId="04713FE4" w14:textId="051E9CFA" w:rsidR="0019492A" w:rsidRPr="00101502" w:rsidRDefault="0019492A"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Full</w:t>
            </w:r>
          </w:p>
        </w:tc>
      </w:tr>
      <w:tr w:rsidR="0019492A" w:rsidRPr="00101502" w14:paraId="0062CFB6" w14:textId="77777777" w:rsidTr="0019492A">
        <w:trPr>
          <w:gridAfter w:val="2"/>
          <w:wAfter w:w="1587" w:type="dxa"/>
          <w:jc w:val="center"/>
        </w:trPr>
        <w:tc>
          <w:tcPr>
            <w:tcW w:w="2335" w:type="dxa"/>
          </w:tcPr>
          <w:p w14:paraId="77F57228" w14:textId="65D0D3AB" w:rsidR="0019492A" w:rsidRPr="00101502" w:rsidRDefault="0019492A" w:rsidP="00101502">
            <w:pPr>
              <w:spacing w:line="276" w:lineRule="auto"/>
              <w:rPr>
                <w:rFonts w:ascii="Times New Roman" w:eastAsia="Aptos" w:hAnsi="Times New Roman" w:cs="Times New Roman"/>
              </w:rPr>
            </w:pPr>
            <w:r w:rsidRPr="0019492A">
              <w:rPr>
                <w:rFonts w:ascii="Times New Roman" w:eastAsia="Aptos" w:hAnsi="Times New Roman" w:cs="Times New Roman"/>
              </w:rPr>
              <w:t>Interpeak latency</w:t>
            </w:r>
          </w:p>
        </w:tc>
        <w:tc>
          <w:tcPr>
            <w:tcW w:w="1530" w:type="dxa"/>
          </w:tcPr>
          <w:p w14:paraId="1E296DAE" w14:textId="7C75B340" w:rsidR="0019492A" w:rsidRPr="00101502" w:rsidRDefault="0019492A"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854.0285</w:t>
            </w:r>
          </w:p>
        </w:tc>
        <w:tc>
          <w:tcPr>
            <w:tcW w:w="1261" w:type="dxa"/>
          </w:tcPr>
          <w:p w14:paraId="36617D82" w14:textId="5BF091A8" w:rsidR="0019492A" w:rsidRPr="00101502" w:rsidRDefault="0019492A"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853.7561</w:t>
            </w:r>
          </w:p>
        </w:tc>
        <w:tc>
          <w:tcPr>
            <w:tcW w:w="1261" w:type="dxa"/>
          </w:tcPr>
          <w:p w14:paraId="5518C123" w14:textId="003A5F3C" w:rsidR="0019492A" w:rsidRPr="00101502" w:rsidRDefault="0019492A"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869.6138</w:t>
            </w:r>
          </w:p>
        </w:tc>
        <w:tc>
          <w:tcPr>
            <w:tcW w:w="1261" w:type="dxa"/>
          </w:tcPr>
          <w:p w14:paraId="31B63E8C" w14:textId="1DD46B24" w:rsidR="0019492A" w:rsidRPr="00101502" w:rsidRDefault="0019492A"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Additive</w:t>
            </w:r>
          </w:p>
        </w:tc>
      </w:tr>
      <w:tr w:rsidR="0019492A" w:rsidRPr="00101502" w14:paraId="76BB86FB" w14:textId="77777777" w:rsidTr="0019492A">
        <w:trPr>
          <w:gridAfter w:val="2"/>
          <w:wAfter w:w="1587" w:type="dxa"/>
          <w:jc w:val="center"/>
        </w:trPr>
        <w:tc>
          <w:tcPr>
            <w:tcW w:w="2335" w:type="dxa"/>
          </w:tcPr>
          <w:p w14:paraId="69C71DE8" w14:textId="7BD75D6C" w:rsidR="0019492A" w:rsidRPr="00101502" w:rsidRDefault="0019492A" w:rsidP="00101502">
            <w:pPr>
              <w:spacing w:line="276" w:lineRule="auto"/>
              <w:rPr>
                <w:rFonts w:ascii="Times New Roman" w:eastAsia="Aptos" w:hAnsi="Times New Roman" w:cs="Times New Roman"/>
              </w:rPr>
            </w:pPr>
            <w:r w:rsidRPr="0019492A">
              <w:rPr>
                <w:rFonts w:ascii="Times New Roman" w:eastAsia="Aptos" w:hAnsi="Times New Roman" w:cs="Times New Roman"/>
              </w:rPr>
              <w:t>Amplitude ratio</w:t>
            </w:r>
          </w:p>
        </w:tc>
        <w:tc>
          <w:tcPr>
            <w:tcW w:w="1530" w:type="dxa"/>
          </w:tcPr>
          <w:p w14:paraId="16D32E3E" w14:textId="24392230" w:rsidR="0019492A" w:rsidRPr="00101502" w:rsidRDefault="0019492A"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378.27.2</w:t>
            </w:r>
          </w:p>
        </w:tc>
        <w:tc>
          <w:tcPr>
            <w:tcW w:w="1261" w:type="dxa"/>
          </w:tcPr>
          <w:p w14:paraId="3EA1C409" w14:textId="55313ED0"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377.7405</w:t>
            </w:r>
          </w:p>
        </w:tc>
        <w:tc>
          <w:tcPr>
            <w:tcW w:w="1261" w:type="dxa"/>
          </w:tcPr>
          <w:p w14:paraId="5EEA59FF" w14:textId="5F8F8249"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391.8661</w:t>
            </w:r>
          </w:p>
        </w:tc>
        <w:tc>
          <w:tcPr>
            <w:tcW w:w="1261" w:type="dxa"/>
          </w:tcPr>
          <w:p w14:paraId="5F8B6579" w14:textId="0A311B3B"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Additive</w:t>
            </w:r>
          </w:p>
        </w:tc>
      </w:tr>
      <w:tr w:rsidR="0019492A" w:rsidRPr="00101502" w14:paraId="18E71BE4" w14:textId="77777777" w:rsidTr="0019492A">
        <w:trPr>
          <w:gridAfter w:val="2"/>
          <w:wAfter w:w="1587" w:type="dxa"/>
          <w:jc w:val="center"/>
        </w:trPr>
        <w:tc>
          <w:tcPr>
            <w:tcW w:w="2335" w:type="dxa"/>
          </w:tcPr>
          <w:p w14:paraId="1336544E" w14:textId="22468570" w:rsidR="0019492A" w:rsidRPr="00101502" w:rsidRDefault="0019492A" w:rsidP="00101502">
            <w:pPr>
              <w:spacing w:line="276" w:lineRule="auto"/>
              <w:rPr>
                <w:rFonts w:ascii="Times New Roman" w:eastAsia="Aptos" w:hAnsi="Times New Roman" w:cs="Times New Roman"/>
              </w:rPr>
            </w:pPr>
            <w:r w:rsidRPr="0019492A">
              <w:rPr>
                <w:rFonts w:ascii="Times New Roman" w:eastAsia="Aptos" w:hAnsi="Times New Roman" w:cs="Times New Roman"/>
              </w:rPr>
              <w:t>Normalized Latency</w:t>
            </w:r>
          </w:p>
        </w:tc>
        <w:tc>
          <w:tcPr>
            <w:tcW w:w="1530" w:type="dxa"/>
          </w:tcPr>
          <w:p w14:paraId="264CF766" w14:textId="01C7DD41"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904.0789</w:t>
            </w:r>
          </w:p>
        </w:tc>
        <w:tc>
          <w:tcPr>
            <w:tcW w:w="1261" w:type="dxa"/>
          </w:tcPr>
          <w:p w14:paraId="71BBCD55" w14:textId="420F2FC8"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903.9037</w:t>
            </w:r>
          </w:p>
        </w:tc>
        <w:tc>
          <w:tcPr>
            <w:tcW w:w="1261" w:type="dxa"/>
          </w:tcPr>
          <w:p w14:paraId="4CC12872" w14:textId="3F80458C"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880.9605</w:t>
            </w:r>
          </w:p>
        </w:tc>
        <w:tc>
          <w:tcPr>
            <w:tcW w:w="1261" w:type="dxa"/>
          </w:tcPr>
          <w:p w14:paraId="29396CEA" w14:textId="06579D67"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Full</w:t>
            </w:r>
          </w:p>
        </w:tc>
      </w:tr>
      <w:tr w:rsidR="0019492A" w:rsidRPr="00101502" w14:paraId="09DC5CA0" w14:textId="77777777" w:rsidTr="0019492A">
        <w:trPr>
          <w:gridAfter w:val="2"/>
          <w:wAfter w:w="1587" w:type="dxa"/>
          <w:jc w:val="center"/>
        </w:trPr>
        <w:tc>
          <w:tcPr>
            <w:tcW w:w="2335" w:type="dxa"/>
          </w:tcPr>
          <w:p w14:paraId="7525B8FD" w14:textId="434D21A5" w:rsidR="0019492A" w:rsidRPr="00101502" w:rsidRDefault="0019492A" w:rsidP="00101502">
            <w:pPr>
              <w:spacing w:line="276" w:lineRule="auto"/>
              <w:rPr>
                <w:rFonts w:ascii="Times New Roman" w:eastAsia="Aptos" w:hAnsi="Times New Roman" w:cs="Times New Roman"/>
              </w:rPr>
            </w:pPr>
            <w:r w:rsidRPr="0019492A">
              <w:rPr>
                <w:rFonts w:ascii="Times New Roman" w:eastAsia="Aptos" w:hAnsi="Times New Roman" w:cs="Times New Roman"/>
              </w:rPr>
              <w:t>Relative Amplitude</w:t>
            </w:r>
          </w:p>
        </w:tc>
        <w:tc>
          <w:tcPr>
            <w:tcW w:w="1530" w:type="dxa"/>
          </w:tcPr>
          <w:p w14:paraId="4336C6D5" w14:textId="2BAAE40F"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6169.966</w:t>
            </w:r>
          </w:p>
        </w:tc>
        <w:tc>
          <w:tcPr>
            <w:tcW w:w="1261" w:type="dxa"/>
          </w:tcPr>
          <w:p w14:paraId="2776BC36" w14:textId="317C2BA9"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6169.221</w:t>
            </w:r>
          </w:p>
        </w:tc>
        <w:tc>
          <w:tcPr>
            <w:tcW w:w="1261" w:type="dxa"/>
          </w:tcPr>
          <w:p w14:paraId="111F2D80" w14:textId="00761999"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6163.805</w:t>
            </w:r>
          </w:p>
        </w:tc>
        <w:tc>
          <w:tcPr>
            <w:tcW w:w="1261" w:type="dxa"/>
          </w:tcPr>
          <w:p w14:paraId="74213EB8" w14:textId="72D5C991"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Full</w:t>
            </w:r>
          </w:p>
        </w:tc>
      </w:tr>
      <w:tr w:rsidR="0019492A" w:rsidRPr="00101502" w14:paraId="4091D3D7" w14:textId="77777777" w:rsidTr="0019492A">
        <w:trPr>
          <w:gridAfter w:val="2"/>
          <w:wAfter w:w="1587" w:type="dxa"/>
          <w:jc w:val="center"/>
        </w:trPr>
        <w:tc>
          <w:tcPr>
            <w:tcW w:w="2335" w:type="dxa"/>
          </w:tcPr>
          <w:p w14:paraId="77C48E2D" w14:textId="34B869B0" w:rsidR="0019492A" w:rsidRPr="0019492A" w:rsidRDefault="0019492A" w:rsidP="00101502">
            <w:pPr>
              <w:spacing w:line="276" w:lineRule="auto"/>
              <w:rPr>
                <w:rFonts w:ascii="Times New Roman" w:eastAsia="Aptos" w:hAnsi="Times New Roman" w:cs="Times New Roman"/>
              </w:rPr>
            </w:pPr>
            <w:r w:rsidRPr="0019492A">
              <w:rPr>
                <w:rFonts w:ascii="Times New Roman" w:eastAsia="Aptos" w:hAnsi="Times New Roman" w:cs="Times New Roman"/>
              </w:rPr>
              <w:t>Wave I amplitude</w:t>
            </w:r>
          </w:p>
        </w:tc>
        <w:tc>
          <w:tcPr>
            <w:tcW w:w="1530" w:type="dxa"/>
          </w:tcPr>
          <w:p w14:paraId="4A8F4B69" w14:textId="3B29AC7A"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2561.229</w:t>
            </w:r>
          </w:p>
        </w:tc>
        <w:tc>
          <w:tcPr>
            <w:tcW w:w="1261" w:type="dxa"/>
          </w:tcPr>
          <w:p w14:paraId="764CC6BF" w14:textId="697551EF"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2561.105</w:t>
            </w:r>
          </w:p>
        </w:tc>
        <w:tc>
          <w:tcPr>
            <w:tcW w:w="1261" w:type="dxa"/>
          </w:tcPr>
          <w:p w14:paraId="7A7171CA" w14:textId="306B4069"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2533.866</w:t>
            </w:r>
          </w:p>
        </w:tc>
        <w:tc>
          <w:tcPr>
            <w:tcW w:w="1261" w:type="dxa"/>
          </w:tcPr>
          <w:p w14:paraId="6D273B81" w14:textId="66B8B45C"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Full</w:t>
            </w:r>
          </w:p>
        </w:tc>
      </w:tr>
      <w:tr w:rsidR="0019492A" w:rsidRPr="00101502" w14:paraId="19AA0629" w14:textId="77777777" w:rsidTr="0019492A">
        <w:trPr>
          <w:gridAfter w:val="2"/>
          <w:wAfter w:w="1587" w:type="dxa"/>
          <w:jc w:val="center"/>
        </w:trPr>
        <w:tc>
          <w:tcPr>
            <w:tcW w:w="2335" w:type="dxa"/>
          </w:tcPr>
          <w:p w14:paraId="3578B1C1" w14:textId="6AB79048" w:rsidR="0019492A" w:rsidRPr="0019492A" w:rsidRDefault="0019492A" w:rsidP="00101502">
            <w:pPr>
              <w:spacing w:line="276" w:lineRule="auto"/>
              <w:rPr>
                <w:rFonts w:ascii="Times New Roman" w:eastAsia="Aptos" w:hAnsi="Times New Roman" w:cs="Times New Roman"/>
              </w:rPr>
            </w:pPr>
            <w:r w:rsidRPr="0019492A">
              <w:rPr>
                <w:rFonts w:ascii="Times New Roman" w:eastAsia="Aptos" w:hAnsi="Times New Roman" w:cs="Times New Roman"/>
              </w:rPr>
              <w:t>Wave IV amplitude</w:t>
            </w:r>
          </w:p>
        </w:tc>
        <w:tc>
          <w:tcPr>
            <w:tcW w:w="1530" w:type="dxa"/>
          </w:tcPr>
          <w:p w14:paraId="7247FA00" w14:textId="03D7A05A"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2388.517</w:t>
            </w:r>
          </w:p>
        </w:tc>
        <w:tc>
          <w:tcPr>
            <w:tcW w:w="1261" w:type="dxa"/>
          </w:tcPr>
          <w:p w14:paraId="4E4EB761" w14:textId="0197A4C7"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2388.181</w:t>
            </w:r>
          </w:p>
        </w:tc>
        <w:tc>
          <w:tcPr>
            <w:tcW w:w="1261" w:type="dxa"/>
          </w:tcPr>
          <w:p w14:paraId="3CDDD4F0" w14:textId="74282036"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2391.162</w:t>
            </w:r>
          </w:p>
        </w:tc>
        <w:tc>
          <w:tcPr>
            <w:tcW w:w="1261" w:type="dxa"/>
          </w:tcPr>
          <w:p w14:paraId="253EC6B8" w14:textId="20BE5441"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Additive</w:t>
            </w:r>
          </w:p>
        </w:tc>
      </w:tr>
      <w:tr w:rsidR="0019492A" w:rsidRPr="00101502" w14:paraId="09D3DA91" w14:textId="77777777" w:rsidTr="0019492A">
        <w:trPr>
          <w:gridAfter w:val="2"/>
          <w:wAfter w:w="1587" w:type="dxa"/>
          <w:jc w:val="center"/>
        </w:trPr>
        <w:tc>
          <w:tcPr>
            <w:tcW w:w="2335" w:type="dxa"/>
          </w:tcPr>
          <w:p w14:paraId="65DA1B66" w14:textId="66C0524B" w:rsidR="0019492A" w:rsidRPr="00101502" w:rsidRDefault="0019492A" w:rsidP="00101502">
            <w:pPr>
              <w:spacing w:line="276" w:lineRule="auto"/>
              <w:rPr>
                <w:rFonts w:ascii="Times New Roman" w:eastAsia="Aptos" w:hAnsi="Times New Roman" w:cs="Times New Roman"/>
              </w:rPr>
            </w:pPr>
            <w:r w:rsidRPr="0019492A">
              <w:rPr>
                <w:rFonts w:ascii="Times New Roman" w:eastAsia="Aptos" w:hAnsi="Times New Roman" w:cs="Times New Roman"/>
              </w:rPr>
              <w:t>Wave I Latency</w:t>
            </w:r>
          </w:p>
        </w:tc>
        <w:tc>
          <w:tcPr>
            <w:tcW w:w="1530" w:type="dxa"/>
          </w:tcPr>
          <w:p w14:paraId="7B59F783" w14:textId="4911E985"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412.6882</w:t>
            </w:r>
          </w:p>
        </w:tc>
        <w:tc>
          <w:tcPr>
            <w:tcW w:w="1261" w:type="dxa"/>
          </w:tcPr>
          <w:p w14:paraId="4579462A" w14:textId="0E08D20D"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412.2231</w:t>
            </w:r>
          </w:p>
        </w:tc>
        <w:tc>
          <w:tcPr>
            <w:tcW w:w="1261" w:type="dxa"/>
          </w:tcPr>
          <w:p w14:paraId="5885908C" w14:textId="627CC21F"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427.9876</w:t>
            </w:r>
          </w:p>
        </w:tc>
        <w:tc>
          <w:tcPr>
            <w:tcW w:w="1261" w:type="dxa"/>
          </w:tcPr>
          <w:p w14:paraId="17073C27" w14:textId="2459B894"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Additive</w:t>
            </w:r>
          </w:p>
        </w:tc>
      </w:tr>
      <w:tr w:rsidR="0019492A" w:rsidRPr="00101502" w14:paraId="4A4DE6AD" w14:textId="77777777" w:rsidTr="0019492A">
        <w:trPr>
          <w:gridAfter w:val="2"/>
          <w:wAfter w:w="1587" w:type="dxa"/>
          <w:jc w:val="center"/>
        </w:trPr>
        <w:tc>
          <w:tcPr>
            <w:tcW w:w="2335" w:type="dxa"/>
            <w:tcBorders>
              <w:bottom w:val="single" w:sz="4" w:space="0" w:color="auto"/>
            </w:tcBorders>
          </w:tcPr>
          <w:p w14:paraId="1F749C55" w14:textId="4FF062DE" w:rsidR="0019492A" w:rsidRPr="00101502" w:rsidRDefault="0019492A" w:rsidP="00101502">
            <w:pPr>
              <w:spacing w:line="276" w:lineRule="auto"/>
              <w:rPr>
                <w:rFonts w:ascii="Times New Roman" w:eastAsia="Aptos" w:hAnsi="Times New Roman" w:cs="Times New Roman"/>
              </w:rPr>
            </w:pPr>
            <w:r w:rsidRPr="0019492A">
              <w:rPr>
                <w:rFonts w:ascii="Times New Roman" w:eastAsia="Aptos" w:hAnsi="Times New Roman" w:cs="Times New Roman"/>
              </w:rPr>
              <w:t>Wave IV latency</w:t>
            </w:r>
          </w:p>
        </w:tc>
        <w:tc>
          <w:tcPr>
            <w:tcW w:w="1530" w:type="dxa"/>
            <w:tcBorders>
              <w:bottom w:val="single" w:sz="4" w:space="0" w:color="auto"/>
            </w:tcBorders>
          </w:tcPr>
          <w:p w14:paraId="579E306F" w14:textId="7440B8EB"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756.7111</w:t>
            </w:r>
          </w:p>
        </w:tc>
        <w:tc>
          <w:tcPr>
            <w:tcW w:w="1261" w:type="dxa"/>
            <w:tcBorders>
              <w:bottom w:val="single" w:sz="4" w:space="0" w:color="auto"/>
            </w:tcBorders>
          </w:tcPr>
          <w:p w14:paraId="6AB4FE12" w14:textId="08B236D2"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756.0618</w:t>
            </w:r>
          </w:p>
        </w:tc>
        <w:tc>
          <w:tcPr>
            <w:tcW w:w="1261" w:type="dxa"/>
            <w:tcBorders>
              <w:bottom w:val="single" w:sz="4" w:space="0" w:color="auto"/>
            </w:tcBorders>
          </w:tcPr>
          <w:p w14:paraId="3C83DA05" w14:textId="1C667EBE"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772.1311</w:t>
            </w:r>
          </w:p>
        </w:tc>
        <w:tc>
          <w:tcPr>
            <w:tcW w:w="1261" w:type="dxa"/>
            <w:tcBorders>
              <w:bottom w:val="single" w:sz="4" w:space="0" w:color="auto"/>
            </w:tcBorders>
          </w:tcPr>
          <w:p w14:paraId="294FD7B8" w14:textId="5E264C7C" w:rsidR="0019492A" w:rsidRPr="00101502" w:rsidRDefault="004E592E" w:rsidP="00101502">
            <w:pPr>
              <w:spacing w:line="276" w:lineRule="auto"/>
              <w:rPr>
                <w:rFonts w:ascii="Times New Roman" w:eastAsia="Aptos" w:hAnsi="Times New Roman" w:cs="Times New Roman"/>
                <w:sz w:val="22"/>
                <w:szCs w:val="22"/>
              </w:rPr>
            </w:pPr>
            <w:r>
              <w:rPr>
                <w:rFonts w:ascii="Times New Roman" w:eastAsia="Aptos" w:hAnsi="Times New Roman" w:cs="Times New Roman"/>
                <w:sz w:val="22"/>
                <w:szCs w:val="22"/>
              </w:rPr>
              <w:t>Additive</w:t>
            </w:r>
          </w:p>
        </w:tc>
      </w:tr>
      <w:tr w:rsidR="00101502" w:rsidRPr="00101502" w14:paraId="0A486A50" w14:textId="77777777" w:rsidTr="0019492A">
        <w:trPr>
          <w:jc w:val="center"/>
        </w:trPr>
        <w:tc>
          <w:tcPr>
            <w:tcW w:w="2335" w:type="dxa"/>
          </w:tcPr>
          <w:p w14:paraId="29975D01" w14:textId="77777777" w:rsidR="00101502" w:rsidRPr="00101502" w:rsidRDefault="00101502" w:rsidP="00101502">
            <w:pPr>
              <w:spacing w:line="276" w:lineRule="auto"/>
              <w:rPr>
                <w:rFonts w:ascii="Times New Roman" w:eastAsia="Aptos" w:hAnsi="Times New Roman" w:cs="Times New Roman"/>
                <w:i/>
                <w:iCs/>
                <w:sz w:val="22"/>
                <w:szCs w:val="22"/>
              </w:rPr>
            </w:pPr>
          </w:p>
        </w:tc>
        <w:tc>
          <w:tcPr>
            <w:tcW w:w="1530" w:type="dxa"/>
          </w:tcPr>
          <w:p w14:paraId="2ED7C741" w14:textId="77777777" w:rsidR="00101502" w:rsidRPr="00101502" w:rsidRDefault="00101502" w:rsidP="00101502">
            <w:pPr>
              <w:spacing w:line="276" w:lineRule="auto"/>
              <w:rPr>
                <w:rFonts w:ascii="Times New Roman" w:eastAsia="Aptos" w:hAnsi="Times New Roman" w:cs="Times New Roman"/>
                <w:sz w:val="22"/>
                <w:szCs w:val="22"/>
              </w:rPr>
            </w:pPr>
          </w:p>
        </w:tc>
        <w:tc>
          <w:tcPr>
            <w:tcW w:w="1261" w:type="dxa"/>
          </w:tcPr>
          <w:p w14:paraId="2703E4ED" w14:textId="77777777" w:rsidR="00101502" w:rsidRPr="00101502" w:rsidRDefault="00101502" w:rsidP="00101502">
            <w:pPr>
              <w:spacing w:line="276" w:lineRule="auto"/>
              <w:rPr>
                <w:rFonts w:ascii="Times New Roman" w:eastAsia="Aptos" w:hAnsi="Times New Roman" w:cs="Times New Roman"/>
                <w:sz w:val="22"/>
                <w:szCs w:val="22"/>
              </w:rPr>
            </w:pPr>
          </w:p>
        </w:tc>
        <w:tc>
          <w:tcPr>
            <w:tcW w:w="1261" w:type="dxa"/>
          </w:tcPr>
          <w:p w14:paraId="5B72298B" w14:textId="77777777" w:rsidR="00101502" w:rsidRPr="00101502" w:rsidRDefault="00101502" w:rsidP="00101502">
            <w:pPr>
              <w:spacing w:line="276" w:lineRule="auto"/>
              <w:rPr>
                <w:rFonts w:ascii="Times New Roman" w:eastAsia="Aptos" w:hAnsi="Times New Roman" w:cs="Times New Roman"/>
                <w:sz w:val="22"/>
                <w:szCs w:val="22"/>
              </w:rPr>
            </w:pPr>
          </w:p>
        </w:tc>
        <w:tc>
          <w:tcPr>
            <w:tcW w:w="1261" w:type="dxa"/>
          </w:tcPr>
          <w:p w14:paraId="45B0A458" w14:textId="77777777" w:rsidR="00101502" w:rsidRPr="00101502" w:rsidRDefault="00101502" w:rsidP="00101502">
            <w:pPr>
              <w:spacing w:line="276" w:lineRule="auto"/>
              <w:rPr>
                <w:rFonts w:ascii="Times New Roman" w:eastAsia="Aptos" w:hAnsi="Times New Roman" w:cs="Times New Roman"/>
                <w:sz w:val="22"/>
                <w:szCs w:val="22"/>
              </w:rPr>
            </w:pPr>
          </w:p>
        </w:tc>
        <w:tc>
          <w:tcPr>
            <w:tcW w:w="1351" w:type="dxa"/>
          </w:tcPr>
          <w:p w14:paraId="249D9E8F" w14:textId="77777777" w:rsidR="00101502" w:rsidRPr="00101502" w:rsidRDefault="00101502" w:rsidP="00101502">
            <w:pPr>
              <w:spacing w:line="276" w:lineRule="auto"/>
              <w:rPr>
                <w:rFonts w:ascii="Times New Roman" w:eastAsia="Aptos" w:hAnsi="Times New Roman" w:cs="Times New Roman"/>
                <w:sz w:val="22"/>
                <w:szCs w:val="22"/>
              </w:rPr>
            </w:pPr>
          </w:p>
        </w:tc>
        <w:tc>
          <w:tcPr>
            <w:tcW w:w="236" w:type="dxa"/>
          </w:tcPr>
          <w:p w14:paraId="4DD89E94" w14:textId="77777777" w:rsidR="00101502" w:rsidRPr="00101502" w:rsidRDefault="00101502" w:rsidP="00101502">
            <w:pPr>
              <w:spacing w:line="276" w:lineRule="auto"/>
              <w:rPr>
                <w:rFonts w:ascii="Times New Roman" w:eastAsia="Aptos" w:hAnsi="Times New Roman" w:cs="Times New Roman"/>
                <w:sz w:val="22"/>
                <w:szCs w:val="22"/>
              </w:rPr>
            </w:pPr>
          </w:p>
        </w:tc>
      </w:tr>
      <w:tr w:rsidR="00101502" w:rsidRPr="00101502" w14:paraId="3200DBAC" w14:textId="77777777" w:rsidTr="0019492A">
        <w:trPr>
          <w:jc w:val="center"/>
        </w:trPr>
        <w:tc>
          <w:tcPr>
            <w:tcW w:w="2335" w:type="dxa"/>
          </w:tcPr>
          <w:p w14:paraId="17232AAC" w14:textId="77777777" w:rsidR="00101502" w:rsidRPr="00101502" w:rsidRDefault="00101502" w:rsidP="00101502">
            <w:pPr>
              <w:spacing w:line="276" w:lineRule="auto"/>
              <w:rPr>
                <w:rFonts w:ascii="Times New Roman" w:eastAsia="Aptos" w:hAnsi="Times New Roman" w:cs="Times New Roman"/>
                <w:i/>
                <w:iCs/>
                <w:sz w:val="22"/>
                <w:szCs w:val="22"/>
              </w:rPr>
            </w:pPr>
          </w:p>
        </w:tc>
        <w:tc>
          <w:tcPr>
            <w:tcW w:w="1530" w:type="dxa"/>
          </w:tcPr>
          <w:p w14:paraId="3B28D762" w14:textId="77777777" w:rsidR="00101502" w:rsidRPr="00101502" w:rsidRDefault="00101502" w:rsidP="00101502">
            <w:pPr>
              <w:spacing w:line="276" w:lineRule="auto"/>
              <w:rPr>
                <w:rFonts w:ascii="Times New Roman" w:eastAsia="Aptos" w:hAnsi="Times New Roman" w:cs="Times New Roman"/>
                <w:sz w:val="22"/>
                <w:szCs w:val="22"/>
              </w:rPr>
            </w:pPr>
          </w:p>
        </w:tc>
        <w:tc>
          <w:tcPr>
            <w:tcW w:w="1261" w:type="dxa"/>
          </w:tcPr>
          <w:p w14:paraId="28DBAEB5" w14:textId="77777777" w:rsidR="00101502" w:rsidRPr="00101502" w:rsidRDefault="00101502" w:rsidP="00101502">
            <w:pPr>
              <w:spacing w:line="276" w:lineRule="auto"/>
              <w:rPr>
                <w:rFonts w:ascii="Times New Roman" w:eastAsia="Aptos" w:hAnsi="Times New Roman" w:cs="Times New Roman"/>
                <w:sz w:val="22"/>
                <w:szCs w:val="22"/>
              </w:rPr>
            </w:pPr>
          </w:p>
        </w:tc>
        <w:tc>
          <w:tcPr>
            <w:tcW w:w="1261" w:type="dxa"/>
          </w:tcPr>
          <w:p w14:paraId="0ECA2302" w14:textId="77777777" w:rsidR="00101502" w:rsidRPr="00101502" w:rsidRDefault="00101502" w:rsidP="00101502">
            <w:pPr>
              <w:spacing w:line="276" w:lineRule="auto"/>
              <w:rPr>
                <w:rFonts w:ascii="Times New Roman" w:eastAsia="Aptos" w:hAnsi="Times New Roman" w:cs="Times New Roman"/>
                <w:sz w:val="22"/>
                <w:szCs w:val="22"/>
              </w:rPr>
            </w:pPr>
          </w:p>
        </w:tc>
        <w:tc>
          <w:tcPr>
            <w:tcW w:w="1261" w:type="dxa"/>
          </w:tcPr>
          <w:p w14:paraId="7BADC19D" w14:textId="77777777" w:rsidR="00101502" w:rsidRPr="00101502" w:rsidRDefault="00101502" w:rsidP="00101502">
            <w:pPr>
              <w:spacing w:line="276" w:lineRule="auto"/>
              <w:rPr>
                <w:rFonts w:ascii="Times New Roman" w:eastAsia="Aptos" w:hAnsi="Times New Roman" w:cs="Times New Roman"/>
                <w:sz w:val="22"/>
                <w:szCs w:val="22"/>
              </w:rPr>
            </w:pPr>
          </w:p>
        </w:tc>
        <w:tc>
          <w:tcPr>
            <w:tcW w:w="1351" w:type="dxa"/>
          </w:tcPr>
          <w:p w14:paraId="53E9A596" w14:textId="77777777" w:rsidR="00101502" w:rsidRPr="00101502" w:rsidRDefault="00101502" w:rsidP="00101502">
            <w:pPr>
              <w:spacing w:line="276" w:lineRule="auto"/>
              <w:rPr>
                <w:rFonts w:ascii="Times New Roman" w:eastAsia="Aptos" w:hAnsi="Times New Roman" w:cs="Times New Roman"/>
                <w:sz w:val="22"/>
                <w:szCs w:val="22"/>
              </w:rPr>
            </w:pPr>
          </w:p>
        </w:tc>
        <w:tc>
          <w:tcPr>
            <w:tcW w:w="236" w:type="dxa"/>
          </w:tcPr>
          <w:p w14:paraId="45824794" w14:textId="77777777" w:rsidR="00101502" w:rsidRPr="00101502" w:rsidRDefault="00101502" w:rsidP="00101502">
            <w:pPr>
              <w:spacing w:line="276" w:lineRule="auto"/>
              <w:rPr>
                <w:rFonts w:ascii="Times New Roman" w:eastAsia="Aptos" w:hAnsi="Times New Roman" w:cs="Times New Roman"/>
                <w:sz w:val="22"/>
                <w:szCs w:val="22"/>
              </w:rPr>
            </w:pPr>
          </w:p>
        </w:tc>
      </w:tr>
    </w:tbl>
    <w:p w14:paraId="4595A182" w14:textId="77777777" w:rsidR="00101502" w:rsidRPr="0048384B" w:rsidRDefault="00101502" w:rsidP="0048384B">
      <w:pPr>
        <w:spacing w:line="480" w:lineRule="auto"/>
        <w:rPr>
          <w:rFonts w:ascii="Times New Roman" w:hAnsi="Times New Roman" w:cs="Times New Roman"/>
        </w:rPr>
      </w:pPr>
    </w:p>
    <w:p w14:paraId="7FE3A142" w14:textId="77777777" w:rsidR="00DC5E24" w:rsidRPr="0048384B" w:rsidRDefault="00DC5E24" w:rsidP="0048384B">
      <w:pPr>
        <w:spacing w:line="480" w:lineRule="auto"/>
        <w:rPr>
          <w:rFonts w:ascii="Times New Roman" w:hAnsi="Times New Roman" w:cs="Times New Roman"/>
        </w:rPr>
      </w:pPr>
    </w:p>
    <w:p w14:paraId="707F401C" w14:textId="77777777" w:rsidR="00DC5E24" w:rsidRPr="0048384B" w:rsidRDefault="00DC5E24" w:rsidP="0048384B">
      <w:pPr>
        <w:spacing w:line="480" w:lineRule="auto"/>
        <w:rPr>
          <w:rFonts w:ascii="Times New Roman" w:hAnsi="Times New Roman" w:cs="Times New Roman"/>
        </w:rPr>
      </w:pPr>
    </w:p>
    <w:p w14:paraId="03D5BFDD" w14:textId="77777777" w:rsidR="00DC5E24" w:rsidRPr="0048384B" w:rsidRDefault="00DC5E24" w:rsidP="0048384B">
      <w:pPr>
        <w:spacing w:line="480" w:lineRule="auto"/>
        <w:rPr>
          <w:rFonts w:ascii="Times New Roman" w:hAnsi="Times New Roman" w:cs="Times New Roman"/>
        </w:rPr>
      </w:pPr>
    </w:p>
    <w:p w14:paraId="1B7F796F" w14:textId="77777777" w:rsidR="00DC5E24" w:rsidRPr="0048384B" w:rsidRDefault="00DC5E24" w:rsidP="0048384B">
      <w:pPr>
        <w:spacing w:line="480" w:lineRule="auto"/>
        <w:rPr>
          <w:rFonts w:ascii="Times New Roman" w:hAnsi="Times New Roman" w:cs="Times New Roman"/>
        </w:rPr>
      </w:pPr>
    </w:p>
    <w:p w14:paraId="4C9CAC76" w14:textId="77777777" w:rsidR="00DC5E24" w:rsidRPr="0048384B" w:rsidRDefault="00DC5E24" w:rsidP="0048384B">
      <w:pPr>
        <w:spacing w:line="480" w:lineRule="auto"/>
        <w:rPr>
          <w:rFonts w:ascii="Times New Roman" w:hAnsi="Times New Roman" w:cs="Times New Roman"/>
        </w:rPr>
      </w:pPr>
    </w:p>
    <w:p w14:paraId="21889B49" w14:textId="77777777" w:rsidR="00DC5E24" w:rsidRPr="0048384B" w:rsidRDefault="00DC5E24" w:rsidP="0048384B">
      <w:pPr>
        <w:spacing w:line="480" w:lineRule="auto"/>
        <w:rPr>
          <w:rFonts w:ascii="Times New Roman" w:hAnsi="Times New Roman" w:cs="Times New Roman"/>
        </w:rPr>
      </w:pPr>
    </w:p>
    <w:p w14:paraId="497DC8DE" w14:textId="77777777" w:rsidR="00DC5E24" w:rsidRPr="0048384B" w:rsidRDefault="00DC5E24" w:rsidP="0048384B">
      <w:pPr>
        <w:spacing w:line="480" w:lineRule="auto"/>
        <w:rPr>
          <w:rFonts w:ascii="Times New Roman" w:hAnsi="Times New Roman" w:cs="Times New Roman"/>
        </w:rPr>
      </w:pPr>
    </w:p>
    <w:p w14:paraId="1C961163" w14:textId="77777777" w:rsidR="00DC5E24" w:rsidRPr="0048384B" w:rsidRDefault="00DC5E24" w:rsidP="0048384B">
      <w:pPr>
        <w:spacing w:line="480" w:lineRule="auto"/>
        <w:rPr>
          <w:rFonts w:ascii="Times New Roman" w:hAnsi="Times New Roman" w:cs="Times New Roman"/>
        </w:rPr>
      </w:pPr>
    </w:p>
    <w:p w14:paraId="7573231E" w14:textId="77777777" w:rsidR="00DC5E24" w:rsidRPr="0048384B" w:rsidRDefault="00DC5E24" w:rsidP="0048384B">
      <w:pPr>
        <w:spacing w:line="480" w:lineRule="auto"/>
        <w:rPr>
          <w:rFonts w:ascii="Times New Roman" w:hAnsi="Times New Roman" w:cs="Times New Roman"/>
        </w:rPr>
      </w:pPr>
    </w:p>
    <w:p w14:paraId="5C726CFD" w14:textId="0052A305" w:rsidR="00DC5E24" w:rsidRDefault="004E592E" w:rsidP="0048384B">
      <w:pPr>
        <w:spacing w:line="480" w:lineRule="auto"/>
        <w:rPr>
          <w:rFonts w:ascii="Times New Roman" w:hAnsi="Times New Roman" w:cs="Times New Roman"/>
          <w:b/>
          <w:bCs/>
        </w:rPr>
      </w:pPr>
      <w:r w:rsidRPr="004E592E">
        <w:rPr>
          <w:rFonts w:ascii="Times New Roman" w:hAnsi="Times New Roman" w:cs="Times New Roman"/>
          <w:b/>
          <w:bCs/>
        </w:rPr>
        <w:lastRenderedPageBreak/>
        <w:t>REFERENCES</w:t>
      </w:r>
    </w:p>
    <w:p w14:paraId="50E1C7B8" w14:textId="77777777" w:rsidR="004E592E" w:rsidRPr="004E592E" w:rsidRDefault="004E592E" w:rsidP="004E592E">
      <w:pPr>
        <w:pStyle w:val="Bibliography"/>
        <w:rPr>
          <w:rFonts w:ascii="Times New Roman" w:hAnsi="Times New Roman" w:cs="Times New Roman"/>
        </w:rPr>
      </w:pPr>
      <w:r>
        <w:rPr>
          <w:b/>
          <w:bCs/>
        </w:rPr>
        <w:fldChar w:fldCharType="begin"/>
      </w:r>
      <w:r>
        <w:rPr>
          <w:b/>
          <w:bCs/>
        </w:rPr>
        <w:instrText xml:space="preserve"> ADDIN ZOTERO_BIBL {"uncited":[],"omitted":[],"custom":[]} CSL_BIBLIOGRAPHY </w:instrText>
      </w:r>
      <w:r>
        <w:rPr>
          <w:b/>
          <w:bCs/>
        </w:rPr>
        <w:fldChar w:fldCharType="separate"/>
      </w:r>
      <w:r w:rsidRPr="004E592E">
        <w:rPr>
          <w:rFonts w:ascii="Times New Roman" w:hAnsi="Times New Roman" w:cs="Times New Roman"/>
        </w:rPr>
        <w:t>1.</w:t>
      </w:r>
      <w:r w:rsidRPr="004E592E">
        <w:rPr>
          <w:rFonts w:ascii="Times New Roman" w:hAnsi="Times New Roman" w:cs="Times New Roman"/>
        </w:rPr>
        <w:tab/>
        <w:t xml:space="preserve">Nicolas, V. </w:t>
      </w:r>
      <w:r w:rsidRPr="004E592E">
        <w:rPr>
          <w:rFonts w:ascii="Times New Roman" w:hAnsi="Times New Roman" w:cs="Times New Roman"/>
          <w:i/>
          <w:iCs/>
        </w:rPr>
        <w:t>et al.</w:t>
      </w:r>
      <w:r w:rsidRPr="004E592E">
        <w:rPr>
          <w:rFonts w:ascii="Times New Roman" w:hAnsi="Times New Roman" w:cs="Times New Roman"/>
        </w:rPr>
        <w:t xml:space="preserve"> Assessment of Three Mitochondrial Genes (16S, Cytb, CO1) for Identifying Species in the Praomyini Tribe (Rodentia: Muridae). </w:t>
      </w:r>
      <w:r w:rsidRPr="004E592E">
        <w:rPr>
          <w:rFonts w:ascii="Times New Roman" w:hAnsi="Times New Roman" w:cs="Times New Roman"/>
          <w:i/>
          <w:iCs/>
        </w:rPr>
        <w:t>PLOS ONE</w:t>
      </w:r>
      <w:r w:rsidRPr="004E592E">
        <w:rPr>
          <w:rFonts w:ascii="Times New Roman" w:hAnsi="Times New Roman" w:cs="Times New Roman"/>
        </w:rPr>
        <w:t xml:space="preserve"> </w:t>
      </w:r>
      <w:r w:rsidRPr="004E592E">
        <w:rPr>
          <w:rFonts w:ascii="Times New Roman" w:hAnsi="Times New Roman" w:cs="Times New Roman"/>
          <w:b/>
          <w:bCs/>
        </w:rPr>
        <w:t>7</w:t>
      </w:r>
      <w:r w:rsidRPr="004E592E">
        <w:rPr>
          <w:rFonts w:ascii="Times New Roman" w:hAnsi="Times New Roman" w:cs="Times New Roman"/>
        </w:rPr>
        <w:t>, e36586 (2012).</w:t>
      </w:r>
    </w:p>
    <w:p w14:paraId="00B7BC2F" w14:textId="77777777" w:rsidR="004E592E" w:rsidRPr="004E592E" w:rsidRDefault="004E592E" w:rsidP="004E592E">
      <w:pPr>
        <w:pStyle w:val="Bibliography"/>
        <w:rPr>
          <w:rFonts w:ascii="Times New Roman" w:hAnsi="Times New Roman" w:cs="Times New Roman"/>
        </w:rPr>
      </w:pPr>
      <w:r w:rsidRPr="004E592E">
        <w:rPr>
          <w:rFonts w:ascii="Times New Roman" w:hAnsi="Times New Roman" w:cs="Times New Roman"/>
        </w:rPr>
        <w:t>2.</w:t>
      </w:r>
      <w:r w:rsidRPr="004E592E">
        <w:rPr>
          <w:rFonts w:ascii="Times New Roman" w:hAnsi="Times New Roman" w:cs="Times New Roman"/>
        </w:rPr>
        <w:tab/>
        <w:t xml:space="preserve">Ducroz, J. F., Volobouev, V. &amp; Granjon, L. An Assessment of the Systematics of Arvicanthine Rodents Using Mitochondrial DNA Sequences: Evolutionary and Biogeographical Implications. </w:t>
      </w:r>
      <w:r w:rsidRPr="004E592E">
        <w:rPr>
          <w:rFonts w:ascii="Times New Roman" w:hAnsi="Times New Roman" w:cs="Times New Roman"/>
          <w:i/>
          <w:iCs/>
        </w:rPr>
        <w:t>Journal of Mammalian Evolution</w:t>
      </w:r>
      <w:r w:rsidRPr="004E592E">
        <w:rPr>
          <w:rFonts w:ascii="Times New Roman" w:hAnsi="Times New Roman" w:cs="Times New Roman"/>
        </w:rPr>
        <w:t xml:space="preserve"> </w:t>
      </w:r>
      <w:r w:rsidRPr="004E592E">
        <w:rPr>
          <w:rFonts w:ascii="Times New Roman" w:hAnsi="Times New Roman" w:cs="Times New Roman"/>
          <w:b/>
          <w:bCs/>
        </w:rPr>
        <w:t>8</w:t>
      </w:r>
      <w:r w:rsidRPr="004E592E">
        <w:rPr>
          <w:rFonts w:ascii="Times New Roman" w:hAnsi="Times New Roman" w:cs="Times New Roman"/>
        </w:rPr>
        <w:t>, 173–206 (2001).</w:t>
      </w:r>
    </w:p>
    <w:p w14:paraId="23BAFE7D" w14:textId="77777777" w:rsidR="004E592E" w:rsidRPr="004E592E" w:rsidRDefault="004E592E" w:rsidP="004E592E">
      <w:pPr>
        <w:pStyle w:val="Bibliography"/>
        <w:rPr>
          <w:rFonts w:ascii="Times New Roman" w:hAnsi="Times New Roman" w:cs="Times New Roman"/>
        </w:rPr>
      </w:pPr>
      <w:r w:rsidRPr="004E592E">
        <w:rPr>
          <w:rFonts w:ascii="Times New Roman" w:hAnsi="Times New Roman" w:cs="Times New Roman"/>
        </w:rPr>
        <w:t>3.</w:t>
      </w:r>
      <w:r w:rsidRPr="004E592E">
        <w:rPr>
          <w:rFonts w:ascii="Times New Roman" w:hAnsi="Times New Roman" w:cs="Times New Roman"/>
        </w:rPr>
        <w:tab/>
        <w:t xml:space="preserve">Robins, J. H., Hingston, M., Matisoo-Smith, E. &amp; Ross, H. A. Identifying Rattus species using mitochondrial DNA. </w:t>
      </w:r>
      <w:r w:rsidRPr="004E592E">
        <w:rPr>
          <w:rFonts w:ascii="Times New Roman" w:hAnsi="Times New Roman" w:cs="Times New Roman"/>
          <w:i/>
          <w:iCs/>
        </w:rPr>
        <w:t>Molecular Ecology Notes</w:t>
      </w:r>
      <w:r w:rsidRPr="004E592E">
        <w:rPr>
          <w:rFonts w:ascii="Times New Roman" w:hAnsi="Times New Roman" w:cs="Times New Roman"/>
        </w:rPr>
        <w:t xml:space="preserve"> </w:t>
      </w:r>
      <w:r w:rsidRPr="004E592E">
        <w:rPr>
          <w:rFonts w:ascii="Times New Roman" w:hAnsi="Times New Roman" w:cs="Times New Roman"/>
          <w:b/>
          <w:bCs/>
        </w:rPr>
        <w:t>7</w:t>
      </w:r>
      <w:r w:rsidRPr="004E592E">
        <w:rPr>
          <w:rFonts w:ascii="Times New Roman" w:hAnsi="Times New Roman" w:cs="Times New Roman"/>
        </w:rPr>
        <w:t>, 717–729 (2007).</w:t>
      </w:r>
    </w:p>
    <w:p w14:paraId="57C1C9B7" w14:textId="77777777" w:rsidR="004E592E" w:rsidRPr="004E592E" w:rsidRDefault="004E592E" w:rsidP="004E592E">
      <w:pPr>
        <w:pStyle w:val="Bibliography"/>
        <w:rPr>
          <w:rFonts w:ascii="Times New Roman" w:hAnsi="Times New Roman" w:cs="Times New Roman"/>
        </w:rPr>
      </w:pPr>
      <w:r w:rsidRPr="004E592E">
        <w:rPr>
          <w:rFonts w:ascii="Times New Roman" w:hAnsi="Times New Roman" w:cs="Times New Roman"/>
        </w:rPr>
        <w:t>4.</w:t>
      </w:r>
      <w:r w:rsidRPr="004E592E">
        <w:rPr>
          <w:rFonts w:ascii="Times New Roman" w:hAnsi="Times New Roman" w:cs="Times New Roman"/>
        </w:rPr>
        <w:tab/>
        <w:t xml:space="preserve">Sayers, E. W. </w:t>
      </w:r>
      <w:r w:rsidRPr="004E592E">
        <w:rPr>
          <w:rFonts w:ascii="Times New Roman" w:hAnsi="Times New Roman" w:cs="Times New Roman"/>
          <w:i/>
          <w:iCs/>
        </w:rPr>
        <w:t>et al.</w:t>
      </w:r>
      <w:r w:rsidRPr="004E592E">
        <w:rPr>
          <w:rFonts w:ascii="Times New Roman" w:hAnsi="Times New Roman" w:cs="Times New Roman"/>
        </w:rPr>
        <w:t xml:space="preserve"> Database resources of the National Center for Biotechnology Information. </w:t>
      </w:r>
      <w:r w:rsidRPr="004E592E">
        <w:rPr>
          <w:rFonts w:ascii="Times New Roman" w:hAnsi="Times New Roman" w:cs="Times New Roman"/>
          <w:i/>
          <w:iCs/>
        </w:rPr>
        <w:t>Nucleic Acids Research</w:t>
      </w:r>
      <w:r w:rsidRPr="004E592E">
        <w:rPr>
          <w:rFonts w:ascii="Times New Roman" w:hAnsi="Times New Roman" w:cs="Times New Roman"/>
        </w:rPr>
        <w:t xml:space="preserve"> </w:t>
      </w:r>
      <w:r w:rsidRPr="004E592E">
        <w:rPr>
          <w:rFonts w:ascii="Times New Roman" w:hAnsi="Times New Roman" w:cs="Times New Roman"/>
          <w:b/>
          <w:bCs/>
        </w:rPr>
        <w:t>49</w:t>
      </w:r>
      <w:r w:rsidRPr="004E592E">
        <w:rPr>
          <w:rFonts w:ascii="Times New Roman" w:hAnsi="Times New Roman" w:cs="Times New Roman"/>
        </w:rPr>
        <w:t>, D10–D17 (2021).</w:t>
      </w:r>
    </w:p>
    <w:p w14:paraId="406461B0" w14:textId="77777777" w:rsidR="004E592E" w:rsidRPr="004E592E" w:rsidRDefault="004E592E" w:rsidP="004E592E">
      <w:pPr>
        <w:pStyle w:val="Bibliography"/>
        <w:rPr>
          <w:rFonts w:ascii="Times New Roman" w:hAnsi="Times New Roman" w:cs="Times New Roman"/>
        </w:rPr>
      </w:pPr>
      <w:r w:rsidRPr="004E592E">
        <w:rPr>
          <w:rFonts w:ascii="Times New Roman" w:hAnsi="Times New Roman" w:cs="Times New Roman"/>
        </w:rPr>
        <w:t>5.</w:t>
      </w:r>
      <w:r w:rsidRPr="004E592E">
        <w:rPr>
          <w:rFonts w:ascii="Times New Roman" w:hAnsi="Times New Roman" w:cs="Times New Roman"/>
        </w:rPr>
        <w:tab/>
        <w:t xml:space="preserve">Sayers, E. W. </w:t>
      </w:r>
      <w:r w:rsidRPr="004E592E">
        <w:rPr>
          <w:rFonts w:ascii="Times New Roman" w:hAnsi="Times New Roman" w:cs="Times New Roman"/>
          <w:i/>
          <w:iCs/>
        </w:rPr>
        <w:t>et al.</w:t>
      </w:r>
      <w:r w:rsidRPr="004E592E">
        <w:rPr>
          <w:rFonts w:ascii="Times New Roman" w:hAnsi="Times New Roman" w:cs="Times New Roman"/>
        </w:rPr>
        <w:t xml:space="preserve"> GenBank. </w:t>
      </w:r>
      <w:r w:rsidRPr="004E592E">
        <w:rPr>
          <w:rFonts w:ascii="Times New Roman" w:hAnsi="Times New Roman" w:cs="Times New Roman"/>
          <w:i/>
          <w:iCs/>
        </w:rPr>
        <w:t>Nucleic Acids Research</w:t>
      </w:r>
      <w:r w:rsidRPr="004E592E">
        <w:rPr>
          <w:rFonts w:ascii="Times New Roman" w:hAnsi="Times New Roman" w:cs="Times New Roman"/>
        </w:rPr>
        <w:t xml:space="preserve"> </w:t>
      </w:r>
      <w:r w:rsidRPr="004E592E">
        <w:rPr>
          <w:rFonts w:ascii="Times New Roman" w:hAnsi="Times New Roman" w:cs="Times New Roman"/>
          <w:b/>
          <w:bCs/>
        </w:rPr>
        <w:t>50</w:t>
      </w:r>
      <w:r w:rsidRPr="004E592E">
        <w:rPr>
          <w:rFonts w:ascii="Times New Roman" w:hAnsi="Times New Roman" w:cs="Times New Roman"/>
        </w:rPr>
        <w:t>, D161–D164 (2022).</w:t>
      </w:r>
    </w:p>
    <w:p w14:paraId="4E656F7F" w14:textId="40E913C8" w:rsidR="004E592E" w:rsidRPr="004E592E" w:rsidRDefault="004E592E" w:rsidP="0048384B">
      <w:pPr>
        <w:spacing w:line="480" w:lineRule="auto"/>
        <w:rPr>
          <w:rFonts w:ascii="Times New Roman" w:hAnsi="Times New Roman" w:cs="Times New Roman"/>
          <w:b/>
          <w:bCs/>
        </w:rPr>
      </w:pPr>
      <w:r>
        <w:rPr>
          <w:rFonts w:ascii="Times New Roman" w:hAnsi="Times New Roman" w:cs="Times New Roman"/>
          <w:b/>
          <w:bCs/>
        </w:rPr>
        <w:fldChar w:fldCharType="end"/>
      </w:r>
    </w:p>
    <w:p w14:paraId="28C05EB1" w14:textId="77777777" w:rsidR="00DC5E24" w:rsidRPr="0048384B" w:rsidRDefault="00DC5E24" w:rsidP="0048384B">
      <w:pPr>
        <w:spacing w:line="480" w:lineRule="auto"/>
        <w:rPr>
          <w:rFonts w:ascii="Times New Roman" w:hAnsi="Times New Roman" w:cs="Times New Roman"/>
        </w:rPr>
      </w:pPr>
    </w:p>
    <w:p w14:paraId="7460E3A8" w14:textId="77777777" w:rsidR="00DC5E24" w:rsidRPr="0048384B" w:rsidRDefault="00DC5E24" w:rsidP="0048384B">
      <w:pPr>
        <w:spacing w:line="480" w:lineRule="auto"/>
        <w:rPr>
          <w:rFonts w:ascii="Times New Roman" w:hAnsi="Times New Roman" w:cs="Times New Roman"/>
        </w:rPr>
      </w:pPr>
    </w:p>
    <w:p w14:paraId="655CF9C9" w14:textId="77777777" w:rsidR="00DC5E24" w:rsidRPr="0048384B" w:rsidRDefault="00DC5E24" w:rsidP="0048384B">
      <w:pPr>
        <w:spacing w:line="480" w:lineRule="auto"/>
        <w:rPr>
          <w:rFonts w:ascii="Times New Roman" w:hAnsi="Times New Roman" w:cs="Times New Roman"/>
        </w:rPr>
      </w:pPr>
    </w:p>
    <w:p w14:paraId="5F25D7C9" w14:textId="77777777" w:rsidR="00DC5E24" w:rsidRPr="0048384B" w:rsidRDefault="00DC5E24" w:rsidP="0048384B">
      <w:pPr>
        <w:spacing w:line="480" w:lineRule="auto"/>
        <w:rPr>
          <w:rFonts w:ascii="Times New Roman" w:hAnsi="Times New Roman" w:cs="Times New Roman"/>
        </w:rPr>
      </w:pPr>
    </w:p>
    <w:p w14:paraId="6A85F403" w14:textId="77777777" w:rsidR="00DC5E24" w:rsidRPr="0048384B" w:rsidRDefault="00DC5E24" w:rsidP="0048384B">
      <w:pPr>
        <w:spacing w:line="480" w:lineRule="auto"/>
        <w:rPr>
          <w:rFonts w:ascii="Times New Roman" w:hAnsi="Times New Roman" w:cs="Times New Roman"/>
        </w:rPr>
      </w:pPr>
    </w:p>
    <w:p w14:paraId="7E0ABBB4" w14:textId="77777777" w:rsidR="00DC5E24" w:rsidRPr="0048384B" w:rsidRDefault="00DC5E24" w:rsidP="0048384B">
      <w:pPr>
        <w:spacing w:line="480" w:lineRule="auto"/>
        <w:rPr>
          <w:rFonts w:ascii="Times New Roman" w:hAnsi="Times New Roman" w:cs="Times New Roman"/>
        </w:rPr>
      </w:pPr>
    </w:p>
    <w:p w14:paraId="5117AA00" w14:textId="77777777" w:rsidR="00DC5E24" w:rsidRPr="0048384B" w:rsidRDefault="00DC5E24" w:rsidP="0048384B">
      <w:pPr>
        <w:spacing w:line="480" w:lineRule="auto"/>
        <w:rPr>
          <w:rFonts w:ascii="Times New Roman" w:hAnsi="Times New Roman" w:cs="Times New Roman"/>
        </w:rPr>
      </w:pPr>
    </w:p>
    <w:p w14:paraId="5101DA54" w14:textId="77777777" w:rsidR="00DC5E24" w:rsidRPr="0048384B" w:rsidRDefault="00DC5E24" w:rsidP="0048384B">
      <w:pPr>
        <w:spacing w:line="480" w:lineRule="auto"/>
        <w:rPr>
          <w:rFonts w:ascii="Times New Roman" w:hAnsi="Times New Roman" w:cs="Times New Roman"/>
        </w:rPr>
      </w:pPr>
    </w:p>
    <w:sectPr w:rsidR="00DC5E24" w:rsidRPr="004838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71F01" w14:textId="77777777" w:rsidR="008379A0" w:rsidRDefault="008379A0" w:rsidP="00DC5E24">
      <w:pPr>
        <w:spacing w:after="0" w:line="240" w:lineRule="auto"/>
      </w:pPr>
      <w:r>
        <w:separator/>
      </w:r>
    </w:p>
  </w:endnote>
  <w:endnote w:type="continuationSeparator" w:id="0">
    <w:p w14:paraId="71BBF372" w14:textId="77777777" w:rsidR="008379A0" w:rsidRDefault="008379A0" w:rsidP="00DC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00C6E" w14:textId="77777777" w:rsidR="008379A0" w:rsidRDefault="008379A0" w:rsidP="00DC5E24">
      <w:pPr>
        <w:spacing w:after="0" w:line="240" w:lineRule="auto"/>
      </w:pPr>
      <w:r>
        <w:separator/>
      </w:r>
    </w:p>
  </w:footnote>
  <w:footnote w:type="continuationSeparator" w:id="0">
    <w:p w14:paraId="55232A06" w14:textId="77777777" w:rsidR="008379A0" w:rsidRDefault="008379A0" w:rsidP="00DC5E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2755FD"/>
    <w:multiLevelType w:val="hybridMultilevel"/>
    <w:tmpl w:val="CD4C6854"/>
    <w:lvl w:ilvl="0" w:tplc="D8B09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5053C7"/>
    <w:multiLevelType w:val="hybridMultilevel"/>
    <w:tmpl w:val="0108E320"/>
    <w:lvl w:ilvl="0" w:tplc="72606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2364194">
    <w:abstractNumId w:val="1"/>
  </w:num>
  <w:num w:numId="2" w16cid:durableId="2127307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BBD"/>
    <w:rsid w:val="00101502"/>
    <w:rsid w:val="00162046"/>
    <w:rsid w:val="00162800"/>
    <w:rsid w:val="0019492A"/>
    <w:rsid w:val="00312F50"/>
    <w:rsid w:val="003F1761"/>
    <w:rsid w:val="0040387C"/>
    <w:rsid w:val="00435599"/>
    <w:rsid w:val="0048384B"/>
    <w:rsid w:val="004E592E"/>
    <w:rsid w:val="00592D4C"/>
    <w:rsid w:val="007F21ED"/>
    <w:rsid w:val="008379A0"/>
    <w:rsid w:val="00953C90"/>
    <w:rsid w:val="009E045B"/>
    <w:rsid w:val="00A0618E"/>
    <w:rsid w:val="00A369EE"/>
    <w:rsid w:val="00A6364D"/>
    <w:rsid w:val="00A839F8"/>
    <w:rsid w:val="00B83FCE"/>
    <w:rsid w:val="00C37D30"/>
    <w:rsid w:val="00D3582E"/>
    <w:rsid w:val="00DC5E24"/>
    <w:rsid w:val="00E66BBD"/>
    <w:rsid w:val="00F17693"/>
    <w:rsid w:val="00F92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C3F68"/>
  <w15:chartTrackingRefBased/>
  <w15:docId w15:val="{02866ED5-BCB7-41D7-B22F-D1899C416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6B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6B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6B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6B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6B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6B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6B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6B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6B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6B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6B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6B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6B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6B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6B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6B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6B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6BBD"/>
    <w:rPr>
      <w:rFonts w:eastAsiaTheme="majorEastAsia" w:cstheme="majorBidi"/>
      <w:color w:val="272727" w:themeColor="text1" w:themeTint="D8"/>
    </w:rPr>
  </w:style>
  <w:style w:type="paragraph" w:styleId="Title">
    <w:name w:val="Title"/>
    <w:basedOn w:val="Normal"/>
    <w:next w:val="Normal"/>
    <w:link w:val="TitleChar"/>
    <w:uiPriority w:val="10"/>
    <w:qFormat/>
    <w:rsid w:val="00E66B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6B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6B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6B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6BBD"/>
    <w:pPr>
      <w:spacing w:before="160"/>
      <w:jc w:val="center"/>
    </w:pPr>
    <w:rPr>
      <w:i/>
      <w:iCs/>
      <w:color w:val="404040" w:themeColor="text1" w:themeTint="BF"/>
    </w:rPr>
  </w:style>
  <w:style w:type="character" w:customStyle="1" w:styleId="QuoteChar">
    <w:name w:val="Quote Char"/>
    <w:basedOn w:val="DefaultParagraphFont"/>
    <w:link w:val="Quote"/>
    <w:uiPriority w:val="29"/>
    <w:rsid w:val="00E66BBD"/>
    <w:rPr>
      <w:i/>
      <w:iCs/>
      <w:color w:val="404040" w:themeColor="text1" w:themeTint="BF"/>
    </w:rPr>
  </w:style>
  <w:style w:type="paragraph" w:styleId="ListParagraph">
    <w:name w:val="List Paragraph"/>
    <w:basedOn w:val="Normal"/>
    <w:uiPriority w:val="34"/>
    <w:qFormat/>
    <w:rsid w:val="00E66BBD"/>
    <w:pPr>
      <w:ind w:left="720"/>
      <w:contextualSpacing/>
    </w:pPr>
  </w:style>
  <w:style w:type="character" w:styleId="IntenseEmphasis">
    <w:name w:val="Intense Emphasis"/>
    <w:basedOn w:val="DefaultParagraphFont"/>
    <w:uiPriority w:val="21"/>
    <w:qFormat/>
    <w:rsid w:val="00E66BBD"/>
    <w:rPr>
      <w:i/>
      <w:iCs/>
      <w:color w:val="0F4761" w:themeColor="accent1" w:themeShade="BF"/>
    </w:rPr>
  </w:style>
  <w:style w:type="paragraph" w:styleId="IntenseQuote">
    <w:name w:val="Intense Quote"/>
    <w:basedOn w:val="Normal"/>
    <w:next w:val="Normal"/>
    <w:link w:val="IntenseQuoteChar"/>
    <w:uiPriority w:val="30"/>
    <w:qFormat/>
    <w:rsid w:val="00E66B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6BBD"/>
    <w:rPr>
      <w:i/>
      <w:iCs/>
      <w:color w:val="0F4761" w:themeColor="accent1" w:themeShade="BF"/>
    </w:rPr>
  </w:style>
  <w:style w:type="character" w:styleId="IntenseReference">
    <w:name w:val="Intense Reference"/>
    <w:basedOn w:val="DefaultParagraphFont"/>
    <w:uiPriority w:val="32"/>
    <w:qFormat/>
    <w:rsid w:val="00E66BBD"/>
    <w:rPr>
      <w:b/>
      <w:bCs/>
      <w:smallCaps/>
      <w:color w:val="0F4761" w:themeColor="accent1" w:themeShade="BF"/>
      <w:spacing w:val="5"/>
    </w:rPr>
  </w:style>
  <w:style w:type="paragraph" w:styleId="Header">
    <w:name w:val="header"/>
    <w:basedOn w:val="Normal"/>
    <w:link w:val="HeaderChar"/>
    <w:uiPriority w:val="99"/>
    <w:unhideWhenUsed/>
    <w:rsid w:val="00DC5E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E24"/>
  </w:style>
  <w:style w:type="paragraph" w:styleId="Footer">
    <w:name w:val="footer"/>
    <w:basedOn w:val="Normal"/>
    <w:link w:val="FooterChar"/>
    <w:uiPriority w:val="99"/>
    <w:unhideWhenUsed/>
    <w:rsid w:val="00DC5E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E24"/>
  </w:style>
  <w:style w:type="table" w:styleId="TableGrid">
    <w:name w:val="Table Grid"/>
    <w:basedOn w:val="TableNormal"/>
    <w:uiPriority w:val="39"/>
    <w:rsid w:val="00953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E592E"/>
    <w:pPr>
      <w:tabs>
        <w:tab w:val="left" w:pos="264"/>
      </w:tabs>
      <w:spacing w:after="0"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lizabeth.mccullagh@okstate.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2765</Words>
  <Characters>15765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Luberson</dc:creator>
  <cp:keywords/>
  <dc:description/>
  <cp:lastModifiedBy>Mccullagh, Liz</cp:lastModifiedBy>
  <cp:revision>3</cp:revision>
  <dcterms:created xsi:type="dcterms:W3CDTF">2025-12-08T21:15:00Z</dcterms:created>
  <dcterms:modified xsi:type="dcterms:W3CDTF">2025-12-09T01:25:00Z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id="MYy3PO3I"/&gt;&lt;style id="http://www.zotero.org/styles/nature" hasBibliography="1" bibliographyStyleHasBeenSet="1"/&gt;&lt;prefs&gt;&lt;pref name="fieldType" value="Field"/&gt;&lt;/prefs&gt;&lt;/data&gt;</vt:lpwstr>
  </property>
</Properties>
</file>