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

<Relationships  xmlns="http://schemas.openxmlformats.org/package/2006/relationships">
<Relationship Id="rId3" Type="http://schemas.openxmlformats.org/officeDocument/2006/relationships/extended-properties" Target="docProps/app.xml"/>
<Relationship Id="rId2" Type="http://schemas.openxmlformats.org/package/2006/relationships/metadata/core-properties" Target="docProps/core.xml"/>
<Relationship Id="rId1" Type="http://schemas.openxmlformats.org/officeDocument/2006/relationships/officeDocument" Target="word/document.xml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Table 1. Baseline Characteristics of SLE Patients by Database</w:t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3600"/>
        <w:gridCol w:w="1061"/>
        <w:gridCol w:w="2151"/>
        <w:gridCol w:w="2151"/>
        <w:gridCol w:w="976"/>
        <w:gridCol w:w="917"/>
      </w:tblGrid>
      <w:tr>
        <w:trPr>
          <w:trHeight w:val="693" w:hRule="auto"/>
          <w:tblHeader/>
        </w:trPr>
        header 1
        <w:tc>
          <w:tcPr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Characteristics</w:t>
            </w:r>
          </w:p>
        </w:tc>
        <w:tc>
          <w:tcPr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Level</w:t>
            </w:r>
          </w:p>
        </w:tc>
        <w:tc>
          <w:tcPr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MIMIC-III</w:t>
            </w: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(n=195)</w:t>
            </w:r>
          </w:p>
        </w:tc>
        <w:tc>
          <w:tcPr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MIMIC-IV</w:t>
            </w: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br/>
            </w: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(n=1167)</w:t>
            </w:r>
          </w:p>
        </w:tc>
        <w:tc>
          <w:tcPr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P value</w:t>
            </w:r>
          </w:p>
        </w:tc>
        <w:tc>
          <w:tcPr>
            <w:tcBorders>
              <w:bottom w:val="single" w:sz="8" w:space="0" w:color="000000"/>
              <w:top w:val="single" w:sz="16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true"/>
                <w:u w:val="none"/>
                <w:sz w:val="18"/>
                <w:szCs w:val="18"/>
                <w:color w:val="000000"/>
              </w:rPr>
              <w:t xml:space="preserve">SMD</w:t>
            </w:r>
          </w:p>
        </w:tc>
      </w:tr>
      <w:tr>
        <w:trPr>
          <w:trHeight w:val="571" w:hRule="auto"/>
        </w:trPr>
        body 1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Age, years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66.99 [57.22, 75.54]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67.00 [55.00, 76.00]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0.959</w:t>
            </w:r>
          </w:p>
        </w:tc>
        <w:tc>
          <w:tcPr>
            <w:tcBorders>
              <w:bottom w:val="none" w:sz="0" w:space="0" w:color="000000"/>
              <w:top w:val="single" w:sz="8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0.032</w:t>
            </w:r>
          </w:p>
        </w:tc>
      </w:tr>
      <w:tr>
        <w:trPr>
          <w:trHeight w:val="574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Gender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Male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89 (45.6)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455 (39.0)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0.094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0.135</w:t>
            </w:r>
          </w:p>
        </w:tc>
      </w:tr>
      <w:tr>
        <w:trPr>
          <w:trHeight w:val="574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Female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106 (54.4)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712 (61.0)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574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Body mass index, kg/m²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30.32 [24.77, 35.90]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27.69 [23.83, 33.24]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0.222</w:t>
            </w:r>
          </w:p>
        </w:tc>
      </w:tr>
      <w:tr>
        <w:trPr>
          <w:trHeight w:val="568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SAPS II score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37.00 [28.00, 46.00]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36.00 [27.00, 45.00]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0.228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0.071</w:t>
            </w:r>
          </w:p>
        </w:tc>
      </w:tr>
      <w:tr>
        <w:trPr>
          <w:trHeight w:val="568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SOFA score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5.00 [2.00, 7.00]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4.00 [2.00, 7.00]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0.492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0.015</w:t>
            </w:r>
          </w:p>
        </w:tc>
      </w:tr>
      <w:tr>
        <w:trPr>
          <w:trHeight w:val="574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Charlson comorbidity index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7.00 [5.00, 9.00]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6.00 [4.00, 8.00]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0.255</w:t>
            </w:r>
          </w:p>
        </w:tc>
      </w:tr>
      <w:tr>
        <w:trPr>
          <w:trHeight w:val="574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Heart rate, bpm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84.00 [72.00, 97.00]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87.00 [75.00, 102.00]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0.176</w:t>
            </w:r>
          </w:p>
        </w:tc>
      </w:tr>
      <w:tr>
        <w:trPr>
          <w:trHeight w:val="574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Systolic blood pressure, mmHg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122.00 [105.00, 142.50]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122.00 [106.00, 142.00]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0.839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0.020</w:t>
            </w:r>
          </w:p>
        </w:tc>
      </w:tr>
      <w:tr>
        <w:trPr>
          <w:trHeight w:val="574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Mean arterial pressure, mmHg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78.00 [70.00, 92.00]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82.00 [70.00, 96.00]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0.100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0.153</w:t>
            </w:r>
          </w:p>
        </w:tc>
      </w:tr>
      <w:tr>
        <w:trPr>
          <w:trHeight w:val="571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SpO2, %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99.00 [96.00, 100.00]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98.00 [95.00, 100.00]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0.316</w:t>
            </w:r>
          </w:p>
        </w:tc>
      </w:tr>
      <w:tr>
        <w:trPr>
          <w:trHeight w:val="574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Blood urea nitrogen, mg/dL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34.00 [22.00, 53.00]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24.00 [15.00, 42.50]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&lt;0.001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0.309</w:t>
            </w:r>
          </w:p>
        </w:tc>
      </w:tr>
      <w:tr>
        <w:trPr>
          <w:trHeight w:val="568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White blood cell, 10⁹/L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10.50 [7.15, 14.40]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10.50 [7.30, 14.40]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0.984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0.041</w:t>
            </w:r>
          </w:p>
        </w:tc>
      </w:tr>
      <w:tr>
        <w:trPr>
          <w:trHeight w:val="568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Platelet, 10⁹/L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202.00 [150.50, 255.50]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193.00 [137.50, 261.00]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0.255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0.076</w:t>
            </w:r>
          </w:p>
        </w:tc>
      </w:tr>
      <w:tr>
        <w:trPr>
          <w:trHeight w:val="574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Hemoglobin, g/dL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10.00 [9.00, 11.46]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9.90 [8.60, 11.40]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0.069</w:t>
            </w:r>
          </w:p>
        </w:tc>
      </w:tr>
      <w:tr>
        <w:trPr>
          <w:trHeight w:val="574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Potassium, mEq/L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4.20 [3.70, 4.70]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4.20 [3.80, 4.70]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0.625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&lt;0.001</w:t>
            </w:r>
          </w:p>
        </w:tc>
      </w:tr>
      <w:tr>
        <w:trPr>
          <w:trHeight w:val="574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Sodium, mEq/L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138.00 [135.50, 141.00]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138.00 [134.00, 140.00]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0.009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0.208</w:t>
            </w:r>
          </w:p>
        </w:tc>
      </w:tr>
      <w:tr>
        <w:trPr>
          <w:trHeight w:val="574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Mechanical ventilation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No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101 (51.8)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742 (63.6)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0.240</w:t>
            </w:r>
          </w:p>
        </w:tc>
      </w:tr>
      <w:tr>
        <w:trPr>
          <w:trHeight w:val="574" w:hRule="auto"/>
        </w:trPr>
        body19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Yes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94 (48.2)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425 (36.4)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574" w:hRule="auto"/>
        </w:trPr>
        body20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Renal replacement therapy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No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169 (86.7)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1089 (93.3)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0.002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0.223</w:t>
            </w:r>
          </w:p>
        </w:tc>
      </w:tr>
      <w:tr>
        <w:trPr>
          <w:trHeight w:val="574" w:hRule="auto"/>
        </w:trPr>
        body21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Yes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26 (13.3)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78 (6.7)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574" w:hRule="auto"/>
        </w:trPr>
        body22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Vasopressor use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No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135 (69.2)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792 (67.9)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0.768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0.029</w:t>
            </w:r>
          </w:p>
        </w:tc>
      </w:tr>
      <w:tr>
        <w:trPr>
          <w:trHeight w:val="574" w:hRule="auto"/>
        </w:trPr>
        body23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Yes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60 (30.8)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375 (32.1)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574" w:hRule="auto"/>
        </w:trPr>
        body24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Insulin use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No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147 (75.4)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656 (56.2)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&lt;0.001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0.413</w:t>
            </w:r>
          </w:p>
        </w:tc>
      </w:tr>
      <w:tr>
        <w:trPr>
          <w:trHeight w:val="574" w:hRule="auto"/>
        </w:trPr>
        body25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Yes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48 (24.6)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511 (43.8)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574" w:hRule="auto"/>
        </w:trPr>
        body26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28-day mortality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Survived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163 (83.6)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994 (85.2)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0.642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0.044</w:t>
            </w:r>
          </w:p>
        </w:tc>
      </w:tr>
      <w:tr>
        <w:trPr>
          <w:trHeight w:val="574" w:hRule="auto"/>
        </w:trPr>
        body27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Died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32 (16.4)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173 (14.8)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</w:tr>
      <w:tr>
        <w:trPr>
          <w:trHeight w:val="574" w:hRule="auto"/>
        </w:trPr>
        body28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1-year mortality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Survived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108 (55.4)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827 (70.9)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&lt;0.001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0.325</w:t>
            </w:r>
          </w:p>
        </w:tc>
      </w:tr>
      <w:tr>
        <w:trPr>
          <w:trHeight w:val="574" w:hRule="auto"/>
        </w:trPr>
        body29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Died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87 (44.6)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>340 (29.1)</w:t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  <w:tc>
          <w:tcPr>
            <w:tcBorders>
              <w:bottom w:val="single" w:sz="16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center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 w:val="false"/>
                <w:b w:val="false"/>
                <w:u w:val="none"/>
                <w:sz w:val="18"/>
                <w:szCs w:val="18"/>
                <w:color w:val="000000"/>
              </w:rPr>
              <w:t xml:space="preserve"/>
            </w:r>
          </w:p>
        </w:tc>
      </w:tr>
    </w:tbl>
    <w:p>
      <w:pPr>
        <w:pStyle w:val="Normal"/>
      </w:pPr>
      <w:r>
        <w:t xml:space="preserve"/>
      </w:r>
    </w:p>
    <w:p>
      <w:pPr>
        <w:pStyle w:val="Normal"/>
      </w:pPr>
      <w:r>
        <w:t xml:space="preserve">Abbreviations: SLE, Systemic lupus erythematosus; SAPS II, Simplified Acute Physiology Score II; SOFA, Sequential Organ Failure Assessment; SpO2, Peripheral oxygen saturation; SMD, Standardized mean difference.</w:t>
      </w:r>
    </w:p>
    <w:p>
      <w:pPr>
        <w:pStyle w:val="Normal"/>
      </w:pPr>
      <w:r>
        <w:t xml:space="preserve">Continuous variables are presented as median [IQR]. Categorical variables are presented as n (%).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
<Relationships  xmlns="http://schemas.openxmlformats.org/package/2006/relationships">
<Relationship Id="rId3" Type="http://schemas.openxmlformats.org/officeDocument/2006/relationships/settings" Target="settings.xml"/>
<Relationship Id="rId2" Type="http://schemas.openxmlformats.org/officeDocument/2006/relationships/styles" Target="styles.xml"/>
<Relationship Id="rId1" Type="http://schemas.openxmlformats.org/officeDocument/2006/relationships/numbering" Target="numbering.xml"/>
<Relationship Id="rId6" Type="http://schemas.openxmlformats.org/officeDocument/2006/relationships/theme" Target="theme/theme1.xml"/>
<Relationship Id="rId5" Type="http://schemas.openxmlformats.org/officeDocument/2006/relationships/fontTable" Target="fontTable.xml"/>
<Relationship Id="rId4" Type="http://schemas.openxmlformats.org/officeDocument/2006/relationships/webSettings" Target="webSettings.xml"/>
</Relationships>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/>
  <cp:revision>9</cp:revision>
  <dcterms:created xsi:type="dcterms:W3CDTF">2017-02-28T11:18:00Z</dcterms:created>
  <dcterms:modified xsi:type="dcterms:W3CDTF">2025-12-07T20:07:01Z</dcterms:modified>
  <cp:category/>
</cp:coreProperties>
</file>