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B9B75" w14:textId="5E5E2999" w:rsidR="00EE45A8" w:rsidRDefault="00EE45A8" w:rsidP="00EE45A8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  <w:bookmarkStart w:id="0" w:name="_Hlk212468905"/>
      <w:r>
        <w:rPr>
          <w:rFonts w:asciiTheme="majorBidi" w:hAnsiTheme="majorBidi" w:cstheme="majorBidi"/>
          <w:b/>
          <w:sz w:val="24"/>
          <w:szCs w:val="24"/>
        </w:rPr>
        <w:t xml:space="preserve">Appendix </w:t>
      </w:r>
    </w:p>
    <w:p w14:paraId="5D6EC37F" w14:textId="7D4ED512" w:rsidR="00672437" w:rsidRDefault="00672437" w:rsidP="00EE45A8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</w:p>
    <w:p w14:paraId="44DF783D" w14:textId="77777777" w:rsidR="00672437" w:rsidRPr="002928D7" w:rsidRDefault="00672437" w:rsidP="00672437">
      <w:pPr>
        <w:jc w:val="center"/>
        <w:rPr>
          <w:rFonts w:ascii="Times New Roman" w:hAnsi="Times New Roman" w:cs="Times New Roman"/>
          <w:sz w:val="24"/>
          <w:szCs w:val="24"/>
        </w:rPr>
      </w:pPr>
      <w:r w:rsidRPr="002928D7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2928D7">
        <w:rPr>
          <w:rFonts w:ascii="Times New Roman" w:hAnsi="Times New Roman" w:cs="Times New Roman"/>
          <w:b/>
          <w:sz w:val="24"/>
          <w:szCs w:val="24"/>
        </w:rPr>
        <w:t>1</w:t>
      </w:r>
      <w:r w:rsidRPr="002928D7">
        <w:rPr>
          <w:rFonts w:ascii="Times New Roman" w:hAnsi="Times New Roman" w:cs="Times New Roman"/>
          <w:sz w:val="24"/>
          <w:szCs w:val="24"/>
        </w:rPr>
        <w:t xml:space="preserve">: Time evolution of </w:t>
      </w:r>
      <w:r>
        <w:rPr>
          <w:rFonts w:ascii="Times New Roman" w:hAnsi="Times New Roman" w:cs="Times New Roman"/>
          <w:sz w:val="24"/>
          <w:szCs w:val="24"/>
        </w:rPr>
        <w:t xml:space="preserve">aggregate </w:t>
      </w:r>
      <w:r w:rsidRPr="002928D7">
        <w:rPr>
          <w:rFonts w:ascii="Times New Roman" w:hAnsi="Times New Roman" w:cs="Times New Roman"/>
          <w:sz w:val="24"/>
          <w:szCs w:val="24"/>
        </w:rPr>
        <w:t>AfT flows (in millions of US dollars), 2002-2018</w:t>
      </w:r>
    </w:p>
    <w:p w14:paraId="3357FBBD" w14:textId="6B009102" w:rsidR="00672437" w:rsidRPr="00672437" w:rsidRDefault="00672437" w:rsidP="00672437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58C47B0" wp14:editId="11A6FDBD">
            <wp:extent cx="5943600" cy="2254250"/>
            <wp:effectExtent l="0" t="0" r="0" b="0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2928D7">
        <w:rPr>
          <w:rFonts w:ascii="Times New Roman" w:hAnsi="Times New Roman" w:cs="Times New Roman"/>
          <w:b/>
          <w:sz w:val="18"/>
          <w:szCs w:val="18"/>
        </w:rPr>
        <w:t>Note</w:t>
      </w:r>
      <w:r w:rsidRPr="002928D7">
        <w:rPr>
          <w:rFonts w:ascii="Times New Roman" w:hAnsi="Times New Roman" w:cs="Times New Roman"/>
          <w:sz w:val="18"/>
          <w:szCs w:val="18"/>
        </w:rPr>
        <w:t>:</w:t>
      </w:r>
      <w:r w:rsidRPr="002928D7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2928D7">
        <w:rPr>
          <w:rFonts w:ascii="Times New Roman" w:hAnsi="Times New Roman" w:cs="Times New Roman"/>
          <w:sz w:val="18"/>
          <w:szCs w:val="18"/>
        </w:rPr>
        <w:t>i</w:t>
      </w:r>
      <w:proofErr w:type="spellEnd"/>
      <w:r w:rsidRPr="002928D7">
        <w:rPr>
          <w:rFonts w:ascii="Times New Roman" w:hAnsi="Times New Roman" w:cs="Times New Roman"/>
          <w:sz w:val="18"/>
          <w:szCs w:val="18"/>
        </w:rPr>
        <w:t xml:space="preserve">) Authors’ computations based on the OECD, Creditor Reporting System; ii) </w:t>
      </w:r>
      <w:r>
        <w:rPr>
          <w:rFonts w:ascii="Times New Roman" w:hAnsi="Times New Roman" w:cs="Times New Roman"/>
          <w:sz w:val="18"/>
          <w:szCs w:val="18"/>
        </w:rPr>
        <w:t>the aid measurement</w:t>
      </w:r>
      <w:r w:rsidRPr="002928D7">
        <w:rPr>
          <w:rFonts w:ascii="Times New Roman" w:hAnsi="Times New Roman" w:cs="Times New Roman"/>
          <w:sz w:val="18"/>
          <w:szCs w:val="18"/>
        </w:rPr>
        <w:t xml:space="preserve"> encompass</w:t>
      </w:r>
      <w:r>
        <w:rPr>
          <w:rFonts w:ascii="Times New Roman" w:hAnsi="Times New Roman" w:cs="Times New Roman"/>
          <w:sz w:val="18"/>
          <w:szCs w:val="18"/>
        </w:rPr>
        <w:t>es</w:t>
      </w:r>
      <w:r w:rsidRPr="002928D7">
        <w:rPr>
          <w:rFonts w:ascii="Times New Roman" w:hAnsi="Times New Roman" w:cs="Times New Roman"/>
          <w:sz w:val="18"/>
          <w:szCs w:val="18"/>
        </w:rPr>
        <w:t xml:space="preserve"> bilateral and multilateral aid flows; iii) “</w:t>
      </w:r>
      <w:r>
        <w:rPr>
          <w:rFonts w:ascii="Times New Roman" w:hAnsi="Times New Roman" w:cs="Times New Roman"/>
          <w:sz w:val="18"/>
          <w:szCs w:val="18"/>
        </w:rPr>
        <w:t xml:space="preserve">aggregate </w:t>
      </w:r>
      <w:r w:rsidRPr="002928D7">
        <w:rPr>
          <w:rFonts w:ascii="Times New Roman" w:hAnsi="Times New Roman" w:cs="Times New Roman"/>
          <w:sz w:val="18"/>
          <w:szCs w:val="18"/>
        </w:rPr>
        <w:t>AfT” is the sum of three aid components: a) aid targeting the productive capacity of th</w:t>
      </w:r>
      <w:r>
        <w:rPr>
          <w:rFonts w:ascii="Times New Roman" w:hAnsi="Times New Roman" w:cs="Times New Roman"/>
          <w:sz w:val="18"/>
          <w:szCs w:val="18"/>
        </w:rPr>
        <w:t>e recipient country</w:t>
      </w:r>
      <w:r w:rsidRPr="002928D7">
        <w:rPr>
          <w:rFonts w:ascii="Times New Roman" w:hAnsi="Times New Roman" w:cs="Times New Roman"/>
          <w:sz w:val="18"/>
          <w:szCs w:val="18"/>
        </w:rPr>
        <w:t>, b) aid strengthening the infrastructure in th</w:t>
      </w:r>
      <w:r>
        <w:rPr>
          <w:rFonts w:ascii="Times New Roman" w:hAnsi="Times New Roman" w:cs="Times New Roman"/>
          <w:sz w:val="18"/>
          <w:szCs w:val="18"/>
        </w:rPr>
        <w:t>e recipient country</w:t>
      </w:r>
      <w:r w:rsidRPr="002928D7">
        <w:rPr>
          <w:rFonts w:ascii="Times New Roman" w:hAnsi="Times New Roman" w:cs="Times New Roman"/>
          <w:sz w:val="18"/>
          <w:szCs w:val="18"/>
        </w:rPr>
        <w:t xml:space="preserve">, and c) aid boosting the trade capacities and improving trade policies in the </w:t>
      </w:r>
      <w:r>
        <w:rPr>
          <w:rFonts w:ascii="Times New Roman" w:hAnsi="Times New Roman" w:cs="Times New Roman"/>
          <w:sz w:val="18"/>
          <w:szCs w:val="18"/>
        </w:rPr>
        <w:t xml:space="preserve">recipient country; iv) the dashed line is the linear trend. </w:t>
      </w:r>
    </w:p>
    <w:p w14:paraId="5161501C" w14:textId="77777777" w:rsidR="00672437" w:rsidRPr="002928D7" w:rsidRDefault="00672437" w:rsidP="00672437">
      <w:pPr>
        <w:jc w:val="center"/>
        <w:rPr>
          <w:rFonts w:ascii="Times New Roman" w:hAnsi="Times New Roman" w:cs="Times New Roman"/>
          <w:sz w:val="24"/>
          <w:szCs w:val="24"/>
        </w:rPr>
      </w:pPr>
      <w:r w:rsidRPr="002928D7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A2</w:t>
      </w:r>
      <w:r w:rsidRPr="002928D7">
        <w:rPr>
          <w:rFonts w:ascii="Times New Roman" w:hAnsi="Times New Roman" w:cs="Times New Roman"/>
          <w:sz w:val="24"/>
          <w:szCs w:val="24"/>
        </w:rPr>
        <w:t xml:space="preserve">: Forward and backward participation (in </w:t>
      </w:r>
      <w:r>
        <w:rPr>
          <w:rFonts w:ascii="Times New Roman" w:hAnsi="Times New Roman" w:cs="Times New Roman"/>
          <w:sz w:val="24"/>
          <w:szCs w:val="24"/>
        </w:rPr>
        <w:t>billions</w:t>
      </w:r>
      <w:r w:rsidRPr="002928D7">
        <w:rPr>
          <w:rFonts w:ascii="Times New Roman" w:hAnsi="Times New Roman" w:cs="Times New Roman"/>
          <w:sz w:val="24"/>
          <w:szCs w:val="24"/>
        </w:rPr>
        <w:t xml:space="preserve"> of US dollars) of aid-recipients with autocratic regimes, 2002-2018</w:t>
      </w:r>
    </w:p>
    <w:p w14:paraId="1D4B22D5" w14:textId="0FC7E3E7" w:rsidR="00672437" w:rsidRDefault="00672437" w:rsidP="006724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E60E41F" wp14:editId="761C5665">
            <wp:extent cx="5943600" cy="1927185"/>
            <wp:effectExtent l="0" t="0" r="0" b="0"/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2928D7">
        <w:rPr>
          <w:rFonts w:ascii="Times New Roman" w:hAnsi="Times New Roman" w:cs="Times New Roman"/>
          <w:b/>
          <w:sz w:val="18"/>
          <w:szCs w:val="18"/>
        </w:rPr>
        <w:t>Source</w:t>
      </w:r>
      <w:r w:rsidRPr="002928D7">
        <w:rPr>
          <w:rFonts w:ascii="Times New Roman" w:hAnsi="Times New Roman" w:cs="Times New Roman"/>
          <w:sz w:val="18"/>
          <w:szCs w:val="18"/>
        </w:rPr>
        <w:t xml:space="preserve">: </w:t>
      </w:r>
      <w:proofErr w:type="spellStart"/>
      <w:r>
        <w:rPr>
          <w:rFonts w:ascii="Times New Roman" w:hAnsi="Times New Roman" w:cs="Times New Roman"/>
          <w:sz w:val="18"/>
          <w:szCs w:val="18"/>
        </w:rPr>
        <w:t>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) Authors’ computations; ii) the classification of countries across the three regimes is explained in the explanatory note of Figure 3. </w:t>
      </w:r>
      <w:r w:rsidRPr="00850A4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(iii) for </w:t>
      </w:r>
      <w:r w:rsidRPr="002928D7">
        <w:rPr>
          <w:rFonts w:ascii="Times New Roman" w:hAnsi="Times New Roman" w:cs="Times New Roman"/>
          <w:sz w:val="18"/>
          <w:szCs w:val="18"/>
        </w:rPr>
        <w:t xml:space="preserve">a given country, DVX is the value-added exported by that country and embodied in the exports of the rest of the countries; </w:t>
      </w:r>
      <w:r>
        <w:rPr>
          <w:rFonts w:ascii="Times New Roman" w:hAnsi="Times New Roman" w:cs="Times New Roman"/>
          <w:sz w:val="18"/>
          <w:szCs w:val="18"/>
        </w:rPr>
        <w:t>iv</w:t>
      </w:r>
      <w:r w:rsidRPr="002928D7">
        <w:rPr>
          <w:rFonts w:ascii="Times New Roman" w:hAnsi="Times New Roman" w:cs="Times New Roman"/>
          <w:sz w:val="18"/>
          <w:szCs w:val="18"/>
        </w:rPr>
        <w:t xml:space="preserve">) for a given country, FVA is the value added imported by that country from the rest of the world and incorporated </w:t>
      </w:r>
      <w:r>
        <w:rPr>
          <w:rFonts w:ascii="Times New Roman" w:hAnsi="Times New Roman" w:cs="Times New Roman"/>
          <w:sz w:val="18"/>
          <w:szCs w:val="18"/>
        </w:rPr>
        <w:t>in its exports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7ED73C" w14:textId="5713C2C1" w:rsidR="00672437" w:rsidRDefault="00672437" w:rsidP="006724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235B88" w14:textId="637B2CB9" w:rsidR="00672437" w:rsidRDefault="00672437" w:rsidP="006724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6F9784" w14:textId="5F14626A" w:rsidR="00672437" w:rsidRDefault="00672437" w:rsidP="006724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1076F1" w14:textId="77777777" w:rsidR="00672437" w:rsidRPr="00A77812" w:rsidRDefault="00672437" w:rsidP="006724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8404FE" w14:textId="77777777" w:rsidR="00672437" w:rsidRPr="002928D7" w:rsidRDefault="00672437" w:rsidP="00672437">
      <w:pPr>
        <w:jc w:val="center"/>
        <w:rPr>
          <w:rFonts w:ascii="Times New Roman" w:hAnsi="Times New Roman" w:cs="Times New Roman"/>
          <w:sz w:val="24"/>
          <w:szCs w:val="24"/>
        </w:rPr>
      </w:pPr>
      <w:r w:rsidRPr="002928D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A3</w:t>
      </w:r>
      <w:r w:rsidRPr="002928D7">
        <w:rPr>
          <w:rFonts w:ascii="Times New Roman" w:hAnsi="Times New Roman" w:cs="Times New Roman"/>
          <w:sz w:val="24"/>
          <w:szCs w:val="24"/>
        </w:rPr>
        <w:t xml:space="preserve">: Forward and backward participation (in </w:t>
      </w:r>
      <w:r>
        <w:rPr>
          <w:rFonts w:ascii="Times New Roman" w:hAnsi="Times New Roman" w:cs="Times New Roman"/>
          <w:sz w:val="24"/>
          <w:szCs w:val="24"/>
        </w:rPr>
        <w:t>billions</w:t>
      </w:r>
      <w:r w:rsidRPr="002928D7">
        <w:rPr>
          <w:rFonts w:ascii="Times New Roman" w:hAnsi="Times New Roman" w:cs="Times New Roman"/>
          <w:sz w:val="24"/>
          <w:szCs w:val="24"/>
        </w:rPr>
        <w:t xml:space="preserve"> of US dollars) of aid-recipients with anocratic regimes, 2002-2018</w:t>
      </w:r>
    </w:p>
    <w:p w14:paraId="0B6398C0" w14:textId="2C134A21" w:rsidR="00672437" w:rsidRPr="00672437" w:rsidRDefault="00672437" w:rsidP="006724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82B586D" wp14:editId="71EC31A0">
            <wp:extent cx="5943600" cy="2268638"/>
            <wp:effectExtent l="0" t="0" r="0" b="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2928D7">
        <w:rPr>
          <w:rFonts w:ascii="Times New Roman" w:hAnsi="Times New Roman" w:cs="Times New Roman"/>
          <w:b/>
          <w:sz w:val="18"/>
          <w:szCs w:val="18"/>
        </w:rPr>
        <w:t>Source</w:t>
      </w:r>
      <w:r w:rsidRPr="002928D7">
        <w:rPr>
          <w:rFonts w:ascii="Times New Roman" w:hAnsi="Times New Roman" w:cs="Times New Roman"/>
          <w:sz w:val="18"/>
          <w:szCs w:val="18"/>
        </w:rPr>
        <w:t xml:space="preserve">: </w:t>
      </w:r>
      <w:proofErr w:type="spellStart"/>
      <w:r>
        <w:rPr>
          <w:rFonts w:ascii="Times New Roman" w:hAnsi="Times New Roman" w:cs="Times New Roman"/>
          <w:sz w:val="18"/>
          <w:szCs w:val="18"/>
        </w:rPr>
        <w:t>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) Authors’ computations; ii) the classification of countries across the three regimes is explained in the explanatory note of Figure 3. (iii) </w:t>
      </w:r>
      <w:r w:rsidRPr="002928D7">
        <w:rPr>
          <w:rFonts w:ascii="Times New Roman" w:hAnsi="Times New Roman" w:cs="Times New Roman"/>
          <w:sz w:val="18"/>
          <w:szCs w:val="18"/>
        </w:rPr>
        <w:t xml:space="preserve">for a given country, DVX is the value-added exported by that country and embodied in the exports of the rest of the countries; </w:t>
      </w:r>
      <w:r>
        <w:rPr>
          <w:rFonts w:ascii="Times New Roman" w:hAnsi="Times New Roman" w:cs="Times New Roman"/>
          <w:sz w:val="18"/>
          <w:szCs w:val="18"/>
        </w:rPr>
        <w:t>iv</w:t>
      </w:r>
      <w:r w:rsidRPr="002928D7">
        <w:rPr>
          <w:rFonts w:ascii="Times New Roman" w:hAnsi="Times New Roman" w:cs="Times New Roman"/>
          <w:sz w:val="18"/>
          <w:szCs w:val="18"/>
        </w:rPr>
        <w:t xml:space="preserve">) for a given country, FVA is the value added imported by that country from the rest of the world and incorporated </w:t>
      </w:r>
      <w:r>
        <w:rPr>
          <w:rFonts w:ascii="Times New Roman" w:hAnsi="Times New Roman" w:cs="Times New Roman"/>
          <w:sz w:val="18"/>
          <w:szCs w:val="18"/>
        </w:rPr>
        <w:t>in its exports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6E7C17D" w14:textId="77777777" w:rsidR="00672437" w:rsidRPr="002928D7" w:rsidRDefault="00672437" w:rsidP="00672437">
      <w:pPr>
        <w:jc w:val="center"/>
        <w:rPr>
          <w:rFonts w:ascii="Times New Roman" w:hAnsi="Times New Roman" w:cs="Times New Roman"/>
          <w:sz w:val="24"/>
          <w:szCs w:val="24"/>
        </w:rPr>
      </w:pPr>
      <w:r w:rsidRPr="002928D7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A4</w:t>
      </w:r>
      <w:r w:rsidRPr="002928D7">
        <w:rPr>
          <w:rFonts w:ascii="Times New Roman" w:hAnsi="Times New Roman" w:cs="Times New Roman"/>
          <w:sz w:val="24"/>
          <w:szCs w:val="24"/>
        </w:rPr>
        <w:t xml:space="preserve">: Forward and backward participation (in </w:t>
      </w:r>
      <w:r>
        <w:rPr>
          <w:rFonts w:ascii="Times New Roman" w:hAnsi="Times New Roman" w:cs="Times New Roman"/>
          <w:sz w:val="24"/>
          <w:szCs w:val="24"/>
        </w:rPr>
        <w:t>billions</w:t>
      </w:r>
      <w:r w:rsidRPr="002928D7">
        <w:rPr>
          <w:rFonts w:ascii="Times New Roman" w:hAnsi="Times New Roman" w:cs="Times New Roman"/>
          <w:sz w:val="24"/>
          <w:szCs w:val="24"/>
        </w:rPr>
        <w:t xml:space="preserve"> of US dollars) of aid-recipients with democratic regimes, 2002-2018</w:t>
      </w:r>
    </w:p>
    <w:p w14:paraId="03F693AF" w14:textId="77777777" w:rsidR="00672437" w:rsidRDefault="00672437" w:rsidP="00672437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0D38B3C6" wp14:editId="53557517">
            <wp:extent cx="5943600" cy="2170253"/>
            <wp:effectExtent l="0" t="0" r="0" b="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2928D7">
        <w:rPr>
          <w:rFonts w:ascii="Times New Roman" w:hAnsi="Times New Roman" w:cs="Times New Roman"/>
          <w:b/>
          <w:sz w:val="18"/>
          <w:szCs w:val="18"/>
        </w:rPr>
        <w:t>Source</w:t>
      </w:r>
      <w:r w:rsidRPr="002928D7">
        <w:rPr>
          <w:rFonts w:ascii="Times New Roman" w:hAnsi="Times New Roman" w:cs="Times New Roman"/>
          <w:sz w:val="18"/>
          <w:szCs w:val="18"/>
        </w:rPr>
        <w:t xml:space="preserve">: </w:t>
      </w:r>
      <w:proofErr w:type="spellStart"/>
      <w:r>
        <w:rPr>
          <w:rFonts w:ascii="Times New Roman" w:hAnsi="Times New Roman" w:cs="Times New Roman"/>
          <w:sz w:val="18"/>
          <w:szCs w:val="18"/>
        </w:rPr>
        <w:t>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) Authors’ computations; ii) the classification of countries across the three regimes is explained in the explanatory note of Figure 3. </w:t>
      </w:r>
      <w:r w:rsidRPr="00083B82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(iii) for </w:t>
      </w:r>
      <w:r w:rsidRPr="002928D7">
        <w:rPr>
          <w:rFonts w:ascii="Times New Roman" w:hAnsi="Times New Roman" w:cs="Times New Roman"/>
          <w:sz w:val="18"/>
          <w:szCs w:val="18"/>
        </w:rPr>
        <w:t xml:space="preserve">a given country, DVX is the value-added exported by that country and embodied in the exports of the rest of the countries; </w:t>
      </w:r>
      <w:r>
        <w:rPr>
          <w:rFonts w:ascii="Times New Roman" w:hAnsi="Times New Roman" w:cs="Times New Roman"/>
          <w:sz w:val="18"/>
          <w:szCs w:val="18"/>
        </w:rPr>
        <w:t>iv</w:t>
      </w:r>
      <w:r w:rsidRPr="002928D7">
        <w:rPr>
          <w:rFonts w:ascii="Times New Roman" w:hAnsi="Times New Roman" w:cs="Times New Roman"/>
          <w:sz w:val="18"/>
          <w:szCs w:val="18"/>
        </w:rPr>
        <w:t xml:space="preserve">) for a given country, FVA is the value added imported by that country from the rest of the world and incorporated </w:t>
      </w:r>
      <w:r>
        <w:rPr>
          <w:rFonts w:ascii="Times New Roman" w:hAnsi="Times New Roman" w:cs="Times New Roman"/>
          <w:sz w:val="18"/>
          <w:szCs w:val="18"/>
        </w:rPr>
        <w:t>in its exports.</w:t>
      </w:r>
    </w:p>
    <w:p w14:paraId="54510FFE" w14:textId="77777777" w:rsidR="00672437" w:rsidRPr="007C596D" w:rsidRDefault="00672437" w:rsidP="00EE45A8">
      <w:pPr>
        <w:spacing w:after="0"/>
        <w:jc w:val="center"/>
        <w:rPr>
          <w:rFonts w:asciiTheme="majorBidi" w:hAnsiTheme="majorBidi" w:cstheme="majorBidi"/>
          <w:b/>
          <w:sz w:val="24"/>
          <w:szCs w:val="24"/>
        </w:rPr>
      </w:pPr>
    </w:p>
    <w:p w14:paraId="7847A0DB" w14:textId="7B0F8F41" w:rsidR="00EE45A8" w:rsidRDefault="00EE45A8" w:rsidP="00EE45A8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p w14:paraId="1EF7A474" w14:textId="1D6CC917" w:rsidR="00672437" w:rsidRDefault="00672437" w:rsidP="00EE45A8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p w14:paraId="716B2DC0" w14:textId="37C71A02" w:rsidR="00672437" w:rsidRDefault="00672437" w:rsidP="00EE45A8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p w14:paraId="6C3D90EC" w14:textId="10ED918B" w:rsidR="00672437" w:rsidRDefault="00672437" w:rsidP="00EE45A8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p w14:paraId="04F532E1" w14:textId="4DAD89C0" w:rsidR="00672437" w:rsidRDefault="00672437" w:rsidP="00EE45A8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p w14:paraId="158A6471" w14:textId="77777777" w:rsidR="00672437" w:rsidRDefault="00672437" w:rsidP="00EE45A8">
      <w:pPr>
        <w:spacing w:after="0"/>
        <w:rPr>
          <w:rFonts w:asciiTheme="majorBidi" w:hAnsiTheme="majorBidi" w:cstheme="majorBidi"/>
          <w:b/>
          <w:sz w:val="24"/>
          <w:szCs w:val="24"/>
        </w:rPr>
      </w:pPr>
    </w:p>
    <w:p w14:paraId="6EF2EB17" w14:textId="68E7238F" w:rsidR="00EE45A8" w:rsidRDefault="00EE45A8" w:rsidP="00EE45A8">
      <w:pPr>
        <w:spacing w:after="0"/>
        <w:jc w:val="center"/>
        <w:rPr>
          <w:rFonts w:asciiTheme="majorBidi" w:hAnsiTheme="majorBidi" w:cstheme="majorBidi"/>
          <w:bCs/>
          <w:sz w:val="24"/>
          <w:szCs w:val="24"/>
        </w:rPr>
      </w:pPr>
      <w:r w:rsidRPr="00EE45A8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A1</w:t>
      </w:r>
      <w:r w:rsidRPr="00E80689">
        <w:rPr>
          <w:rFonts w:asciiTheme="majorBidi" w:hAnsiTheme="majorBidi" w:cstheme="majorBidi"/>
          <w:bCs/>
          <w:sz w:val="24"/>
          <w:szCs w:val="24"/>
        </w:rPr>
        <w:t xml:space="preserve">: </w:t>
      </w:r>
      <w:r>
        <w:rPr>
          <w:rFonts w:asciiTheme="majorBidi" w:hAnsiTheme="majorBidi" w:cstheme="majorBidi"/>
          <w:bCs/>
          <w:sz w:val="24"/>
          <w:szCs w:val="24"/>
        </w:rPr>
        <w:t>Variables</w:t>
      </w:r>
      <w:r w:rsidR="0036519E">
        <w:rPr>
          <w:rFonts w:asciiTheme="majorBidi" w:hAnsiTheme="majorBidi" w:cstheme="majorBidi"/>
          <w:bCs/>
          <w:sz w:val="24"/>
          <w:szCs w:val="24"/>
        </w:rPr>
        <w:t xml:space="preserve"> used in the empirical analysis – </w:t>
      </w:r>
      <w:r>
        <w:rPr>
          <w:rFonts w:asciiTheme="majorBidi" w:hAnsiTheme="majorBidi" w:cstheme="majorBidi"/>
          <w:bCs/>
          <w:sz w:val="24"/>
          <w:szCs w:val="24"/>
        </w:rPr>
        <w:t>definition</w:t>
      </w:r>
      <w:r w:rsidR="0036519E">
        <w:rPr>
          <w:rFonts w:asciiTheme="majorBidi" w:hAnsiTheme="majorBidi" w:cstheme="majorBidi"/>
          <w:bCs/>
          <w:sz w:val="24"/>
          <w:szCs w:val="24"/>
        </w:rPr>
        <w:t>s and sources</w:t>
      </w:r>
    </w:p>
    <w:tbl>
      <w:tblPr>
        <w:tblStyle w:val="TableGrid"/>
        <w:tblW w:w="9535" w:type="dxa"/>
        <w:jc w:val="center"/>
        <w:tblLook w:val="04A0" w:firstRow="1" w:lastRow="0" w:firstColumn="1" w:lastColumn="0" w:noHBand="0" w:noVBand="1"/>
      </w:tblPr>
      <w:tblGrid>
        <w:gridCol w:w="2155"/>
        <w:gridCol w:w="5310"/>
        <w:gridCol w:w="2070"/>
      </w:tblGrid>
      <w:tr w:rsidR="002E66CF" w14:paraId="26A220D8" w14:textId="77777777" w:rsidTr="000530B1">
        <w:trPr>
          <w:jc w:val="center"/>
        </w:trPr>
        <w:tc>
          <w:tcPr>
            <w:tcW w:w="2155" w:type="dxa"/>
          </w:tcPr>
          <w:p w14:paraId="7831C32B" w14:textId="79223E58" w:rsidR="002E66CF" w:rsidRPr="00EE45A8" w:rsidRDefault="0036519E" w:rsidP="000530B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5310" w:type="dxa"/>
          </w:tcPr>
          <w:p w14:paraId="28194587" w14:textId="77777777" w:rsidR="002E66CF" w:rsidRPr="00EE45A8" w:rsidRDefault="002E66CF" w:rsidP="000530B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E45A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Definition</w:t>
            </w:r>
          </w:p>
        </w:tc>
        <w:tc>
          <w:tcPr>
            <w:tcW w:w="2070" w:type="dxa"/>
          </w:tcPr>
          <w:p w14:paraId="7CC82E38" w14:textId="77777777" w:rsidR="002E66CF" w:rsidRPr="00EE45A8" w:rsidRDefault="002E66CF" w:rsidP="000530B1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E45A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Source</w:t>
            </w:r>
          </w:p>
        </w:tc>
      </w:tr>
      <w:tr w:rsidR="002E66CF" w14:paraId="6C281353" w14:textId="77777777" w:rsidTr="000530B1">
        <w:trPr>
          <w:jc w:val="center"/>
        </w:trPr>
        <w:tc>
          <w:tcPr>
            <w:tcW w:w="2155" w:type="dxa"/>
          </w:tcPr>
          <w:p w14:paraId="2D2AAFCD" w14:textId="63A621DC" w:rsidR="002E66CF" w:rsidRPr="0036519E" w:rsidRDefault="002E66CF" w:rsidP="0036519E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proofErr w:type="spellStart"/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AfT</w:t>
            </w:r>
            <w:proofErr w:type="spellEnd"/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 </w:t>
            </w:r>
            <w:r w:rsidR="0036519E"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for trade policy </w:t>
            </w:r>
          </w:p>
        </w:tc>
        <w:tc>
          <w:tcPr>
            <w:tcW w:w="5310" w:type="dxa"/>
          </w:tcPr>
          <w:p w14:paraId="59A70C96" w14:textId="7914C470" w:rsidR="002E66CF" w:rsidRPr="0036519E" w:rsidRDefault="0036519E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Total official (public) and multilateral aid disbursed to recipient (in real US dollar) </w:t>
            </w:r>
            <w:proofErr w:type="gramStart"/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targeting:</w:t>
            </w:r>
            <w:proofErr w:type="gramEnd"/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 trade policy and regulations and trade-related adjustment (sector code: 331).</w:t>
            </w:r>
          </w:p>
        </w:tc>
        <w:tc>
          <w:tcPr>
            <w:tcW w:w="2070" w:type="dxa"/>
          </w:tcPr>
          <w:p w14:paraId="608868C4" w14:textId="02EF62A4" w:rsidR="002E66CF" w:rsidRPr="0036519E" w:rsidRDefault="0036519E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OECD – Creditor Reporting System</w:t>
            </w:r>
          </w:p>
        </w:tc>
      </w:tr>
      <w:tr w:rsidR="002E66CF" w14:paraId="67B365C3" w14:textId="77777777" w:rsidTr="000530B1">
        <w:trPr>
          <w:jc w:val="center"/>
        </w:trPr>
        <w:tc>
          <w:tcPr>
            <w:tcW w:w="2155" w:type="dxa"/>
          </w:tcPr>
          <w:p w14:paraId="587A351C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Backward GVC participation - FVA</w:t>
            </w:r>
          </w:p>
        </w:tc>
        <w:tc>
          <w:tcPr>
            <w:tcW w:w="5310" w:type="dxa"/>
          </w:tcPr>
          <w:p w14:paraId="63546AFB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sz w:val="20"/>
                <w:szCs w:val="20"/>
              </w:rPr>
              <w:t>The value added in a country’s exports whose inputs are produced by foreign industries</w:t>
            </w:r>
          </w:p>
        </w:tc>
        <w:tc>
          <w:tcPr>
            <w:tcW w:w="2070" w:type="dxa"/>
          </w:tcPr>
          <w:p w14:paraId="6222AF7E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EORA database</w:t>
            </w:r>
          </w:p>
        </w:tc>
      </w:tr>
      <w:tr w:rsidR="002E66CF" w14:paraId="3B3EAA50" w14:textId="77777777" w:rsidTr="000530B1">
        <w:trPr>
          <w:jc w:val="center"/>
        </w:trPr>
        <w:tc>
          <w:tcPr>
            <w:tcW w:w="2155" w:type="dxa"/>
          </w:tcPr>
          <w:p w14:paraId="6853E6BE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Forward GVC participation - DVX</w:t>
            </w:r>
          </w:p>
        </w:tc>
        <w:tc>
          <w:tcPr>
            <w:tcW w:w="5310" w:type="dxa"/>
          </w:tcPr>
          <w:p w14:paraId="75C7FF5B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sz w:val="20"/>
                <w:szCs w:val="20"/>
              </w:rPr>
              <w:t>The domestic value added embodied in the exports of other countries</w:t>
            </w:r>
          </w:p>
        </w:tc>
        <w:tc>
          <w:tcPr>
            <w:tcW w:w="2070" w:type="dxa"/>
          </w:tcPr>
          <w:p w14:paraId="489C9CF8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EORA database</w:t>
            </w:r>
          </w:p>
        </w:tc>
      </w:tr>
      <w:tr w:rsidR="002E66CF" w14:paraId="29A19311" w14:textId="77777777" w:rsidTr="000530B1">
        <w:trPr>
          <w:jc w:val="center"/>
        </w:trPr>
        <w:tc>
          <w:tcPr>
            <w:tcW w:w="2155" w:type="dxa"/>
          </w:tcPr>
          <w:p w14:paraId="6E189F31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Total GVC participation</w:t>
            </w:r>
          </w:p>
        </w:tc>
        <w:tc>
          <w:tcPr>
            <w:tcW w:w="5310" w:type="dxa"/>
          </w:tcPr>
          <w:p w14:paraId="41A01CBA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The sum of FVA and DVX</w:t>
            </w:r>
          </w:p>
        </w:tc>
        <w:tc>
          <w:tcPr>
            <w:tcW w:w="2070" w:type="dxa"/>
          </w:tcPr>
          <w:p w14:paraId="2391C0E3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EORA database</w:t>
            </w:r>
          </w:p>
        </w:tc>
      </w:tr>
      <w:tr w:rsidR="002E66CF" w14:paraId="13559741" w14:textId="77777777" w:rsidTr="000530B1">
        <w:trPr>
          <w:jc w:val="center"/>
        </w:trPr>
        <w:tc>
          <w:tcPr>
            <w:tcW w:w="2155" w:type="dxa"/>
          </w:tcPr>
          <w:p w14:paraId="3693BB68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Political proximity</w:t>
            </w:r>
          </w:p>
        </w:tc>
        <w:tc>
          <w:tcPr>
            <w:tcW w:w="5310" w:type="dxa"/>
          </w:tcPr>
          <w:p w14:paraId="5C896284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The similarity of votes between the recipient countries and the main GVC hubs that are permanent members of the UN Security Council</w:t>
            </w:r>
          </w:p>
        </w:tc>
        <w:tc>
          <w:tcPr>
            <w:tcW w:w="2070" w:type="dxa"/>
          </w:tcPr>
          <w:p w14:paraId="0279BD08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</w:tr>
      <w:tr w:rsidR="002E66CF" w14:paraId="15EF4A29" w14:textId="77777777" w:rsidTr="000530B1">
        <w:trPr>
          <w:jc w:val="center"/>
        </w:trPr>
        <w:tc>
          <w:tcPr>
            <w:tcW w:w="2155" w:type="dxa"/>
          </w:tcPr>
          <w:p w14:paraId="559846B2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Ln(GDP)</w:t>
            </w:r>
          </w:p>
        </w:tc>
        <w:tc>
          <w:tcPr>
            <w:tcW w:w="5310" w:type="dxa"/>
          </w:tcPr>
          <w:p w14:paraId="4DDD0057" w14:textId="2BB7232E" w:rsidR="002E66CF" w:rsidRPr="0036519E" w:rsidRDefault="000530B1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Natural logarithm of the Gross domestic product</w:t>
            </w:r>
          </w:p>
        </w:tc>
        <w:tc>
          <w:tcPr>
            <w:tcW w:w="2070" w:type="dxa"/>
          </w:tcPr>
          <w:p w14:paraId="19881DE3" w14:textId="023A0A4C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World Bank, World Development Indicators</w:t>
            </w:r>
          </w:p>
        </w:tc>
      </w:tr>
      <w:tr w:rsidR="002E66CF" w14:paraId="7D7C359B" w14:textId="77777777" w:rsidTr="000530B1">
        <w:trPr>
          <w:jc w:val="center"/>
        </w:trPr>
        <w:tc>
          <w:tcPr>
            <w:tcW w:w="2155" w:type="dxa"/>
          </w:tcPr>
          <w:p w14:paraId="17FCBF51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proofErr w:type="gramStart"/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Ln(</w:t>
            </w:r>
            <w:proofErr w:type="gramEnd"/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Tariff)</w:t>
            </w:r>
          </w:p>
        </w:tc>
        <w:tc>
          <w:tcPr>
            <w:tcW w:w="5310" w:type="dxa"/>
          </w:tcPr>
          <w:p w14:paraId="6DC375AB" w14:textId="77777777" w:rsidR="002E66CF" w:rsidRDefault="000530B1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For FVA, tariff imposed by the country.</w:t>
            </w:r>
          </w:p>
          <w:p w14:paraId="564457A6" w14:textId="3E96BD2B" w:rsidR="000530B1" w:rsidRPr="0036519E" w:rsidRDefault="000530B1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For DVA, tariff faced by the main trade partner</w:t>
            </w:r>
          </w:p>
        </w:tc>
        <w:tc>
          <w:tcPr>
            <w:tcW w:w="2070" w:type="dxa"/>
          </w:tcPr>
          <w:p w14:paraId="29B0C4D7" w14:textId="0A1F6FFC" w:rsidR="002E66CF" w:rsidRPr="0036519E" w:rsidRDefault="000530B1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WTO tariff profiles</w:t>
            </w:r>
          </w:p>
        </w:tc>
      </w:tr>
      <w:tr w:rsidR="002E66CF" w14:paraId="222D7471" w14:textId="77777777" w:rsidTr="000530B1">
        <w:trPr>
          <w:jc w:val="center"/>
        </w:trPr>
        <w:tc>
          <w:tcPr>
            <w:tcW w:w="2155" w:type="dxa"/>
          </w:tcPr>
          <w:p w14:paraId="212182C8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Ln(</w:t>
            </w:r>
            <w:proofErr w:type="spellStart"/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Manuf</w:t>
            </w:r>
            <w:proofErr w:type="spellEnd"/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/GDP)</w:t>
            </w:r>
          </w:p>
        </w:tc>
        <w:tc>
          <w:tcPr>
            <w:tcW w:w="5310" w:type="dxa"/>
          </w:tcPr>
          <w:p w14:paraId="1DA2F5B8" w14:textId="13FC0675" w:rsidR="002E66CF" w:rsidRPr="0036519E" w:rsidRDefault="000530B1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Share of the manufacturing sector to GDP</w:t>
            </w:r>
          </w:p>
        </w:tc>
        <w:tc>
          <w:tcPr>
            <w:tcW w:w="2070" w:type="dxa"/>
          </w:tcPr>
          <w:p w14:paraId="553660D3" w14:textId="60D973BD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World Bank, World Development Indicators</w:t>
            </w:r>
          </w:p>
        </w:tc>
      </w:tr>
      <w:tr w:rsidR="002E66CF" w14:paraId="6EF6E5C1" w14:textId="77777777" w:rsidTr="000530B1">
        <w:trPr>
          <w:jc w:val="center"/>
        </w:trPr>
        <w:tc>
          <w:tcPr>
            <w:tcW w:w="2155" w:type="dxa"/>
          </w:tcPr>
          <w:p w14:paraId="44D8DB35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Ln(Avg. Distance)</w:t>
            </w:r>
          </w:p>
        </w:tc>
        <w:tc>
          <w:tcPr>
            <w:tcW w:w="5310" w:type="dxa"/>
          </w:tcPr>
          <w:p w14:paraId="4E5E5705" w14:textId="1E2593C1" w:rsidR="002E66CF" w:rsidRPr="0036519E" w:rsidRDefault="000530B1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Average of the distance to main GVC hubs weighted by their GDP.</w:t>
            </w:r>
          </w:p>
        </w:tc>
        <w:tc>
          <w:tcPr>
            <w:tcW w:w="2070" w:type="dxa"/>
          </w:tcPr>
          <w:p w14:paraId="0D0E0C34" w14:textId="3B036703" w:rsidR="002E66CF" w:rsidRPr="0036519E" w:rsidRDefault="000530B1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>Calculated by the authors using CEPII database</w:t>
            </w:r>
          </w:p>
        </w:tc>
      </w:tr>
      <w:tr w:rsidR="002E66CF" w14:paraId="2D7B3FF5" w14:textId="77777777" w:rsidTr="000530B1">
        <w:trPr>
          <w:jc w:val="center"/>
        </w:trPr>
        <w:tc>
          <w:tcPr>
            <w:tcW w:w="2155" w:type="dxa"/>
          </w:tcPr>
          <w:p w14:paraId="10D9062A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Autocracy</w:t>
            </w:r>
          </w:p>
        </w:tc>
        <w:tc>
          <w:tcPr>
            <w:tcW w:w="5310" w:type="dxa"/>
          </w:tcPr>
          <w:p w14:paraId="70CE4635" w14:textId="6135B18F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Institutionalized autocracy characterized by a lack of regularized political competition and concern for political freedoms. Based on the Polity 2 index, countries whose index is between – 10 and -6 are classified as autocracies. </w:t>
            </w:r>
          </w:p>
        </w:tc>
        <w:tc>
          <w:tcPr>
            <w:tcW w:w="2070" w:type="dxa"/>
          </w:tcPr>
          <w:p w14:paraId="20851B76" w14:textId="29FB5360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Polity5  dataset</w:t>
            </w:r>
          </w:p>
        </w:tc>
      </w:tr>
      <w:tr w:rsidR="002E66CF" w14:paraId="785A3A3A" w14:textId="77777777" w:rsidTr="000530B1">
        <w:trPr>
          <w:jc w:val="center"/>
        </w:trPr>
        <w:tc>
          <w:tcPr>
            <w:tcW w:w="2155" w:type="dxa"/>
          </w:tcPr>
          <w:p w14:paraId="6C51556B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Anocracy</w:t>
            </w:r>
          </w:p>
        </w:tc>
        <w:tc>
          <w:tcPr>
            <w:tcW w:w="5310" w:type="dxa"/>
          </w:tcPr>
          <w:p w14:paraId="0746EBA7" w14:textId="606EF912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‘Intermediate’ regimes, i.e., regimes between autocracies and democracies. Based on the Polity 2 index, countries whose index is between – 5 and 5 are classified as anocracies.</w:t>
            </w:r>
          </w:p>
        </w:tc>
        <w:tc>
          <w:tcPr>
            <w:tcW w:w="2070" w:type="dxa"/>
          </w:tcPr>
          <w:p w14:paraId="76460C7E" w14:textId="29BA44C5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Polity5  dataset</w:t>
            </w:r>
          </w:p>
        </w:tc>
      </w:tr>
      <w:tr w:rsidR="002E66CF" w14:paraId="0E4B03B4" w14:textId="77777777" w:rsidTr="000530B1">
        <w:trPr>
          <w:jc w:val="center"/>
        </w:trPr>
        <w:tc>
          <w:tcPr>
            <w:tcW w:w="2155" w:type="dxa"/>
          </w:tcPr>
          <w:p w14:paraId="3878B809" w14:textId="77777777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Democracy</w:t>
            </w:r>
          </w:p>
        </w:tc>
        <w:tc>
          <w:tcPr>
            <w:tcW w:w="5310" w:type="dxa"/>
          </w:tcPr>
          <w:p w14:paraId="0A38F994" w14:textId="45F7BCEF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Institutionalized democracy. Based on the Polity 2 index, countries whose index is between 5 and 10 are classified as democracies.</w:t>
            </w:r>
          </w:p>
        </w:tc>
        <w:tc>
          <w:tcPr>
            <w:tcW w:w="2070" w:type="dxa"/>
          </w:tcPr>
          <w:p w14:paraId="03592772" w14:textId="69ED0A90" w:rsidR="002E66CF" w:rsidRPr="0036519E" w:rsidRDefault="002E66CF" w:rsidP="002E66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36519E">
              <w:rPr>
                <w:rFonts w:asciiTheme="majorBidi" w:hAnsiTheme="majorBidi" w:cstheme="majorBidi"/>
                <w:bCs/>
                <w:sz w:val="20"/>
                <w:szCs w:val="20"/>
              </w:rPr>
              <w:t>Polity5  dataset</w:t>
            </w:r>
          </w:p>
        </w:tc>
      </w:tr>
    </w:tbl>
    <w:p w14:paraId="5DEA601B" w14:textId="0E3318F8" w:rsidR="00672437" w:rsidRPr="0036519E" w:rsidRDefault="00672437" w:rsidP="0036519E">
      <w:pPr>
        <w:spacing w:after="0"/>
        <w:rPr>
          <w:b/>
          <w:u w:val="single"/>
        </w:rPr>
      </w:pPr>
    </w:p>
    <w:p w14:paraId="190039D7" w14:textId="77777777" w:rsidR="00EE45A8" w:rsidRPr="00A03704" w:rsidRDefault="00EE45A8" w:rsidP="00EE45A8">
      <w:pPr>
        <w:spacing w:after="0"/>
        <w:jc w:val="center"/>
        <w:rPr>
          <w:rFonts w:asciiTheme="majorBidi" w:hAnsiTheme="majorBidi" w:cstheme="majorBidi"/>
          <w:bCs/>
          <w:sz w:val="24"/>
          <w:szCs w:val="24"/>
        </w:rPr>
      </w:pPr>
      <w:r w:rsidRPr="00EE45A8">
        <w:rPr>
          <w:rFonts w:asciiTheme="majorBidi" w:hAnsiTheme="majorBidi" w:cstheme="majorBidi"/>
          <w:b/>
          <w:bCs/>
          <w:sz w:val="24"/>
          <w:szCs w:val="24"/>
        </w:rPr>
        <w:t>Table A2</w:t>
      </w:r>
      <w:r w:rsidRPr="00A03704">
        <w:rPr>
          <w:rFonts w:asciiTheme="majorBidi" w:hAnsiTheme="majorBidi" w:cstheme="majorBidi"/>
          <w:bCs/>
          <w:sz w:val="24"/>
          <w:szCs w:val="24"/>
        </w:rPr>
        <w:t>: Descriptive Statistics</w:t>
      </w:r>
    </w:p>
    <w:tbl>
      <w:tblPr>
        <w:tblW w:w="6397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6"/>
        <w:gridCol w:w="805"/>
        <w:gridCol w:w="808"/>
        <w:gridCol w:w="774"/>
        <w:gridCol w:w="758"/>
        <w:gridCol w:w="766"/>
      </w:tblGrid>
      <w:tr w:rsidR="00EE45A8" w:rsidRPr="000530B1" w14:paraId="799ADB63" w14:textId="77777777" w:rsidTr="000530B1">
        <w:trPr>
          <w:trHeight w:val="288"/>
          <w:jc w:val="center"/>
        </w:trPr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7AAB3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Variable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C5457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Obs</w:t>
            </w:r>
            <w:proofErr w:type="spellEnd"/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C7A1A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Mean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511E1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Std. Dev.</w:t>
            </w: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BEE29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Min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7C5377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Max</w:t>
            </w:r>
          </w:p>
        </w:tc>
      </w:tr>
      <w:tr w:rsidR="00EE45A8" w:rsidRPr="000530B1" w14:paraId="20784313" w14:textId="77777777" w:rsidTr="000530B1">
        <w:trPr>
          <w:trHeight w:val="288"/>
          <w:jc w:val="center"/>
        </w:trPr>
        <w:tc>
          <w:tcPr>
            <w:tcW w:w="2486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F5907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Ln(</w:t>
            </w:r>
            <w:proofErr w:type="gramEnd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DVX)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74952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1,887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49838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0767B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E3A3A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-0.3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CB27E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20.3</w:t>
            </w:r>
          </w:p>
        </w:tc>
      </w:tr>
      <w:tr w:rsidR="00EE45A8" w:rsidRPr="000530B1" w14:paraId="737190BB" w14:textId="77777777" w:rsidTr="000530B1">
        <w:trPr>
          <w:trHeight w:val="288"/>
          <w:jc w:val="center"/>
        </w:trPr>
        <w:tc>
          <w:tcPr>
            <w:tcW w:w="248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1E554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Ln(</w:t>
            </w:r>
            <w:proofErr w:type="gramEnd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GVC)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B78E8D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1,887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47231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14.2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FD99C4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0D77B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77D5F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20.7</w:t>
            </w:r>
          </w:p>
        </w:tc>
      </w:tr>
      <w:tr w:rsidR="00EE45A8" w:rsidRPr="000530B1" w14:paraId="3FD4BF6A" w14:textId="77777777" w:rsidTr="000530B1">
        <w:trPr>
          <w:trHeight w:val="288"/>
          <w:jc w:val="center"/>
        </w:trPr>
        <w:tc>
          <w:tcPr>
            <w:tcW w:w="248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A5370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Ln(</w:t>
            </w:r>
            <w:proofErr w:type="gramEnd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FVA)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FD31D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1,887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30129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13.1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D06507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07CEF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5A9ED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19.6</w:t>
            </w:r>
          </w:p>
        </w:tc>
      </w:tr>
      <w:tr w:rsidR="00EE45A8" w:rsidRPr="000530B1" w14:paraId="5EAE5B94" w14:textId="77777777" w:rsidTr="000530B1">
        <w:trPr>
          <w:trHeight w:val="288"/>
          <w:jc w:val="center"/>
        </w:trPr>
        <w:tc>
          <w:tcPr>
            <w:tcW w:w="248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028F0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Ln(</w:t>
            </w:r>
            <w:proofErr w:type="gramEnd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GDP)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F5A73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1,822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6DD0C3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24.0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E7A4A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1.9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66497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18.9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DCA80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30.2</w:t>
            </w:r>
          </w:p>
        </w:tc>
      </w:tr>
      <w:tr w:rsidR="00EE45A8" w:rsidRPr="000530B1" w14:paraId="487FADB1" w14:textId="77777777" w:rsidTr="000530B1">
        <w:trPr>
          <w:trHeight w:val="288"/>
          <w:jc w:val="center"/>
        </w:trPr>
        <w:tc>
          <w:tcPr>
            <w:tcW w:w="248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FC16C1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Ln(</w:t>
            </w:r>
            <w:proofErr w:type="gramEnd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Tariff)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1C9B9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1,573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48F5B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0.8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1C6509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0.8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5CCEFB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7D3C4F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3.3</w:t>
            </w:r>
          </w:p>
        </w:tc>
      </w:tr>
      <w:tr w:rsidR="00EE45A8" w:rsidRPr="000530B1" w14:paraId="5613D86F" w14:textId="77777777" w:rsidTr="000530B1">
        <w:trPr>
          <w:trHeight w:val="288"/>
          <w:jc w:val="center"/>
        </w:trPr>
        <w:tc>
          <w:tcPr>
            <w:tcW w:w="248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7370A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Ln(</w:t>
            </w:r>
            <w:proofErr w:type="gramEnd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 xml:space="preserve">Avg. </w:t>
            </w:r>
            <w:proofErr w:type="spellStart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Dist</w:t>
            </w:r>
            <w:proofErr w:type="spellEnd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476F60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1,887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86933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-20.5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38B3A0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0.4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FE2C1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-21.7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AF9F4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-19.4</w:t>
            </w:r>
          </w:p>
        </w:tc>
      </w:tr>
      <w:tr w:rsidR="00EE45A8" w:rsidRPr="000530B1" w14:paraId="6C46F8B9" w14:textId="77777777" w:rsidTr="000530B1">
        <w:trPr>
          <w:trHeight w:val="288"/>
          <w:jc w:val="center"/>
        </w:trPr>
        <w:tc>
          <w:tcPr>
            <w:tcW w:w="248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30F83" w14:textId="58430A65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Ln(</w:t>
            </w:r>
            <w:proofErr w:type="gramEnd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AfT</w:t>
            </w:r>
            <w:r w:rsidR="00296766"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 xml:space="preserve"> for trade policy</w:t>
            </w: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6F1BA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1,660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843DF1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92A6F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2.3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D9CAC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-10.5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03CBD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6.2</w:t>
            </w:r>
          </w:p>
        </w:tc>
      </w:tr>
      <w:tr w:rsidR="00EE45A8" w:rsidRPr="000530B1" w14:paraId="15F4813B" w14:textId="77777777" w:rsidTr="000530B1">
        <w:trPr>
          <w:trHeight w:val="288"/>
          <w:jc w:val="center"/>
        </w:trPr>
        <w:tc>
          <w:tcPr>
            <w:tcW w:w="2486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0B7C8" w14:textId="77777777" w:rsidR="00EE45A8" w:rsidRPr="000530B1" w:rsidRDefault="00EE45A8" w:rsidP="00D036B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Ln(</w:t>
            </w:r>
            <w:proofErr w:type="spellStart"/>
            <w:proofErr w:type="gramEnd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Manuf</w:t>
            </w:r>
            <w:proofErr w:type="spellEnd"/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 xml:space="preserve"> GDP)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7671E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1,678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BE6A8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6C7F24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66630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-1.5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B1EAB" w14:textId="77777777" w:rsidR="00EE45A8" w:rsidRPr="000530B1" w:rsidRDefault="00EE45A8" w:rsidP="00D036B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0530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3.5</w:t>
            </w:r>
          </w:p>
        </w:tc>
      </w:tr>
    </w:tbl>
    <w:p w14:paraId="0D2EE0D2" w14:textId="2027FBE4" w:rsidR="000F585F" w:rsidRPr="000530B1" w:rsidRDefault="000530B1" w:rsidP="000530B1">
      <w:pPr>
        <w:ind w:left="720" w:firstLine="720"/>
        <w:rPr>
          <w:rFonts w:asciiTheme="majorBidi" w:hAnsiTheme="majorBidi" w:cstheme="majorBidi"/>
          <w:sz w:val="20"/>
          <w:szCs w:val="20"/>
        </w:rPr>
      </w:pPr>
      <w:r w:rsidRPr="000530B1">
        <w:rPr>
          <w:rFonts w:asciiTheme="majorBidi" w:hAnsiTheme="majorBidi" w:cstheme="majorBidi"/>
          <w:sz w:val="20"/>
          <w:szCs w:val="20"/>
        </w:rPr>
        <w:t xml:space="preserve">Source: Authors’ </w:t>
      </w:r>
      <w:proofErr w:type="gramStart"/>
      <w:r w:rsidRPr="000530B1">
        <w:rPr>
          <w:rFonts w:asciiTheme="majorBidi" w:hAnsiTheme="majorBidi" w:cstheme="majorBidi"/>
          <w:sz w:val="20"/>
          <w:szCs w:val="20"/>
        </w:rPr>
        <w:t>own</w:t>
      </w:r>
      <w:proofErr w:type="gramEnd"/>
      <w:r w:rsidRPr="000530B1">
        <w:rPr>
          <w:rFonts w:asciiTheme="majorBidi" w:hAnsiTheme="majorBidi" w:cstheme="majorBidi"/>
          <w:sz w:val="20"/>
          <w:szCs w:val="20"/>
        </w:rPr>
        <w:t xml:space="preserve"> elaboration.</w:t>
      </w:r>
      <w:bookmarkEnd w:id="0"/>
    </w:p>
    <w:sectPr w:rsidR="000F585F" w:rsidRPr="000530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5A8"/>
    <w:rsid w:val="000530B1"/>
    <w:rsid w:val="000F585F"/>
    <w:rsid w:val="00296766"/>
    <w:rsid w:val="002E66CF"/>
    <w:rsid w:val="00345483"/>
    <w:rsid w:val="0036519E"/>
    <w:rsid w:val="00672437"/>
    <w:rsid w:val="00872514"/>
    <w:rsid w:val="00CA7B08"/>
    <w:rsid w:val="00D24120"/>
    <w:rsid w:val="00EE4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4302A"/>
  <w15:chartTrackingRefBased/>
  <w15:docId w15:val="{8EB73C43-C8DF-499D-BE2B-32C5998B7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5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45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E45A8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EE45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45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5A8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F58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585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51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519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Sheet1!$S$1</c:f>
              <c:strCache>
                <c:ptCount val="1"/>
                <c:pt idx="0">
                  <c:v>AfT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cat>
            <c:numRef>
              <c:f>Sheet1!$R$2:$R$18</c:f>
              <c:numCache>
                <c:formatCode>General</c:formatCode>
                <c:ptCount val="17"/>
                <c:pt idx="0">
                  <c:v>2002</c:v>
                </c:pt>
                <c:pt idx="1">
                  <c:v>2003</c:v>
                </c:pt>
                <c:pt idx="2">
                  <c:v>2004</c:v>
                </c:pt>
                <c:pt idx="3">
                  <c:v>2005</c:v>
                </c:pt>
                <c:pt idx="4">
                  <c:v>2006</c:v>
                </c:pt>
                <c:pt idx="5">
                  <c:v>2007</c:v>
                </c:pt>
                <c:pt idx="6">
                  <c:v>2008</c:v>
                </c:pt>
                <c:pt idx="7">
                  <c:v>2009</c:v>
                </c:pt>
                <c:pt idx="8">
                  <c:v>2010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</c:numCache>
            </c:numRef>
          </c:cat>
          <c:val>
            <c:numRef>
              <c:f>Sheet1!$S$2:$S$18</c:f>
              <c:numCache>
                <c:formatCode>General</c:formatCode>
                <c:ptCount val="17"/>
                <c:pt idx="0">
                  <c:v>19722.91</c:v>
                </c:pt>
                <c:pt idx="1">
                  <c:v>18206.060000000001</c:v>
                </c:pt>
                <c:pt idx="2">
                  <c:v>21843.1</c:v>
                </c:pt>
                <c:pt idx="3">
                  <c:v>23761.78</c:v>
                </c:pt>
                <c:pt idx="4">
                  <c:v>25045.88</c:v>
                </c:pt>
                <c:pt idx="5">
                  <c:v>28413.200000000001</c:v>
                </c:pt>
                <c:pt idx="6">
                  <c:v>32232.34</c:v>
                </c:pt>
                <c:pt idx="7">
                  <c:v>48682.54</c:v>
                </c:pt>
                <c:pt idx="8">
                  <c:v>56389.35</c:v>
                </c:pt>
                <c:pt idx="9">
                  <c:v>52299.63</c:v>
                </c:pt>
                <c:pt idx="10">
                  <c:v>53519.53</c:v>
                </c:pt>
                <c:pt idx="11">
                  <c:v>59012.19</c:v>
                </c:pt>
                <c:pt idx="12">
                  <c:v>64098.05</c:v>
                </c:pt>
                <c:pt idx="13">
                  <c:v>76343.92</c:v>
                </c:pt>
                <c:pt idx="14">
                  <c:v>75437.509999999995</c:v>
                </c:pt>
                <c:pt idx="15">
                  <c:v>75291.5</c:v>
                </c:pt>
                <c:pt idx="16">
                  <c:v>73438.48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659-4C0A-8227-813279C1BB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97192240"/>
        <c:axId val="597196400"/>
      </c:lineChart>
      <c:catAx>
        <c:axId val="5971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7196400"/>
        <c:crosses val="autoZero"/>
        <c:auto val="1"/>
        <c:lblAlgn val="ctr"/>
        <c:lblOffset val="100"/>
        <c:noMultiLvlLbl val="0"/>
      </c:catAx>
      <c:valAx>
        <c:axId val="5971964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71922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'New3'!$L$218</c:f>
              <c:strCache>
                <c:ptCount val="1"/>
                <c:pt idx="0">
                  <c:v>FVA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'New3'!$K$219:$K$235</c:f>
              <c:numCache>
                <c:formatCode>General</c:formatCode>
                <c:ptCount val="17"/>
                <c:pt idx="0">
                  <c:v>2002</c:v>
                </c:pt>
                <c:pt idx="1">
                  <c:v>2003</c:v>
                </c:pt>
                <c:pt idx="2">
                  <c:v>2004</c:v>
                </c:pt>
                <c:pt idx="3">
                  <c:v>2005</c:v>
                </c:pt>
                <c:pt idx="4">
                  <c:v>2006</c:v>
                </c:pt>
                <c:pt idx="5">
                  <c:v>2007</c:v>
                </c:pt>
                <c:pt idx="6">
                  <c:v>2008</c:v>
                </c:pt>
                <c:pt idx="7">
                  <c:v>2009</c:v>
                </c:pt>
                <c:pt idx="8">
                  <c:v>2010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</c:numCache>
            </c:numRef>
          </c:cat>
          <c:val>
            <c:numRef>
              <c:f>'New3'!$L$219:$L$235</c:f>
              <c:numCache>
                <c:formatCode>General</c:formatCode>
                <c:ptCount val="17"/>
                <c:pt idx="0">
                  <c:v>66.7</c:v>
                </c:pt>
                <c:pt idx="1">
                  <c:v>92.4</c:v>
                </c:pt>
                <c:pt idx="2">
                  <c:v>127</c:v>
                </c:pt>
                <c:pt idx="3">
                  <c:v>152</c:v>
                </c:pt>
                <c:pt idx="4">
                  <c:v>193</c:v>
                </c:pt>
                <c:pt idx="5">
                  <c:v>249</c:v>
                </c:pt>
                <c:pt idx="6">
                  <c:v>286</c:v>
                </c:pt>
                <c:pt idx="7">
                  <c:v>208</c:v>
                </c:pt>
                <c:pt idx="8">
                  <c:v>318</c:v>
                </c:pt>
                <c:pt idx="9">
                  <c:v>392</c:v>
                </c:pt>
                <c:pt idx="10">
                  <c:v>377</c:v>
                </c:pt>
                <c:pt idx="11">
                  <c:v>373</c:v>
                </c:pt>
                <c:pt idx="12">
                  <c:v>387</c:v>
                </c:pt>
                <c:pt idx="13">
                  <c:v>321</c:v>
                </c:pt>
                <c:pt idx="14">
                  <c:v>304</c:v>
                </c:pt>
                <c:pt idx="15">
                  <c:v>320</c:v>
                </c:pt>
                <c:pt idx="16">
                  <c:v>332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1AA-49A0-9BD7-448D8FAE5DB3}"/>
            </c:ext>
          </c:extLst>
        </c:ser>
        <c:ser>
          <c:idx val="1"/>
          <c:order val="1"/>
          <c:tx>
            <c:strRef>
              <c:f>'New3'!$M$218</c:f>
              <c:strCache>
                <c:ptCount val="1"/>
                <c:pt idx="0">
                  <c:v>DVX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'New3'!$K$219:$K$235</c:f>
              <c:numCache>
                <c:formatCode>General</c:formatCode>
                <c:ptCount val="17"/>
                <c:pt idx="0">
                  <c:v>2002</c:v>
                </c:pt>
                <c:pt idx="1">
                  <c:v>2003</c:v>
                </c:pt>
                <c:pt idx="2">
                  <c:v>2004</c:v>
                </c:pt>
                <c:pt idx="3">
                  <c:v>2005</c:v>
                </c:pt>
                <c:pt idx="4">
                  <c:v>2006</c:v>
                </c:pt>
                <c:pt idx="5">
                  <c:v>2007</c:v>
                </c:pt>
                <c:pt idx="6">
                  <c:v>2008</c:v>
                </c:pt>
                <c:pt idx="7">
                  <c:v>2009</c:v>
                </c:pt>
                <c:pt idx="8">
                  <c:v>2010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</c:numCache>
            </c:numRef>
          </c:cat>
          <c:val>
            <c:numRef>
              <c:f>'New3'!$M$219:$M$235</c:f>
              <c:numCache>
                <c:formatCode>General</c:formatCode>
                <c:ptCount val="17"/>
                <c:pt idx="0">
                  <c:v>120</c:v>
                </c:pt>
                <c:pt idx="1">
                  <c:v>149</c:v>
                </c:pt>
                <c:pt idx="2">
                  <c:v>199</c:v>
                </c:pt>
                <c:pt idx="3">
                  <c:v>247</c:v>
                </c:pt>
                <c:pt idx="4">
                  <c:v>325</c:v>
                </c:pt>
                <c:pt idx="5">
                  <c:v>416</c:v>
                </c:pt>
                <c:pt idx="6">
                  <c:v>522</c:v>
                </c:pt>
                <c:pt idx="7">
                  <c:v>405</c:v>
                </c:pt>
                <c:pt idx="8">
                  <c:v>525</c:v>
                </c:pt>
                <c:pt idx="9">
                  <c:v>655</c:v>
                </c:pt>
                <c:pt idx="10">
                  <c:v>642</c:v>
                </c:pt>
                <c:pt idx="11">
                  <c:v>689</c:v>
                </c:pt>
                <c:pt idx="12">
                  <c:v>744</c:v>
                </c:pt>
                <c:pt idx="13">
                  <c:v>696</c:v>
                </c:pt>
                <c:pt idx="14">
                  <c:v>765</c:v>
                </c:pt>
                <c:pt idx="15">
                  <c:v>795</c:v>
                </c:pt>
                <c:pt idx="16">
                  <c:v>818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1AA-49A0-9BD7-448D8FAE5D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53773808"/>
        <c:axId val="753762576"/>
      </c:lineChart>
      <c:catAx>
        <c:axId val="7537738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53762576"/>
        <c:crosses val="autoZero"/>
        <c:auto val="1"/>
        <c:lblAlgn val="ctr"/>
        <c:lblOffset val="100"/>
        <c:noMultiLvlLbl val="0"/>
      </c:catAx>
      <c:valAx>
        <c:axId val="7537625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537738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'New3'!$G$218</c:f>
              <c:strCache>
                <c:ptCount val="1"/>
                <c:pt idx="0">
                  <c:v>FVA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'New3'!$F$219:$F$235</c:f>
              <c:numCache>
                <c:formatCode>General</c:formatCode>
                <c:ptCount val="17"/>
                <c:pt idx="0">
                  <c:v>2002</c:v>
                </c:pt>
                <c:pt idx="1">
                  <c:v>2003</c:v>
                </c:pt>
                <c:pt idx="2">
                  <c:v>2004</c:v>
                </c:pt>
                <c:pt idx="3">
                  <c:v>2005</c:v>
                </c:pt>
                <c:pt idx="4">
                  <c:v>2006</c:v>
                </c:pt>
                <c:pt idx="5">
                  <c:v>2007</c:v>
                </c:pt>
                <c:pt idx="6">
                  <c:v>2008</c:v>
                </c:pt>
                <c:pt idx="7">
                  <c:v>2009</c:v>
                </c:pt>
                <c:pt idx="8">
                  <c:v>2010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</c:numCache>
            </c:numRef>
          </c:cat>
          <c:val>
            <c:numRef>
              <c:f>'New3'!$G$219:$G$235</c:f>
              <c:numCache>
                <c:formatCode>General</c:formatCode>
                <c:ptCount val="17"/>
                <c:pt idx="0">
                  <c:v>66.2</c:v>
                </c:pt>
                <c:pt idx="1">
                  <c:v>78.2</c:v>
                </c:pt>
                <c:pt idx="2">
                  <c:v>97.9</c:v>
                </c:pt>
                <c:pt idx="3">
                  <c:v>121</c:v>
                </c:pt>
                <c:pt idx="4">
                  <c:v>138</c:v>
                </c:pt>
                <c:pt idx="5">
                  <c:v>161</c:v>
                </c:pt>
                <c:pt idx="6">
                  <c:v>189</c:v>
                </c:pt>
                <c:pt idx="7">
                  <c:v>145</c:v>
                </c:pt>
                <c:pt idx="8">
                  <c:v>194</c:v>
                </c:pt>
                <c:pt idx="9">
                  <c:v>224</c:v>
                </c:pt>
                <c:pt idx="10">
                  <c:v>218</c:v>
                </c:pt>
                <c:pt idx="11">
                  <c:v>218</c:v>
                </c:pt>
                <c:pt idx="12">
                  <c:v>229</c:v>
                </c:pt>
                <c:pt idx="13">
                  <c:v>211</c:v>
                </c:pt>
                <c:pt idx="14">
                  <c:v>216</c:v>
                </c:pt>
                <c:pt idx="15">
                  <c:v>226</c:v>
                </c:pt>
                <c:pt idx="16">
                  <c:v>232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C10-47E7-A613-223CB82BC3CE}"/>
            </c:ext>
          </c:extLst>
        </c:ser>
        <c:ser>
          <c:idx val="1"/>
          <c:order val="1"/>
          <c:tx>
            <c:strRef>
              <c:f>'New3'!$H$218</c:f>
              <c:strCache>
                <c:ptCount val="1"/>
                <c:pt idx="0">
                  <c:v>DVX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'New3'!$F$219:$F$235</c:f>
              <c:numCache>
                <c:formatCode>General</c:formatCode>
                <c:ptCount val="17"/>
                <c:pt idx="0">
                  <c:v>2002</c:v>
                </c:pt>
                <c:pt idx="1">
                  <c:v>2003</c:v>
                </c:pt>
                <c:pt idx="2">
                  <c:v>2004</c:v>
                </c:pt>
                <c:pt idx="3">
                  <c:v>2005</c:v>
                </c:pt>
                <c:pt idx="4">
                  <c:v>2006</c:v>
                </c:pt>
                <c:pt idx="5">
                  <c:v>2007</c:v>
                </c:pt>
                <c:pt idx="6">
                  <c:v>2008</c:v>
                </c:pt>
                <c:pt idx="7">
                  <c:v>2009</c:v>
                </c:pt>
                <c:pt idx="8">
                  <c:v>2010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</c:numCache>
            </c:numRef>
          </c:cat>
          <c:val>
            <c:numRef>
              <c:f>'New3'!$H$219:$H$235</c:f>
              <c:numCache>
                <c:formatCode>General</c:formatCode>
                <c:ptCount val="17"/>
                <c:pt idx="0">
                  <c:v>63.7</c:v>
                </c:pt>
                <c:pt idx="1">
                  <c:v>76.900000000000006</c:v>
                </c:pt>
                <c:pt idx="2">
                  <c:v>100</c:v>
                </c:pt>
                <c:pt idx="3">
                  <c:v>124</c:v>
                </c:pt>
                <c:pt idx="4">
                  <c:v>159</c:v>
                </c:pt>
                <c:pt idx="5">
                  <c:v>193</c:v>
                </c:pt>
                <c:pt idx="6">
                  <c:v>247</c:v>
                </c:pt>
                <c:pt idx="7">
                  <c:v>180</c:v>
                </c:pt>
                <c:pt idx="8">
                  <c:v>243</c:v>
                </c:pt>
                <c:pt idx="9">
                  <c:v>278</c:v>
                </c:pt>
                <c:pt idx="10">
                  <c:v>274</c:v>
                </c:pt>
                <c:pt idx="11">
                  <c:v>279</c:v>
                </c:pt>
                <c:pt idx="12">
                  <c:v>289</c:v>
                </c:pt>
                <c:pt idx="13">
                  <c:v>258</c:v>
                </c:pt>
                <c:pt idx="14">
                  <c:v>260</c:v>
                </c:pt>
                <c:pt idx="15">
                  <c:v>267</c:v>
                </c:pt>
                <c:pt idx="16">
                  <c:v>280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C10-47E7-A613-223CB82BC3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53793776"/>
        <c:axId val="753776720"/>
      </c:lineChart>
      <c:catAx>
        <c:axId val="7537937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53776720"/>
        <c:crosses val="autoZero"/>
        <c:auto val="1"/>
        <c:lblAlgn val="ctr"/>
        <c:lblOffset val="100"/>
        <c:noMultiLvlLbl val="0"/>
      </c:catAx>
      <c:valAx>
        <c:axId val="7537767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537937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'New3'!$B$218</c:f>
              <c:strCache>
                <c:ptCount val="1"/>
                <c:pt idx="0">
                  <c:v>FVA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'New3'!$A$219:$A$235</c:f>
              <c:numCache>
                <c:formatCode>General</c:formatCode>
                <c:ptCount val="17"/>
                <c:pt idx="0">
                  <c:v>2002</c:v>
                </c:pt>
                <c:pt idx="1">
                  <c:v>2003</c:v>
                </c:pt>
                <c:pt idx="2">
                  <c:v>2004</c:v>
                </c:pt>
                <c:pt idx="3">
                  <c:v>2005</c:v>
                </c:pt>
                <c:pt idx="4">
                  <c:v>2006</c:v>
                </c:pt>
                <c:pt idx="5">
                  <c:v>2007</c:v>
                </c:pt>
                <c:pt idx="6">
                  <c:v>2008</c:v>
                </c:pt>
                <c:pt idx="7">
                  <c:v>2009</c:v>
                </c:pt>
                <c:pt idx="8">
                  <c:v>2010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</c:numCache>
            </c:numRef>
          </c:cat>
          <c:val>
            <c:numRef>
              <c:f>'New3'!$B$219:$B$235</c:f>
              <c:numCache>
                <c:formatCode>General</c:formatCode>
                <c:ptCount val="17"/>
                <c:pt idx="0">
                  <c:v>125</c:v>
                </c:pt>
                <c:pt idx="1">
                  <c:v>145</c:v>
                </c:pt>
                <c:pt idx="2">
                  <c:v>181</c:v>
                </c:pt>
                <c:pt idx="3">
                  <c:v>205</c:v>
                </c:pt>
                <c:pt idx="4">
                  <c:v>248</c:v>
                </c:pt>
                <c:pt idx="5">
                  <c:v>291</c:v>
                </c:pt>
                <c:pt idx="6">
                  <c:v>346</c:v>
                </c:pt>
                <c:pt idx="7">
                  <c:v>267</c:v>
                </c:pt>
                <c:pt idx="8">
                  <c:v>355</c:v>
                </c:pt>
                <c:pt idx="9">
                  <c:v>418</c:v>
                </c:pt>
                <c:pt idx="10">
                  <c:v>411</c:v>
                </c:pt>
                <c:pt idx="11">
                  <c:v>419</c:v>
                </c:pt>
                <c:pt idx="12">
                  <c:v>441</c:v>
                </c:pt>
                <c:pt idx="13">
                  <c:v>389</c:v>
                </c:pt>
                <c:pt idx="14">
                  <c:v>395</c:v>
                </c:pt>
                <c:pt idx="15">
                  <c:v>419</c:v>
                </c:pt>
                <c:pt idx="16">
                  <c:v>440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135-4D93-A9C9-54CC286FB3E9}"/>
            </c:ext>
          </c:extLst>
        </c:ser>
        <c:ser>
          <c:idx val="1"/>
          <c:order val="1"/>
          <c:tx>
            <c:strRef>
              <c:f>'New3'!$C$218</c:f>
              <c:strCache>
                <c:ptCount val="1"/>
                <c:pt idx="0">
                  <c:v>DVX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'New3'!$A$219:$A$235</c:f>
              <c:numCache>
                <c:formatCode>General</c:formatCode>
                <c:ptCount val="17"/>
                <c:pt idx="0">
                  <c:v>2002</c:v>
                </c:pt>
                <c:pt idx="1">
                  <c:v>2003</c:v>
                </c:pt>
                <c:pt idx="2">
                  <c:v>2004</c:v>
                </c:pt>
                <c:pt idx="3">
                  <c:v>2005</c:v>
                </c:pt>
                <c:pt idx="4">
                  <c:v>2006</c:v>
                </c:pt>
                <c:pt idx="5">
                  <c:v>2007</c:v>
                </c:pt>
                <c:pt idx="6">
                  <c:v>2008</c:v>
                </c:pt>
                <c:pt idx="7">
                  <c:v>2009</c:v>
                </c:pt>
                <c:pt idx="8">
                  <c:v>2010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</c:numCache>
            </c:numRef>
          </c:cat>
          <c:val>
            <c:numRef>
              <c:f>'New3'!$C$219:$C$235</c:f>
              <c:numCache>
                <c:formatCode>General</c:formatCode>
                <c:ptCount val="17"/>
                <c:pt idx="0">
                  <c:v>125</c:v>
                </c:pt>
                <c:pt idx="1">
                  <c:v>153</c:v>
                </c:pt>
                <c:pt idx="2">
                  <c:v>201</c:v>
                </c:pt>
                <c:pt idx="3">
                  <c:v>238</c:v>
                </c:pt>
                <c:pt idx="4">
                  <c:v>303</c:v>
                </c:pt>
                <c:pt idx="5">
                  <c:v>373</c:v>
                </c:pt>
                <c:pt idx="6">
                  <c:v>454</c:v>
                </c:pt>
                <c:pt idx="7">
                  <c:v>348</c:v>
                </c:pt>
                <c:pt idx="8">
                  <c:v>486</c:v>
                </c:pt>
                <c:pt idx="9">
                  <c:v>558</c:v>
                </c:pt>
                <c:pt idx="10">
                  <c:v>547</c:v>
                </c:pt>
                <c:pt idx="11">
                  <c:v>552</c:v>
                </c:pt>
                <c:pt idx="12">
                  <c:v>585</c:v>
                </c:pt>
                <c:pt idx="13">
                  <c:v>514</c:v>
                </c:pt>
                <c:pt idx="14">
                  <c:v>532</c:v>
                </c:pt>
                <c:pt idx="15">
                  <c:v>556</c:v>
                </c:pt>
                <c:pt idx="16">
                  <c:v>580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135-4D93-A9C9-54CC286FB3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006007472"/>
        <c:axId val="1006013712"/>
      </c:lineChart>
      <c:catAx>
        <c:axId val="10060074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06013712"/>
        <c:crosses val="autoZero"/>
        <c:auto val="1"/>
        <c:lblAlgn val="ctr"/>
        <c:lblOffset val="100"/>
        <c:noMultiLvlLbl val="0"/>
      </c:catAx>
      <c:valAx>
        <c:axId val="10060137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06007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658</Words>
  <Characters>3823</Characters>
  <Application>Microsoft Office Word</Application>
  <DocSecurity>0</DocSecurity>
  <Lines>79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Harb</dc:creator>
  <cp:keywords/>
  <dc:description/>
  <cp:lastModifiedBy>chahir zaki</cp:lastModifiedBy>
  <cp:revision>4</cp:revision>
  <dcterms:created xsi:type="dcterms:W3CDTF">2025-10-23T06:36:00Z</dcterms:created>
  <dcterms:modified xsi:type="dcterms:W3CDTF">2025-10-27T13:52:00Z</dcterms:modified>
</cp:coreProperties>
</file>