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14B057" w14:textId="528757D6" w:rsidR="00441138" w:rsidRDefault="00441138" w:rsidP="00441138">
      <w:pPr>
        <w:rPr>
          <w:b/>
          <w:bCs/>
          <w:lang w:val="en-GB"/>
        </w:rPr>
      </w:pPr>
      <w:r>
        <w:rPr>
          <w:rFonts w:asciiTheme="majorBidi" w:hAnsiTheme="majorBidi" w:cstheme="majorBidi"/>
          <w:b/>
          <w:bCs/>
          <w:sz w:val="24"/>
          <w:szCs w:val="24"/>
          <w:lang w:val="en-US"/>
        </w:rPr>
        <w:t xml:space="preserve">Table SI 1. </w:t>
      </w:r>
      <w:r>
        <w:rPr>
          <w:b/>
          <w:bCs/>
          <w:lang w:val="en-GB"/>
        </w:rPr>
        <w:t>Previous modelling works and results obtained on Olive pomace</w:t>
      </w:r>
    </w:p>
    <w:tbl>
      <w:tblPr>
        <w:tblStyle w:val="Grilledutableau"/>
        <w:tblW w:w="9980" w:type="dxa"/>
        <w:tblInd w:w="0" w:type="dxa"/>
        <w:tblLook w:val="04A0" w:firstRow="1" w:lastRow="0" w:firstColumn="1" w:lastColumn="0" w:noHBand="0" w:noVBand="1"/>
      </w:tblPr>
      <w:tblGrid>
        <w:gridCol w:w="1362"/>
        <w:gridCol w:w="2313"/>
        <w:gridCol w:w="2782"/>
        <w:gridCol w:w="2142"/>
        <w:gridCol w:w="1381"/>
      </w:tblGrid>
      <w:tr w:rsidR="00486789" w14:paraId="2FA8A53B" w14:textId="77777777" w:rsidTr="0089164C">
        <w:trPr>
          <w:trHeight w:val="827"/>
        </w:trPr>
        <w:tc>
          <w:tcPr>
            <w:tcW w:w="1363" w:type="dxa"/>
          </w:tcPr>
          <w:p w14:paraId="24F253A6" w14:textId="38525503" w:rsidR="00C85DBE" w:rsidRDefault="00C85DBE" w:rsidP="00C85DBE">
            <w:pPr>
              <w:rPr>
                <w:b/>
                <w:bCs/>
                <w:lang w:val="en-GB"/>
              </w:rPr>
            </w:pPr>
            <w:r w:rsidRPr="00CE439B">
              <w:rPr>
                <w:rFonts w:ascii="Times New Roman" w:hAnsi="Times New Roman" w:cs="Times New Roman"/>
                <w:b/>
                <w:sz w:val="18"/>
                <w:szCs w:val="18"/>
                <w:lang w:val="en-GB"/>
              </w:rPr>
              <w:t>Biomass</w:t>
            </w:r>
          </w:p>
        </w:tc>
        <w:tc>
          <w:tcPr>
            <w:tcW w:w="2325" w:type="dxa"/>
          </w:tcPr>
          <w:p w14:paraId="7F7FDD8B" w14:textId="4994302D" w:rsidR="00C85DBE" w:rsidRDefault="00C85DBE" w:rsidP="00C85DBE">
            <w:pPr>
              <w:rPr>
                <w:b/>
                <w:bCs/>
                <w:lang w:val="en-GB"/>
              </w:rPr>
            </w:pPr>
            <w:r w:rsidRPr="00CE439B">
              <w:rPr>
                <w:rFonts w:ascii="Times New Roman" w:hAnsi="Times New Roman" w:cs="Times New Roman"/>
                <w:b/>
                <w:sz w:val="18"/>
                <w:szCs w:val="18"/>
                <w:lang w:val="en-GB"/>
              </w:rPr>
              <w:t>Technology type/conditions</w:t>
            </w:r>
          </w:p>
        </w:tc>
        <w:tc>
          <w:tcPr>
            <w:tcW w:w="2828" w:type="dxa"/>
          </w:tcPr>
          <w:p w14:paraId="67632052" w14:textId="55091141" w:rsidR="00C85DBE" w:rsidRDefault="00C85DBE" w:rsidP="00C85DBE">
            <w:pPr>
              <w:rPr>
                <w:b/>
                <w:bCs/>
                <w:lang w:val="en-GB"/>
              </w:rPr>
            </w:pPr>
            <w:r w:rsidRPr="00CE439B">
              <w:rPr>
                <w:rFonts w:ascii="Times New Roman" w:hAnsi="Times New Roman" w:cs="Times New Roman"/>
                <w:b/>
                <w:sz w:val="18"/>
                <w:szCs w:val="18"/>
                <w:lang w:val="en-GB"/>
              </w:rPr>
              <w:t>Main findings</w:t>
            </w:r>
          </w:p>
        </w:tc>
        <w:tc>
          <w:tcPr>
            <w:tcW w:w="2182" w:type="dxa"/>
          </w:tcPr>
          <w:p w14:paraId="60DBC952" w14:textId="57E7BB76" w:rsidR="00C85DBE" w:rsidRDefault="00C85DBE" w:rsidP="00C85DBE">
            <w:pPr>
              <w:rPr>
                <w:b/>
                <w:bCs/>
                <w:lang w:val="en-GB"/>
              </w:rPr>
            </w:pPr>
            <w:r w:rsidRPr="00CE439B">
              <w:rPr>
                <w:rFonts w:ascii="Times New Roman" w:hAnsi="Times New Roman" w:cs="Times New Roman"/>
                <w:b/>
                <w:sz w:val="18"/>
                <w:szCs w:val="18"/>
                <w:lang w:val="en-GB"/>
              </w:rPr>
              <w:t>Method used</w:t>
            </w:r>
          </w:p>
        </w:tc>
        <w:tc>
          <w:tcPr>
            <w:tcW w:w="1282" w:type="dxa"/>
          </w:tcPr>
          <w:p w14:paraId="6AC73F54" w14:textId="700F7754" w:rsidR="00C85DBE" w:rsidRDefault="00C85DBE" w:rsidP="00C85DBE">
            <w:pPr>
              <w:rPr>
                <w:b/>
                <w:bCs/>
                <w:lang w:val="en-GB"/>
              </w:rPr>
            </w:pPr>
            <w:r w:rsidRPr="00CE439B">
              <w:rPr>
                <w:rFonts w:ascii="Times New Roman" w:hAnsi="Times New Roman" w:cs="Times New Roman"/>
                <w:b/>
                <w:sz w:val="18"/>
                <w:szCs w:val="18"/>
                <w:lang w:val="en-GB"/>
              </w:rPr>
              <w:t>References</w:t>
            </w:r>
          </w:p>
        </w:tc>
      </w:tr>
      <w:tr w:rsidR="00486789" w14:paraId="5973346A" w14:textId="77777777" w:rsidTr="0089164C">
        <w:trPr>
          <w:trHeight w:val="550"/>
        </w:trPr>
        <w:tc>
          <w:tcPr>
            <w:tcW w:w="1363" w:type="dxa"/>
          </w:tcPr>
          <w:p w14:paraId="73D79C20" w14:textId="41A9D60D" w:rsidR="00C85DBE" w:rsidRDefault="00C85DBE" w:rsidP="0089164C">
            <w:pPr>
              <w:spacing w:line="276" w:lineRule="auto"/>
              <w:rPr>
                <w:b/>
                <w:bCs/>
                <w:lang w:val="en-GB"/>
              </w:rPr>
            </w:pPr>
            <w:r w:rsidRPr="00CE439B">
              <w:rPr>
                <w:rFonts w:ascii="Times New Roman" w:hAnsi="Times New Roman" w:cs="Times New Roman"/>
                <w:sz w:val="18"/>
                <w:szCs w:val="18"/>
                <w:lang w:val="en-GB"/>
              </w:rPr>
              <w:t>Olive stones impregnated by lead</w:t>
            </w:r>
          </w:p>
        </w:tc>
        <w:tc>
          <w:tcPr>
            <w:tcW w:w="2325" w:type="dxa"/>
          </w:tcPr>
          <w:p w14:paraId="2B859ABF" w14:textId="77777777" w:rsidR="00C85DBE" w:rsidRPr="00CE439B" w:rsidRDefault="00C85DBE" w:rsidP="0089164C">
            <w:pPr>
              <w:pStyle w:val="Paragraphedeliste"/>
              <w:numPr>
                <w:ilvl w:val="1"/>
                <w:numId w:val="1"/>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Perkin Elmer ther- mobalance model STA 6000</w:t>
            </w:r>
          </w:p>
          <w:p w14:paraId="318D73B5" w14:textId="3F8E6C0D" w:rsidR="00C85DBE" w:rsidRDefault="00C85DBE" w:rsidP="0089164C">
            <w:pPr>
              <w:spacing w:line="276" w:lineRule="auto"/>
              <w:rPr>
                <w:b/>
                <w:bCs/>
                <w:lang w:val="en-GB"/>
              </w:rPr>
            </w:pPr>
            <w:r w:rsidRPr="00CE439B">
              <w:rPr>
                <w:rFonts w:ascii="Times New Roman" w:hAnsi="Times New Roman" w:cs="Times New Roman"/>
                <w:sz w:val="18"/>
                <w:szCs w:val="18"/>
                <w:lang w:val="en-GB"/>
              </w:rPr>
              <w:t>under heating rates of 5, 10 and 20 ◦C/min, from 200 ◦C (573 K) up to 800 ◦C (1073 K)</w:t>
            </w:r>
          </w:p>
        </w:tc>
        <w:tc>
          <w:tcPr>
            <w:tcW w:w="2828" w:type="dxa"/>
          </w:tcPr>
          <w:p w14:paraId="55D40052" w14:textId="77777777" w:rsidR="00C85DBE" w:rsidRPr="0089164C" w:rsidRDefault="00C85DBE" w:rsidP="0089164C">
            <w:pPr>
              <w:spacing w:line="276" w:lineRule="auto"/>
              <w:ind w:left="720"/>
              <w:rPr>
                <w:rFonts w:ascii="Times New Roman" w:hAnsi="Times New Roman" w:cs="Times New Roman"/>
                <w:sz w:val="18"/>
                <w:szCs w:val="18"/>
                <w:lang w:val="en-GB"/>
              </w:rPr>
            </w:pPr>
            <w:r w:rsidRPr="0089164C">
              <w:rPr>
                <w:rFonts w:ascii="Times New Roman" w:hAnsi="Times New Roman" w:cs="Times New Roman"/>
                <w:sz w:val="18"/>
                <w:szCs w:val="18"/>
                <w:lang w:val="en-GB"/>
              </w:rPr>
              <w:t>the thermal decomposition of hemicellulose and cellulose were shifted to higher temperatures in the presence of lead.</w:t>
            </w:r>
          </w:p>
          <w:p w14:paraId="1A9CB8CE" w14:textId="411D1C36" w:rsidR="00C85DBE" w:rsidRDefault="00C85DBE" w:rsidP="0089164C">
            <w:pPr>
              <w:spacing w:line="276" w:lineRule="auto"/>
              <w:rPr>
                <w:b/>
                <w:bCs/>
                <w:lang w:val="en-GB"/>
              </w:rPr>
            </w:pPr>
            <w:r w:rsidRPr="00CE439B">
              <w:rPr>
                <w:rFonts w:ascii="Times New Roman" w:hAnsi="Times New Roman" w:cs="Times New Roman"/>
                <w:sz w:val="18"/>
                <w:szCs w:val="18"/>
                <w:lang w:val="en-GB"/>
              </w:rPr>
              <w:t>small increase in the values of activation energy was presented</w:t>
            </w:r>
          </w:p>
        </w:tc>
        <w:tc>
          <w:tcPr>
            <w:tcW w:w="2182" w:type="dxa"/>
          </w:tcPr>
          <w:p w14:paraId="27D9A3EF" w14:textId="77777777" w:rsidR="0089164C" w:rsidRPr="00CE439B" w:rsidRDefault="0089164C" w:rsidP="0089164C">
            <w:pPr>
              <w:pStyle w:val="Paragraphedeliste"/>
              <w:numPr>
                <w:ilvl w:val="1"/>
                <w:numId w:val="11"/>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Flynn–Wall–Ozawa</w:t>
            </w:r>
            <w:r>
              <w:rPr>
                <w:rFonts w:ascii="Times New Roman" w:hAnsi="Times New Roman" w:cs="Times New Roman"/>
                <w:sz w:val="18"/>
                <w:szCs w:val="18"/>
                <w:lang w:val="en-GB"/>
              </w:rPr>
              <w:t xml:space="preserve"> (FWO method)</w:t>
            </w:r>
          </w:p>
          <w:p w14:paraId="6372E063" w14:textId="77777777" w:rsidR="0089164C" w:rsidRPr="00CE439B" w:rsidRDefault="0089164C" w:rsidP="0089164C">
            <w:pPr>
              <w:pStyle w:val="Paragraphedeliste"/>
              <w:numPr>
                <w:ilvl w:val="1"/>
                <w:numId w:val="11"/>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 xml:space="preserve"> Kissinger–Akahira–Sunose</w:t>
            </w:r>
            <w:r>
              <w:rPr>
                <w:rFonts w:ascii="Times New Roman" w:hAnsi="Times New Roman" w:cs="Times New Roman"/>
                <w:sz w:val="18"/>
                <w:szCs w:val="18"/>
                <w:lang w:val="en-GB"/>
              </w:rPr>
              <w:t xml:space="preserve"> (KAS method)</w:t>
            </w:r>
          </w:p>
          <w:p w14:paraId="49172AA1" w14:textId="77777777" w:rsidR="0089164C" w:rsidRPr="00CE439B" w:rsidRDefault="0089164C" w:rsidP="0089164C">
            <w:pPr>
              <w:pStyle w:val="Paragraphedeliste"/>
              <w:numPr>
                <w:ilvl w:val="1"/>
                <w:numId w:val="11"/>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Friedman</w:t>
            </w:r>
            <w:r>
              <w:rPr>
                <w:rFonts w:ascii="Times New Roman" w:hAnsi="Times New Roman" w:cs="Times New Roman"/>
                <w:sz w:val="18"/>
                <w:szCs w:val="18"/>
                <w:lang w:val="en-GB"/>
              </w:rPr>
              <w:t xml:space="preserve"> (FR method)</w:t>
            </w:r>
          </w:p>
          <w:p w14:paraId="096A6658" w14:textId="149EB6DB" w:rsidR="00C85DBE" w:rsidRPr="0089164C" w:rsidRDefault="00C85DBE" w:rsidP="0089164C">
            <w:pPr>
              <w:pStyle w:val="Paragraphedeliste"/>
              <w:spacing w:line="276" w:lineRule="auto"/>
              <w:ind w:left="360"/>
              <w:rPr>
                <w:rFonts w:ascii="Times New Roman" w:hAnsi="Times New Roman" w:cs="Times New Roman"/>
                <w:sz w:val="18"/>
                <w:szCs w:val="18"/>
                <w:lang w:val="en-GB"/>
              </w:rPr>
            </w:pPr>
          </w:p>
        </w:tc>
        <w:tc>
          <w:tcPr>
            <w:tcW w:w="1282" w:type="dxa"/>
          </w:tcPr>
          <w:p w14:paraId="51E4F796" w14:textId="3275DF9E" w:rsidR="00C85DBE" w:rsidRDefault="00486789" w:rsidP="00486789">
            <w:pPr>
              <w:spacing w:line="276" w:lineRule="auto"/>
              <w:rPr>
                <w:b/>
                <w:bCs/>
                <w:lang w:val="en-GB"/>
              </w:rPr>
            </w:pPr>
            <w:r>
              <w:rPr>
                <w:rFonts w:ascii="Times New Roman" w:hAnsi="Times New Roman" w:cs="Times New Roman"/>
                <w:sz w:val="18"/>
                <w:szCs w:val="18"/>
                <w:lang w:val="en-GB"/>
              </w:rPr>
              <w:fldChar w:fldCharType="begin" w:fldLock="1"/>
            </w:r>
            <w:r>
              <w:rPr>
                <w:rFonts w:ascii="Times New Roman" w:hAnsi="Times New Roman" w:cs="Times New Roman"/>
                <w:sz w:val="18"/>
                <w:szCs w:val="18"/>
                <w:lang w:val="en-GB"/>
              </w:rPr>
              <w:instrText>ADDIN CSL_CITATION {"citationItems":[{"id":"ITEM-1","itemData":{"DOI":"10.1016/j.applthermaleng.2016.11.147","ISSN":"13594311","abstract":"The objective of this study is the proposal of a pyrolysis kinetic model that describes the thermal decomposition of olive tree pruning in different torrefaction conditions via thermogravimetrical measurements in nitrogen atmosphere. First, the determination of activation energies was performed by isoconversional methods of Flynn–Wall–Ozawa, Kissinger–Akahira–Sunose and Friedman. Three stages were distinguished in which the activation energy keeps approximately constant and were related to the thermal degradation of the different constituents of the material (cellulose, hemicellulose and lignin). Then, Coast-Redfern method was applied to determine the kinetic function. The kinetic function that seems to determine the mechanism of thermal degradation of main components of olive tree pruning was nth order reaction. Finally, a detailed pseudo-mechanistic model (using least squares fitting in a parallel reaction scheme) was analyzed. This model was appropriate to predict the pyrolysis behavior of the olive tree pruning in all torrefaction conditions studied.","author":[{"dropping-particle":"","family":"Martín-Lara","given":"M. A.","non-dropping-particle":"","parse-names":false,"suffix":""},{"dropping-particle":"","family":"Blázquez","given":"G.","non-dropping-particle":"","parse-names":false,"suffix":""},{"dropping-particle":"","family":"Zamora","given":"M. C.","non-dropping-particle":"","parse-names":false,"suffix":""},{"dropping-particle":"","family":"Calero","given":"M.","non-dropping-particle":"","parse-names":false,"suffix":""}],"container-title":"Applied Thermal Engineering","id":"ITEM-1","issued":{"date-parts":[["2017"]]},"page":"1410-1418","title":"Kinetic modelling of torrefaction of olive tree pruning","type":"article-journal","volume":"113"},"uris":["http://www.mendeley.com/documents/?uuid=6a64c161-50f1-47f4-9d69-11492168cfbd"]}],"mendeley":{"formattedCitation":"(Martín-Lara et al. 2017)","plainTextFormattedCitation":"(Martín-Lara et al. 2017)","previouslyFormattedCitation":"(Martín-Lara et al. 2017)"},"properties":{"noteIndex":0},"schema":"https://github.com/citation-style-language/schema/raw/master/csl-citation.json"}</w:instrText>
            </w:r>
            <w:r>
              <w:rPr>
                <w:rFonts w:ascii="Times New Roman" w:hAnsi="Times New Roman" w:cs="Times New Roman"/>
                <w:sz w:val="18"/>
                <w:szCs w:val="18"/>
                <w:lang w:val="en-GB"/>
              </w:rPr>
              <w:fldChar w:fldCharType="separate"/>
            </w:r>
            <w:r w:rsidRPr="00486789">
              <w:rPr>
                <w:rFonts w:ascii="Times New Roman" w:hAnsi="Times New Roman" w:cs="Times New Roman"/>
                <w:noProof/>
                <w:sz w:val="18"/>
                <w:szCs w:val="18"/>
                <w:lang w:val="en-GB"/>
              </w:rPr>
              <w:t>(Martín-Lara et al. 2017)</w:t>
            </w:r>
            <w:r>
              <w:rPr>
                <w:rFonts w:ascii="Times New Roman" w:hAnsi="Times New Roman" w:cs="Times New Roman"/>
                <w:sz w:val="18"/>
                <w:szCs w:val="18"/>
                <w:lang w:val="en-GB"/>
              </w:rPr>
              <w:fldChar w:fldCharType="end"/>
            </w:r>
          </w:p>
        </w:tc>
      </w:tr>
      <w:tr w:rsidR="00486789" w:rsidRPr="00486789" w14:paraId="6E116852" w14:textId="77777777" w:rsidTr="0089164C">
        <w:trPr>
          <w:trHeight w:val="520"/>
        </w:trPr>
        <w:tc>
          <w:tcPr>
            <w:tcW w:w="1363" w:type="dxa"/>
          </w:tcPr>
          <w:p w14:paraId="33AEB374" w14:textId="44B2A072" w:rsidR="00C85DBE" w:rsidRDefault="00C85DBE" w:rsidP="0089164C">
            <w:pPr>
              <w:spacing w:line="276" w:lineRule="auto"/>
              <w:rPr>
                <w:b/>
                <w:bCs/>
                <w:lang w:val="en-GB"/>
              </w:rPr>
            </w:pPr>
            <w:r w:rsidRPr="00CE439B">
              <w:rPr>
                <w:rFonts w:ascii="Times New Roman" w:hAnsi="Times New Roman" w:cs="Times New Roman"/>
                <w:sz w:val="18"/>
                <w:szCs w:val="18"/>
                <w:lang w:val="en-GB"/>
              </w:rPr>
              <w:t>olive pomace, olive tree pruning and olive kernels</w:t>
            </w:r>
          </w:p>
        </w:tc>
        <w:tc>
          <w:tcPr>
            <w:tcW w:w="2325" w:type="dxa"/>
          </w:tcPr>
          <w:p w14:paraId="13C2145A" w14:textId="77777777" w:rsidR="00C85DBE" w:rsidRPr="00CE439B" w:rsidRDefault="00C85DBE" w:rsidP="0089164C">
            <w:pPr>
              <w:pStyle w:val="Paragraphedeliste"/>
              <w:numPr>
                <w:ilvl w:val="1"/>
                <w:numId w:val="2"/>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Pyrolysis tests of OWRs were carried out by</w:t>
            </w:r>
          </w:p>
          <w:p w14:paraId="1793797E" w14:textId="77777777" w:rsidR="00C85DBE" w:rsidRPr="00CE439B" w:rsidRDefault="00C85DBE" w:rsidP="0089164C">
            <w:pPr>
              <w:pStyle w:val="Paragraphedeliste"/>
              <w:spacing w:line="276" w:lineRule="auto"/>
              <w:ind w:left="360"/>
              <w:rPr>
                <w:rFonts w:ascii="Times New Roman" w:hAnsi="Times New Roman" w:cs="Times New Roman"/>
                <w:sz w:val="18"/>
                <w:szCs w:val="18"/>
                <w:lang w:val="en-GB"/>
              </w:rPr>
            </w:pPr>
            <w:r w:rsidRPr="00CE439B">
              <w:rPr>
                <w:rFonts w:ascii="Times New Roman" w:hAnsi="Times New Roman" w:cs="Times New Roman"/>
                <w:sz w:val="18"/>
                <w:szCs w:val="18"/>
                <w:lang w:val="en-GB"/>
              </w:rPr>
              <w:t>thermogravimetric analyzer TGA-701, Leco</w:t>
            </w:r>
          </w:p>
          <w:p w14:paraId="0FA8A47A" w14:textId="77777777" w:rsidR="00C85DBE" w:rsidRPr="00CE439B" w:rsidRDefault="00C85DBE" w:rsidP="0089164C">
            <w:pPr>
              <w:pStyle w:val="Paragraphedeliste"/>
              <w:numPr>
                <w:ilvl w:val="1"/>
                <w:numId w:val="2"/>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heated from ambient temperature to 1,023 K</w:t>
            </w:r>
          </w:p>
          <w:p w14:paraId="53BA9DA8" w14:textId="77777777" w:rsidR="00C85DBE" w:rsidRPr="00CE439B" w:rsidRDefault="00C85DBE" w:rsidP="0089164C">
            <w:pPr>
              <w:pStyle w:val="Paragraphedeliste"/>
              <w:numPr>
                <w:ilvl w:val="1"/>
                <w:numId w:val="2"/>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heating rates: 2, 5, 10, 15 K/min</w:t>
            </w:r>
          </w:p>
          <w:p w14:paraId="50274706" w14:textId="77777777" w:rsidR="00C85DBE" w:rsidRDefault="00C85DBE" w:rsidP="0089164C">
            <w:pPr>
              <w:spacing w:line="276" w:lineRule="auto"/>
              <w:rPr>
                <w:b/>
                <w:bCs/>
                <w:lang w:val="en-GB"/>
              </w:rPr>
            </w:pPr>
          </w:p>
        </w:tc>
        <w:tc>
          <w:tcPr>
            <w:tcW w:w="2828" w:type="dxa"/>
          </w:tcPr>
          <w:p w14:paraId="393F1EDB" w14:textId="77777777" w:rsidR="00C85DBE" w:rsidRPr="0089164C" w:rsidRDefault="00C85DBE" w:rsidP="0089164C">
            <w:pPr>
              <w:spacing w:line="276" w:lineRule="auto"/>
              <w:ind w:left="720"/>
              <w:rPr>
                <w:rFonts w:ascii="Times New Roman" w:hAnsi="Times New Roman" w:cs="Times New Roman"/>
                <w:sz w:val="18"/>
                <w:szCs w:val="18"/>
                <w:lang w:val="en-GB"/>
              </w:rPr>
            </w:pPr>
            <w:r w:rsidRPr="0089164C">
              <w:rPr>
                <w:rFonts w:ascii="Times New Roman" w:hAnsi="Times New Roman" w:cs="Times New Roman"/>
                <w:sz w:val="18"/>
                <w:szCs w:val="18"/>
                <w:lang w:val="en-GB"/>
              </w:rPr>
              <w:t>The activation energy and pre-exponential factor obtained by Kissinger method were invariant for the whole pyrolysis experiment</w:t>
            </w:r>
          </w:p>
          <w:p w14:paraId="0DDCA1E0" w14:textId="458F95D2" w:rsidR="00C85DBE" w:rsidRDefault="00C85DBE" w:rsidP="0089164C">
            <w:pPr>
              <w:spacing w:line="276" w:lineRule="auto"/>
              <w:rPr>
                <w:b/>
                <w:bCs/>
                <w:lang w:val="en-GB"/>
              </w:rPr>
            </w:pPr>
            <w:r w:rsidRPr="00CE439B">
              <w:rPr>
                <w:rFonts w:ascii="Times New Roman" w:hAnsi="Times New Roman" w:cs="Times New Roman"/>
                <w:sz w:val="18"/>
                <w:szCs w:val="18"/>
                <w:lang w:val="en-GB"/>
              </w:rPr>
              <w:t>Experimental results showed that the values of activation energy and pre-exponential factor are in good agreement</w:t>
            </w:r>
          </w:p>
        </w:tc>
        <w:tc>
          <w:tcPr>
            <w:tcW w:w="2182" w:type="dxa"/>
          </w:tcPr>
          <w:p w14:paraId="6F5B35B1" w14:textId="77777777" w:rsidR="0089164C" w:rsidRPr="00CE439B" w:rsidRDefault="0089164C" w:rsidP="0089164C">
            <w:pPr>
              <w:pStyle w:val="Paragraphedeliste"/>
              <w:numPr>
                <w:ilvl w:val="1"/>
                <w:numId w:val="11"/>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Flynn–Wall–Ozawa</w:t>
            </w:r>
            <w:r>
              <w:rPr>
                <w:rFonts w:ascii="Times New Roman" w:hAnsi="Times New Roman" w:cs="Times New Roman"/>
                <w:sz w:val="18"/>
                <w:szCs w:val="18"/>
                <w:lang w:val="en-GB"/>
              </w:rPr>
              <w:t xml:space="preserve"> (FWO method)</w:t>
            </w:r>
          </w:p>
          <w:p w14:paraId="1927C87B" w14:textId="77777777" w:rsidR="0089164C" w:rsidRPr="00CE439B" w:rsidRDefault="0089164C" w:rsidP="0089164C">
            <w:pPr>
              <w:pStyle w:val="Paragraphedeliste"/>
              <w:numPr>
                <w:ilvl w:val="1"/>
                <w:numId w:val="11"/>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 xml:space="preserve"> Kissinger–Akahira–Sunose</w:t>
            </w:r>
            <w:r>
              <w:rPr>
                <w:rFonts w:ascii="Times New Roman" w:hAnsi="Times New Roman" w:cs="Times New Roman"/>
                <w:sz w:val="18"/>
                <w:szCs w:val="18"/>
                <w:lang w:val="en-GB"/>
              </w:rPr>
              <w:t xml:space="preserve"> (KAS method)</w:t>
            </w:r>
          </w:p>
          <w:p w14:paraId="2642CFDB" w14:textId="77777777" w:rsidR="0089164C" w:rsidRPr="00CE439B" w:rsidRDefault="0089164C" w:rsidP="0089164C">
            <w:pPr>
              <w:pStyle w:val="Paragraphedeliste"/>
              <w:numPr>
                <w:ilvl w:val="1"/>
                <w:numId w:val="11"/>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Friedman</w:t>
            </w:r>
            <w:r>
              <w:rPr>
                <w:rFonts w:ascii="Times New Roman" w:hAnsi="Times New Roman" w:cs="Times New Roman"/>
                <w:sz w:val="18"/>
                <w:szCs w:val="18"/>
                <w:lang w:val="en-GB"/>
              </w:rPr>
              <w:t xml:space="preserve"> (FR method)</w:t>
            </w:r>
          </w:p>
          <w:p w14:paraId="643AC90B" w14:textId="52C1C97A" w:rsidR="00C85DBE" w:rsidRPr="0089164C" w:rsidRDefault="00C85DBE" w:rsidP="0089164C">
            <w:pPr>
              <w:pStyle w:val="Paragraphedeliste"/>
              <w:spacing w:line="276" w:lineRule="auto"/>
              <w:ind w:left="360"/>
              <w:rPr>
                <w:b/>
                <w:bCs/>
                <w:lang w:val="en-GB"/>
              </w:rPr>
            </w:pPr>
          </w:p>
        </w:tc>
        <w:tc>
          <w:tcPr>
            <w:tcW w:w="1282" w:type="dxa"/>
          </w:tcPr>
          <w:p w14:paraId="3E3F8D74" w14:textId="2B3701DB" w:rsidR="00C85DBE" w:rsidRDefault="00486789" w:rsidP="0089164C">
            <w:pPr>
              <w:spacing w:line="276" w:lineRule="auto"/>
              <w:rPr>
                <w:b/>
                <w:bCs/>
                <w:lang w:val="en-GB"/>
              </w:rPr>
            </w:pPr>
            <w:r>
              <w:rPr>
                <w:b/>
                <w:bCs/>
                <w:lang w:val="en-GB"/>
              </w:rPr>
              <w:fldChar w:fldCharType="begin" w:fldLock="1"/>
            </w:r>
            <w:r>
              <w:rPr>
                <w:b/>
                <w:bCs/>
                <w:lang w:val="en-GB"/>
              </w:rPr>
              <w:instrText>ADDIN CSL_CITATION {"citationItems":[{"id":"ITEM-1","itemData":{"DOI":"10.17265/1934-8975/2017.08.001","ISSN":"19348975","author":[{"dropping-particle":"","family":"Khalideh Al bkoor Alrawashdeh","given":"","non-dropping-particle":"","parse-names":false,"suffix":""},{"dropping-particle":"","family":"Katarzyna Slopiecka","given":"","non-dropping-particle":"","parse-names":false,"suffix":""},{"dropping-particle":"","family":"Abdullah A. Alshorman","given":"","non-dropping-particle":"","parse-names":false,"suffix":""},{"dropping-particle":"","family":"Bartocci","given":"","non-dropping-particle":"Pietro","parse-names":false,"suffix":""},{"dropping-particle":"","family":"Francesco Fantozzi","given":"","non-dropping-particle":"","parse-names":false,"suffix":""}],"container-title":"Journal of Energy and Power Engineering","id":"ITEM-1","issue":"8","issued":{"date-parts":[["2017"]]},"title":"Pyrolytic Degradation of Olive Waste Residue (OWR) by TGA: Thermal Decomposition Behavior and Kinetic Study","type":"article-journal","volume":"11"},"uris":["http://www.mendeley.com/documents/?uuid=391b7d80-c14f-4e58-8d18-ef83e1ff8cb1"]}],"mendeley":{"formattedCitation":"(Khalideh Al bkoor Alrawashdeh et al. 2017)","plainTextFormattedCitation":"(Khalideh Al bkoor Alrawashdeh et al. 2017)","previouslyFormattedCitation":"(Khalideh Al bkoor Alrawashdeh et al. 2017)"},"properties":{"noteIndex":0},"schema":"https://github.com/citation-style-language/schema/raw/master/csl-citation.json"}</w:instrText>
            </w:r>
            <w:r>
              <w:rPr>
                <w:b/>
                <w:bCs/>
                <w:lang w:val="en-GB"/>
              </w:rPr>
              <w:fldChar w:fldCharType="separate"/>
            </w:r>
            <w:r w:rsidRPr="00486789">
              <w:rPr>
                <w:bCs/>
                <w:noProof/>
                <w:lang w:val="en-GB"/>
              </w:rPr>
              <w:t>(Khalideh Al bkoor Alrawashdeh et al. 2017)</w:t>
            </w:r>
            <w:r>
              <w:rPr>
                <w:b/>
                <w:bCs/>
                <w:lang w:val="en-GB"/>
              </w:rPr>
              <w:fldChar w:fldCharType="end"/>
            </w:r>
          </w:p>
        </w:tc>
      </w:tr>
      <w:tr w:rsidR="00486789" w14:paraId="29D65ED3" w14:textId="77777777" w:rsidTr="0089164C">
        <w:trPr>
          <w:trHeight w:val="550"/>
        </w:trPr>
        <w:tc>
          <w:tcPr>
            <w:tcW w:w="1363" w:type="dxa"/>
          </w:tcPr>
          <w:p w14:paraId="2CDC0B19" w14:textId="24DBAFBE" w:rsidR="00C85DBE" w:rsidRDefault="00C85DBE" w:rsidP="0089164C">
            <w:pPr>
              <w:spacing w:line="276" w:lineRule="auto"/>
              <w:rPr>
                <w:b/>
                <w:bCs/>
                <w:lang w:val="en-GB"/>
              </w:rPr>
            </w:pPr>
            <w:r w:rsidRPr="00CE439B">
              <w:rPr>
                <w:rFonts w:ascii="Times New Roman" w:hAnsi="Times New Roman" w:cs="Times New Roman"/>
                <w:sz w:val="18"/>
                <w:szCs w:val="18"/>
                <w:lang w:val="en-GB"/>
              </w:rPr>
              <w:t>Olive Kernel (OK) undigested sewage sludge (SS) and municipal solid waste (MSW)</w:t>
            </w:r>
          </w:p>
        </w:tc>
        <w:tc>
          <w:tcPr>
            <w:tcW w:w="2325" w:type="dxa"/>
          </w:tcPr>
          <w:p w14:paraId="1AF1E3EB" w14:textId="77777777" w:rsidR="00C85DBE" w:rsidRPr="00CE439B" w:rsidRDefault="00C85DBE" w:rsidP="0089164C">
            <w:pPr>
              <w:pStyle w:val="Paragraphedeliste"/>
              <w:numPr>
                <w:ilvl w:val="1"/>
                <w:numId w:val="4"/>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Perkin Elmer thermogravimeter TGA/DTG</w:t>
            </w:r>
          </w:p>
          <w:p w14:paraId="4CC16452" w14:textId="77777777" w:rsidR="00C85DBE" w:rsidRPr="00CE439B" w:rsidRDefault="00C85DBE" w:rsidP="0089164C">
            <w:pPr>
              <w:pStyle w:val="Paragraphedeliste"/>
              <w:numPr>
                <w:ilvl w:val="1"/>
                <w:numId w:val="4"/>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heating rate thermal programs, i.e. 5, 10,20,30 and 40°C</w:t>
            </w:r>
          </w:p>
          <w:p w14:paraId="10A29AEC" w14:textId="32326F3D" w:rsidR="00C85DBE" w:rsidRDefault="00C85DBE" w:rsidP="0089164C">
            <w:pPr>
              <w:spacing w:line="276" w:lineRule="auto"/>
              <w:rPr>
                <w:b/>
                <w:bCs/>
                <w:lang w:val="en-GB"/>
              </w:rPr>
            </w:pPr>
            <w:r w:rsidRPr="00CE439B">
              <w:rPr>
                <w:rFonts w:ascii="Times New Roman" w:hAnsi="Times New Roman" w:cs="Times New Roman"/>
                <w:sz w:val="18"/>
                <w:szCs w:val="18"/>
                <w:lang w:val="en-GB"/>
              </w:rPr>
              <w:t>TG/MS Analysis</w:t>
            </w:r>
          </w:p>
        </w:tc>
        <w:tc>
          <w:tcPr>
            <w:tcW w:w="2828" w:type="dxa"/>
          </w:tcPr>
          <w:p w14:paraId="53E23BA5" w14:textId="77777777" w:rsidR="00C85DBE" w:rsidRPr="0089164C" w:rsidRDefault="00C85DBE" w:rsidP="0089164C">
            <w:pPr>
              <w:spacing w:line="276" w:lineRule="auto"/>
              <w:ind w:left="360"/>
              <w:rPr>
                <w:rFonts w:ascii="Times New Roman" w:hAnsi="Times New Roman" w:cs="Times New Roman"/>
                <w:sz w:val="18"/>
                <w:szCs w:val="18"/>
                <w:lang w:val="en-GB"/>
              </w:rPr>
            </w:pPr>
            <w:r w:rsidRPr="0089164C">
              <w:rPr>
                <w:rFonts w:ascii="Times New Roman" w:hAnsi="Times New Roman" w:cs="Times New Roman"/>
                <w:sz w:val="18"/>
                <w:szCs w:val="18"/>
                <w:lang w:val="en-GB"/>
              </w:rPr>
              <w:t xml:space="preserve">the modified IPR model developed for the </w:t>
            </w:r>
          </w:p>
          <w:p w14:paraId="491E053C" w14:textId="29170388" w:rsidR="00C85DBE" w:rsidRDefault="00C85DBE" w:rsidP="0089164C">
            <w:pPr>
              <w:spacing w:line="276" w:lineRule="auto"/>
              <w:rPr>
                <w:b/>
                <w:bCs/>
                <w:lang w:val="en-GB"/>
              </w:rPr>
            </w:pPr>
            <w:r w:rsidRPr="00CE439B">
              <w:rPr>
                <w:rFonts w:ascii="Times New Roman" w:hAnsi="Times New Roman" w:cs="Times New Roman"/>
                <w:sz w:val="18"/>
                <w:szCs w:val="18"/>
                <w:lang w:val="en-GB"/>
              </w:rPr>
              <w:t>kinetic evaluation and the deconvolution of DTG pyrolysis thermograms of all the examined raw samples, fitted the experimental results with great accuracy</w:t>
            </w:r>
          </w:p>
        </w:tc>
        <w:tc>
          <w:tcPr>
            <w:tcW w:w="2182" w:type="dxa"/>
          </w:tcPr>
          <w:p w14:paraId="1FBB9CCD" w14:textId="69C4C207" w:rsidR="00C85DBE" w:rsidRPr="0089164C" w:rsidRDefault="00C85DBE" w:rsidP="0089164C">
            <w:pPr>
              <w:pStyle w:val="Paragraphedeliste"/>
              <w:numPr>
                <w:ilvl w:val="1"/>
                <w:numId w:val="11"/>
              </w:numPr>
              <w:spacing w:line="276" w:lineRule="auto"/>
              <w:rPr>
                <w:b/>
                <w:bCs/>
                <w:lang w:val="en-GB"/>
              </w:rPr>
            </w:pPr>
            <w:r w:rsidRPr="0089164C">
              <w:rPr>
                <w:rFonts w:ascii="Times New Roman" w:hAnsi="Times New Roman" w:cs="Times New Roman"/>
                <w:sz w:val="18"/>
                <w:szCs w:val="18"/>
                <w:lang w:val="en-GB"/>
              </w:rPr>
              <w:t>Independent Parallel Reaction model (IPR)</w:t>
            </w:r>
          </w:p>
        </w:tc>
        <w:tc>
          <w:tcPr>
            <w:tcW w:w="1282" w:type="dxa"/>
          </w:tcPr>
          <w:p w14:paraId="7B7B1B51" w14:textId="03E4AB6A" w:rsidR="00C85DBE" w:rsidRDefault="00486789" w:rsidP="0089164C">
            <w:pPr>
              <w:spacing w:line="276" w:lineRule="auto"/>
              <w:rPr>
                <w:b/>
                <w:bCs/>
                <w:lang w:val="en-GB"/>
              </w:rPr>
            </w:pPr>
            <w:r>
              <w:rPr>
                <w:rFonts w:ascii="Times New Roman" w:hAnsi="Times New Roman" w:cs="Times New Roman"/>
                <w:sz w:val="18"/>
                <w:szCs w:val="18"/>
                <w:lang w:val="en-GB"/>
              </w:rPr>
              <w:fldChar w:fldCharType="begin" w:fldLock="1"/>
            </w:r>
            <w:r>
              <w:rPr>
                <w:rFonts w:ascii="Times New Roman" w:hAnsi="Times New Roman" w:cs="Times New Roman"/>
                <w:sz w:val="18"/>
                <w:szCs w:val="18"/>
                <w:lang w:val="en-GB"/>
              </w:rPr>
              <w:instrText>ADDIN CSL_CITATION {"citationItems":[{"id":"ITEM-1","itemData":{"DOI":"10.1016/j.tca.2018.10.006","ISSN":"00406031","abstract":"The evolution of the pyrolysis products of olive kernel, a municipal solid waste fraction and a sewage sludge was analyzed qualitatively and quantitatively, using a properly developed and calibrated system of coupled thermogravimetry-mass spectrometry (TG/MS). The TG/MS profiles of the volatile products were also related to the pyrolysis thermograms, after their deconvolution which was performed using an independent parallel reaction kinetic model. The results from the co-pyrolysis of two mixtures of olive kernel with the municipal waste fraction and with sewage sludge at 7:3 mixing ratio revealed strong synergy effects on the production of CO up to 600 °C and the production of H2 at elevated temperatures. Other compounds were found to present slight synergistic (hydrocarbons up to C3, HCl, HCN) or additive behavior (CO2, H2O, NH3). No significant effect of co-pyrolysis on the anticipated quantities of char, tar and on the heating value of the pyrolysis gases of the mixtures was observed.","author":[{"dropping-particle":"","family":"Sfakiotakis","given":"S.","non-dropping-particle":"","parse-names":false,"suffix":""},{"dropping-particle":"","family":"Vamvuka","given":"D.","non-dropping-particle":"","parse-names":false,"suffix":""}],"container-title":"Thermochimica Acta","id":"ITEM-1","issued":{"date-parts":[["2018"]]},"page":"44-54","publisher":"Elsevier B.V.","title":"Study of co-pyrolysis of olive kernel with waste biomass using TGA/DTG/MS","type":"article-journal","volume":"670"},"uris":["http://www.mendeley.com/documents/?uuid=0955ad82-d792-4ad0-820b-16c3cb92ffc6"]}],"mendeley":{"formattedCitation":"(Sfakiotakis and Vamvuka 2018)","plainTextFormattedCitation":"(Sfakiotakis and Vamvuka 2018)","previouslyFormattedCitation":"(Sfakiotakis and Vamvuka 2018)"},"properties":{"noteIndex":0},"schema":"https://github.com/citation-style-language/schema/raw/master/csl-citation.json"}</w:instrText>
            </w:r>
            <w:r>
              <w:rPr>
                <w:rFonts w:ascii="Times New Roman" w:hAnsi="Times New Roman" w:cs="Times New Roman"/>
                <w:sz w:val="18"/>
                <w:szCs w:val="18"/>
                <w:lang w:val="en-GB"/>
              </w:rPr>
              <w:fldChar w:fldCharType="separate"/>
            </w:r>
            <w:r w:rsidRPr="00486789">
              <w:rPr>
                <w:rFonts w:ascii="Times New Roman" w:hAnsi="Times New Roman" w:cs="Times New Roman"/>
                <w:noProof/>
                <w:sz w:val="18"/>
                <w:szCs w:val="18"/>
                <w:lang w:val="en-GB"/>
              </w:rPr>
              <w:t>(Sfakiotakis and Vamvuka 2018)</w:t>
            </w:r>
            <w:r>
              <w:rPr>
                <w:rFonts w:ascii="Times New Roman" w:hAnsi="Times New Roman" w:cs="Times New Roman"/>
                <w:sz w:val="18"/>
                <w:szCs w:val="18"/>
                <w:lang w:val="en-GB"/>
              </w:rPr>
              <w:fldChar w:fldCharType="end"/>
            </w:r>
          </w:p>
        </w:tc>
      </w:tr>
      <w:tr w:rsidR="00486789" w14:paraId="40DAAC63" w14:textId="77777777" w:rsidTr="0089164C">
        <w:trPr>
          <w:trHeight w:val="550"/>
        </w:trPr>
        <w:tc>
          <w:tcPr>
            <w:tcW w:w="1363" w:type="dxa"/>
          </w:tcPr>
          <w:p w14:paraId="20008458" w14:textId="631B1324" w:rsidR="00C85DBE" w:rsidRDefault="00C85DBE" w:rsidP="0089164C">
            <w:pPr>
              <w:spacing w:line="276" w:lineRule="auto"/>
              <w:rPr>
                <w:b/>
                <w:bCs/>
                <w:lang w:val="en-GB"/>
              </w:rPr>
            </w:pPr>
            <w:r w:rsidRPr="00CE439B">
              <w:rPr>
                <w:rFonts w:ascii="Times New Roman" w:hAnsi="Times New Roman" w:cs="Times New Roman"/>
                <w:sz w:val="18"/>
                <w:szCs w:val="18"/>
                <w:lang w:val="en-GB"/>
              </w:rPr>
              <w:t>Lignocellulosic forest residue (LFR) and olive oil residue (OOR)</w:t>
            </w:r>
          </w:p>
        </w:tc>
        <w:tc>
          <w:tcPr>
            <w:tcW w:w="2325" w:type="dxa"/>
          </w:tcPr>
          <w:p w14:paraId="20BA39B3" w14:textId="77777777" w:rsidR="00C85DBE" w:rsidRPr="00CE439B" w:rsidRDefault="00C85DBE" w:rsidP="0089164C">
            <w:pPr>
              <w:pStyle w:val="Paragraphedeliste"/>
              <w:numPr>
                <w:ilvl w:val="1"/>
                <w:numId w:val="4"/>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TA Instruments SDTQ600 model thermal analyzer from room temperature to 900 °C</w:t>
            </w:r>
          </w:p>
          <w:p w14:paraId="234457E7" w14:textId="77777777" w:rsidR="00C85DBE" w:rsidRPr="00CE439B" w:rsidRDefault="00C85DBE" w:rsidP="0089164C">
            <w:pPr>
              <w:pStyle w:val="Paragraphedeliste"/>
              <w:numPr>
                <w:ilvl w:val="1"/>
                <w:numId w:val="4"/>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heating rate (5, 10, 20, and 50 °C/min)</w:t>
            </w:r>
          </w:p>
          <w:p w14:paraId="4EE1E694" w14:textId="0FED0486" w:rsidR="00C85DBE" w:rsidRDefault="00C85DBE" w:rsidP="0089164C">
            <w:pPr>
              <w:spacing w:line="276" w:lineRule="auto"/>
              <w:rPr>
                <w:b/>
                <w:bCs/>
                <w:lang w:val="en-GB"/>
              </w:rPr>
            </w:pPr>
            <w:r w:rsidRPr="00CE439B">
              <w:rPr>
                <w:rFonts w:ascii="Times New Roman" w:hAnsi="Times New Roman" w:cs="Times New Roman"/>
                <w:sz w:val="18"/>
                <w:szCs w:val="18"/>
                <w:lang w:val="en-GB"/>
              </w:rPr>
              <w:t>MATLAB® R2014b software was used to develop network models</w:t>
            </w:r>
          </w:p>
        </w:tc>
        <w:tc>
          <w:tcPr>
            <w:tcW w:w="2828" w:type="dxa"/>
          </w:tcPr>
          <w:p w14:paraId="12D346B9" w14:textId="77777777" w:rsidR="00C85DBE" w:rsidRPr="0089164C" w:rsidRDefault="00C85DBE" w:rsidP="0089164C">
            <w:pPr>
              <w:spacing w:line="276" w:lineRule="auto"/>
              <w:ind w:left="360"/>
              <w:rPr>
                <w:rFonts w:ascii="Times New Roman" w:hAnsi="Times New Roman" w:cs="Times New Roman"/>
                <w:sz w:val="18"/>
                <w:szCs w:val="18"/>
                <w:lang w:val="en-GB"/>
              </w:rPr>
            </w:pPr>
            <w:r w:rsidRPr="0089164C">
              <w:rPr>
                <w:rFonts w:ascii="Times New Roman" w:hAnsi="Times New Roman" w:cs="Times New Roman"/>
                <w:sz w:val="18"/>
                <w:szCs w:val="18"/>
                <w:lang w:val="en-GB"/>
              </w:rPr>
              <w:t>results showed that above α &gt; 0.7, the ANN predicted data started to show deviations from the experimental data</w:t>
            </w:r>
          </w:p>
          <w:p w14:paraId="4E4CE9F8" w14:textId="77777777" w:rsidR="00C85DBE" w:rsidRPr="0089164C" w:rsidRDefault="00C85DBE" w:rsidP="0089164C">
            <w:pPr>
              <w:spacing w:line="276" w:lineRule="auto"/>
              <w:ind w:left="360"/>
              <w:rPr>
                <w:rFonts w:ascii="Times New Roman" w:hAnsi="Times New Roman" w:cs="Times New Roman"/>
                <w:sz w:val="18"/>
                <w:szCs w:val="18"/>
                <w:lang w:val="en-GB"/>
              </w:rPr>
            </w:pPr>
            <w:r w:rsidRPr="0089164C">
              <w:rPr>
                <w:rFonts w:ascii="Times New Roman" w:hAnsi="Times New Roman" w:cs="Times New Roman"/>
                <w:sz w:val="18"/>
                <w:szCs w:val="18"/>
                <w:lang w:val="en-GB"/>
              </w:rPr>
              <w:t>the calculated activation en- ergies were still close to the experimental ones.</w:t>
            </w:r>
          </w:p>
          <w:p w14:paraId="4B57A7F6" w14:textId="77B8A2DC" w:rsidR="00C85DBE" w:rsidRDefault="00C85DBE" w:rsidP="0089164C">
            <w:pPr>
              <w:spacing w:line="276" w:lineRule="auto"/>
              <w:rPr>
                <w:b/>
                <w:bCs/>
                <w:lang w:val="en-GB"/>
              </w:rPr>
            </w:pPr>
            <w:r w:rsidRPr="00CE439B">
              <w:rPr>
                <w:rFonts w:ascii="Times New Roman" w:hAnsi="Times New Roman" w:cs="Times New Roman"/>
                <w:sz w:val="18"/>
                <w:szCs w:val="18"/>
                <w:lang w:val="en-GB"/>
              </w:rPr>
              <w:t>ANN can be an alternative and promising tool which allows adjustment flexibilit</w:t>
            </w:r>
          </w:p>
        </w:tc>
        <w:tc>
          <w:tcPr>
            <w:tcW w:w="2182" w:type="dxa"/>
          </w:tcPr>
          <w:p w14:paraId="6A58A0CC" w14:textId="77777777" w:rsidR="0089164C" w:rsidRDefault="0089164C" w:rsidP="0089164C">
            <w:pPr>
              <w:pStyle w:val="Paragraphedeliste"/>
              <w:numPr>
                <w:ilvl w:val="1"/>
                <w:numId w:val="11"/>
              </w:numPr>
              <w:spacing w:line="276" w:lineRule="auto"/>
              <w:rPr>
                <w:rFonts w:ascii="Times New Roman" w:hAnsi="Times New Roman" w:cs="Times New Roman"/>
                <w:sz w:val="18"/>
                <w:szCs w:val="18"/>
                <w:lang w:val="en-GB"/>
              </w:rPr>
            </w:pPr>
          </w:p>
          <w:p w14:paraId="014CD4FA" w14:textId="56CF50B9" w:rsidR="00C85DBE" w:rsidRPr="0089164C" w:rsidRDefault="00C85DBE" w:rsidP="0089164C">
            <w:pPr>
              <w:pStyle w:val="Paragraphedeliste"/>
              <w:numPr>
                <w:ilvl w:val="1"/>
                <w:numId w:val="11"/>
              </w:numPr>
              <w:spacing w:line="276" w:lineRule="auto"/>
              <w:rPr>
                <w:rFonts w:ascii="Times New Roman" w:hAnsi="Times New Roman" w:cs="Times New Roman"/>
                <w:sz w:val="18"/>
                <w:szCs w:val="18"/>
                <w:lang w:val="en-GB"/>
              </w:rPr>
            </w:pPr>
            <w:r w:rsidRPr="0089164C">
              <w:rPr>
                <w:rFonts w:ascii="Times New Roman" w:hAnsi="Times New Roman" w:cs="Times New Roman"/>
                <w:sz w:val="18"/>
                <w:szCs w:val="18"/>
                <w:lang w:val="en-GB"/>
              </w:rPr>
              <w:t>Artificial Neural Network (ANN)</w:t>
            </w:r>
          </w:p>
          <w:p w14:paraId="456AF45B" w14:textId="77777777" w:rsidR="0089164C" w:rsidRDefault="0089164C" w:rsidP="0089164C">
            <w:pPr>
              <w:pStyle w:val="Paragraphedeliste"/>
              <w:numPr>
                <w:ilvl w:val="1"/>
                <w:numId w:val="11"/>
              </w:numPr>
              <w:spacing w:line="276" w:lineRule="auto"/>
              <w:rPr>
                <w:rFonts w:ascii="Times New Roman" w:hAnsi="Times New Roman" w:cs="Times New Roman"/>
                <w:sz w:val="18"/>
                <w:szCs w:val="18"/>
                <w:lang w:val="en-GB"/>
              </w:rPr>
            </w:pPr>
          </w:p>
          <w:p w14:paraId="3137C887" w14:textId="77777777" w:rsidR="0089164C" w:rsidRPr="00CE439B" w:rsidRDefault="0089164C" w:rsidP="0089164C">
            <w:pPr>
              <w:pStyle w:val="Paragraphedeliste"/>
              <w:numPr>
                <w:ilvl w:val="1"/>
                <w:numId w:val="11"/>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Flynn–Wall–Ozawa</w:t>
            </w:r>
            <w:r>
              <w:rPr>
                <w:rFonts w:ascii="Times New Roman" w:hAnsi="Times New Roman" w:cs="Times New Roman"/>
                <w:sz w:val="18"/>
                <w:szCs w:val="18"/>
                <w:lang w:val="en-GB"/>
              </w:rPr>
              <w:t xml:space="preserve"> (FWO method)</w:t>
            </w:r>
          </w:p>
          <w:p w14:paraId="4414BDB5" w14:textId="77777777" w:rsidR="0089164C" w:rsidRPr="00CE439B" w:rsidRDefault="0089164C" w:rsidP="0089164C">
            <w:pPr>
              <w:pStyle w:val="Paragraphedeliste"/>
              <w:numPr>
                <w:ilvl w:val="1"/>
                <w:numId w:val="11"/>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 xml:space="preserve"> Kissinger–Akahira–Sunose</w:t>
            </w:r>
            <w:r>
              <w:rPr>
                <w:rFonts w:ascii="Times New Roman" w:hAnsi="Times New Roman" w:cs="Times New Roman"/>
                <w:sz w:val="18"/>
                <w:szCs w:val="18"/>
                <w:lang w:val="en-GB"/>
              </w:rPr>
              <w:t xml:space="preserve"> (KAS method)</w:t>
            </w:r>
          </w:p>
          <w:p w14:paraId="6ABE9A59" w14:textId="77777777" w:rsidR="0089164C" w:rsidRPr="00CE439B" w:rsidRDefault="0089164C" w:rsidP="0089164C">
            <w:pPr>
              <w:pStyle w:val="Paragraphedeliste"/>
              <w:numPr>
                <w:ilvl w:val="1"/>
                <w:numId w:val="11"/>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Friedman</w:t>
            </w:r>
            <w:r>
              <w:rPr>
                <w:rFonts w:ascii="Times New Roman" w:hAnsi="Times New Roman" w:cs="Times New Roman"/>
                <w:sz w:val="18"/>
                <w:szCs w:val="18"/>
                <w:lang w:val="en-GB"/>
              </w:rPr>
              <w:t xml:space="preserve"> (FR method)</w:t>
            </w:r>
          </w:p>
          <w:p w14:paraId="7CD36D4B" w14:textId="1B7D4E76" w:rsidR="00C85DBE" w:rsidRPr="0089164C" w:rsidRDefault="00C85DBE" w:rsidP="0089164C">
            <w:pPr>
              <w:pStyle w:val="Paragraphedeliste"/>
              <w:numPr>
                <w:ilvl w:val="1"/>
                <w:numId w:val="11"/>
              </w:numPr>
              <w:spacing w:line="276" w:lineRule="auto"/>
              <w:rPr>
                <w:b/>
                <w:bCs/>
                <w:lang w:val="en-GB"/>
              </w:rPr>
            </w:pPr>
          </w:p>
        </w:tc>
        <w:tc>
          <w:tcPr>
            <w:tcW w:w="1282" w:type="dxa"/>
          </w:tcPr>
          <w:p w14:paraId="5614C9C9" w14:textId="3FAECE08" w:rsidR="00C85DBE" w:rsidRDefault="00486789" w:rsidP="0089164C">
            <w:pPr>
              <w:spacing w:line="276" w:lineRule="auto"/>
              <w:rPr>
                <w:b/>
                <w:bCs/>
                <w:lang w:val="en-GB"/>
              </w:rPr>
            </w:pPr>
            <w:r>
              <w:rPr>
                <w:rFonts w:ascii="Times New Roman" w:hAnsi="Times New Roman" w:cs="Times New Roman"/>
                <w:sz w:val="18"/>
                <w:szCs w:val="18"/>
                <w:lang w:val="en-GB"/>
              </w:rPr>
              <w:fldChar w:fldCharType="begin" w:fldLock="1"/>
            </w:r>
            <w:r>
              <w:rPr>
                <w:rFonts w:ascii="Times New Roman" w:hAnsi="Times New Roman" w:cs="Times New Roman"/>
                <w:sz w:val="18"/>
                <w:szCs w:val="18"/>
                <w:lang w:val="en-GB"/>
              </w:rPr>
              <w:instrText>ADDIN CSL_CITATION {"citationItems":[{"id":"ITEM-1","itemData":{"DOI":"10.1016/j.fuel.2018.02.045","ISSN":"00162361","abstract":"The present paper discusses the thermal data prediction performance of ANN for more than one biomass as well as the reliability of this ANN predicted data in the further steps. Lignocellulosic forest residue (LFR) and olive oil residue (OOR) were selected as biomass feedstocks. The thermal data prediction performance of ANN was performed based on two approaches by developing; i) two individual networks for each feedstock, and ii) one-network for both feedstocks. After fixing the main structure of the networks, optimization studies were carried out to determine the best network configuration. In this way, it was also aimed to discuss the effect of internal ANN parameters to the overall prediction capability for more complex problems. At the final step, the predicted data was applied to calculate the activation energies based on three conventional kinetic models and the results were compared with the ones calculated using experimental thermal data. In the end, it was concluded the experimental thermal data fitted quite well to the ANN predicted data (R2 &gt; 0.99) but more complex network topology was required for combined network due to the complexity of the dataset. Most importantly, it is shown that the predicted data can be applicable for the further steps such as in the calculation of the activation energies using different models.","author":[{"dropping-particle":"","family":"Çepelioğullar","given":"Özge","non-dropping-particle":"","parse-names":false,"suffix":""},{"dropping-particle":"","family":"Mutlu","given":"İlhan","non-dropping-particle":"","parse-names":false,"suffix":""},{"dropping-particle":"","family":"Yaman","given":"Serdar","non-dropping-particle":"","parse-names":false,"suffix":""},{"dropping-particle":"","family":"Haykiri-Acma","given":"Hanzade","non-dropping-particle":"","parse-names":false,"suffix":""}],"container-title":"Fuel","id":"ITEM-1","issue":"February 2017","issued":{"date-parts":[["2018"]]},"page":"535-545","title":"Activation energy prediction of biomass wastes based on different neural network topologies","type":"article-journal","volume":"220"},"uris":["http://www.mendeley.com/documents/?uuid=2222bd3c-458a-4a9d-a912-743cfdaedca5"]}],"mendeley":{"formattedCitation":"(Çepelioğullar et al. 2018)","plainTextFormattedCitation":"(Çepelioğullar et al. 2018)","previouslyFormattedCitation":"(Çepelioğullar et al. 2018)"},"properties":{"noteIndex":0},"schema":"https://github.com/citation-style-language/schema/raw/master/csl-citation.json"}</w:instrText>
            </w:r>
            <w:r>
              <w:rPr>
                <w:rFonts w:ascii="Times New Roman" w:hAnsi="Times New Roman" w:cs="Times New Roman"/>
                <w:sz w:val="18"/>
                <w:szCs w:val="18"/>
                <w:lang w:val="en-GB"/>
              </w:rPr>
              <w:fldChar w:fldCharType="separate"/>
            </w:r>
            <w:r w:rsidRPr="00486789">
              <w:rPr>
                <w:rFonts w:ascii="Times New Roman" w:hAnsi="Times New Roman" w:cs="Times New Roman"/>
                <w:noProof/>
                <w:sz w:val="18"/>
                <w:szCs w:val="18"/>
                <w:lang w:val="en-GB"/>
              </w:rPr>
              <w:t>(Çepelioğullar et al. 2018)</w:t>
            </w:r>
            <w:r>
              <w:rPr>
                <w:rFonts w:ascii="Times New Roman" w:hAnsi="Times New Roman" w:cs="Times New Roman"/>
                <w:sz w:val="18"/>
                <w:szCs w:val="18"/>
                <w:lang w:val="en-GB"/>
              </w:rPr>
              <w:fldChar w:fldCharType="end"/>
            </w:r>
          </w:p>
        </w:tc>
      </w:tr>
      <w:tr w:rsidR="00486789" w:rsidRPr="00486789" w14:paraId="3899A28A" w14:textId="77777777" w:rsidTr="0089164C">
        <w:trPr>
          <w:trHeight w:val="520"/>
        </w:trPr>
        <w:tc>
          <w:tcPr>
            <w:tcW w:w="1363" w:type="dxa"/>
          </w:tcPr>
          <w:p w14:paraId="20142583" w14:textId="6D7DAF21" w:rsidR="00C85DBE" w:rsidRDefault="00C85DBE" w:rsidP="0089164C">
            <w:pPr>
              <w:spacing w:line="276" w:lineRule="auto"/>
              <w:rPr>
                <w:b/>
                <w:bCs/>
                <w:lang w:val="en-GB"/>
              </w:rPr>
            </w:pPr>
            <w:r w:rsidRPr="00CE439B">
              <w:rPr>
                <w:rFonts w:ascii="Times New Roman" w:hAnsi="Times New Roman" w:cs="Times New Roman"/>
                <w:sz w:val="18"/>
                <w:szCs w:val="18"/>
                <w:lang w:val="en-GB"/>
              </w:rPr>
              <w:t>Olive mill solid waste and wastewater</w:t>
            </w:r>
          </w:p>
        </w:tc>
        <w:tc>
          <w:tcPr>
            <w:tcW w:w="2325" w:type="dxa"/>
          </w:tcPr>
          <w:p w14:paraId="09B4759C" w14:textId="77777777" w:rsidR="00C85DBE" w:rsidRPr="00CE439B" w:rsidRDefault="00C85DBE" w:rsidP="0089164C">
            <w:pPr>
              <w:pStyle w:val="Paragraphedeliste"/>
              <w:numPr>
                <w:ilvl w:val="1"/>
                <w:numId w:val="4"/>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Rheometrix Scientific STA 1500 TGA analyser</w:t>
            </w:r>
          </w:p>
          <w:p w14:paraId="3FEFDA5F" w14:textId="55D651DB" w:rsidR="00C85DBE" w:rsidRPr="00847B7C" w:rsidRDefault="00C85DBE" w:rsidP="00847B7C">
            <w:pPr>
              <w:pStyle w:val="Paragraphedeliste"/>
              <w:numPr>
                <w:ilvl w:val="1"/>
                <w:numId w:val="4"/>
              </w:numPr>
              <w:spacing w:line="276" w:lineRule="auto"/>
              <w:rPr>
                <w:b/>
                <w:bCs/>
                <w:lang w:val="en-GB"/>
              </w:rPr>
            </w:pPr>
            <w:r w:rsidRPr="00847B7C">
              <w:rPr>
                <w:rFonts w:ascii="Times New Roman" w:hAnsi="Times New Roman" w:cs="Times New Roman"/>
                <w:sz w:val="18"/>
                <w:szCs w:val="18"/>
                <w:lang w:val="en-GB"/>
              </w:rPr>
              <w:t>heating rates (2, 10, 20 and 50 °Cmin-1) between 25 and 900 °C</w:t>
            </w:r>
            <w:r w:rsidRPr="00847B7C">
              <w:rPr>
                <w:sz w:val="18"/>
                <w:szCs w:val="18"/>
                <w:lang w:val="en-GB"/>
              </w:rPr>
              <w:t xml:space="preserve"> </w:t>
            </w:r>
          </w:p>
        </w:tc>
        <w:tc>
          <w:tcPr>
            <w:tcW w:w="2828" w:type="dxa"/>
          </w:tcPr>
          <w:p w14:paraId="764223F5" w14:textId="77777777" w:rsidR="00C85DBE" w:rsidRPr="0089164C" w:rsidRDefault="00C85DBE" w:rsidP="0089164C">
            <w:pPr>
              <w:spacing w:line="276" w:lineRule="auto"/>
              <w:ind w:left="360"/>
              <w:rPr>
                <w:rFonts w:ascii="Times New Roman" w:hAnsi="Times New Roman" w:cs="Times New Roman"/>
                <w:sz w:val="18"/>
                <w:szCs w:val="18"/>
                <w:lang w:val="en-GB"/>
              </w:rPr>
            </w:pPr>
            <w:r w:rsidRPr="0089164C">
              <w:rPr>
                <w:rFonts w:ascii="Times New Roman" w:hAnsi="Times New Roman" w:cs="Times New Roman"/>
                <w:sz w:val="18"/>
                <w:szCs w:val="18"/>
                <w:lang w:val="en-GB"/>
              </w:rPr>
              <w:t>The values of activation energy of the OMSW and COMWW vary in different thermal degradation temperature ranges</w:t>
            </w:r>
          </w:p>
          <w:p w14:paraId="626A5D6C" w14:textId="6D23A4E7" w:rsidR="00C85DBE" w:rsidRPr="0089164C" w:rsidRDefault="00C85DBE" w:rsidP="0089164C">
            <w:pPr>
              <w:spacing w:line="276" w:lineRule="auto"/>
              <w:ind w:left="360"/>
              <w:rPr>
                <w:rFonts w:ascii="Times New Roman" w:hAnsi="Times New Roman" w:cs="Times New Roman"/>
                <w:sz w:val="18"/>
                <w:szCs w:val="18"/>
                <w:lang w:val="en-GB"/>
              </w:rPr>
            </w:pPr>
            <w:r w:rsidRPr="0089164C">
              <w:rPr>
                <w:rFonts w:ascii="Times New Roman" w:hAnsi="Times New Roman" w:cs="Times New Roman"/>
                <w:sz w:val="18"/>
                <w:szCs w:val="18"/>
                <w:lang w:val="en-GB"/>
              </w:rPr>
              <w:t>the increase in heating rate, the decomposition process is</w:t>
            </w:r>
            <w:r w:rsidR="00847B7C">
              <w:rPr>
                <w:rFonts w:ascii="Times New Roman" w:hAnsi="Times New Roman" w:cs="Times New Roman"/>
                <w:sz w:val="18"/>
                <w:szCs w:val="18"/>
                <w:lang w:val="en-GB"/>
              </w:rPr>
              <w:t xml:space="preserve"> S</w:t>
            </w:r>
            <w:r w:rsidRPr="0089164C">
              <w:rPr>
                <w:rFonts w:ascii="Times New Roman" w:hAnsi="Times New Roman" w:cs="Times New Roman"/>
                <w:sz w:val="18"/>
                <w:szCs w:val="18"/>
                <w:lang w:val="en-GB"/>
              </w:rPr>
              <w:t>hifted to a higher temperature zone</w:t>
            </w:r>
          </w:p>
          <w:p w14:paraId="6F9948CC" w14:textId="258ED5F9" w:rsidR="00C85DBE" w:rsidRDefault="00C85DBE" w:rsidP="0089164C">
            <w:pPr>
              <w:spacing w:line="276" w:lineRule="auto"/>
              <w:rPr>
                <w:b/>
                <w:bCs/>
                <w:lang w:val="en-GB"/>
              </w:rPr>
            </w:pPr>
            <w:r w:rsidRPr="00CE439B">
              <w:rPr>
                <w:rFonts w:ascii="Times New Roman" w:hAnsi="Times New Roman" w:cs="Times New Roman"/>
                <w:sz w:val="18"/>
                <w:szCs w:val="18"/>
                <w:lang w:val="en-GB"/>
              </w:rPr>
              <w:t>activation energy obtained for the decomposition of hemicelluloses and cellulose derived</w:t>
            </w:r>
          </w:p>
        </w:tc>
        <w:tc>
          <w:tcPr>
            <w:tcW w:w="2182" w:type="dxa"/>
          </w:tcPr>
          <w:p w14:paraId="3FBE75C3" w14:textId="77B3E581" w:rsidR="0089164C" w:rsidRPr="0089164C" w:rsidRDefault="0089164C" w:rsidP="0089164C">
            <w:pPr>
              <w:pStyle w:val="Paragraphedeliste"/>
              <w:numPr>
                <w:ilvl w:val="1"/>
                <w:numId w:val="11"/>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Flynn–Wall–Ozawa</w:t>
            </w:r>
            <w:r>
              <w:rPr>
                <w:rFonts w:ascii="Times New Roman" w:hAnsi="Times New Roman" w:cs="Times New Roman"/>
                <w:sz w:val="18"/>
                <w:szCs w:val="18"/>
                <w:lang w:val="en-GB"/>
              </w:rPr>
              <w:t xml:space="preserve"> (FWO method)</w:t>
            </w:r>
          </w:p>
          <w:p w14:paraId="08B89E2C" w14:textId="77777777" w:rsidR="0089164C" w:rsidRPr="00CE439B" w:rsidRDefault="0089164C" w:rsidP="0089164C">
            <w:pPr>
              <w:pStyle w:val="Paragraphedeliste"/>
              <w:numPr>
                <w:ilvl w:val="1"/>
                <w:numId w:val="11"/>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Friedman</w:t>
            </w:r>
            <w:r>
              <w:rPr>
                <w:rFonts w:ascii="Times New Roman" w:hAnsi="Times New Roman" w:cs="Times New Roman"/>
                <w:sz w:val="18"/>
                <w:szCs w:val="18"/>
                <w:lang w:val="en-GB"/>
              </w:rPr>
              <w:t xml:space="preserve"> (FR method)</w:t>
            </w:r>
          </w:p>
          <w:p w14:paraId="668AB597" w14:textId="5B3F7897" w:rsidR="00C85DBE" w:rsidRPr="0089164C" w:rsidRDefault="00C85DBE" w:rsidP="0089164C">
            <w:pPr>
              <w:pStyle w:val="Paragraphedeliste"/>
              <w:numPr>
                <w:ilvl w:val="1"/>
                <w:numId w:val="11"/>
              </w:numPr>
              <w:spacing w:line="276" w:lineRule="auto"/>
              <w:rPr>
                <w:b/>
                <w:bCs/>
                <w:lang w:val="en-GB"/>
              </w:rPr>
            </w:pPr>
            <w:r w:rsidRPr="0089164C">
              <w:rPr>
                <w:rFonts w:ascii="Times New Roman" w:hAnsi="Times New Roman" w:cs="Times New Roman"/>
                <w:sz w:val="18"/>
                <w:szCs w:val="18"/>
                <w:lang w:val="en-GB"/>
              </w:rPr>
              <w:t>Vyazovkin</w:t>
            </w:r>
          </w:p>
        </w:tc>
        <w:tc>
          <w:tcPr>
            <w:tcW w:w="1282" w:type="dxa"/>
          </w:tcPr>
          <w:p w14:paraId="726548E1" w14:textId="1FA56E76" w:rsidR="00C85DBE" w:rsidRDefault="00486789" w:rsidP="0089164C">
            <w:pPr>
              <w:spacing w:line="276" w:lineRule="auto"/>
              <w:rPr>
                <w:b/>
                <w:bCs/>
                <w:lang w:val="en-GB"/>
              </w:rPr>
            </w:pPr>
            <w:r>
              <w:rPr>
                <w:rFonts w:ascii="Times New Roman" w:hAnsi="Times New Roman" w:cs="Times New Roman"/>
                <w:sz w:val="18"/>
                <w:szCs w:val="18"/>
                <w:lang w:val="en-GB"/>
              </w:rPr>
              <w:fldChar w:fldCharType="begin" w:fldLock="1"/>
            </w:r>
            <w:r>
              <w:rPr>
                <w:rFonts w:ascii="Times New Roman" w:hAnsi="Times New Roman" w:cs="Times New Roman"/>
                <w:sz w:val="18"/>
                <w:szCs w:val="18"/>
                <w:lang w:val="en-GB"/>
              </w:rPr>
              <w:instrText>ADDIN CSL_CITATION {"citationItems":[{"id":"ITEM-1","itemData":{"ISSN":"02537141","abstract":"Olive mill wastes, such as olive mill solid waste (OMSW) and olive mill wastewater (OMWW) exacerbate environmental problems in Mediterranean countries. These wastes are highly phytotoxic and contain phenolic compounds, lipids and organic acids. Pyrolysis has been widely used for converting wastes, such as olive mill wastes into liquid and solid products. In this study, compositional analysis of the products obtained by thermal degradation of olive mill wastes at the various pyrolysis temperature (400, 450, 500, 550 and 600 °C) and heating rate (5, 10, 20 and 50 °C/min) was studied. Olive mill solid waste and concentrated olive mill wastewater were pyrolyzed in a stainless steel tubular reactor. The aim of this work was to experimentally investigate how the temperature and heating rate affects liquid and char product yields from different olive mill via pyrolysis and to determine optimal condition to have a better yield of these products. Liquid product (bio-oil) obtained under the most suitable conditions were characterized by elemental analysis, FT-IR and H-NMR. In addition, column chromatography was employed to determine the aliphatic fraction; gas chromatography was achieved on aliphatic fractions (hexane eluate fraction). For char product (bio-char), the elemental chemical composition and yield of the char were determined as functions of the carbonization temperature. Higher heating values (HHV) were calculated. The surface area of the solid product from pyrolysis of olive mill solid waste and concentrated olive mill wastewater is determined by the adsorption capacity towards iodine. The results of our work showed that the amount of liquid product (bio-oil) from pyrolysis of olive mill wastes decreases with increasing the heating rate and the highest yield are obtained from the samples between 450 °C and 500 °C. For olive mill solid waste the maximal average yield achieve almost 33.41 wt % at 500 °C and 5°C/min, whereas for concentrated olive mill wastewater it achieve 31.29 wt % at 450 °C with the same heating rate. The yield of char generally decreases with increasing the temperature, the char yield passes from 27.6 wt % to 17 wt % for olive mill solid waste and from 31.26 wt % to 25 wt % for concentrated olive mill wastewater at the same heating rate 5°C/min and at the range of temperature 400-600 °C. The analysis of bio-oil showed the presence of an aliphatic character and that it is possible to obtain liquid products similar to petroleum from o…","author":[{"dropping-particle":"","family":"Guida","given":"M. Y.","non-dropping-particle":"","parse-names":false,"suffix":""}],"container-title":"Indian Journal of Environmental Protection","id":"ITEM-1","issue":"8","issued":{"date-parts":[["2017"]]},"page":"632-646","title":"Bio-oil and bio-char feedstocks from pyrolysis of olive mill wastes, such as olive mill solid waste and Olive mill wastewater","type":"article-journal","volume":"37"},"uris":["http://www.mendeley.com/documents/?uuid=b13d2b8f-e347-4ce4-b05b-9f98d1416e51"]}],"mendeley":{"formattedCitation":"(Guida 2017)","plainTextFormattedCitation":"(Guida 2017)","previouslyFormattedCitation":"(Guida 2017)"},"properties":{"noteIndex":0},"schema":"https://github.com/citation-style-language/schema/raw/master/csl-citation.json"}</w:instrText>
            </w:r>
            <w:r>
              <w:rPr>
                <w:rFonts w:ascii="Times New Roman" w:hAnsi="Times New Roman" w:cs="Times New Roman"/>
                <w:sz w:val="18"/>
                <w:szCs w:val="18"/>
                <w:lang w:val="en-GB"/>
              </w:rPr>
              <w:fldChar w:fldCharType="separate"/>
            </w:r>
            <w:r w:rsidRPr="00486789">
              <w:rPr>
                <w:rFonts w:ascii="Times New Roman" w:hAnsi="Times New Roman" w:cs="Times New Roman"/>
                <w:noProof/>
                <w:sz w:val="18"/>
                <w:szCs w:val="18"/>
                <w:lang w:val="en-GB"/>
              </w:rPr>
              <w:t>(Guida 2017)</w:t>
            </w:r>
            <w:r>
              <w:rPr>
                <w:rFonts w:ascii="Times New Roman" w:hAnsi="Times New Roman" w:cs="Times New Roman"/>
                <w:sz w:val="18"/>
                <w:szCs w:val="18"/>
                <w:lang w:val="en-GB"/>
              </w:rPr>
              <w:fldChar w:fldCharType="end"/>
            </w:r>
          </w:p>
        </w:tc>
      </w:tr>
      <w:tr w:rsidR="00486789" w:rsidRPr="00486789" w14:paraId="6100EFA0" w14:textId="77777777" w:rsidTr="0089164C">
        <w:trPr>
          <w:trHeight w:val="520"/>
        </w:trPr>
        <w:tc>
          <w:tcPr>
            <w:tcW w:w="1363" w:type="dxa"/>
          </w:tcPr>
          <w:p w14:paraId="78FD5980" w14:textId="0C7CC8AD" w:rsidR="00C85DBE" w:rsidRDefault="00C85DBE" w:rsidP="0089164C">
            <w:pPr>
              <w:spacing w:line="276" w:lineRule="auto"/>
              <w:rPr>
                <w:b/>
                <w:bCs/>
                <w:lang w:val="en-GB"/>
              </w:rPr>
            </w:pPr>
            <w:r w:rsidRPr="00CE439B">
              <w:rPr>
                <w:rFonts w:ascii="Times New Roman" w:hAnsi="Times New Roman" w:cs="Times New Roman"/>
                <w:sz w:val="18"/>
                <w:szCs w:val="18"/>
                <w:lang w:val="en-GB"/>
              </w:rPr>
              <w:lastRenderedPageBreak/>
              <w:t>Lignocellulosic biomasses: peach, plum and olive pits, marc, stalk and sawdust</w:t>
            </w:r>
          </w:p>
        </w:tc>
        <w:tc>
          <w:tcPr>
            <w:tcW w:w="2325" w:type="dxa"/>
          </w:tcPr>
          <w:p w14:paraId="2A2B4BEC" w14:textId="77777777" w:rsidR="00C85DBE" w:rsidRPr="00CE439B" w:rsidRDefault="00C85DBE" w:rsidP="0089164C">
            <w:pPr>
              <w:pStyle w:val="Paragraphedeliste"/>
              <w:numPr>
                <w:ilvl w:val="1"/>
                <w:numId w:val="4"/>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TGA -50 SHIMADZU</w:t>
            </w:r>
          </w:p>
          <w:p w14:paraId="5A0C639E" w14:textId="77777777" w:rsidR="00C85DBE" w:rsidRPr="00CE439B" w:rsidRDefault="00C85DBE" w:rsidP="0089164C">
            <w:pPr>
              <w:pStyle w:val="Paragraphedeliste"/>
              <w:numPr>
                <w:ilvl w:val="1"/>
                <w:numId w:val="4"/>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Heating rate 5,10 and 15K/min</w:t>
            </w:r>
          </w:p>
          <w:p w14:paraId="285677CC" w14:textId="77777777" w:rsidR="00C85DBE" w:rsidRPr="00CE439B" w:rsidRDefault="00C85DBE" w:rsidP="0089164C">
            <w:pPr>
              <w:pStyle w:val="Paragraphedeliste"/>
              <w:numPr>
                <w:ilvl w:val="1"/>
                <w:numId w:val="4"/>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Temperature between 302 and 1173K/min</w:t>
            </w:r>
          </w:p>
          <w:p w14:paraId="2A5F8DBF" w14:textId="183E86F5" w:rsidR="00C85DBE" w:rsidRPr="00847B7C" w:rsidRDefault="00C85DBE" w:rsidP="00847B7C">
            <w:pPr>
              <w:pStyle w:val="Paragraphedeliste"/>
              <w:numPr>
                <w:ilvl w:val="1"/>
                <w:numId w:val="4"/>
              </w:numPr>
              <w:spacing w:line="276" w:lineRule="auto"/>
              <w:rPr>
                <w:b/>
                <w:bCs/>
                <w:lang w:val="en-GB"/>
              </w:rPr>
            </w:pPr>
            <w:r w:rsidRPr="00847B7C">
              <w:rPr>
                <w:rFonts w:ascii="Times New Roman" w:hAnsi="Times New Roman" w:cs="Times New Roman"/>
                <w:sz w:val="18"/>
                <w:szCs w:val="18"/>
                <w:lang w:val="en-GB"/>
              </w:rPr>
              <w:t>Atmosphere was inert for pyrolysis and 79%N2 and 21% of O2 for the combustion</w:t>
            </w:r>
          </w:p>
        </w:tc>
        <w:tc>
          <w:tcPr>
            <w:tcW w:w="2828" w:type="dxa"/>
          </w:tcPr>
          <w:p w14:paraId="31CC212C" w14:textId="77777777" w:rsidR="00C85DBE" w:rsidRPr="0089164C" w:rsidRDefault="00C85DBE" w:rsidP="0089164C">
            <w:pPr>
              <w:spacing w:line="276" w:lineRule="auto"/>
              <w:ind w:left="360"/>
              <w:rPr>
                <w:rFonts w:ascii="Times New Roman" w:hAnsi="Times New Roman" w:cs="Times New Roman"/>
                <w:sz w:val="18"/>
                <w:szCs w:val="18"/>
                <w:lang w:val="en-GB"/>
              </w:rPr>
            </w:pPr>
            <w:r w:rsidRPr="0089164C">
              <w:rPr>
                <w:rFonts w:ascii="Times New Roman" w:hAnsi="Times New Roman" w:cs="Times New Roman"/>
                <w:sz w:val="18"/>
                <w:szCs w:val="18"/>
                <w:lang w:val="en-GB"/>
              </w:rPr>
              <w:t>he weight loss is not affected when the heating rate is varied</w:t>
            </w:r>
          </w:p>
          <w:p w14:paraId="7F21695A" w14:textId="77777777" w:rsidR="00C85DBE" w:rsidRPr="0089164C" w:rsidRDefault="00C85DBE" w:rsidP="0089164C">
            <w:pPr>
              <w:spacing w:line="276" w:lineRule="auto"/>
              <w:ind w:left="360"/>
              <w:rPr>
                <w:rFonts w:ascii="Times New Roman" w:hAnsi="Times New Roman" w:cs="Times New Roman"/>
                <w:sz w:val="18"/>
                <w:szCs w:val="18"/>
                <w:lang w:val="en-GB"/>
              </w:rPr>
            </w:pPr>
            <w:r w:rsidRPr="0089164C">
              <w:rPr>
                <w:rFonts w:ascii="Times New Roman" w:hAnsi="Times New Roman" w:cs="Times New Roman"/>
                <w:sz w:val="18"/>
                <w:szCs w:val="18"/>
                <w:lang w:val="en-GB"/>
              </w:rPr>
              <w:t>the activation energy was not linearly dependent on conversion for both studied thermal processes</w:t>
            </w:r>
          </w:p>
          <w:p w14:paraId="3FD38FC4" w14:textId="77777777" w:rsidR="00C85DBE" w:rsidRPr="0089164C" w:rsidRDefault="00C85DBE" w:rsidP="0089164C">
            <w:pPr>
              <w:spacing w:line="276" w:lineRule="auto"/>
              <w:ind w:left="360"/>
              <w:rPr>
                <w:rFonts w:ascii="Times New Roman" w:hAnsi="Times New Roman" w:cs="Times New Roman"/>
                <w:sz w:val="18"/>
                <w:szCs w:val="18"/>
                <w:lang w:val="en-GB"/>
              </w:rPr>
            </w:pPr>
            <w:r w:rsidRPr="0089164C">
              <w:rPr>
                <w:rFonts w:ascii="Times New Roman" w:hAnsi="Times New Roman" w:cs="Times New Roman"/>
                <w:sz w:val="18"/>
                <w:szCs w:val="18"/>
                <w:lang w:val="en-GB"/>
              </w:rPr>
              <w:t>The obtained results of both methods were similar</w:t>
            </w:r>
          </w:p>
          <w:p w14:paraId="2ECD90CF" w14:textId="323F2599" w:rsidR="00C85DBE" w:rsidRDefault="00C85DBE" w:rsidP="0089164C">
            <w:pPr>
              <w:spacing w:line="276" w:lineRule="auto"/>
              <w:rPr>
                <w:b/>
                <w:bCs/>
                <w:lang w:val="en-GB"/>
              </w:rPr>
            </w:pPr>
            <w:r w:rsidRPr="00CE439B">
              <w:rPr>
                <w:rFonts w:ascii="Times New Roman" w:hAnsi="Times New Roman" w:cs="Times New Roman"/>
                <w:sz w:val="18"/>
                <w:szCs w:val="18"/>
                <w:lang w:val="en-GB"/>
              </w:rPr>
              <w:t>results are reliable and predict</w:t>
            </w:r>
          </w:p>
        </w:tc>
        <w:tc>
          <w:tcPr>
            <w:tcW w:w="2182" w:type="dxa"/>
          </w:tcPr>
          <w:p w14:paraId="3B923ECA" w14:textId="77777777" w:rsidR="00C85DBE" w:rsidRPr="00CE439B" w:rsidRDefault="00C85DBE" w:rsidP="0089164C">
            <w:pPr>
              <w:pStyle w:val="Paragraphedeliste"/>
              <w:numPr>
                <w:ilvl w:val="1"/>
                <w:numId w:val="11"/>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Flynn-Wall-Ozawa (FWO)</w:t>
            </w:r>
          </w:p>
          <w:p w14:paraId="1F39266C" w14:textId="747FADE9" w:rsidR="00C85DBE" w:rsidRPr="0089164C" w:rsidRDefault="00C85DBE" w:rsidP="0089164C">
            <w:pPr>
              <w:pStyle w:val="Paragraphedeliste"/>
              <w:numPr>
                <w:ilvl w:val="1"/>
                <w:numId w:val="11"/>
              </w:numPr>
              <w:spacing w:line="276" w:lineRule="auto"/>
              <w:rPr>
                <w:b/>
                <w:bCs/>
                <w:lang w:val="en-GB"/>
              </w:rPr>
            </w:pPr>
            <w:r w:rsidRPr="0089164C">
              <w:rPr>
                <w:rFonts w:ascii="Times New Roman" w:hAnsi="Times New Roman" w:cs="Times New Roman"/>
                <w:sz w:val="18"/>
                <w:szCs w:val="18"/>
                <w:lang w:val="en-GB"/>
              </w:rPr>
              <w:t>DAEM</w:t>
            </w:r>
          </w:p>
        </w:tc>
        <w:tc>
          <w:tcPr>
            <w:tcW w:w="1282" w:type="dxa"/>
          </w:tcPr>
          <w:p w14:paraId="6E83D32D" w14:textId="6BA6836A" w:rsidR="00C85DBE" w:rsidRDefault="00486789" w:rsidP="0089164C">
            <w:pPr>
              <w:spacing w:line="276" w:lineRule="auto"/>
              <w:rPr>
                <w:b/>
                <w:bCs/>
                <w:lang w:val="en-GB"/>
              </w:rPr>
            </w:pPr>
            <w:r>
              <w:rPr>
                <w:rFonts w:ascii="Times New Roman" w:hAnsi="Times New Roman" w:cs="Times New Roman"/>
                <w:sz w:val="18"/>
                <w:szCs w:val="18"/>
                <w:lang w:val="en-GB"/>
              </w:rPr>
              <w:fldChar w:fldCharType="begin" w:fldLock="1"/>
            </w:r>
            <w:r>
              <w:rPr>
                <w:rFonts w:ascii="Times New Roman" w:hAnsi="Times New Roman" w:cs="Times New Roman"/>
                <w:sz w:val="18"/>
                <w:szCs w:val="18"/>
                <w:lang w:val="en-GB"/>
              </w:rPr>
              <w:instrText>ADDIN CSL_CITATION {"citationItems":[{"id":"ITEM-1","itemData":{"DOI":"10.1080/00102202.2017.1377701","ISSN":"1563521X","abstract":"The thermal decomposition of six regional agro-industrial wastes under inert and oxidative atmosphere at different heating rates was studied using thermogravimetric analysis. The kinetic parameters were calculated using the DAEM (distributed activation energy model) and FWO (Flynn–Wall–Ozawa) methods. The obtained thermogravimetric and differential thermogravimetric curves show similar shapes, considering the pyrolysis and combustion phenomena. Nevertheless, the biomass weight loss is slower and smaller under inert than oxidative atmosphere. The activation energy average values (E) in inert atmosphere for the active pyrolysis stage is about 133.90–275.57 kJ/mol and 136.51–261.10 kJ/mol for DAEM and FWO, respectively. The E average values for the devolatilization stage under oxidative atmosphere are about 104.11–125.73 kJ/mol and 108.40–128.81 kJ/mol using DAEM and FWO methods, respectively. The results calculated by FWO and DAEM methods show differences between activation energies for the same waste below 8%; thus, they were reliable and predictive in this study. The variation of E values with progressing conversion for two studied processes indicated the existence of a complex multi-step mechanism that occurs during the degradation process. Moreover, during the devolatilization stage of combustion, the lower value of E indicates that the combustion is produced in parallel to pyrolysis; the oxygen reacts with the remaining solid.","author":[{"dropping-particle":"","family":"Fernandez","given":"Anabel","non-dropping-particle":"","parse-names":false,"suffix":""},{"dropping-particle":"","family":"Palacios","given":"Carlos","non-dropping-particle":"","parse-names":false,"suffix":""},{"dropping-particle":"","family":"Echegaray","given":"Marcelo","non-dropping-particle":"","parse-names":false,"suffix":""},{"dropping-particle":"","family":"Mazza","given":"German","non-dropping-particle":"","parse-names":false,"suffix":""},{"dropping-particle":"","family":"Rodriguez","given":"Rosa","non-dropping-particle":"","parse-names":false,"suffix":""}],"container-title":"Combustion Science and Technology","id":"ITEM-1","issue":"1","issued":{"date-parts":[["2018"]]},"page":"114-135","title":"Pyrolysis and Combustion of Regional Agro-Industrial Wastes: Thermal Behavior and Kinetic Parameters Comparison","type":"article-journal","volume":"190"},"uris":["http://www.mendeley.com/documents/?uuid=1422921c-d109-480f-b4f1-49cf69b4dca2"]}],"mendeley":{"formattedCitation":"(Fernandez et al. 2018)","plainTextFormattedCitation":"(Fernandez et al. 2018)","previouslyFormattedCitation":"(Fernandez et al. 2018)"},"properties":{"noteIndex":0},"schema":"https://github.com/citation-style-language/schema/raw/master/csl-citation.json"}</w:instrText>
            </w:r>
            <w:r>
              <w:rPr>
                <w:rFonts w:ascii="Times New Roman" w:hAnsi="Times New Roman" w:cs="Times New Roman"/>
                <w:sz w:val="18"/>
                <w:szCs w:val="18"/>
                <w:lang w:val="en-GB"/>
              </w:rPr>
              <w:fldChar w:fldCharType="separate"/>
            </w:r>
            <w:r w:rsidRPr="00486789">
              <w:rPr>
                <w:rFonts w:ascii="Times New Roman" w:hAnsi="Times New Roman" w:cs="Times New Roman"/>
                <w:noProof/>
                <w:sz w:val="18"/>
                <w:szCs w:val="18"/>
                <w:lang w:val="en-GB"/>
              </w:rPr>
              <w:t>(Fernandez et al. 2018)</w:t>
            </w:r>
            <w:r>
              <w:rPr>
                <w:rFonts w:ascii="Times New Roman" w:hAnsi="Times New Roman" w:cs="Times New Roman"/>
                <w:sz w:val="18"/>
                <w:szCs w:val="18"/>
                <w:lang w:val="en-GB"/>
              </w:rPr>
              <w:fldChar w:fldCharType="end"/>
            </w:r>
          </w:p>
        </w:tc>
      </w:tr>
      <w:tr w:rsidR="00486789" w:rsidRPr="00486789" w14:paraId="32CB0FFE" w14:textId="77777777" w:rsidTr="0089164C">
        <w:trPr>
          <w:trHeight w:val="520"/>
        </w:trPr>
        <w:tc>
          <w:tcPr>
            <w:tcW w:w="1363" w:type="dxa"/>
          </w:tcPr>
          <w:p w14:paraId="6CF1F0CB" w14:textId="65775718" w:rsidR="00C85DBE" w:rsidRDefault="00C85DBE" w:rsidP="0089164C">
            <w:pPr>
              <w:spacing w:line="276" w:lineRule="auto"/>
              <w:rPr>
                <w:b/>
                <w:bCs/>
                <w:lang w:val="en-GB"/>
              </w:rPr>
            </w:pPr>
            <w:r w:rsidRPr="00CE439B">
              <w:rPr>
                <w:rFonts w:ascii="Times New Roman" w:hAnsi="Times New Roman" w:cs="Times New Roman"/>
                <w:sz w:val="18"/>
                <w:szCs w:val="18"/>
                <w:lang w:val="en-GB"/>
              </w:rPr>
              <w:t>Olive pomace</w:t>
            </w:r>
          </w:p>
        </w:tc>
        <w:tc>
          <w:tcPr>
            <w:tcW w:w="2325" w:type="dxa"/>
          </w:tcPr>
          <w:p w14:paraId="2E5514FA" w14:textId="77777777" w:rsidR="00C85DBE" w:rsidRPr="00CE439B" w:rsidRDefault="00C85DBE" w:rsidP="0089164C">
            <w:pPr>
              <w:pStyle w:val="Paragraphedeliste"/>
              <w:numPr>
                <w:ilvl w:val="1"/>
                <w:numId w:val="4"/>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Thermogravimetric analysis at several heating rate (5, 15, 20, 25 and 30°C/min), 600°C and 2h hold time</w:t>
            </w:r>
          </w:p>
          <w:p w14:paraId="18AF9851" w14:textId="77777777" w:rsidR="00C85DBE" w:rsidRDefault="00C85DBE" w:rsidP="0089164C">
            <w:pPr>
              <w:spacing w:line="276" w:lineRule="auto"/>
              <w:rPr>
                <w:b/>
                <w:bCs/>
                <w:lang w:val="en-GB"/>
              </w:rPr>
            </w:pPr>
          </w:p>
        </w:tc>
        <w:tc>
          <w:tcPr>
            <w:tcW w:w="2828" w:type="dxa"/>
          </w:tcPr>
          <w:p w14:paraId="11128BD2" w14:textId="77777777" w:rsidR="00C85DBE" w:rsidRPr="0089164C" w:rsidRDefault="00C85DBE" w:rsidP="0089164C">
            <w:pPr>
              <w:spacing w:line="276" w:lineRule="auto"/>
              <w:ind w:left="360"/>
              <w:rPr>
                <w:rFonts w:ascii="Times New Roman" w:hAnsi="Times New Roman" w:cs="Times New Roman"/>
                <w:sz w:val="18"/>
                <w:szCs w:val="18"/>
                <w:lang w:val="en-GB"/>
              </w:rPr>
            </w:pPr>
            <w:r w:rsidRPr="0089164C">
              <w:rPr>
                <w:rFonts w:ascii="Times New Roman" w:hAnsi="Times New Roman" w:cs="Times New Roman"/>
                <w:sz w:val="18"/>
                <w:szCs w:val="18"/>
                <w:lang w:val="en-GB"/>
              </w:rPr>
              <w:t>Results showed that the activa- tion energy was not constant according to the conversion rates, due to the evolution of the biomass composition.</w:t>
            </w:r>
          </w:p>
          <w:p w14:paraId="0F8AB855" w14:textId="77777777" w:rsidR="00C85DBE" w:rsidRPr="0089164C" w:rsidRDefault="00C85DBE" w:rsidP="0089164C">
            <w:pPr>
              <w:spacing w:line="276" w:lineRule="auto"/>
              <w:ind w:left="360"/>
              <w:rPr>
                <w:rFonts w:ascii="Times New Roman" w:hAnsi="Times New Roman" w:cs="Times New Roman"/>
                <w:sz w:val="18"/>
                <w:szCs w:val="18"/>
                <w:lang w:val="en-GB"/>
              </w:rPr>
            </w:pPr>
            <w:r w:rsidRPr="0089164C">
              <w:rPr>
                <w:rFonts w:ascii="Times New Roman" w:hAnsi="Times New Roman" w:cs="Times New Roman"/>
                <w:sz w:val="18"/>
                <w:szCs w:val="18"/>
                <w:lang w:val="en-GB"/>
              </w:rPr>
              <w:t>Syngas analyses indicate that CO and CO</w:t>
            </w:r>
            <w:r w:rsidRPr="0089164C">
              <w:rPr>
                <w:rFonts w:ascii="Times New Roman" w:hAnsi="Times New Roman" w:cs="Times New Roman"/>
                <w:sz w:val="18"/>
                <w:szCs w:val="18"/>
                <w:vertAlign w:val="subscript"/>
                <w:lang w:val="en-GB"/>
              </w:rPr>
              <w:t>2</w:t>
            </w:r>
            <w:r w:rsidRPr="0089164C">
              <w:rPr>
                <w:rFonts w:ascii="Times New Roman" w:hAnsi="Times New Roman" w:cs="Times New Roman"/>
                <w:sz w:val="18"/>
                <w:szCs w:val="18"/>
                <w:lang w:val="en-GB"/>
              </w:rPr>
              <w:t xml:space="preserve"> were emitted throughout the whole pyrolysis reaction whereas C</w:t>
            </w:r>
            <w:r w:rsidRPr="0089164C">
              <w:rPr>
                <w:rFonts w:ascii="Times New Roman" w:hAnsi="Times New Roman" w:cs="Times New Roman"/>
                <w:sz w:val="18"/>
                <w:szCs w:val="18"/>
                <w:vertAlign w:val="subscript"/>
                <w:lang w:val="en-GB"/>
              </w:rPr>
              <w:t>n</w:t>
            </w:r>
            <w:r w:rsidRPr="0089164C">
              <w:rPr>
                <w:rFonts w:ascii="Times New Roman" w:hAnsi="Times New Roman" w:cs="Times New Roman"/>
                <w:sz w:val="18"/>
                <w:szCs w:val="18"/>
                <w:lang w:val="en-GB"/>
              </w:rPr>
              <w:t>H</w:t>
            </w:r>
            <w:r w:rsidRPr="0089164C">
              <w:rPr>
                <w:rFonts w:ascii="Times New Roman" w:hAnsi="Times New Roman" w:cs="Times New Roman"/>
                <w:sz w:val="18"/>
                <w:szCs w:val="18"/>
                <w:vertAlign w:val="subscript"/>
                <w:lang w:val="en-GB"/>
              </w:rPr>
              <w:t>m</w:t>
            </w:r>
            <w:r w:rsidRPr="0089164C">
              <w:rPr>
                <w:rFonts w:ascii="Times New Roman" w:hAnsi="Times New Roman" w:cs="Times New Roman"/>
                <w:sz w:val="18"/>
                <w:szCs w:val="18"/>
                <w:lang w:val="en-GB"/>
              </w:rPr>
              <w:t xml:space="preserve"> low hydrocarbons were emitted at higher temperatures </w:t>
            </w:r>
          </w:p>
          <w:p w14:paraId="23732156" w14:textId="57CE3B77" w:rsidR="00C85DBE" w:rsidRDefault="00C85DBE" w:rsidP="0089164C">
            <w:pPr>
              <w:spacing w:line="276" w:lineRule="auto"/>
              <w:rPr>
                <w:b/>
                <w:bCs/>
                <w:lang w:val="en-GB"/>
              </w:rPr>
            </w:pPr>
            <w:r w:rsidRPr="00CE439B">
              <w:rPr>
                <w:rFonts w:ascii="Times New Roman" w:hAnsi="Times New Roman" w:cs="Times New Roman"/>
                <w:sz w:val="18"/>
                <w:szCs w:val="18"/>
                <w:lang w:val="en-GB"/>
              </w:rPr>
              <w:t xml:space="preserve"> Good properties of the biochar revealing its potential as amendment</w:t>
            </w:r>
          </w:p>
        </w:tc>
        <w:tc>
          <w:tcPr>
            <w:tcW w:w="2182" w:type="dxa"/>
          </w:tcPr>
          <w:p w14:paraId="12D2A5C7" w14:textId="3A9DBBF7" w:rsidR="00C85DBE" w:rsidRPr="0089164C" w:rsidRDefault="0089164C" w:rsidP="0089164C">
            <w:pPr>
              <w:pStyle w:val="Paragraphedeliste"/>
              <w:numPr>
                <w:ilvl w:val="1"/>
                <w:numId w:val="11"/>
              </w:numPr>
              <w:spacing w:line="276" w:lineRule="auto"/>
              <w:rPr>
                <w:b/>
                <w:bCs/>
                <w:lang w:val="en-GB"/>
              </w:rPr>
            </w:pPr>
            <w:r w:rsidRPr="0089164C">
              <w:rPr>
                <w:rFonts w:ascii="Times New Roman" w:hAnsi="Times New Roman" w:cs="Times New Roman"/>
                <w:sz w:val="18"/>
                <w:szCs w:val="18"/>
                <w:lang w:val="en-GB"/>
              </w:rPr>
              <w:t>Kissinger–Akahira–Sunose (KAS method)</w:t>
            </w:r>
          </w:p>
        </w:tc>
        <w:tc>
          <w:tcPr>
            <w:tcW w:w="1282" w:type="dxa"/>
          </w:tcPr>
          <w:p w14:paraId="362E8C59" w14:textId="7F4F39E3" w:rsidR="00C85DBE" w:rsidRDefault="00486789" w:rsidP="0089164C">
            <w:pPr>
              <w:spacing w:line="276" w:lineRule="auto"/>
              <w:rPr>
                <w:b/>
                <w:bCs/>
                <w:lang w:val="en-GB"/>
              </w:rPr>
            </w:pPr>
            <w:r>
              <w:rPr>
                <w:rFonts w:ascii="Times New Roman" w:hAnsi="Times New Roman" w:cs="Times New Roman"/>
                <w:sz w:val="18"/>
                <w:szCs w:val="18"/>
                <w:lang w:val="en-GB"/>
              </w:rPr>
              <w:fldChar w:fldCharType="begin" w:fldLock="1"/>
            </w:r>
            <w:r>
              <w:rPr>
                <w:rFonts w:ascii="Times New Roman" w:hAnsi="Times New Roman" w:cs="Times New Roman"/>
                <w:sz w:val="18"/>
                <w:szCs w:val="18"/>
                <w:lang w:val="en-GB"/>
              </w:rPr>
              <w:instrText>ADDIN CSL_CITATION {"citationItems":[{"id":"ITEM-1","itemData":{"DOI":"10.1007/s12649-017-9919-8","ISBN":"0123456789","ISSN":"1877265X","abstract":"The kinetics of olive pomace pyrolysis and the characterization of the obtained products were studied. The thermal degradation characteristics of olive pomace were investigated using thermogravimetric analysis under nitrogen atmosphere. Five heating rate profiles were applied (5, 15, 20, 25 and 30 °C.min −1), with a final temperature of 600 °C which was maintained for 2 h. Two main stages of degradation were identified, corresponding to the degradation of the main compounds (hemicellulose, cellulose and lignin).The kinetic parameters were evaluated by using Kissinger–Akahira–Sunose and parallel reaction methods. The energy of activation was evaluated according to the conversion rate of olive pomace. The analysis of the gaseous products showed that the main pyrolysis gas products of biomass are: CO2 (122.6 mg g−1), CO (45.3 mg g−1), C3H8 (1.7 mg g−1), C3H6 (6 mg g−1) and CH4 (20.4 mg g−1). The characterization of pyrolytic char was performed using thermogravimetric analysis, BET and X-ray fluorescence (XRF) analyses. The textural properties of the biochar were found to correspond to an ultra-microporous solid with a high porous surface. The BET surface area measured using CO2 adsorption was 296 m2g−1 and the micorpore volume was 0.16 cm3g−1. Furthermore, XRF analysis indicated that Ca and K are the major mineral species in the char with non-negligible presence of P and Mg contents. These different characteristics may encourage its recovery for soil amendment.","author":[{"dropping-particle":"","family":"Ghouma","given":"Imen","non-dropping-particle":"","parse-names":false,"suffix":""},{"dropping-particle":"","family":"Jeguirim","given":"Mejdi","non-dropping-particle":"","parse-names":false,"suffix":""},{"dropping-particle":"","family":"Guizani","given":"Chamseddine","non-dropping-particle":"","parse-names":false,"suffix":""},{"dropping-particle":"","family":"Ouederni","given":"Abdelmottaleb","non-dropping-particle":"","parse-names":false,"suffix":""},{"dropping-particle":"","family":"Limousy","given":"Lionel","non-dropping-particle":"","parse-names":false,"suffix":""}],"container-title":"Waste and Biomass Valorization","id":"ITEM-1","issue":"5","issued":{"date-parts":[["2017"]]},"page":"1689-1697","publisher":"Springer Netherlands","title":"Pyrolysis of Olive Pomace: Degradation Kinetics, Gaseous Analysis and Char Characterization","type":"article-journal","volume":"8"},"uris":["http://www.mendeley.com/documents/?uuid=3ca3a162-a993-4b67-8885-3d13b24b32b1"]}],"mendeley":{"formattedCitation":"(Ghouma et al. 2017)","plainTextFormattedCitation":"(Ghouma et al. 2017)","previouslyFormattedCitation":"(Ghouma et al. 2017)"},"properties":{"noteIndex":0},"schema":"https://github.com/citation-style-language/schema/raw/master/csl-citation.json"}</w:instrText>
            </w:r>
            <w:r>
              <w:rPr>
                <w:rFonts w:ascii="Times New Roman" w:hAnsi="Times New Roman" w:cs="Times New Roman"/>
                <w:sz w:val="18"/>
                <w:szCs w:val="18"/>
                <w:lang w:val="en-GB"/>
              </w:rPr>
              <w:fldChar w:fldCharType="separate"/>
            </w:r>
            <w:r w:rsidRPr="00486789">
              <w:rPr>
                <w:rFonts w:ascii="Times New Roman" w:hAnsi="Times New Roman" w:cs="Times New Roman"/>
                <w:noProof/>
                <w:sz w:val="18"/>
                <w:szCs w:val="18"/>
                <w:lang w:val="en-GB"/>
              </w:rPr>
              <w:t>(Ghouma et al. 2017)</w:t>
            </w:r>
            <w:r>
              <w:rPr>
                <w:rFonts w:ascii="Times New Roman" w:hAnsi="Times New Roman" w:cs="Times New Roman"/>
                <w:sz w:val="18"/>
                <w:szCs w:val="18"/>
                <w:lang w:val="en-GB"/>
              </w:rPr>
              <w:fldChar w:fldCharType="end"/>
            </w:r>
          </w:p>
        </w:tc>
      </w:tr>
      <w:tr w:rsidR="00486789" w:rsidRPr="00486789" w14:paraId="25E7DCBC" w14:textId="77777777" w:rsidTr="0089164C">
        <w:trPr>
          <w:trHeight w:val="520"/>
        </w:trPr>
        <w:tc>
          <w:tcPr>
            <w:tcW w:w="1363" w:type="dxa"/>
          </w:tcPr>
          <w:p w14:paraId="0BEB5CDA" w14:textId="0ED13DE7" w:rsidR="00C85DBE" w:rsidRDefault="00C85DBE" w:rsidP="0089164C">
            <w:pPr>
              <w:spacing w:line="276" w:lineRule="auto"/>
              <w:rPr>
                <w:b/>
                <w:bCs/>
                <w:lang w:val="en-GB"/>
              </w:rPr>
            </w:pPr>
            <w:r w:rsidRPr="00CE439B">
              <w:rPr>
                <w:rFonts w:ascii="Times New Roman" w:hAnsi="Times New Roman" w:cs="Times New Roman"/>
                <w:sz w:val="18"/>
                <w:szCs w:val="18"/>
                <w:lang w:val="en-GB"/>
              </w:rPr>
              <w:t>Olive tree prunning</w:t>
            </w:r>
          </w:p>
        </w:tc>
        <w:tc>
          <w:tcPr>
            <w:tcW w:w="2325" w:type="dxa"/>
          </w:tcPr>
          <w:p w14:paraId="0C4072D4" w14:textId="77777777" w:rsidR="00C85DBE" w:rsidRPr="00CE439B" w:rsidRDefault="00C85DBE" w:rsidP="0089164C">
            <w:pPr>
              <w:pStyle w:val="Paragraphedeliste"/>
              <w:numPr>
                <w:ilvl w:val="1"/>
                <w:numId w:val="4"/>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thermobalance Perkin Elmer, model STA 6000</w:t>
            </w:r>
          </w:p>
          <w:p w14:paraId="1F81F36D" w14:textId="77777777" w:rsidR="00C85DBE" w:rsidRPr="00CE439B" w:rsidRDefault="00C85DBE" w:rsidP="0089164C">
            <w:pPr>
              <w:pStyle w:val="Paragraphedeliste"/>
              <w:numPr>
                <w:ilvl w:val="1"/>
                <w:numId w:val="4"/>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 xml:space="preserve">under nitrogen atmosphere </w:t>
            </w:r>
          </w:p>
          <w:p w14:paraId="57647037" w14:textId="77777777" w:rsidR="00C85DBE" w:rsidRPr="00CE439B" w:rsidRDefault="00C85DBE" w:rsidP="0089164C">
            <w:pPr>
              <w:pStyle w:val="Paragraphedeliste"/>
              <w:numPr>
                <w:ilvl w:val="1"/>
                <w:numId w:val="4"/>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heating rates (5, 10, 15, 20 and 25 °C/min)</w:t>
            </w:r>
          </w:p>
          <w:p w14:paraId="5F55C486" w14:textId="4331E318" w:rsidR="00C85DBE" w:rsidRPr="00847B7C" w:rsidRDefault="00C85DBE" w:rsidP="00847B7C">
            <w:pPr>
              <w:pStyle w:val="Paragraphedeliste"/>
              <w:numPr>
                <w:ilvl w:val="1"/>
                <w:numId w:val="4"/>
              </w:numPr>
              <w:spacing w:line="276" w:lineRule="auto"/>
              <w:rPr>
                <w:b/>
                <w:bCs/>
                <w:lang w:val="en-GB"/>
              </w:rPr>
            </w:pPr>
            <w:r w:rsidRPr="00847B7C">
              <w:rPr>
                <w:rFonts w:ascii="Times New Roman" w:hAnsi="Times New Roman" w:cs="Times New Roman"/>
                <w:sz w:val="18"/>
                <w:szCs w:val="18"/>
                <w:lang w:val="en-GB"/>
              </w:rPr>
              <w:t>hold time: 60 min</w:t>
            </w:r>
          </w:p>
        </w:tc>
        <w:tc>
          <w:tcPr>
            <w:tcW w:w="2828" w:type="dxa"/>
          </w:tcPr>
          <w:p w14:paraId="6BE1E5E2" w14:textId="77777777" w:rsidR="00C85DBE" w:rsidRPr="0089164C" w:rsidRDefault="00C85DBE" w:rsidP="0089164C">
            <w:pPr>
              <w:spacing w:line="276" w:lineRule="auto"/>
              <w:ind w:left="360"/>
              <w:rPr>
                <w:rFonts w:ascii="Times New Roman" w:hAnsi="Times New Roman" w:cs="Times New Roman"/>
                <w:sz w:val="18"/>
                <w:szCs w:val="18"/>
                <w:lang w:val="en-GB"/>
              </w:rPr>
            </w:pPr>
            <w:r w:rsidRPr="0089164C">
              <w:rPr>
                <w:rFonts w:ascii="Times New Roman" w:hAnsi="Times New Roman" w:cs="Times New Roman"/>
                <w:sz w:val="18"/>
                <w:szCs w:val="18"/>
                <w:lang w:val="en-GB"/>
              </w:rPr>
              <w:t>Torrefaction of olive tree pruning could not be modeled by isoconversional kinetics for one-step global reaction</w:t>
            </w:r>
          </w:p>
          <w:p w14:paraId="786144C2" w14:textId="543D0AF5" w:rsidR="00C85DBE" w:rsidRDefault="00C85DBE" w:rsidP="0089164C">
            <w:pPr>
              <w:spacing w:line="276" w:lineRule="auto"/>
              <w:rPr>
                <w:b/>
                <w:bCs/>
                <w:lang w:val="en-GB"/>
              </w:rPr>
            </w:pPr>
            <w:r w:rsidRPr="00CE439B">
              <w:rPr>
                <w:rFonts w:ascii="Times New Roman" w:hAnsi="Times New Roman" w:cs="Times New Roman"/>
                <w:sz w:val="18"/>
                <w:szCs w:val="18"/>
                <w:lang w:val="en-GB"/>
              </w:rPr>
              <w:t>Pseudo-mechanistic model provided a good agreement with the experimental data; therefore, the kinetic parameters obtained could be used to predict olive tree pruning torrefaction.</w:t>
            </w:r>
          </w:p>
        </w:tc>
        <w:tc>
          <w:tcPr>
            <w:tcW w:w="2182" w:type="dxa"/>
          </w:tcPr>
          <w:p w14:paraId="44DA3C95" w14:textId="59AB7FCB" w:rsidR="00C85DBE" w:rsidRPr="00CE439B" w:rsidRDefault="00C85DBE" w:rsidP="0089164C">
            <w:pPr>
              <w:pStyle w:val="Paragraphedeliste"/>
              <w:numPr>
                <w:ilvl w:val="1"/>
                <w:numId w:val="11"/>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Flynn–Wall–Ozawa</w:t>
            </w:r>
            <w:r w:rsidR="0089164C">
              <w:rPr>
                <w:rFonts w:ascii="Times New Roman" w:hAnsi="Times New Roman" w:cs="Times New Roman"/>
                <w:sz w:val="18"/>
                <w:szCs w:val="18"/>
                <w:lang w:val="en-GB"/>
              </w:rPr>
              <w:t xml:space="preserve"> (FWO method)</w:t>
            </w:r>
          </w:p>
          <w:p w14:paraId="03530955" w14:textId="74E76F0C" w:rsidR="00C85DBE" w:rsidRPr="00CE439B" w:rsidRDefault="00C85DBE" w:rsidP="0089164C">
            <w:pPr>
              <w:pStyle w:val="Paragraphedeliste"/>
              <w:numPr>
                <w:ilvl w:val="1"/>
                <w:numId w:val="11"/>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 xml:space="preserve"> Kissinger–Akahira–Sunose</w:t>
            </w:r>
            <w:r w:rsidR="0089164C">
              <w:rPr>
                <w:rFonts w:ascii="Times New Roman" w:hAnsi="Times New Roman" w:cs="Times New Roman"/>
                <w:sz w:val="18"/>
                <w:szCs w:val="18"/>
                <w:lang w:val="en-GB"/>
              </w:rPr>
              <w:t xml:space="preserve"> (KAS method)</w:t>
            </w:r>
          </w:p>
          <w:p w14:paraId="2399B641" w14:textId="40F9C8BF" w:rsidR="00C85DBE" w:rsidRPr="00CE439B" w:rsidRDefault="00C85DBE" w:rsidP="0089164C">
            <w:pPr>
              <w:pStyle w:val="Paragraphedeliste"/>
              <w:numPr>
                <w:ilvl w:val="1"/>
                <w:numId w:val="11"/>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Friedman</w:t>
            </w:r>
            <w:r w:rsidR="0089164C">
              <w:rPr>
                <w:rFonts w:ascii="Times New Roman" w:hAnsi="Times New Roman" w:cs="Times New Roman"/>
                <w:sz w:val="18"/>
                <w:szCs w:val="18"/>
                <w:lang w:val="en-GB"/>
              </w:rPr>
              <w:t xml:space="preserve"> (FR method)</w:t>
            </w:r>
          </w:p>
          <w:p w14:paraId="4697BEE3" w14:textId="257047E2" w:rsidR="00C85DBE" w:rsidRDefault="00C85DBE" w:rsidP="0089164C">
            <w:pPr>
              <w:spacing w:line="276" w:lineRule="auto"/>
              <w:rPr>
                <w:b/>
                <w:bCs/>
                <w:lang w:val="en-GB"/>
              </w:rPr>
            </w:pPr>
          </w:p>
        </w:tc>
        <w:tc>
          <w:tcPr>
            <w:tcW w:w="1282" w:type="dxa"/>
          </w:tcPr>
          <w:p w14:paraId="4682E068" w14:textId="5BA01B93" w:rsidR="00C85DBE" w:rsidRDefault="00486789" w:rsidP="0089164C">
            <w:pPr>
              <w:spacing w:line="276" w:lineRule="auto"/>
              <w:rPr>
                <w:b/>
                <w:bCs/>
                <w:lang w:val="en-GB"/>
              </w:rPr>
            </w:pPr>
            <w:r>
              <w:rPr>
                <w:rFonts w:ascii="Times New Roman" w:hAnsi="Times New Roman" w:cs="Times New Roman"/>
                <w:sz w:val="18"/>
                <w:szCs w:val="18"/>
                <w:lang w:val="en-GB"/>
              </w:rPr>
              <w:fldChar w:fldCharType="begin" w:fldLock="1"/>
            </w:r>
            <w:r>
              <w:rPr>
                <w:rFonts w:ascii="Times New Roman" w:hAnsi="Times New Roman" w:cs="Times New Roman"/>
                <w:sz w:val="18"/>
                <w:szCs w:val="18"/>
                <w:lang w:val="en-GB"/>
              </w:rPr>
              <w:instrText>ADDIN CSL_CITATION {"citationItems":[{"id":"ITEM-1","itemData":{"DOI":"10.1016/j.applthermaleng.2016.11.147","ISSN":"13594311","abstract":"The objective of this study is the proposal of a pyrolysis kinetic model that describes the thermal decomposition of olive tree pruning in different torrefaction conditions via thermogravimetrical measurements in nitrogen atmosphere. First, the determination of activation energies was performed by isoconversional methods of Flynn–Wall–Ozawa, Kissinger–Akahira–Sunose and Friedman. Three stages were distinguished in which the activation energy keeps approximately constant and were related to the thermal degradation of the different constituents of the material (cellulose, hemicellulose and lignin). Then, Coast-Redfern method was applied to determine the kinetic function. The kinetic function that seems to determine the mechanism of thermal degradation of main components of olive tree pruning was nth order reaction. Finally, a detailed pseudo-mechanistic model (using least squares fitting in a parallel reaction scheme) was analyzed. This model was appropriate to predict the pyrolysis behavior of the olive tree pruning in all torrefaction conditions studied.","author":[{"dropping-particle":"","family":"Martín-Lara","given":"M. A.","non-dropping-particle":"","parse-names":false,"suffix":""},{"dropping-particle":"","family":"Blázquez","given":"G.","non-dropping-particle":"","parse-names":false,"suffix":""},{"dropping-particle":"","family":"Zamora","given":"M. C.","non-dropping-particle":"","parse-names":false,"suffix":""},{"dropping-particle":"","family":"Calero","given":"M.","non-dropping-particle":"","parse-names":false,"suffix":""}],"container-title":"Applied Thermal Engineering","id":"ITEM-1","issued":{"date-parts":[["2017"]]},"page":"1410-1418","title":"Kinetic modelling of torrefaction of olive tree pruning","type":"article-journal","volume":"113"},"uris":["http://www.mendeley.com/documents/?uuid=6a64c161-50f1-47f4-9d69-11492168cfbd"]}],"mendeley":{"formattedCitation":"(Martín-Lara et al. 2017)","plainTextFormattedCitation":"(Martín-Lara et al. 2017)","previouslyFormattedCitation":"(Martín-Lara et al. 2017)"},"properties":{"noteIndex":0},"schema":"https://github.com/citation-style-language/schema/raw/master/csl-citation.json"}</w:instrText>
            </w:r>
            <w:r>
              <w:rPr>
                <w:rFonts w:ascii="Times New Roman" w:hAnsi="Times New Roman" w:cs="Times New Roman"/>
                <w:sz w:val="18"/>
                <w:szCs w:val="18"/>
                <w:lang w:val="en-GB"/>
              </w:rPr>
              <w:fldChar w:fldCharType="separate"/>
            </w:r>
            <w:r w:rsidRPr="00486789">
              <w:rPr>
                <w:rFonts w:ascii="Times New Roman" w:hAnsi="Times New Roman" w:cs="Times New Roman"/>
                <w:noProof/>
                <w:sz w:val="18"/>
                <w:szCs w:val="18"/>
                <w:lang w:val="en-GB"/>
              </w:rPr>
              <w:t>(Martín-Lara et al. 2017)</w:t>
            </w:r>
            <w:r>
              <w:rPr>
                <w:rFonts w:ascii="Times New Roman" w:hAnsi="Times New Roman" w:cs="Times New Roman"/>
                <w:sz w:val="18"/>
                <w:szCs w:val="18"/>
                <w:lang w:val="en-GB"/>
              </w:rPr>
              <w:fldChar w:fldCharType="end"/>
            </w:r>
          </w:p>
        </w:tc>
      </w:tr>
      <w:tr w:rsidR="00486789" w14:paraId="1F051BA8" w14:textId="77777777" w:rsidTr="0089164C">
        <w:trPr>
          <w:trHeight w:val="520"/>
        </w:trPr>
        <w:tc>
          <w:tcPr>
            <w:tcW w:w="1363" w:type="dxa"/>
          </w:tcPr>
          <w:p w14:paraId="3DC7895B" w14:textId="06E4191D" w:rsidR="00C85DBE" w:rsidRDefault="00C85DBE" w:rsidP="0089164C">
            <w:pPr>
              <w:spacing w:line="276" w:lineRule="auto"/>
              <w:rPr>
                <w:b/>
                <w:bCs/>
                <w:lang w:val="en-GB"/>
              </w:rPr>
            </w:pPr>
            <w:r w:rsidRPr="00CE439B">
              <w:rPr>
                <w:rFonts w:ascii="Times New Roman" w:hAnsi="Times New Roman" w:cs="Times New Roman"/>
                <w:sz w:val="18"/>
                <w:szCs w:val="18"/>
                <w:lang w:val="en-GB"/>
              </w:rPr>
              <w:t>olive tree pruning (PR) two- (2PH) and three-phase (3PH) olive pomace and their blends</w:t>
            </w:r>
          </w:p>
        </w:tc>
        <w:tc>
          <w:tcPr>
            <w:tcW w:w="2325" w:type="dxa"/>
          </w:tcPr>
          <w:p w14:paraId="77A40FD9" w14:textId="77777777" w:rsidR="00C85DBE" w:rsidRPr="00CE439B" w:rsidRDefault="00C85DBE" w:rsidP="0089164C">
            <w:pPr>
              <w:pStyle w:val="Paragraphedeliste"/>
              <w:numPr>
                <w:ilvl w:val="1"/>
                <w:numId w:val="4"/>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Leco TGA 701 thermal analysis system</w:t>
            </w:r>
          </w:p>
          <w:p w14:paraId="2AED4126" w14:textId="6C00FF60" w:rsidR="00C85DBE" w:rsidRPr="00847B7C" w:rsidRDefault="00C85DBE" w:rsidP="00847B7C">
            <w:pPr>
              <w:pStyle w:val="Paragraphedeliste"/>
              <w:numPr>
                <w:ilvl w:val="1"/>
                <w:numId w:val="4"/>
              </w:numPr>
              <w:spacing w:line="276" w:lineRule="auto"/>
              <w:rPr>
                <w:b/>
                <w:bCs/>
                <w:lang w:val="en-GB"/>
              </w:rPr>
            </w:pPr>
            <w:r w:rsidRPr="00847B7C">
              <w:rPr>
                <w:rFonts w:ascii="Times New Roman" w:hAnsi="Times New Roman" w:cs="Times New Roman"/>
                <w:sz w:val="18"/>
                <w:szCs w:val="18"/>
                <w:lang w:val="en-GB"/>
              </w:rPr>
              <w:t>Heating rates (10, 15, 20 and 25 °C/ min) in the temperature range from 30 °C to 1000 °C.</w:t>
            </w:r>
          </w:p>
        </w:tc>
        <w:tc>
          <w:tcPr>
            <w:tcW w:w="2828" w:type="dxa"/>
          </w:tcPr>
          <w:p w14:paraId="6AE92784" w14:textId="7D51F657" w:rsidR="00C85DBE" w:rsidRDefault="00C85DBE" w:rsidP="0089164C">
            <w:pPr>
              <w:spacing w:line="276" w:lineRule="auto"/>
              <w:rPr>
                <w:b/>
                <w:bCs/>
                <w:lang w:val="en-GB"/>
              </w:rPr>
            </w:pPr>
            <w:r w:rsidRPr="00CE439B">
              <w:rPr>
                <w:rFonts w:ascii="Times New Roman" w:hAnsi="Times New Roman" w:cs="Times New Roman"/>
                <w:sz w:val="18"/>
                <w:szCs w:val="18"/>
                <w:lang w:val="en-GB"/>
              </w:rPr>
              <w:t>With the increase of PR content in the blends, reactivity is improved, revealing non-additivity behaviour, especially for PR-2PH blends. The minimum apparent activation energy was obtained for 25PR752PH mixture, which was 77.8 kJ/mol by OFW and 82.2 kJ/mol by Vyazovkin</w:t>
            </w:r>
          </w:p>
        </w:tc>
        <w:tc>
          <w:tcPr>
            <w:tcW w:w="2182" w:type="dxa"/>
          </w:tcPr>
          <w:p w14:paraId="4C645A2C" w14:textId="77777777" w:rsidR="00C85DBE" w:rsidRPr="00CE439B" w:rsidRDefault="00C85DBE" w:rsidP="0089164C">
            <w:pPr>
              <w:pStyle w:val="Paragraphedeliste"/>
              <w:numPr>
                <w:ilvl w:val="1"/>
                <w:numId w:val="11"/>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 xml:space="preserve">Ozawa–Flynn–Wall (OFW) </w:t>
            </w:r>
          </w:p>
          <w:p w14:paraId="0D9DF58E" w14:textId="0A7A1898" w:rsidR="00C85DBE" w:rsidRPr="0089164C" w:rsidRDefault="00C85DBE" w:rsidP="0089164C">
            <w:pPr>
              <w:pStyle w:val="Paragraphedeliste"/>
              <w:numPr>
                <w:ilvl w:val="1"/>
                <w:numId w:val="11"/>
              </w:numPr>
              <w:spacing w:line="276" w:lineRule="auto"/>
              <w:rPr>
                <w:b/>
                <w:bCs/>
                <w:lang w:val="en-GB"/>
              </w:rPr>
            </w:pPr>
            <w:r w:rsidRPr="0089164C">
              <w:rPr>
                <w:rFonts w:ascii="Times New Roman" w:hAnsi="Times New Roman" w:cs="Times New Roman"/>
                <w:sz w:val="18"/>
                <w:szCs w:val="18"/>
                <w:lang w:val="en-GB"/>
              </w:rPr>
              <w:t>Vyazovkin</w:t>
            </w:r>
            <w:r w:rsidRPr="0089164C">
              <w:rPr>
                <w:rFonts w:ascii="Times New Roman" w:hAnsi="Times New Roman" w:cs="Times New Roman"/>
                <w:sz w:val="18"/>
                <w:szCs w:val="18"/>
                <w:highlight w:val="yellow"/>
                <w:lang w:val="en-GB"/>
              </w:rPr>
              <w:t xml:space="preserve"> </w:t>
            </w:r>
          </w:p>
        </w:tc>
        <w:tc>
          <w:tcPr>
            <w:tcW w:w="1282" w:type="dxa"/>
          </w:tcPr>
          <w:p w14:paraId="7FE21323" w14:textId="7C3F0F1D" w:rsidR="00C85DBE" w:rsidRDefault="00486789" w:rsidP="0089164C">
            <w:pPr>
              <w:spacing w:line="276" w:lineRule="auto"/>
              <w:rPr>
                <w:b/>
                <w:bCs/>
                <w:lang w:val="en-GB"/>
              </w:rPr>
            </w:pPr>
            <w:r>
              <w:rPr>
                <w:rFonts w:ascii="Times New Roman" w:hAnsi="Times New Roman" w:cs="Times New Roman"/>
                <w:sz w:val="18"/>
                <w:szCs w:val="18"/>
                <w:lang w:val="en-GB"/>
              </w:rPr>
              <w:fldChar w:fldCharType="begin" w:fldLock="1"/>
            </w:r>
            <w:r>
              <w:rPr>
                <w:rFonts w:ascii="Times New Roman" w:hAnsi="Times New Roman" w:cs="Times New Roman"/>
                <w:sz w:val="18"/>
                <w:szCs w:val="18"/>
                <w:lang w:val="en-GB"/>
              </w:rPr>
              <w:instrText>ADDIN CSL_CITATION {"citationItems":[{"id":"ITEM-1","itemData":{"DOI":"10.1016/j.biortech.2016.04.097","ISSN":"18732976","PMID":"27136614","abstract":"The kinetic behaviour of olive tree pruning (PR), two- (2PH) and three-phase (3PH) olive pomace and their blends was investigated under combustion condition using thermogravimetric analysis. PR was blended with 2PH and 3PH at different ratios (25:75, 50:50 and 75:25) and tested in the temperature range from ambient to 1000 °C in order to evaluate the co-combustion behaviour. Results showed that the thermal degradation of all samples can be divided into three regions (drying, devolatilisation, char oxidation) with different combustion properties, depending on the percentage of PR. Significant interaction was detected between the fuels, and reactivity of 2PH and 3PH was improved upon blending with PR. The iso-conversional methods, Ozawa-Flynn-Wall and Vyazovkin, were employed for the kinetic analysis of the oxidation process. The results revealed that the activation energy of PR was higher than the one of 2PH and 3PH, and the minimum value was obtained for 25PR752PH sample.","author":[{"dropping-particle":"","family":"Buratti","given":"C.","non-dropping-particle":"","parse-names":false,"suffix":""},{"dropping-particle":"","family":"Mousavi","given":"S.","non-dropping-particle":"","parse-names":false,"suffix":""},{"dropping-particle":"","family":"Barbanera","given":"M.","non-dropping-particle":"","parse-names":false,"suffix":""},{"dropping-particle":"","family":"Lascaro","given":"E.","non-dropping-particle":"","parse-names":false,"suffix":""},{"dropping-particle":"","family":"Cotana","given":"F.","non-dropping-particle":"","parse-names":false,"suffix":""},{"dropping-particle":"","family":"Bufacchi","given":"M.","non-dropping-particle":"","parse-names":false,"suffix":""}],"container-title":"Bioresource Technology","id":"ITEM-1","issued":{"date-parts":[["2016"]]},"page":"266-275","publisher":"Elsevier Ltd","title":"Thermal behaviour and kinetic study of the olive oil production chain residues and their mixtures during co-combustion","type":"article-journal","volume":"214"},"uris":["http://www.mendeley.com/documents/?uuid=ac7c6309-fc27-4357-b6e5-806b3abb59ef"]}],"mendeley":{"formattedCitation":"(Buratti et al. 2016)","plainTextFormattedCitation":"(Buratti et al. 2016)","previouslyFormattedCitation":"(Buratti et al. 2016)"},"properties":{"noteIndex":0},"schema":"https://github.com/citation-style-language/schema/raw/master/csl-citation.json"}</w:instrText>
            </w:r>
            <w:r>
              <w:rPr>
                <w:rFonts w:ascii="Times New Roman" w:hAnsi="Times New Roman" w:cs="Times New Roman"/>
                <w:sz w:val="18"/>
                <w:szCs w:val="18"/>
                <w:lang w:val="en-GB"/>
              </w:rPr>
              <w:fldChar w:fldCharType="separate"/>
            </w:r>
            <w:r w:rsidRPr="00486789">
              <w:rPr>
                <w:rFonts w:ascii="Times New Roman" w:hAnsi="Times New Roman" w:cs="Times New Roman"/>
                <w:noProof/>
                <w:sz w:val="18"/>
                <w:szCs w:val="18"/>
                <w:lang w:val="en-GB"/>
              </w:rPr>
              <w:t>(Buratti et al. 2016)</w:t>
            </w:r>
            <w:r>
              <w:rPr>
                <w:rFonts w:ascii="Times New Roman" w:hAnsi="Times New Roman" w:cs="Times New Roman"/>
                <w:sz w:val="18"/>
                <w:szCs w:val="18"/>
                <w:lang w:val="en-GB"/>
              </w:rPr>
              <w:fldChar w:fldCharType="end"/>
            </w:r>
          </w:p>
        </w:tc>
      </w:tr>
      <w:tr w:rsidR="00486789" w:rsidRPr="00917AA9" w14:paraId="05579B69" w14:textId="77777777" w:rsidTr="0089164C">
        <w:trPr>
          <w:trHeight w:val="520"/>
        </w:trPr>
        <w:tc>
          <w:tcPr>
            <w:tcW w:w="1363" w:type="dxa"/>
          </w:tcPr>
          <w:p w14:paraId="20F21899" w14:textId="0F5164DC" w:rsidR="00C85DBE" w:rsidRDefault="00C85DBE" w:rsidP="0089164C">
            <w:pPr>
              <w:spacing w:line="276" w:lineRule="auto"/>
              <w:rPr>
                <w:b/>
                <w:bCs/>
                <w:lang w:val="en-GB"/>
              </w:rPr>
            </w:pPr>
            <w:r w:rsidRPr="00CE439B">
              <w:rPr>
                <w:rFonts w:ascii="Times New Roman" w:hAnsi="Times New Roman" w:cs="Times New Roman"/>
                <w:sz w:val="18"/>
                <w:szCs w:val="18"/>
                <w:lang w:val="en-GB"/>
              </w:rPr>
              <w:t>Olive Pomace and Refuse derived fuel</w:t>
            </w:r>
          </w:p>
        </w:tc>
        <w:tc>
          <w:tcPr>
            <w:tcW w:w="2325" w:type="dxa"/>
          </w:tcPr>
          <w:p w14:paraId="40970D42" w14:textId="77777777" w:rsidR="00C85DBE" w:rsidRPr="00CE439B" w:rsidRDefault="00C85DBE" w:rsidP="0089164C">
            <w:pPr>
              <w:pStyle w:val="Paragraphedeliste"/>
              <w:numPr>
                <w:ilvl w:val="1"/>
                <w:numId w:val="4"/>
              </w:numPr>
              <w:spacing w:line="276" w:lineRule="auto"/>
              <w:rPr>
                <w:rFonts w:ascii="Times New Roman" w:hAnsi="Times New Roman" w:cs="Times New Roman"/>
                <w:sz w:val="18"/>
                <w:szCs w:val="18"/>
                <w:lang w:val="en-GB"/>
              </w:rPr>
            </w:pPr>
            <w:r w:rsidRPr="00CE439B">
              <w:rPr>
                <w:rFonts w:ascii="Times New Roman" w:hAnsi="Times New Roman" w:cs="Times New Roman"/>
                <w:sz w:val="18"/>
                <w:szCs w:val="18"/>
                <w:lang w:val="en-GB"/>
              </w:rPr>
              <w:t>Thermogravimetric analysis at several heating rate (10, 20, and 30°C/min), 20-800°C and 2h hold time</w:t>
            </w:r>
          </w:p>
          <w:p w14:paraId="02A67C6E" w14:textId="77777777" w:rsidR="00C85DBE" w:rsidRDefault="00C85DBE" w:rsidP="0089164C">
            <w:pPr>
              <w:spacing w:line="276" w:lineRule="auto"/>
              <w:rPr>
                <w:b/>
                <w:bCs/>
                <w:lang w:val="en-GB"/>
              </w:rPr>
            </w:pPr>
          </w:p>
        </w:tc>
        <w:tc>
          <w:tcPr>
            <w:tcW w:w="2828" w:type="dxa"/>
          </w:tcPr>
          <w:p w14:paraId="48002914" w14:textId="7DE485CC" w:rsidR="00C85DBE" w:rsidRDefault="00C85DBE" w:rsidP="0089164C">
            <w:pPr>
              <w:spacing w:line="276" w:lineRule="auto"/>
              <w:rPr>
                <w:b/>
                <w:bCs/>
                <w:lang w:val="en-GB"/>
              </w:rPr>
            </w:pPr>
            <w:r w:rsidRPr="00CE439B">
              <w:rPr>
                <w:rFonts w:ascii="Times New Roman" w:hAnsi="Times New Roman" w:cs="Times New Roman"/>
                <w:sz w:val="18"/>
                <w:szCs w:val="18"/>
                <w:lang w:val="en-GB"/>
              </w:rPr>
              <w:t>The addition of RDF to olive pomace decreased the activation energy, decreased the peak temperatures, increased the number of pyrolysis stages (decomposition of plastics and inorganic carbonate based additives), and increased the time required for higher conversion rates.</w:t>
            </w:r>
          </w:p>
        </w:tc>
        <w:tc>
          <w:tcPr>
            <w:tcW w:w="2182" w:type="dxa"/>
          </w:tcPr>
          <w:p w14:paraId="4934C90C" w14:textId="42EDE7BC" w:rsidR="00C85DBE" w:rsidRPr="0089164C" w:rsidRDefault="00C85DBE" w:rsidP="0089164C">
            <w:pPr>
              <w:pStyle w:val="Paragraphedeliste"/>
              <w:numPr>
                <w:ilvl w:val="1"/>
                <w:numId w:val="11"/>
              </w:numPr>
              <w:spacing w:line="276" w:lineRule="auto"/>
              <w:rPr>
                <w:b/>
                <w:bCs/>
                <w:lang w:val="en-GB"/>
              </w:rPr>
            </w:pPr>
            <w:r w:rsidRPr="0089164C">
              <w:rPr>
                <w:rFonts w:ascii="Times New Roman" w:hAnsi="Times New Roman" w:cs="Times New Roman"/>
                <w:sz w:val="18"/>
                <w:szCs w:val="18"/>
                <w:lang w:val="en-GB"/>
              </w:rPr>
              <w:t>Coats and Redfern method</w:t>
            </w:r>
          </w:p>
        </w:tc>
        <w:tc>
          <w:tcPr>
            <w:tcW w:w="1282" w:type="dxa"/>
          </w:tcPr>
          <w:p w14:paraId="0911A79B" w14:textId="59795A97" w:rsidR="00C85DBE" w:rsidRDefault="00486789" w:rsidP="0089164C">
            <w:pPr>
              <w:spacing w:line="276" w:lineRule="auto"/>
              <w:rPr>
                <w:b/>
                <w:bCs/>
                <w:lang w:val="en-GB"/>
              </w:rPr>
            </w:pPr>
            <w:r>
              <w:rPr>
                <w:rFonts w:ascii="Times New Roman" w:hAnsi="Times New Roman" w:cs="Times New Roman"/>
                <w:sz w:val="18"/>
                <w:szCs w:val="18"/>
                <w:lang w:val="en-GB"/>
              </w:rPr>
              <w:fldChar w:fldCharType="begin" w:fldLock="1"/>
            </w:r>
            <w:r>
              <w:rPr>
                <w:rFonts w:ascii="Times New Roman" w:hAnsi="Times New Roman" w:cs="Times New Roman"/>
                <w:sz w:val="18"/>
                <w:szCs w:val="18"/>
                <w:lang w:val="en-GB"/>
              </w:rPr>
              <w:instrText>ADDIN CSL_CITATION {"citationItems":[{"id":"ITEM-1","itemData":{"DOI":"10.1002/ep","ISBN":"0013-936X","ISSN":"19447450","PMID":"12680655","abstract":"Although various single-concentration measurements of pharmaceuticals are available in the literature, detailed information on the variation over time of the concentration and the load in wastewater effluents and rivers and on the fate of these compounds in the aquatic environment are lacking. We measured the concentrations of six pharma- ceuticals, carbamazepine, clofibric acid, diclofenac, ibuprofen, ketoprofen, and naproxen, in the effluents of three wastewater treatment plants (WWTPs), in two rivers and in the water column of Lake Greifensee (Switzerland) over a time period of three months. In WWTP effluents, the concentrations reached 0.95 µg/L for carbamazepine, 0.06 µg/L for clofibric acid, 0.99 µg/L for diclofenac, 1.3 µg/L for ibuprofen, 0.18 µg/L for ketoprofen, and 2.6 µg/L for naproxen. The relative importance in terms of loads was carbamazepine, followed by diclofenac, naproxen, ibuprofen, clofibric acid, and ketoprofen. An overall removal rate of all these pharmaceuticals was estimated in surface waters, under real-world conditions (in a lake), using field measurements and modeling. Carbamazepine and clofibric acid were fairly persistent. Phototransformation was identified as the main elimination process of diclofenac in the lake water during the study period. With a relatively high sorption coefficient to particles, ibuprofen might be eliminated by sedimentation. For ketoprofen and naproxen, biodegradation and phototransformation might be elimination processes. For the first time, quantitative data regarding removal rates were determined in surface waters under real-world conditions. All these findings are important data for a risk assessment of these compounds in surface waters. Introduction Although pharmaceuticals are used in large quantities in modern society, their potential to reach surface waters and theirimpactontheenvironmenthavereceived little attention during the last three decades.However,since the 1980s,some investigations have been carried out on the occurrence and fate of pharmaceuticals in the environment (1).Themajority of these field investigations focused on the determination of * Corresponding author. Phone: +41-1-823-5460. Fax: +41-1- 823-5471. E-mail: stephan.mueller@eawag.ch. 10.1021/es025834r CCC: $25.00 © 2003 American Chemical Society Published on Web 02/06/2003 concentration","author":[{"dropping-particle":"","family":"Aydemir","given":"Sibel Basakcılardan Kabakcı and Hilal","non-dropping-particle":"","parse-names":false,"suffix":""}],"container-title":"American Institute of Chemical Engineers Environ","id":"ITEM-1","issue":"3","issued":{"date-parts":[["2014"]]},"page":"649- 656","title":"Pyrolysis of Olive Pomace and Copyrolysis of Olive Pomace with Refuse Derived Fuel","type":"article-journal","volume":"8"},"uris":["http://www.mendeley.com/documents/?uuid=8437ebff-eea3-4314-a0cc-b7b7b11d6055"]}],"mendeley":{"formattedCitation":"(Aydemir 2014)","plainTextFormattedCitation":"(Aydemir 2014)"},"properties":{"noteIndex":0},"schema":"https://github.com/citation-style-language/schema/raw/master/csl-citation.json"}</w:instrText>
            </w:r>
            <w:r>
              <w:rPr>
                <w:rFonts w:ascii="Times New Roman" w:hAnsi="Times New Roman" w:cs="Times New Roman"/>
                <w:sz w:val="18"/>
                <w:szCs w:val="18"/>
                <w:lang w:val="en-GB"/>
              </w:rPr>
              <w:fldChar w:fldCharType="separate"/>
            </w:r>
            <w:r w:rsidRPr="00486789">
              <w:rPr>
                <w:rFonts w:ascii="Times New Roman" w:hAnsi="Times New Roman" w:cs="Times New Roman"/>
                <w:noProof/>
                <w:sz w:val="18"/>
                <w:szCs w:val="18"/>
                <w:lang w:val="en-GB"/>
              </w:rPr>
              <w:t>(Aydemir 2014)</w:t>
            </w:r>
            <w:r>
              <w:rPr>
                <w:rFonts w:ascii="Times New Roman" w:hAnsi="Times New Roman" w:cs="Times New Roman"/>
                <w:sz w:val="18"/>
                <w:szCs w:val="18"/>
                <w:lang w:val="en-GB"/>
              </w:rPr>
              <w:fldChar w:fldCharType="end"/>
            </w:r>
            <w:bookmarkStart w:id="0" w:name="_GoBack"/>
            <w:bookmarkEnd w:id="0"/>
          </w:p>
        </w:tc>
      </w:tr>
    </w:tbl>
    <w:p w14:paraId="47778B75" w14:textId="77777777" w:rsidR="00AE6411" w:rsidRPr="00441138" w:rsidRDefault="00AE6411" w:rsidP="00C20823">
      <w:pPr>
        <w:rPr>
          <w:rFonts w:eastAsia="Times New Roman"/>
          <w:noProof/>
          <w:lang w:val="en-US" w:eastAsia="fr-FR"/>
        </w:rPr>
      </w:pPr>
    </w:p>
    <w:tbl>
      <w:tblPr>
        <w:tblW w:w="9647" w:type="dxa"/>
        <w:tblLook w:val="04A0" w:firstRow="1" w:lastRow="0" w:firstColumn="1" w:lastColumn="0" w:noHBand="0" w:noVBand="1"/>
      </w:tblPr>
      <w:tblGrid>
        <w:gridCol w:w="4823"/>
        <w:gridCol w:w="4824"/>
      </w:tblGrid>
      <w:tr w:rsidR="00AE6411" w:rsidRPr="00917AA9" w14:paraId="56B24837" w14:textId="77777777" w:rsidTr="00D33796">
        <w:trPr>
          <w:trHeight w:val="4445"/>
        </w:trPr>
        <w:tc>
          <w:tcPr>
            <w:tcW w:w="9647" w:type="dxa"/>
            <w:gridSpan w:val="2"/>
          </w:tcPr>
          <w:p w14:paraId="1445D969" w14:textId="77777777" w:rsidR="00AE6411" w:rsidRPr="00917AA9" w:rsidRDefault="00AE6411" w:rsidP="00D33796">
            <w:pPr>
              <w:jc w:val="center"/>
              <w:rPr>
                <w:rFonts w:ascii="Times New Roman" w:eastAsia="Times New Roman" w:hAnsi="Times New Roman" w:cs="Times New Roman"/>
                <w:b/>
                <w:noProof/>
                <w:lang w:val="en-GB" w:eastAsia="fr-FR"/>
              </w:rPr>
            </w:pPr>
            <w:r>
              <w:rPr>
                <w:rFonts w:ascii="Times New Roman" w:eastAsia="Times New Roman" w:hAnsi="Times New Roman" w:cs="Times New Roman"/>
                <w:b/>
                <w:noProof/>
                <w:lang w:eastAsia="fr-FR"/>
              </w:rPr>
              <w:lastRenderedPageBreak/>
              <mc:AlternateContent>
                <mc:Choice Requires="wps">
                  <w:drawing>
                    <wp:anchor distT="0" distB="0" distL="114300" distR="114300" simplePos="0" relativeHeight="251659264" behindDoc="0" locked="0" layoutInCell="1" allowOverlap="1" wp14:anchorId="2C535041" wp14:editId="133A9ADE">
                      <wp:simplePos x="0" y="0"/>
                      <wp:positionH relativeFrom="column">
                        <wp:posOffset>171450</wp:posOffset>
                      </wp:positionH>
                      <wp:positionV relativeFrom="paragraph">
                        <wp:posOffset>161925</wp:posOffset>
                      </wp:positionV>
                      <wp:extent cx="476250" cy="361950"/>
                      <wp:effectExtent l="0" t="0" r="19050" b="19050"/>
                      <wp:wrapNone/>
                      <wp:docPr id="5" name="Zone de texte 5"/>
                      <wp:cNvGraphicFramePr/>
                      <a:graphic xmlns:a="http://schemas.openxmlformats.org/drawingml/2006/main">
                        <a:graphicData uri="http://schemas.microsoft.com/office/word/2010/wordprocessingShape">
                          <wps:wsp>
                            <wps:cNvSpPr txBox="1"/>
                            <wps:spPr>
                              <a:xfrm>
                                <a:off x="0" y="0"/>
                                <a:ext cx="476250" cy="361950"/>
                              </a:xfrm>
                              <a:prstGeom prst="rect">
                                <a:avLst/>
                              </a:prstGeom>
                              <a:solidFill>
                                <a:schemeClr val="lt1"/>
                              </a:solidFill>
                              <a:ln w="6350">
                                <a:solidFill>
                                  <a:prstClr val="black"/>
                                </a:solidFill>
                              </a:ln>
                            </wps:spPr>
                            <wps:txbx>
                              <w:txbxContent>
                                <w:p w14:paraId="435C66AC" w14:textId="77777777" w:rsidR="00AE6411" w:rsidRPr="00FB10A4" w:rsidRDefault="00AE6411" w:rsidP="00AE6411">
                                  <w:pPr>
                                    <w:rPr>
                                      <w:rFonts w:ascii="Times New Roman" w:hAnsi="Times New Roman" w:cs="Times New Roman"/>
                                      <w:b/>
                                      <w:sz w:val="28"/>
                                    </w:rPr>
                                  </w:pPr>
                                  <w:r w:rsidRPr="00FB10A4">
                                    <w:rPr>
                                      <w:rFonts w:ascii="Times New Roman" w:hAnsi="Times New Roman" w:cs="Times New Roman"/>
                                      <w:b/>
                                      <w:sz w:val="28"/>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C535041" id="_x0000_t202" coordsize="21600,21600" o:spt="202" path="m,l,21600r21600,l21600,xe">
                      <v:stroke joinstyle="miter"/>
                      <v:path gradientshapeok="t" o:connecttype="rect"/>
                    </v:shapetype>
                    <v:shape id="Zone de texte 5" o:spid="_x0000_s1026" type="#_x0000_t202" style="position:absolute;left:0;text-align:left;margin-left:13.5pt;margin-top:12.75pt;width:37.5pt;height:28.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" fillcolor="white [3201]" strokeweight=".5pt">
                      <v:textbox>
                        <w:txbxContent>
                          <w:p w14:paraId="435C66AC" w14:textId="77777777" w:rsidR="00AE6411" w:rsidRPr="00FB10A4" w:rsidRDefault="00AE6411" w:rsidP="00AE6411">
                            <w:pPr>
                              <w:rPr>
                                <w:rFonts w:ascii="Times New Roman" w:hAnsi="Times New Roman" w:cs="Times New Roman"/>
                                <w:b/>
                                <w:sz w:val="28"/>
                              </w:rPr>
                            </w:pPr>
                            <w:r w:rsidRPr="00FB10A4">
                              <w:rPr>
                                <w:rFonts w:ascii="Times New Roman" w:hAnsi="Times New Roman" w:cs="Times New Roman"/>
                                <w:b/>
                                <w:sz w:val="28"/>
                              </w:rPr>
                              <w:t>a</w:t>
                            </w:r>
                          </w:p>
                        </w:txbxContent>
                      </v:textbox>
                    </v:shape>
                  </w:pict>
                </mc:Fallback>
              </mc:AlternateContent>
            </w:r>
            <w:r w:rsidRPr="00FB10A4">
              <w:rPr>
                <w:rFonts w:ascii="Times New Roman" w:eastAsia="Times New Roman" w:hAnsi="Times New Roman" w:cs="Times New Roman"/>
                <w:b/>
                <w:noProof/>
                <w:lang w:eastAsia="fr-FR"/>
              </w:rPr>
              <w:drawing>
                <wp:inline distT="0" distB="0" distL="0" distR="0" wp14:anchorId="4A53F48A" wp14:editId="11D92D53">
                  <wp:extent cx="3871022" cy="2736000"/>
                  <wp:effectExtent l="0" t="0" r="0" b="762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ignons raw mater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71022" cy="2736000"/>
                          </a:xfrm>
                          <a:prstGeom prst="rect">
                            <a:avLst/>
                          </a:prstGeom>
                        </pic:spPr>
                      </pic:pic>
                    </a:graphicData>
                  </a:graphic>
                </wp:inline>
              </w:drawing>
            </w:r>
          </w:p>
        </w:tc>
      </w:tr>
      <w:tr w:rsidR="00AE6411" w:rsidRPr="00917AA9" w14:paraId="6EA0D470" w14:textId="77777777" w:rsidTr="00D33796">
        <w:trPr>
          <w:trHeight w:val="3554"/>
        </w:trPr>
        <w:tc>
          <w:tcPr>
            <w:tcW w:w="4823" w:type="dxa"/>
          </w:tcPr>
          <w:p w14:paraId="1089533B" w14:textId="77777777" w:rsidR="00AE6411" w:rsidRPr="00917AA9" w:rsidRDefault="00AE6411" w:rsidP="00D33796">
            <w:pPr>
              <w:rPr>
                <w:rFonts w:ascii="Times New Roman" w:eastAsia="Times New Roman" w:hAnsi="Times New Roman" w:cs="Times New Roman"/>
                <w:b/>
                <w:noProof/>
                <w:lang w:val="en-GB" w:eastAsia="fr-FR"/>
              </w:rPr>
            </w:pPr>
            <w:r>
              <w:rPr>
                <w:rFonts w:ascii="Times New Roman" w:eastAsia="Times New Roman" w:hAnsi="Times New Roman" w:cs="Times New Roman"/>
                <w:b/>
                <w:noProof/>
                <w:lang w:eastAsia="fr-FR"/>
              </w:rPr>
              <mc:AlternateContent>
                <mc:Choice Requires="wps">
                  <w:drawing>
                    <wp:anchor distT="0" distB="0" distL="114300" distR="114300" simplePos="0" relativeHeight="251660288" behindDoc="0" locked="0" layoutInCell="1" allowOverlap="1" wp14:anchorId="53AC7ECD" wp14:editId="1B895A6A">
                      <wp:simplePos x="0" y="0"/>
                      <wp:positionH relativeFrom="column">
                        <wp:posOffset>-6350</wp:posOffset>
                      </wp:positionH>
                      <wp:positionV relativeFrom="paragraph">
                        <wp:posOffset>48895</wp:posOffset>
                      </wp:positionV>
                      <wp:extent cx="476250" cy="361950"/>
                      <wp:effectExtent l="0" t="0" r="19050" b="19050"/>
                      <wp:wrapNone/>
                      <wp:docPr id="6" name="Zone de texte 6"/>
                      <wp:cNvGraphicFramePr/>
                      <a:graphic xmlns:a="http://schemas.openxmlformats.org/drawingml/2006/main">
                        <a:graphicData uri="http://schemas.microsoft.com/office/word/2010/wordprocessingShape">
                          <wps:wsp>
                            <wps:cNvSpPr txBox="1"/>
                            <wps:spPr>
                              <a:xfrm>
                                <a:off x="0" y="0"/>
                                <a:ext cx="476250" cy="361950"/>
                              </a:xfrm>
                              <a:prstGeom prst="rect">
                                <a:avLst/>
                              </a:prstGeom>
                              <a:solidFill>
                                <a:schemeClr val="lt1"/>
                              </a:solidFill>
                              <a:ln w="6350">
                                <a:solidFill>
                                  <a:prstClr val="black"/>
                                </a:solidFill>
                              </a:ln>
                            </wps:spPr>
                            <wps:txbx>
                              <w:txbxContent>
                                <w:p w14:paraId="4ADBB90A" w14:textId="77777777" w:rsidR="00AE6411" w:rsidRPr="00FB10A4" w:rsidRDefault="00AE6411" w:rsidP="00AE6411">
                                  <w:pPr>
                                    <w:rPr>
                                      <w:rFonts w:ascii="Times New Roman" w:hAnsi="Times New Roman" w:cs="Times New Roman"/>
                                      <w:b/>
                                      <w:sz w:val="28"/>
                                    </w:rPr>
                                  </w:pPr>
                                  <w:r>
                                    <w:rPr>
                                      <w:rFonts w:ascii="Times New Roman" w:hAnsi="Times New Roman" w:cs="Times New Roman"/>
                                      <w:b/>
                                      <w:sz w:val="28"/>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3AC7ECD" id="Zone de texte 6" o:spid="_x0000_s1027" type="#_x0000_t202" style="position:absolute;margin-left:-.5pt;margin-top:3.85pt;width:37.5pt;height:28.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" fillcolor="white [3201]" strokeweight=".5pt">
                      <v:textbox>
                        <w:txbxContent>
                          <w:p w14:paraId="4ADBB90A" w14:textId="77777777" w:rsidR="00AE6411" w:rsidRPr="00FB10A4" w:rsidRDefault="00AE6411" w:rsidP="00AE6411">
                            <w:pPr>
                              <w:rPr>
                                <w:rFonts w:ascii="Times New Roman" w:hAnsi="Times New Roman" w:cs="Times New Roman"/>
                                <w:b/>
                                <w:sz w:val="28"/>
                              </w:rPr>
                            </w:pPr>
                            <w:r>
                              <w:rPr>
                                <w:rFonts w:ascii="Times New Roman" w:hAnsi="Times New Roman" w:cs="Times New Roman"/>
                                <w:b/>
                                <w:sz w:val="28"/>
                              </w:rPr>
                              <w:t>b</w:t>
                            </w:r>
                          </w:p>
                        </w:txbxContent>
                      </v:textbox>
                    </v:shape>
                  </w:pict>
                </mc:Fallback>
              </mc:AlternateContent>
            </w:r>
            <w:r w:rsidRPr="00FB10A4">
              <w:rPr>
                <w:rFonts w:ascii="Times New Roman" w:eastAsia="Times New Roman" w:hAnsi="Times New Roman" w:cs="Times New Roman"/>
                <w:b/>
                <w:noProof/>
                <w:lang w:eastAsia="fr-FR"/>
              </w:rPr>
              <w:drawing>
                <wp:inline distT="0" distB="0" distL="0" distR="0" wp14:anchorId="7F5E431C" wp14:editId="5E4188A0">
                  <wp:extent cx="2801400" cy="1980000"/>
                  <wp:effectExtent l="0" t="0" r="0" b="127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oil temperatur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01400" cy="1980000"/>
                          </a:xfrm>
                          <a:prstGeom prst="rect">
                            <a:avLst/>
                          </a:prstGeom>
                        </pic:spPr>
                      </pic:pic>
                    </a:graphicData>
                  </a:graphic>
                </wp:inline>
              </w:drawing>
            </w:r>
          </w:p>
        </w:tc>
        <w:tc>
          <w:tcPr>
            <w:tcW w:w="4823" w:type="dxa"/>
          </w:tcPr>
          <w:p w14:paraId="7F4AAB76" w14:textId="77777777" w:rsidR="00AE6411" w:rsidRPr="00917AA9" w:rsidRDefault="00AE6411" w:rsidP="00D33796">
            <w:pPr>
              <w:rPr>
                <w:rFonts w:ascii="Times New Roman" w:eastAsia="Times New Roman" w:hAnsi="Times New Roman" w:cs="Times New Roman"/>
                <w:b/>
                <w:noProof/>
                <w:lang w:val="en-GB" w:eastAsia="fr-FR"/>
              </w:rPr>
            </w:pPr>
            <w:r w:rsidRPr="00FB10A4">
              <w:rPr>
                <w:rFonts w:ascii="Times New Roman" w:eastAsia="Times New Roman" w:hAnsi="Times New Roman" w:cs="Times New Roman"/>
                <w:b/>
                <w:noProof/>
                <w:lang w:eastAsia="fr-FR"/>
              </w:rPr>
              <w:drawing>
                <wp:inline distT="0" distB="0" distL="0" distR="0" wp14:anchorId="13233AEB" wp14:editId="49980636">
                  <wp:extent cx="2801401" cy="1980000"/>
                  <wp:effectExtent l="0" t="0" r="0" b="127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oil heating rate.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01401" cy="1980000"/>
                          </a:xfrm>
                          <a:prstGeom prst="rect">
                            <a:avLst/>
                          </a:prstGeom>
                        </pic:spPr>
                      </pic:pic>
                    </a:graphicData>
                  </a:graphic>
                </wp:inline>
              </w:drawing>
            </w:r>
          </w:p>
        </w:tc>
      </w:tr>
      <w:tr w:rsidR="00AE6411" w:rsidRPr="00917AA9" w14:paraId="697ED30E" w14:textId="77777777" w:rsidTr="00D33796">
        <w:trPr>
          <w:trHeight w:val="3635"/>
        </w:trPr>
        <w:tc>
          <w:tcPr>
            <w:tcW w:w="4823" w:type="dxa"/>
          </w:tcPr>
          <w:p w14:paraId="2B02AF38" w14:textId="77777777" w:rsidR="00AE6411" w:rsidRPr="00917AA9" w:rsidRDefault="00AE6411" w:rsidP="00D33796">
            <w:pPr>
              <w:rPr>
                <w:rFonts w:ascii="Times New Roman" w:eastAsia="Times New Roman" w:hAnsi="Times New Roman" w:cs="Times New Roman"/>
                <w:b/>
                <w:noProof/>
                <w:lang w:val="en-GB" w:eastAsia="fr-FR"/>
              </w:rPr>
            </w:pPr>
            <w:r>
              <w:rPr>
                <w:rFonts w:ascii="Times New Roman" w:eastAsia="Times New Roman" w:hAnsi="Times New Roman" w:cs="Times New Roman"/>
                <w:b/>
                <w:noProof/>
                <w:lang w:eastAsia="fr-FR"/>
              </w:rPr>
              <mc:AlternateContent>
                <mc:Choice Requires="wps">
                  <w:drawing>
                    <wp:anchor distT="0" distB="0" distL="114300" distR="114300" simplePos="0" relativeHeight="251661312" behindDoc="0" locked="0" layoutInCell="1" allowOverlap="1" wp14:anchorId="68333256" wp14:editId="0F1EFC97">
                      <wp:simplePos x="0" y="0"/>
                      <wp:positionH relativeFrom="column">
                        <wp:posOffset>-73025</wp:posOffset>
                      </wp:positionH>
                      <wp:positionV relativeFrom="paragraph">
                        <wp:posOffset>97155</wp:posOffset>
                      </wp:positionV>
                      <wp:extent cx="476250" cy="361950"/>
                      <wp:effectExtent l="0" t="0" r="19050" b="19050"/>
                      <wp:wrapNone/>
                      <wp:docPr id="8" name="Zone de texte 8"/>
                      <wp:cNvGraphicFramePr/>
                      <a:graphic xmlns:a="http://schemas.openxmlformats.org/drawingml/2006/main">
                        <a:graphicData uri="http://schemas.microsoft.com/office/word/2010/wordprocessingShape">
                          <wps:wsp>
                            <wps:cNvSpPr txBox="1"/>
                            <wps:spPr>
                              <a:xfrm>
                                <a:off x="0" y="0"/>
                                <a:ext cx="476250" cy="361950"/>
                              </a:xfrm>
                              <a:prstGeom prst="rect">
                                <a:avLst/>
                              </a:prstGeom>
                              <a:solidFill>
                                <a:schemeClr val="lt1"/>
                              </a:solidFill>
                              <a:ln w="6350">
                                <a:solidFill>
                                  <a:prstClr val="black"/>
                                </a:solidFill>
                              </a:ln>
                            </wps:spPr>
                            <wps:txbx>
                              <w:txbxContent>
                                <w:p w14:paraId="6A568554" w14:textId="77777777" w:rsidR="00AE6411" w:rsidRPr="00FB10A4" w:rsidRDefault="00AE6411" w:rsidP="00AE6411">
                                  <w:pPr>
                                    <w:rPr>
                                      <w:rFonts w:ascii="Times New Roman" w:hAnsi="Times New Roman" w:cs="Times New Roman"/>
                                      <w:b/>
                                      <w:sz w:val="28"/>
                                    </w:rPr>
                                  </w:pPr>
                                  <w:r>
                                    <w:rPr>
                                      <w:rFonts w:ascii="Times New Roman" w:hAnsi="Times New Roman" w:cs="Times New Roman"/>
                                      <w:b/>
                                      <w:sz w:val="28"/>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8333256" id="Zone de texte 8" o:spid="_x0000_s1028" type="#_x0000_t202" style="position:absolute;margin-left:-5.75pt;margin-top:7.65pt;width:37.5pt;height:28.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" fillcolor="white [3201]" strokeweight=".5pt">
                      <v:textbox>
                        <w:txbxContent>
                          <w:p w14:paraId="6A568554" w14:textId="77777777" w:rsidR="00AE6411" w:rsidRPr="00FB10A4" w:rsidRDefault="00AE6411" w:rsidP="00AE6411">
                            <w:pPr>
                              <w:rPr>
                                <w:rFonts w:ascii="Times New Roman" w:hAnsi="Times New Roman" w:cs="Times New Roman"/>
                                <w:b/>
                                <w:sz w:val="28"/>
                              </w:rPr>
                            </w:pPr>
                            <w:r>
                              <w:rPr>
                                <w:rFonts w:ascii="Times New Roman" w:hAnsi="Times New Roman" w:cs="Times New Roman"/>
                                <w:b/>
                                <w:sz w:val="28"/>
                              </w:rPr>
                              <w:t>c</w:t>
                            </w:r>
                          </w:p>
                        </w:txbxContent>
                      </v:textbox>
                    </v:shape>
                  </w:pict>
                </mc:Fallback>
              </mc:AlternateContent>
            </w:r>
            <w:r w:rsidRPr="00FB10A4">
              <w:rPr>
                <w:rFonts w:ascii="Times New Roman" w:eastAsia="Times New Roman" w:hAnsi="Times New Roman" w:cs="Times New Roman"/>
                <w:b/>
                <w:noProof/>
                <w:lang w:eastAsia="fr-FR"/>
              </w:rPr>
              <w:drawing>
                <wp:inline distT="0" distB="0" distL="0" distR="0" wp14:anchorId="32CCDD2F" wp14:editId="784E33FB">
                  <wp:extent cx="2801398" cy="1980000"/>
                  <wp:effectExtent l="0" t="0" r="0" b="127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char temperatur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01398" cy="1980000"/>
                          </a:xfrm>
                          <a:prstGeom prst="rect">
                            <a:avLst/>
                          </a:prstGeom>
                        </pic:spPr>
                      </pic:pic>
                    </a:graphicData>
                  </a:graphic>
                </wp:inline>
              </w:drawing>
            </w:r>
          </w:p>
        </w:tc>
        <w:tc>
          <w:tcPr>
            <w:tcW w:w="4823" w:type="dxa"/>
          </w:tcPr>
          <w:p w14:paraId="2108CBCA" w14:textId="77777777" w:rsidR="00AE6411" w:rsidRPr="00917AA9" w:rsidRDefault="00AE6411" w:rsidP="00D33796">
            <w:pPr>
              <w:rPr>
                <w:rFonts w:ascii="Times New Roman" w:eastAsia="Times New Roman" w:hAnsi="Times New Roman" w:cs="Times New Roman"/>
                <w:b/>
                <w:noProof/>
                <w:lang w:val="en-GB" w:eastAsia="fr-FR"/>
              </w:rPr>
            </w:pPr>
            <w:r w:rsidRPr="00FB10A4">
              <w:rPr>
                <w:rFonts w:ascii="Times New Roman" w:eastAsia="Times New Roman" w:hAnsi="Times New Roman" w:cs="Times New Roman"/>
                <w:b/>
                <w:noProof/>
                <w:lang w:eastAsia="fr-FR"/>
              </w:rPr>
              <w:drawing>
                <wp:inline distT="0" distB="0" distL="0" distR="0" wp14:anchorId="6B2D1134" wp14:editId="3AF9DCD2">
                  <wp:extent cx="2801401" cy="1980000"/>
                  <wp:effectExtent l="0" t="0" r="0" b="127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char heating rate.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01401" cy="1980000"/>
                          </a:xfrm>
                          <a:prstGeom prst="rect">
                            <a:avLst/>
                          </a:prstGeom>
                        </pic:spPr>
                      </pic:pic>
                    </a:graphicData>
                  </a:graphic>
                </wp:inline>
              </w:drawing>
            </w:r>
          </w:p>
        </w:tc>
      </w:tr>
      <w:tr w:rsidR="00AE6411" w:rsidRPr="00486789" w14:paraId="6CD46C80" w14:textId="77777777" w:rsidTr="00D33796">
        <w:trPr>
          <w:trHeight w:val="509"/>
        </w:trPr>
        <w:tc>
          <w:tcPr>
            <w:tcW w:w="9647" w:type="dxa"/>
            <w:gridSpan w:val="2"/>
          </w:tcPr>
          <w:p w14:paraId="4173B5A6" w14:textId="77777777" w:rsidR="00AE6411" w:rsidRPr="00917AA9" w:rsidRDefault="00AE6411" w:rsidP="00D33796">
            <w:pPr>
              <w:rPr>
                <w:rFonts w:ascii="Times New Roman" w:eastAsia="Times New Roman" w:hAnsi="Times New Roman" w:cs="Times New Roman"/>
                <w:b/>
                <w:noProof/>
                <w:sz w:val="24"/>
                <w:lang w:val="en-GB" w:eastAsia="fr-FR"/>
              </w:rPr>
            </w:pPr>
          </w:p>
          <w:p w14:paraId="0F0C7AEC" w14:textId="77777777" w:rsidR="00AE6411" w:rsidRPr="00FB10A4" w:rsidRDefault="00AE6411" w:rsidP="00D33796">
            <w:pPr>
              <w:rPr>
                <w:rFonts w:ascii="Times New Roman" w:eastAsia="Times New Roman" w:hAnsi="Times New Roman" w:cs="Times New Roman"/>
                <w:b/>
                <w:noProof/>
                <w:lang w:val="en-GB" w:eastAsia="fr-FR"/>
              </w:rPr>
            </w:pPr>
            <w:r w:rsidRPr="00AE6411">
              <w:rPr>
                <w:rFonts w:ascii="Times New Roman" w:eastAsia="Times New Roman" w:hAnsi="Times New Roman" w:cs="Times New Roman"/>
                <w:b/>
                <w:noProof/>
                <w:sz w:val="24"/>
                <w:lang w:val="en-GB" w:eastAsia="fr-FR"/>
              </w:rPr>
              <w:t>Figure SI 1 : OPW FTIR spectra of raw material (a) , pyrolytic oil (b) and biochar (c).</w:t>
            </w:r>
          </w:p>
        </w:tc>
      </w:tr>
    </w:tbl>
    <w:p w14:paraId="32C55DDC" w14:textId="4EA0B29F" w:rsidR="00134D5A" w:rsidRDefault="00134D5A" w:rsidP="00C20823">
      <w:pPr>
        <w:rPr>
          <w:rFonts w:eastAsia="Times New Roman"/>
          <w:noProof/>
          <w:lang w:val="en-GB" w:eastAsia="fr-FR"/>
        </w:rPr>
      </w:pPr>
      <w:r>
        <w:rPr>
          <w:rFonts w:eastAsia="Times New Roman"/>
          <w:noProof/>
          <w:lang w:val="en-GB" w:eastAsia="fr-FR"/>
        </w:rPr>
        <w:br w:type="page"/>
      </w:r>
    </w:p>
    <w:p w14:paraId="39E39F8B" w14:textId="77777777" w:rsidR="00C20823" w:rsidRPr="00917AA9" w:rsidRDefault="00C20823" w:rsidP="00C20823">
      <w:pPr>
        <w:rPr>
          <w:lang w:val="en-GB"/>
        </w:rPr>
      </w:pPr>
      <w:r w:rsidRPr="00780F3E">
        <w:rPr>
          <w:rFonts w:eastAsia="Times New Roman"/>
          <w:noProof/>
          <w:lang w:eastAsia="fr-FR"/>
        </w:rPr>
        <w:lastRenderedPageBreak/>
        <w:drawing>
          <wp:inline distT="0" distB="0" distL="0" distR="0" wp14:anchorId="1D2D1704" wp14:editId="58405140">
            <wp:extent cx="5704684" cy="292156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l="11449" t="18495" r="56412" b="55075"/>
                    <a:stretch/>
                  </pic:blipFill>
                  <pic:spPr bwMode="auto">
                    <a:xfrm>
                      <a:off x="0" y="0"/>
                      <a:ext cx="5735016" cy="2937094"/>
                    </a:xfrm>
                    <a:prstGeom prst="rect">
                      <a:avLst/>
                    </a:prstGeom>
                    <a:noFill/>
                    <a:ln>
                      <a:noFill/>
                    </a:ln>
                    <a:extLst>
                      <a:ext uri="{53640926-AAD7-44D8-BBD7-CCE9431645EC}">
                        <a14:shadowObscured xmlns:a14="http://schemas.microsoft.com/office/drawing/2010/main"/>
                      </a:ext>
                    </a:extLst>
                  </pic:spPr>
                </pic:pic>
              </a:graphicData>
            </a:graphic>
          </wp:inline>
        </w:drawing>
      </w:r>
    </w:p>
    <w:p w14:paraId="7E9EAF2D" w14:textId="13D076E4" w:rsidR="004B4D72" w:rsidRPr="00486789" w:rsidRDefault="004B4D72" w:rsidP="004B4D72">
      <w:pPr>
        <w:rPr>
          <w:rFonts w:ascii="Times New Roman" w:eastAsia="Times New Roman" w:hAnsi="Times New Roman" w:cs="Times New Roman"/>
          <w:b/>
          <w:noProof/>
          <w:sz w:val="24"/>
          <w:lang w:eastAsia="fr-FR"/>
        </w:rPr>
      </w:pPr>
      <w:r w:rsidRPr="00486789">
        <w:rPr>
          <w:rFonts w:ascii="Times New Roman" w:eastAsia="Times New Roman" w:hAnsi="Times New Roman" w:cs="Times New Roman"/>
          <w:b/>
          <w:noProof/>
          <w:sz w:val="24"/>
          <w:lang w:eastAsia="fr-FR"/>
        </w:rPr>
        <w:t xml:space="preserve">Figure SI </w:t>
      </w:r>
      <w:r w:rsidR="00AE6411" w:rsidRPr="00486789">
        <w:rPr>
          <w:rFonts w:ascii="Times New Roman" w:eastAsia="Times New Roman" w:hAnsi="Times New Roman" w:cs="Times New Roman"/>
          <w:b/>
          <w:noProof/>
          <w:sz w:val="24"/>
          <w:lang w:eastAsia="fr-FR"/>
        </w:rPr>
        <w:t>2</w:t>
      </w:r>
      <w:r w:rsidRPr="00486789">
        <w:rPr>
          <w:rFonts w:ascii="Times New Roman" w:eastAsia="Times New Roman" w:hAnsi="Times New Roman" w:cs="Times New Roman"/>
          <w:b/>
          <w:noProof/>
          <w:sz w:val="24"/>
          <w:lang w:eastAsia="fr-FR"/>
        </w:rPr>
        <w:t xml:space="preserve"> : OPW Rock eval pyrograms</w:t>
      </w:r>
    </w:p>
    <w:p w14:paraId="6C6C6A97" w14:textId="1269BE87" w:rsidR="00C20823" w:rsidRPr="00486789" w:rsidRDefault="00C20823" w:rsidP="00C20823"/>
    <w:p w14:paraId="27FB9194" w14:textId="2DBD706B" w:rsidR="00134D5A" w:rsidRPr="00486789" w:rsidRDefault="00134D5A" w:rsidP="00C20823"/>
    <w:p w14:paraId="578E964E" w14:textId="14291B96" w:rsidR="00E627A5" w:rsidRPr="00486789" w:rsidRDefault="00E627A5" w:rsidP="00C20823"/>
    <w:p w14:paraId="0813F687" w14:textId="00E552E4" w:rsidR="00E627A5" w:rsidRPr="00486789" w:rsidRDefault="00E627A5" w:rsidP="00C20823"/>
    <w:p w14:paraId="78A9B0FE" w14:textId="20F7FB02" w:rsidR="00E627A5" w:rsidRPr="00486789" w:rsidRDefault="00E627A5" w:rsidP="00C20823"/>
    <w:p w14:paraId="64654EF8" w14:textId="4028EF64" w:rsidR="00E627A5" w:rsidRPr="00486789" w:rsidRDefault="00E627A5" w:rsidP="00C20823"/>
    <w:p w14:paraId="7D74A651" w14:textId="7F1D6D34" w:rsidR="00CE439B" w:rsidRPr="00486789" w:rsidRDefault="00CE439B" w:rsidP="00C20823"/>
    <w:p w14:paraId="43A59FA7" w14:textId="3E370E6C" w:rsidR="00CE439B" w:rsidRPr="00486789" w:rsidRDefault="00CE439B" w:rsidP="00C20823">
      <w:r w:rsidRPr="00486789">
        <w:br w:type="page"/>
      </w:r>
    </w:p>
    <w:p w14:paraId="03843922" w14:textId="638DAFD2" w:rsidR="00E627A5" w:rsidRPr="004606DF" w:rsidRDefault="00E627A5" w:rsidP="00E627A5">
      <w:pPr>
        <w:rPr>
          <w:rFonts w:asciiTheme="majorBidi" w:hAnsiTheme="majorBidi" w:cstheme="majorBidi"/>
          <w:b/>
          <w:bCs/>
          <w:sz w:val="24"/>
          <w:szCs w:val="24"/>
          <w:lang w:val="en-IE"/>
        </w:rPr>
      </w:pPr>
      <w:r w:rsidRPr="00486789">
        <w:rPr>
          <w:rFonts w:asciiTheme="majorBidi" w:hAnsiTheme="majorBidi" w:cstheme="majorBidi"/>
          <w:b/>
          <w:bCs/>
          <w:sz w:val="24"/>
          <w:szCs w:val="24"/>
        </w:rPr>
        <w:lastRenderedPageBreak/>
        <w:t xml:space="preserve">Table </w:t>
      </w:r>
      <w:r w:rsidR="004B4D72" w:rsidRPr="00486789">
        <w:rPr>
          <w:rFonts w:asciiTheme="majorBidi" w:hAnsiTheme="majorBidi" w:cstheme="majorBidi"/>
          <w:b/>
          <w:bCs/>
          <w:sz w:val="24"/>
          <w:szCs w:val="24"/>
        </w:rPr>
        <w:t>SI 2</w:t>
      </w:r>
      <w:r w:rsidRPr="00486789">
        <w:rPr>
          <w:rFonts w:asciiTheme="majorBidi" w:hAnsiTheme="majorBidi" w:cstheme="majorBidi"/>
          <w:b/>
          <w:bCs/>
          <w:sz w:val="24"/>
          <w:szCs w:val="24"/>
        </w:rPr>
        <w:t xml:space="preserve">. </w:t>
      </w:r>
      <w:r w:rsidRPr="004606DF">
        <w:rPr>
          <w:rFonts w:asciiTheme="majorBidi" w:hAnsiTheme="majorBidi" w:cstheme="majorBidi"/>
          <w:b/>
          <w:bCs/>
          <w:sz w:val="24"/>
          <w:szCs w:val="24"/>
          <w:lang w:val="en-IE"/>
        </w:rPr>
        <w:t xml:space="preserve">GC-MS results of POW pyrolytic oil obtained at 600 °C and 15 °C/min (peak areas. %) </w:t>
      </w:r>
    </w:p>
    <w:tbl>
      <w:tblPr>
        <w:tblStyle w:val="TableauGrille4-Accentuation6"/>
        <w:tblW w:w="9946" w:type="dxa"/>
        <w:tblLook w:val="04A0" w:firstRow="1" w:lastRow="0" w:firstColumn="1" w:lastColumn="0" w:noHBand="0" w:noVBand="1"/>
      </w:tblPr>
      <w:tblGrid>
        <w:gridCol w:w="681"/>
        <w:gridCol w:w="1097"/>
        <w:gridCol w:w="1261"/>
        <w:gridCol w:w="4704"/>
        <w:gridCol w:w="2290"/>
      </w:tblGrid>
      <w:tr w:rsidR="00E627A5" w:rsidRPr="00917AA9" w14:paraId="2B775B97" w14:textId="77777777" w:rsidTr="00D33796">
        <w:trPr>
          <w:cnfStyle w:val="100000000000" w:firstRow="1" w:lastRow="0" w:firstColumn="0" w:lastColumn="0" w:oddVBand="0" w:evenVBand="0" w:oddHBand="0"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645" w:type="dxa"/>
            <w:noWrap/>
            <w:hideMark/>
          </w:tcPr>
          <w:p w14:paraId="0290731F" w14:textId="77777777" w:rsidR="00E627A5" w:rsidRPr="004606DF" w:rsidRDefault="00E627A5" w:rsidP="00D33796">
            <w:pPr>
              <w:jc w:val="center"/>
              <w:rPr>
                <w:rFonts w:ascii="Times New Roman" w:eastAsia="Times New Roman" w:hAnsi="Times New Roman" w:cs="Times New Roman"/>
                <w:color w:val="000000"/>
                <w:lang w:val="en-IE" w:eastAsia="fr-FR"/>
              </w:rPr>
            </w:pPr>
            <w:r w:rsidRPr="004606DF">
              <w:rPr>
                <w:rFonts w:ascii="Times New Roman" w:eastAsia="Times New Roman" w:hAnsi="Times New Roman" w:cs="Times New Roman"/>
                <w:color w:val="000000"/>
                <w:lang w:val="en-IE" w:eastAsia="fr-FR"/>
              </w:rPr>
              <w:t>Peak #</w:t>
            </w:r>
          </w:p>
        </w:tc>
        <w:tc>
          <w:tcPr>
            <w:tcW w:w="1097" w:type="dxa"/>
            <w:noWrap/>
            <w:hideMark/>
          </w:tcPr>
          <w:p w14:paraId="7A9D0E5A" w14:textId="77777777" w:rsidR="00E627A5" w:rsidRPr="004606DF" w:rsidRDefault="00E627A5" w:rsidP="00D3379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IE" w:eastAsia="fr-FR"/>
              </w:rPr>
            </w:pPr>
            <w:r w:rsidRPr="004606DF">
              <w:rPr>
                <w:rFonts w:ascii="Times New Roman" w:eastAsia="Times New Roman" w:hAnsi="Times New Roman" w:cs="Times New Roman"/>
                <w:color w:val="000000"/>
                <w:lang w:val="en-IE" w:eastAsia="fr-FR"/>
              </w:rPr>
              <w:t>Ret Time</w:t>
            </w:r>
          </w:p>
        </w:tc>
        <w:tc>
          <w:tcPr>
            <w:tcW w:w="1210" w:type="dxa"/>
            <w:noWrap/>
            <w:hideMark/>
          </w:tcPr>
          <w:p w14:paraId="763C8556" w14:textId="77777777" w:rsidR="00E627A5" w:rsidRPr="004606DF" w:rsidRDefault="00E627A5" w:rsidP="00D3379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IE" w:eastAsia="fr-FR"/>
              </w:rPr>
            </w:pPr>
            <w:r w:rsidRPr="004606DF">
              <w:rPr>
                <w:rFonts w:ascii="Times New Roman" w:eastAsia="Times New Roman" w:hAnsi="Times New Roman" w:cs="Times New Roman"/>
                <w:color w:val="000000"/>
                <w:lang w:val="en-IE" w:eastAsia="fr-FR"/>
              </w:rPr>
              <w:t>%</w:t>
            </w:r>
          </w:p>
        </w:tc>
        <w:tc>
          <w:tcPr>
            <w:tcW w:w="4704" w:type="dxa"/>
            <w:noWrap/>
            <w:hideMark/>
          </w:tcPr>
          <w:p w14:paraId="0AD421B7" w14:textId="77777777" w:rsidR="00E627A5" w:rsidRPr="004606DF" w:rsidRDefault="00E627A5" w:rsidP="00D3379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IE" w:eastAsia="fr-FR"/>
              </w:rPr>
            </w:pPr>
            <w:r w:rsidRPr="004606DF">
              <w:rPr>
                <w:rFonts w:ascii="Times New Roman" w:eastAsia="Times New Roman" w:hAnsi="Times New Roman" w:cs="Times New Roman"/>
                <w:color w:val="000000"/>
                <w:lang w:val="en-IE" w:eastAsia="fr-FR"/>
              </w:rPr>
              <w:t>famille</w:t>
            </w:r>
          </w:p>
        </w:tc>
        <w:tc>
          <w:tcPr>
            <w:tcW w:w="2290" w:type="dxa"/>
            <w:noWrap/>
            <w:hideMark/>
          </w:tcPr>
          <w:p w14:paraId="071E2B7F" w14:textId="77777777" w:rsidR="00E627A5" w:rsidRPr="004606DF" w:rsidRDefault="00E627A5" w:rsidP="00D33796">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IE" w:eastAsia="fr-FR"/>
              </w:rPr>
            </w:pPr>
            <w:r w:rsidRPr="004606DF">
              <w:rPr>
                <w:rFonts w:ascii="Times New Roman" w:eastAsia="Times New Roman" w:hAnsi="Times New Roman" w:cs="Times New Roman"/>
                <w:color w:val="000000"/>
                <w:lang w:val="en-IE" w:eastAsia="fr-FR"/>
              </w:rPr>
              <w:t>formule</w:t>
            </w:r>
          </w:p>
        </w:tc>
      </w:tr>
      <w:tr w:rsidR="00E627A5" w:rsidRPr="00917AA9" w14:paraId="53B93396" w14:textId="77777777" w:rsidTr="00D3379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1D016907"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w:t>
            </w:r>
          </w:p>
        </w:tc>
        <w:tc>
          <w:tcPr>
            <w:tcW w:w="1097" w:type="dxa"/>
            <w:noWrap/>
            <w:hideMark/>
          </w:tcPr>
          <w:p w14:paraId="5A26FBB9"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6.847</w:t>
            </w:r>
          </w:p>
        </w:tc>
        <w:tc>
          <w:tcPr>
            <w:tcW w:w="1210" w:type="dxa"/>
            <w:noWrap/>
            <w:hideMark/>
          </w:tcPr>
          <w:p w14:paraId="2493BB4E"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0.7</w:t>
            </w:r>
          </w:p>
        </w:tc>
        <w:tc>
          <w:tcPr>
            <w:tcW w:w="4704" w:type="dxa"/>
            <w:noWrap/>
            <w:hideMark/>
          </w:tcPr>
          <w:p w14:paraId="528563AB"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Phenol. TMS derivative</w:t>
            </w:r>
          </w:p>
        </w:tc>
        <w:tc>
          <w:tcPr>
            <w:tcW w:w="2290" w:type="dxa"/>
            <w:noWrap/>
            <w:hideMark/>
          </w:tcPr>
          <w:p w14:paraId="624D8A22"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C9H14OSi</w:t>
            </w:r>
          </w:p>
        </w:tc>
      </w:tr>
      <w:tr w:rsidR="00E627A5" w:rsidRPr="00917AA9" w14:paraId="742A4E2E" w14:textId="77777777" w:rsidTr="00D33796">
        <w:trPr>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02FCD74A"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w:t>
            </w:r>
          </w:p>
        </w:tc>
        <w:tc>
          <w:tcPr>
            <w:tcW w:w="1097" w:type="dxa"/>
            <w:noWrap/>
            <w:hideMark/>
          </w:tcPr>
          <w:p w14:paraId="38DBE489"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8.436</w:t>
            </w:r>
          </w:p>
        </w:tc>
        <w:tc>
          <w:tcPr>
            <w:tcW w:w="1210" w:type="dxa"/>
            <w:noWrap/>
            <w:hideMark/>
          </w:tcPr>
          <w:p w14:paraId="66DB2D84"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0.3</w:t>
            </w:r>
          </w:p>
        </w:tc>
        <w:tc>
          <w:tcPr>
            <w:tcW w:w="4704" w:type="dxa"/>
            <w:noWrap/>
            <w:hideMark/>
          </w:tcPr>
          <w:p w14:paraId="016E1851"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o-Cresol. TMS derivative</w:t>
            </w:r>
          </w:p>
        </w:tc>
        <w:tc>
          <w:tcPr>
            <w:tcW w:w="2290" w:type="dxa"/>
            <w:noWrap/>
            <w:hideMark/>
          </w:tcPr>
          <w:p w14:paraId="77A79C76"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C10H16OSi</w:t>
            </w:r>
          </w:p>
        </w:tc>
      </w:tr>
      <w:tr w:rsidR="00E627A5" w:rsidRPr="00917AA9" w14:paraId="40E8CC4E" w14:textId="77777777" w:rsidTr="00D3379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16063512"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w:t>
            </w:r>
          </w:p>
        </w:tc>
        <w:tc>
          <w:tcPr>
            <w:tcW w:w="1097" w:type="dxa"/>
            <w:noWrap/>
            <w:hideMark/>
          </w:tcPr>
          <w:p w14:paraId="072EBED9"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8.64</w:t>
            </w:r>
          </w:p>
        </w:tc>
        <w:tc>
          <w:tcPr>
            <w:tcW w:w="1210" w:type="dxa"/>
            <w:noWrap/>
            <w:hideMark/>
          </w:tcPr>
          <w:p w14:paraId="275C2D00"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0.4</w:t>
            </w:r>
          </w:p>
        </w:tc>
        <w:tc>
          <w:tcPr>
            <w:tcW w:w="4704" w:type="dxa"/>
            <w:noWrap/>
            <w:hideMark/>
          </w:tcPr>
          <w:p w14:paraId="16372C40"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p-Cresol. TMS derivative</w:t>
            </w:r>
          </w:p>
        </w:tc>
        <w:tc>
          <w:tcPr>
            <w:tcW w:w="2290" w:type="dxa"/>
            <w:noWrap/>
            <w:hideMark/>
          </w:tcPr>
          <w:p w14:paraId="5DA93F28"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C10H16OSi</w:t>
            </w:r>
          </w:p>
        </w:tc>
      </w:tr>
      <w:tr w:rsidR="00E627A5" w:rsidRPr="00917AA9" w14:paraId="4F77276E" w14:textId="77777777" w:rsidTr="00D33796">
        <w:trPr>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3DF29FF5"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4</w:t>
            </w:r>
          </w:p>
        </w:tc>
        <w:tc>
          <w:tcPr>
            <w:tcW w:w="1097" w:type="dxa"/>
            <w:noWrap/>
            <w:hideMark/>
          </w:tcPr>
          <w:p w14:paraId="1FEF48C1"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8.842</w:t>
            </w:r>
          </w:p>
        </w:tc>
        <w:tc>
          <w:tcPr>
            <w:tcW w:w="1210" w:type="dxa"/>
            <w:noWrap/>
            <w:hideMark/>
          </w:tcPr>
          <w:p w14:paraId="39C6EA48"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0.4</w:t>
            </w:r>
          </w:p>
        </w:tc>
        <w:tc>
          <w:tcPr>
            <w:tcW w:w="4704" w:type="dxa"/>
            <w:noWrap/>
            <w:hideMark/>
          </w:tcPr>
          <w:p w14:paraId="1F16A1A7"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p-Cresol. TMS derivative</w:t>
            </w:r>
          </w:p>
        </w:tc>
        <w:tc>
          <w:tcPr>
            <w:tcW w:w="2290" w:type="dxa"/>
            <w:noWrap/>
            <w:hideMark/>
          </w:tcPr>
          <w:p w14:paraId="424440CF"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C10H16OSi</w:t>
            </w:r>
          </w:p>
        </w:tc>
      </w:tr>
      <w:tr w:rsidR="00E627A5" w:rsidRPr="00917AA9" w14:paraId="28F62165" w14:textId="77777777" w:rsidTr="00D3379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293085D2"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5</w:t>
            </w:r>
          </w:p>
        </w:tc>
        <w:tc>
          <w:tcPr>
            <w:tcW w:w="1097" w:type="dxa"/>
            <w:noWrap/>
            <w:hideMark/>
          </w:tcPr>
          <w:p w14:paraId="458AA17B"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10.351</w:t>
            </w:r>
          </w:p>
        </w:tc>
        <w:tc>
          <w:tcPr>
            <w:tcW w:w="1210" w:type="dxa"/>
            <w:noWrap/>
            <w:hideMark/>
          </w:tcPr>
          <w:p w14:paraId="7261BD81"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0.2</w:t>
            </w:r>
          </w:p>
        </w:tc>
        <w:tc>
          <w:tcPr>
            <w:tcW w:w="4704" w:type="dxa"/>
            <w:noWrap/>
            <w:hideMark/>
          </w:tcPr>
          <w:p w14:paraId="2AAFE531"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3.5-Dimethylphenol. TMS derivative</w:t>
            </w:r>
          </w:p>
        </w:tc>
        <w:tc>
          <w:tcPr>
            <w:tcW w:w="2290" w:type="dxa"/>
            <w:noWrap/>
            <w:hideMark/>
          </w:tcPr>
          <w:p w14:paraId="38F84EDC"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C11H18OSi</w:t>
            </w:r>
          </w:p>
        </w:tc>
      </w:tr>
      <w:tr w:rsidR="00E627A5" w:rsidRPr="00917AA9" w14:paraId="5A968D29" w14:textId="77777777" w:rsidTr="00D33796">
        <w:trPr>
          <w:trHeight w:val="295"/>
        </w:trPr>
        <w:tc>
          <w:tcPr>
            <w:cnfStyle w:val="001000000000" w:firstRow="0" w:lastRow="0" w:firstColumn="1" w:lastColumn="0" w:oddVBand="0" w:evenVBand="0" w:oddHBand="0" w:evenHBand="0" w:firstRowFirstColumn="0" w:firstRowLastColumn="0" w:lastRowFirstColumn="0" w:lastRowLastColumn="0"/>
            <w:tcW w:w="645" w:type="dxa"/>
            <w:noWrap/>
            <w:hideMark/>
          </w:tcPr>
          <w:p w14:paraId="056BE082"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6</w:t>
            </w:r>
          </w:p>
        </w:tc>
        <w:tc>
          <w:tcPr>
            <w:tcW w:w="1097" w:type="dxa"/>
            <w:noWrap/>
            <w:hideMark/>
          </w:tcPr>
          <w:p w14:paraId="16909347"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10.614</w:t>
            </w:r>
          </w:p>
        </w:tc>
        <w:tc>
          <w:tcPr>
            <w:tcW w:w="1210" w:type="dxa"/>
            <w:noWrap/>
            <w:hideMark/>
          </w:tcPr>
          <w:p w14:paraId="436EB92C"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0.4</w:t>
            </w:r>
          </w:p>
        </w:tc>
        <w:tc>
          <w:tcPr>
            <w:tcW w:w="4704" w:type="dxa"/>
            <w:noWrap/>
            <w:hideMark/>
          </w:tcPr>
          <w:p w14:paraId="09C2B789"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nd</w:t>
            </w:r>
          </w:p>
        </w:tc>
        <w:tc>
          <w:tcPr>
            <w:tcW w:w="2290" w:type="dxa"/>
            <w:noWrap/>
            <w:hideMark/>
          </w:tcPr>
          <w:p w14:paraId="0E07C17D"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nd</w:t>
            </w:r>
          </w:p>
        </w:tc>
      </w:tr>
      <w:tr w:rsidR="00E627A5" w:rsidRPr="00917AA9" w14:paraId="137EE40B" w14:textId="77777777" w:rsidTr="00D3379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5CB232F0"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7</w:t>
            </w:r>
          </w:p>
        </w:tc>
        <w:tc>
          <w:tcPr>
            <w:tcW w:w="1097" w:type="dxa"/>
            <w:noWrap/>
            <w:hideMark/>
          </w:tcPr>
          <w:p w14:paraId="3B59013F"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11.492</w:t>
            </w:r>
          </w:p>
        </w:tc>
        <w:tc>
          <w:tcPr>
            <w:tcW w:w="1210" w:type="dxa"/>
            <w:noWrap/>
            <w:hideMark/>
          </w:tcPr>
          <w:p w14:paraId="6091A27B"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0.6</w:t>
            </w:r>
          </w:p>
        </w:tc>
        <w:tc>
          <w:tcPr>
            <w:tcW w:w="4704" w:type="dxa"/>
            <w:noWrap/>
            <w:hideMark/>
          </w:tcPr>
          <w:p w14:paraId="4E13254B"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Phosphoric acid</w:t>
            </w:r>
          </w:p>
        </w:tc>
        <w:tc>
          <w:tcPr>
            <w:tcW w:w="2290" w:type="dxa"/>
            <w:noWrap/>
            <w:hideMark/>
          </w:tcPr>
          <w:p w14:paraId="4F8A9B91"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C9H27O4PSi3</w:t>
            </w:r>
          </w:p>
        </w:tc>
      </w:tr>
      <w:tr w:rsidR="00E627A5" w:rsidRPr="00917AA9" w14:paraId="6D37C137" w14:textId="77777777" w:rsidTr="00D33796">
        <w:trPr>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05FF2FB9"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8</w:t>
            </w:r>
          </w:p>
        </w:tc>
        <w:tc>
          <w:tcPr>
            <w:tcW w:w="1097" w:type="dxa"/>
            <w:noWrap/>
            <w:hideMark/>
          </w:tcPr>
          <w:p w14:paraId="29D688C0"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12.253</w:t>
            </w:r>
          </w:p>
        </w:tc>
        <w:tc>
          <w:tcPr>
            <w:tcW w:w="1210" w:type="dxa"/>
            <w:noWrap/>
            <w:hideMark/>
          </w:tcPr>
          <w:p w14:paraId="2648FE99"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1.3</w:t>
            </w:r>
          </w:p>
        </w:tc>
        <w:tc>
          <w:tcPr>
            <w:tcW w:w="4704" w:type="dxa"/>
            <w:noWrap/>
            <w:hideMark/>
          </w:tcPr>
          <w:p w14:paraId="595C0D0C"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Catechol. 2TMS derivative</w:t>
            </w:r>
          </w:p>
        </w:tc>
        <w:tc>
          <w:tcPr>
            <w:tcW w:w="2290" w:type="dxa"/>
            <w:noWrap/>
            <w:hideMark/>
          </w:tcPr>
          <w:p w14:paraId="3B6D5A8E"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C12H22O2Si2</w:t>
            </w:r>
          </w:p>
        </w:tc>
      </w:tr>
      <w:tr w:rsidR="00E627A5" w:rsidRPr="00917AA9" w14:paraId="19C696E6" w14:textId="77777777" w:rsidTr="00D33796">
        <w:trPr>
          <w:cnfStyle w:val="000000100000" w:firstRow="0" w:lastRow="0" w:firstColumn="0" w:lastColumn="0" w:oddVBand="0" w:evenVBand="0" w:oddHBand="1"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645" w:type="dxa"/>
            <w:noWrap/>
            <w:hideMark/>
          </w:tcPr>
          <w:p w14:paraId="0EFC4DB3"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9</w:t>
            </w:r>
          </w:p>
        </w:tc>
        <w:tc>
          <w:tcPr>
            <w:tcW w:w="1097" w:type="dxa"/>
            <w:noWrap/>
            <w:hideMark/>
          </w:tcPr>
          <w:p w14:paraId="003D831B"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13.645</w:t>
            </w:r>
          </w:p>
        </w:tc>
        <w:tc>
          <w:tcPr>
            <w:tcW w:w="1210" w:type="dxa"/>
            <w:noWrap/>
            <w:hideMark/>
          </w:tcPr>
          <w:p w14:paraId="52DB4354"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0.6</w:t>
            </w:r>
          </w:p>
        </w:tc>
        <w:tc>
          <w:tcPr>
            <w:tcW w:w="4704" w:type="dxa"/>
            <w:noWrap/>
            <w:hideMark/>
          </w:tcPr>
          <w:p w14:paraId="40B2C0EA"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4-Methylcatechol</w:t>
            </w:r>
          </w:p>
        </w:tc>
        <w:tc>
          <w:tcPr>
            <w:tcW w:w="2290" w:type="dxa"/>
            <w:noWrap/>
            <w:hideMark/>
          </w:tcPr>
          <w:p w14:paraId="249F993E" w14:textId="77777777" w:rsidR="00E627A5" w:rsidRPr="004606DF" w:rsidRDefault="00A32848"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hyperlink r:id="rId14" w:anchor="query=C7H8O2" w:tooltip="Find all compounds with formula C7H8O2" w:history="1">
              <w:r w:rsidR="00E627A5" w:rsidRPr="004606DF">
                <w:rPr>
                  <w:rFonts w:ascii="Times New Roman" w:eastAsia="Times New Roman" w:hAnsi="Times New Roman" w:cs="Times New Roman"/>
                  <w:color w:val="000000" w:themeColor="text1"/>
                  <w:lang w:val="en-IE" w:eastAsia="fr-FR"/>
                </w:rPr>
                <w:t>C7H8O2</w:t>
              </w:r>
            </w:hyperlink>
          </w:p>
        </w:tc>
      </w:tr>
      <w:tr w:rsidR="00E627A5" w:rsidRPr="00917AA9" w14:paraId="6A2ABB7A" w14:textId="77777777" w:rsidTr="00D33796">
        <w:trPr>
          <w:trHeight w:val="295"/>
        </w:trPr>
        <w:tc>
          <w:tcPr>
            <w:cnfStyle w:val="001000000000" w:firstRow="0" w:lastRow="0" w:firstColumn="1" w:lastColumn="0" w:oddVBand="0" w:evenVBand="0" w:oddHBand="0" w:evenHBand="0" w:firstRowFirstColumn="0" w:firstRowLastColumn="0" w:lastRowFirstColumn="0" w:lastRowLastColumn="0"/>
            <w:tcW w:w="645" w:type="dxa"/>
            <w:noWrap/>
            <w:hideMark/>
          </w:tcPr>
          <w:p w14:paraId="7297B1F2"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10</w:t>
            </w:r>
          </w:p>
        </w:tc>
        <w:tc>
          <w:tcPr>
            <w:tcW w:w="1097" w:type="dxa"/>
            <w:noWrap/>
            <w:hideMark/>
          </w:tcPr>
          <w:p w14:paraId="40927A30"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13.795</w:t>
            </w:r>
          </w:p>
        </w:tc>
        <w:tc>
          <w:tcPr>
            <w:tcW w:w="1210" w:type="dxa"/>
            <w:noWrap/>
            <w:hideMark/>
          </w:tcPr>
          <w:p w14:paraId="4E666538"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0.5</w:t>
            </w:r>
          </w:p>
        </w:tc>
        <w:tc>
          <w:tcPr>
            <w:tcW w:w="4704" w:type="dxa"/>
            <w:noWrap/>
            <w:hideMark/>
          </w:tcPr>
          <w:p w14:paraId="4945F0C2"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p-Trimethylsiloxynitrobenzene</w:t>
            </w:r>
          </w:p>
        </w:tc>
        <w:tc>
          <w:tcPr>
            <w:tcW w:w="2290" w:type="dxa"/>
            <w:noWrap/>
            <w:hideMark/>
          </w:tcPr>
          <w:p w14:paraId="1B320D08" w14:textId="77777777" w:rsidR="00E627A5" w:rsidRPr="004606DF" w:rsidRDefault="00A32848"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hyperlink r:id="rId15" w:tooltip="Show isotopic distribution" w:history="1">
              <w:r w:rsidR="00E627A5" w:rsidRPr="004606DF">
                <w:rPr>
                  <w:rFonts w:ascii="Times New Roman" w:eastAsia="Times New Roman" w:hAnsi="Times New Roman" w:cs="Times New Roman"/>
                  <w:color w:val="000000" w:themeColor="text1"/>
                  <w:lang w:val="en-IE" w:eastAsia="fr-FR"/>
                </w:rPr>
                <w:t>C9H13NO3Si</w:t>
              </w:r>
            </w:hyperlink>
          </w:p>
        </w:tc>
      </w:tr>
      <w:tr w:rsidR="00E627A5" w:rsidRPr="00917AA9" w14:paraId="5CCBC073" w14:textId="77777777" w:rsidTr="00D33796">
        <w:trPr>
          <w:cnfStyle w:val="000000100000" w:firstRow="0" w:lastRow="0" w:firstColumn="0" w:lastColumn="0" w:oddVBand="0" w:evenVBand="0" w:oddHBand="1"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645" w:type="dxa"/>
            <w:noWrap/>
            <w:hideMark/>
          </w:tcPr>
          <w:p w14:paraId="046733C8"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11</w:t>
            </w:r>
          </w:p>
        </w:tc>
        <w:tc>
          <w:tcPr>
            <w:tcW w:w="1097" w:type="dxa"/>
            <w:noWrap/>
            <w:hideMark/>
          </w:tcPr>
          <w:p w14:paraId="063A27D2"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13.839</w:t>
            </w:r>
          </w:p>
        </w:tc>
        <w:tc>
          <w:tcPr>
            <w:tcW w:w="1210" w:type="dxa"/>
            <w:noWrap/>
            <w:hideMark/>
          </w:tcPr>
          <w:p w14:paraId="0016648E"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0.5</w:t>
            </w:r>
          </w:p>
        </w:tc>
        <w:tc>
          <w:tcPr>
            <w:tcW w:w="4704" w:type="dxa"/>
            <w:noWrap/>
            <w:hideMark/>
          </w:tcPr>
          <w:p w14:paraId="761C5713"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3-Methylcatechol</w:t>
            </w:r>
          </w:p>
        </w:tc>
        <w:tc>
          <w:tcPr>
            <w:tcW w:w="2290" w:type="dxa"/>
            <w:hideMark/>
          </w:tcPr>
          <w:p w14:paraId="38457CA6" w14:textId="77777777" w:rsidR="00E627A5" w:rsidRPr="004606DF" w:rsidRDefault="00A32848"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hyperlink r:id="rId16" w:anchor="query=C7H8O2" w:tooltip="Find all compounds with formula C7H8O2" w:history="1">
              <w:r w:rsidR="00E627A5" w:rsidRPr="004606DF">
                <w:rPr>
                  <w:rFonts w:ascii="Times New Roman" w:eastAsia="Times New Roman" w:hAnsi="Times New Roman" w:cs="Times New Roman"/>
                  <w:color w:val="000000" w:themeColor="text1"/>
                  <w:lang w:val="en-IE" w:eastAsia="fr-FR"/>
                </w:rPr>
                <w:t>C7H8O2</w:t>
              </w:r>
            </w:hyperlink>
          </w:p>
        </w:tc>
      </w:tr>
      <w:tr w:rsidR="00E627A5" w:rsidRPr="00917AA9" w14:paraId="2FCA45FE" w14:textId="77777777" w:rsidTr="00D33796">
        <w:trPr>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0FA2D4F2"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12</w:t>
            </w:r>
          </w:p>
        </w:tc>
        <w:tc>
          <w:tcPr>
            <w:tcW w:w="1097" w:type="dxa"/>
            <w:noWrap/>
            <w:hideMark/>
          </w:tcPr>
          <w:p w14:paraId="74D0013B"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14.747</w:t>
            </w:r>
          </w:p>
        </w:tc>
        <w:tc>
          <w:tcPr>
            <w:tcW w:w="1210" w:type="dxa"/>
            <w:noWrap/>
            <w:hideMark/>
          </w:tcPr>
          <w:p w14:paraId="6ACC32E9"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0.3</w:t>
            </w:r>
          </w:p>
        </w:tc>
        <w:tc>
          <w:tcPr>
            <w:tcW w:w="4704" w:type="dxa"/>
            <w:noWrap/>
            <w:hideMark/>
          </w:tcPr>
          <w:p w14:paraId="36CA05DD"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Decanoic acid. TMS derivative</w:t>
            </w:r>
          </w:p>
        </w:tc>
        <w:tc>
          <w:tcPr>
            <w:tcW w:w="2290" w:type="dxa"/>
            <w:noWrap/>
            <w:hideMark/>
          </w:tcPr>
          <w:p w14:paraId="7F4FB471"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C13H28O2Si</w:t>
            </w:r>
          </w:p>
        </w:tc>
      </w:tr>
      <w:tr w:rsidR="00E627A5" w:rsidRPr="00917AA9" w14:paraId="450B4479" w14:textId="77777777" w:rsidTr="00D33796">
        <w:trPr>
          <w:cnfStyle w:val="000000100000" w:firstRow="0" w:lastRow="0" w:firstColumn="0" w:lastColumn="0" w:oddVBand="0" w:evenVBand="0" w:oddHBand="1"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645" w:type="dxa"/>
            <w:noWrap/>
            <w:hideMark/>
          </w:tcPr>
          <w:p w14:paraId="7DEBED52"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13</w:t>
            </w:r>
          </w:p>
        </w:tc>
        <w:tc>
          <w:tcPr>
            <w:tcW w:w="1097" w:type="dxa"/>
            <w:noWrap/>
            <w:hideMark/>
          </w:tcPr>
          <w:p w14:paraId="5EFC7100"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14.94</w:t>
            </w:r>
          </w:p>
        </w:tc>
        <w:tc>
          <w:tcPr>
            <w:tcW w:w="1210" w:type="dxa"/>
            <w:noWrap/>
            <w:hideMark/>
          </w:tcPr>
          <w:p w14:paraId="158803EA"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0.6</w:t>
            </w:r>
          </w:p>
        </w:tc>
        <w:tc>
          <w:tcPr>
            <w:tcW w:w="4704" w:type="dxa"/>
            <w:noWrap/>
            <w:hideMark/>
          </w:tcPr>
          <w:p w14:paraId="1E0AE59A"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nd</w:t>
            </w:r>
          </w:p>
        </w:tc>
        <w:tc>
          <w:tcPr>
            <w:tcW w:w="2290" w:type="dxa"/>
            <w:noWrap/>
            <w:hideMark/>
          </w:tcPr>
          <w:p w14:paraId="23170443"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nd</w:t>
            </w:r>
          </w:p>
        </w:tc>
      </w:tr>
      <w:tr w:rsidR="00E627A5" w:rsidRPr="00917AA9" w14:paraId="27289C1E" w14:textId="77777777" w:rsidTr="00D33796">
        <w:trPr>
          <w:trHeight w:val="295"/>
        </w:trPr>
        <w:tc>
          <w:tcPr>
            <w:cnfStyle w:val="001000000000" w:firstRow="0" w:lastRow="0" w:firstColumn="1" w:lastColumn="0" w:oddVBand="0" w:evenVBand="0" w:oddHBand="0" w:evenHBand="0" w:firstRowFirstColumn="0" w:firstRowLastColumn="0" w:lastRowFirstColumn="0" w:lastRowLastColumn="0"/>
            <w:tcW w:w="645" w:type="dxa"/>
            <w:noWrap/>
            <w:hideMark/>
          </w:tcPr>
          <w:p w14:paraId="5C4EB065"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14</w:t>
            </w:r>
          </w:p>
        </w:tc>
        <w:tc>
          <w:tcPr>
            <w:tcW w:w="1097" w:type="dxa"/>
            <w:noWrap/>
            <w:hideMark/>
          </w:tcPr>
          <w:p w14:paraId="51D1F5BF"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16.507</w:t>
            </w:r>
          </w:p>
        </w:tc>
        <w:tc>
          <w:tcPr>
            <w:tcW w:w="1210" w:type="dxa"/>
            <w:noWrap/>
            <w:hideMark/>
          </w:tcPr>
          <w:p w14:paraId="7ECD7F2B"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0.3</w:t>
            </w:r>
          </w:p>
        </w:tc>
        <w:tc>
          <w:tcPr>
            <w:tcW w:w="4704" w:type="dxa"/>
            <w:noWrap/>
            <w:hideMark/>
          </w:tcPr>
          <w:p w14:paraId="2C948C35"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nd</w:t>
            </w:r>
          </w:p>
        </w:tc>
        <w:tc>
          <w:tcPr>
            <w:tcW w:w="2290" w:type="dxa"/>
            <w:noWrap/>
            <w:hideMark/>
          </w:tcPr>
          <w:p w14:paraId="59D3A332"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nd</w:t>
            </w:r>
          </w:p>
        </w:tc>
      </w:tr>
      <w:tr w:rsidR="00E627A5" w:rsidRPr="00917AA9" w14:paraId="2DB3EA1E" w14:textId="77777777" w:rsidTr="00D3379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5BF9F467"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15</w:t>
            </w:r>
          </w:p>
        </w:tc>
        <w:tc>
          <w:tcPr>
            <w:tcW w:w="1097" w:type="dxa"/>
            <w:noWrap/>
            <w:hideMark/>
          </w:tcPr>
          <w:p w14:paraId="1F21F487"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18.066</w:t>
            </w:r>
          </w:p>
        </w:tc>
        <w:tc>
          <w:tcPr>
            <w:tcW w:w="1210" w:type="dxa"/>
            <w:noWrap/>
            <w:hideMark/>
          </w:tcPr>
          <w:p w14:paraId="74AEA21A"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6.8</w:t>
            </w:r>
          </w:p>
        </w:tc>
        <w:tc>
          <w:tcPr>
            <w:tcW w:w="4704" w:type="dxa"/>
            <w:noWrap/>
            <w:hideMark/>
          </w:tcPr>
          <w:p w14:paraId="6A8DAF16"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Dodecanoic acid. TMS derivative</w:t>
            </w:r>
          </w:p>
        </w:tc>
        <w:tc>
          <w:tcPr>
            <w:tcW w:w="2290" w:type="dxa"/>
            <w:noWrap/>
            <w:hideMark/>
          </w:tcPr>
          <w:p w14:paraId="5882D1B5"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C15H32O2Si</w:t>
            </w:r>
          </w:p>
        </w:tc>
      </w:tr>
      <w:tr w:rsidR="00E627A5" w:rsidRPr="00917AA9" w14:paraId="53875459" w14:textId="77777777" w:rsidTr="00D33796">
        <w:trPr>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6A2940CF"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16</w:t>
            </w:r>
          </w:p>
        </w:tc>
        <w:tc>
          <w:tcPr>
            <w:tcW w:w="1097" w:type="dxa"/>
            <w:noWrap/>
            <w:hideMark/>
          </w:tcPr>
          <w:p w14:paraId="4BA84314"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21.063</w:t>
            </w:r>
          </w:p>
        </w:tc>
        <w:tc>
          <w:tcPr>
            <w:tcW w:w="1210" w:type="dxa"/>
            <w:noWrap/>
            <w:hideMark/>
          </w:tcPr>
          <w:p w14:paraId="1122361A"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3.7</w:t>
            </w:r>
          </w:p>
        </w:tc>
        <w:tc>
          <w:tcPr>
            <w:tcW w:w="4704" w:type="dxa"/>
            <w:noWrap/>
            <w:hideMark/>
          </w:tcPr>
          <w:p w14:paraId="68824322"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Myristic acid. TMS derivative</w:t>
            </w:r>
          </w:p>
        </w:tc>
        <w:tc>
          <w:tcPr>
            <w:tcW w:w="2290" w:type="dxa"/>
            <w:noWrap/>
            <w:hideMark/>
          </w:tcPr>
          <w:p w14:paraId="68565853"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C17H36O2Si</w:t>
            </w:r>
          </w:p>
        </w:tc>
      </w:tr>
      <w:tr w:rsidR="00E627A5" w:rsidRPr="00917AA9" w14:paraId="38EB3831" w14:textId="77777777" w:rsidTr="00D3379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09BBBF44"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17</w:t>
            </w:r>
          </w:p>
        </w:tc>
        <w:tc>
          <w:tcPr>
            <w:tcW w:w="1097" w:type="dxa"/>
            <w:noWrap/>
            <w:hideMark/>
          </w:tcPr>
          <w:p w14:paraId="02A53A85"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21.79</w:t>
            </w:r>
          </w:p>
        </w:tc>
        <w:tc>
          <w:tcPr>
            <w:tcW w:w="1210" w:type="dxa"/>
            <w:noWrap/>
            <w:hideMark/>
          </w:tcPr>
          <w:p w14:paraId="17C2B73E"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1.3</w:t>
            </w:r>
          </w:p>
        </w:tc>
        <w:tc>
          <w:tcPr>
            <w:tcW w:w="4704" w:type="dxa"/>
            <w:noWrap/>
            <w:hideMark/>
          </w:tcPr>
          <w:p w14:paraId="23FC7E79"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Palmitic acid</w:t>
            </w:r>
          </w:p>
        </w:tc>
        <w:tc>
          <w:tcPr>
            <w:tcW w:w="2290" w:type="dxa"/>
            <w:noWrap/>
            <w:hideMark/>
          </w:tcPr>
          <w:p w14:paraId="288CB43C"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C16H31N</w:t>
            </w:r>
          </w:p>
        </w:tc>
      </w:tr>
      <w:tr w:rsidR="00E627A5" w:rsidRPr="00997462" w14:paraId="1D37A3EE" w14:textId="77777777" w:rsidTr="00D33796">
        <w:trPr>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32D773D6"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18</w:t>
            </w:r>
          </w:p>
        </w:tc>
        <w:tc>
          <w:tcPr>
            <w:tcW w:w="1097" w:type="dxa"/>
            <w:noWrap/>
            <w:hideMark/>
          </w:tcPr>
          <w:p w14:paraId="0E83AFE3"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22.123</w:t>
            </w:r>
          </w:p>
        </w:tc>
        <w:tc>
          <w:tcPr>
            <w:tcW w:w="1210" w:type="dxa"/>
            <w:noWrap/>
            <w:hideMark/>
          </w:tcPr>
          <w:p w14:paraId="6CFF5474"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0.3</w:t>
            </w:r>
          </w:p>
        </w:tc>
        <w:tc>
          <w:tcPr>
            <w:tcW w:w="4704" w:type="dxa"/>
            <w:noWrap/>
            <w:hideMark/>
          </w:tcPr>
          <w:p w14:paraId="1A57E0CD"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Palmitic acid</w:t>
            </w:r>
          </w:p>
        </w:tc>
        <w:tc>
          <w:tcPr>
            <w:tcW w:w="2290" w:type="dxa"/>
            <w:noWrap/>
            <w:hideMark/>
          </w:tcPr>
          <w:p w14:paraId="3857D949"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C17H34O2</w:t>
            </w:r>
          </w:p>
        </w:tc>
      </w:tr>
      <w:tr w:rsidR="00E627A5" w:rsidRPr="00997462" w14:paraId="2D12C20F" w14:textId="77777777" w:rsidTr="00D3379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7A98B634"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19</w:t>
            </w:r>
          </w:p>
        </w:tc>
        <w:tc>
          <w:tcPr>
            <w:tcW w:w="1097" w:type="dxa"/>
            <w:noWrap/>
            <w:hideMark/>
          </w:tcPr>
          <w:p w14:paraId="4F92D370"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23.825</w:t>
            </w:r>
          </w:p>
        </w:tc>
        <w:tc>
          <w:tcPr>
            <w:tcW w:w="1210" w:type="dxa"/>
            <w:noWrap/>
            <w:hideMark/>
          </w:tcPr>
          <w:p w14:paraId="4EC654EA"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11.0</w:t>
            </w:r>
          </w:p>
        </w:tc>
        <w:tc>
          <w:tcPr>
            <w:tcW w:w="4704" w:type="dxa"/>
            <w:noWrap/>
            <w:hideMark/>
          </w:tcPr>
          <w:p w14:paraId="29B47E0F"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Palmitic Acid. TMS derivative</w:t>
            </w:r>
          </w:p>
        </w:tc>
        <w:tc>
          <w:tcPr>
            <w:tcW w:w="2290" w:type="dxa"/>
            <w:noWrap/>
            <w:hideMark/>
          </w:tcPr>
          <w:p w14:paraId="0C54D241"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C19H40O2Si</w:t>
            </w:r>
          </w:p>
        </w:tc>
      </w:tr>
      <w:tr w:rsidR="00E627A5" w:rsidRPr="00997462" w14:paraId="0826CBEF" w14:textId="77777777" w:rsidTr="00D33796">
        <w:trPr>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43AB8700"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20</w:t>
            </w:r>
          </w:p>
        </w:tc>
        <w:tc>
          <w:tcPr>
            <w:tcW w:w="1097" w:type="dxa"/>
            <w:noWrap/>
            <w:hideMark/>
          </w:tcPr>
          <w:p w14:paraId="2666E4C4"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24.281</w:t>
            </w:r>
          </w:p>
        </w:tc>
        <w:tc>
          <w:tcPr>
            <w:tcW w:w="1210" w:type="dxa"/>
            <w:noWrap/>
            <w:hideMark/>
          </w:tcPr>
          <w:p w14:paraId="5462FDE8"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1.3</w:t>
            </w:r>
          </w:p>
        </w:tc>
        <w:tc>
          <w:tcPr>
            <w:tcW w:w="4704" w:type="dxa"/>
            <w:noWrap/>
            <w:hideMark/>
          </w:tcPr>
          <w:p w14:paraId="74B38ACA"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Oleic acid nitrile</w:t>
            </w:r>
          </w:p>
        </w:tc>
        <w:tc>
          <w:tcPr>
            <w:tcW w:w="2290" w:type="dxa"/>
            <w:noWrap/>
            <w:hideMark/>
          </w:tcPr>
          <w:p w14:paraId="26E05B99" w14:textId="77777777" w:rsidR="00E627A5" w:rsidRPr="004606DF" w:rsidRDefault="00A32848"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hyperlink r:id="rId17" w:anchor="query=C18H33N" w:tooltip="Find all compounds with formula C18H33N" w:history="1">
              <w:r w:rsidR="00E627A5" w:rsidRPr="004606DF">
                <w:rPr>
                  <w:rFonts w:ascii="Times New Roman" w:eastAsia="Times New Roman" w:hAnsi="Times New Roman" w:cs="Times New Roman"/>
                  <w:color w:val="000000" w:themeColor="text1"/>
                  <w:lang w:val="en-IE" w:eastAsia="fr-FR"/>
                </w:rPr>
                <w:t>C18H33N</w:t>
              </w:r>
            </w:hyperlink>
          </w:p>
        </w:tc>
      </w:tr>
      <w:tr w:rsidR="00E627A5" w:rsidRPr="00997462" w14:paraId="2C98A352" w14:textId="77777777" w:rsidTr="00D3379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536A5103"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21</w:t>
            </w:r>
          </w:p>
        </w:tc>
        <w:tc>
          <w:tcPr>
            <w:tcW w:w="1097" w:type="dxa"/>
            <w:noWrap/>
            <w:hideMark/>
          </w:tcPr>
          <w:p w14:paraId="30B2BAFB"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24.334</w:t>
            </w:r>
          </w:p>
        </w:tc>
        <w:tc>
          <w:tcPr>
            <w:tcW w:w="1210" w:type="dxa"/>
            <w:noWrap/>
            <w:hideMark/>
          </w:tcPr>
          <w:p w14:paraId="53BBEF52"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0.9</w:t>
            </w:r>
          </w:p>
        </w:tc>
        <w:tc>
          <w:tcPr>
            <w:tcW w:w="4704" w:type="dxa"/>
            <w:noWrap/>
            <w:hideMark/>
          </w:tcPr>
          <w:p w14:paraId="6BD90935"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Oleic acid nitrile</w:t>
            </w:r>
          </w:p>
        </w:tc>
        <w:tc>
          <w:tcPr>
            <w:tcW w:w="2290" w:type="dxa"/>
            <w:noWrap/>
            <w:hideMark/>
          </w:tcPr>
          <w:p w14:paraId="00433017" w14:textId="77777777" w:rsidR="00E627A5" w:rsidRPr="004606DF" w:rsidRDefault="00A32848"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hyperlink r:id="rId18" w:anchor="query=C18H33N" w:tooltip="Find all compounds with formula C18H33N" w:history="1">
              <w:r w:rsidR="00E627A5" w:rsidRPr="004606DF">
                <w:rPr>
                  <w:rFonts w:ascii="Times New Roman" w:eastAsia="Times New Roman" w:hAnsi="Times New Roman" w:cs="Times New Roman"/>
                  <w:color w:val="000000" w:themeColor="text1"/>
                  <w:lang w:val="en-IE" w:eastAsia="fr-FR"/>
                </w:rPr>
                <w:t>C18H33N</w:t>
              </w:r>
            </w:hyperlink>
          </w:p>
        </w:tc>
      </w:tr>
      <w:tr w:rsidR="00E627A5" w:rsidRPr="00997462" w14:paraId="08EB16CB" w14:textId="77777777" w:rsidTr="00D33796">
        <w:trPr>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76BE46C5"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22</w:t>
            </w:r>
          </w:p>
        </w:tc>
        <w:tc>
          <w:tcPr>
            <w:tcW w:w="1097" w:type="dxa"/>
            <w:noWrap/>
            <w:hideMark/>
          </w:tcPr>
          <w:p w14:paraId="7CADF4D0"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24.515</w:t>
            </w:r>
          </w:p>
        </w:tc>
        <w:tc>
          <w:tcPr>
            <w:tcW w:w="1210" w:type="dxa"/>
            <w:noWrap/>
            <w:hideMark/>
          </w:tcPr>
          <w:p w14:paraId="3895DC81"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1.9</w:t>
            </w:r>
          </w:p>
        </w:tc>
        <w:tc>
          <w:tcPr>
            <w:tcW w:w="4704" w:type="dxa"/>
            <w:noWrap/>
            <w:hideMark/>
          </w:tcPr>
          <w:p w14:paraId="68390DF6" w14:textId="77777777" w:rsidR="00E627A5" w:rsidRPr="00F70172"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s-ES" w:eastAsia="fr-FR"/>
              </w:rPr>
            </w:pPr>
            <w:r w:rsidRPr="00F70172">
              <w:rPr>
                <w:rFonts w:ascii="Times New Roman" w:eastAsia="Times New Roman" w:hAnsi="Times New Roman" w:cs="Times New Roman"/>
                <w:color w:val="000000" w:themeColor="text1"/>
                <w:lang w:val="es-ES" w:eastAsia="fr-FR"/>
              </w:rPr>
              <w:t>9-Octadecenoic acid (Z)-. methyl ester</w:t>
            </w:r>
          </w:p>
        </w:tc>
        <w:tc>
          <w:tcPr>
            <w:tcW w:w="2290" w:type="dxa"/>
            <w:noWrap/>
            <w:hideMark/>
          </w:tcPr>
          <w:p w14:paraId="6FD9930C"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C19H36O2</w:t>
            </w:r>
          </w:p>
        </w:tc>
      </w:tr>
      <w:tr w:rsidR="00E627A5" w:rsidRPr="00997462" w14:paraId="57C618E7" w14:textId="77777777" w:rsidTr="00D3379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3DD61EB9"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23</w:t>
            </w:r>
          </w:p>
        </w:tc>
        <w:tc>
          <w:tcPr>
            <w:tcW w:w="1097" w:type="dxa"/>
            <w:noWrap/>
            <w:hideMark/>
          </w:tcPr>
          <w:p w14:paraId="5A6562CB"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24.591</w:t>
            </w:r>
          </w:p>
        </w:tc>
        <w:tc>
          <w:tcPr>
            <w:tcW w:w="1210" w:type="dxa"/>
            <w:noWrap/>
            <w:hideMark/>
          </w:tcPr>
          <w:p w14:paraId="7E8BD970"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1.7</w:t>
            </w:r>
          </w:p>
        </w:tc>
        <w:tc>
          <w:tcPr>
            <w:tcW w:w="4704" w:type="dxa"/>
            <w:noWrap/>
            <w:hideMark/>
          </w:tcPr>
          <w:p w14:paraId="562199C5"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Hexadecanenitrile</w:t>
            </w:r>
          </w:p>
        </w:tc>
        <w:tc>
          <w:tcPr>
            <w:tcW w:w="2290" w:type="dxa"/>
            <w:noWrap/>
            <w:hideMark/>
          </w:tcPr>
          <w:p w14:paraId="6214EC9C"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C16H31N</w:t>
            </w:r>
          </w:p>
        </w:tc>
      </w:tr>
      <w:tr w:rsidR="00E627A5" w:rsidRPr="00997462" w14:paraId="3ABBD1AD" w14:textId="77777777" w:rsidTr="00D33796">
        <w:trPr>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65B635E6"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24</w:t>
            </w:r>
          </w:p>
        </w:tc>
        <w:tc>
          <w:tcPr>
            <w:tcW w:w="1097" w:type="dxa"/>
            <w:noWrap/>
            <w:hideMark/>
          </w:tcPr>
          <w:p w14:paraId="1A3EAC8C"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24.832</w:t>
            </w:r>
          </w:p>
        </w:tc>
        <w:tc>
          <w:tcPr>
            <w:tcW w:w="1210" w:type="dxa"/>
            <w:noWrap/>
            <w:hideMark/>
          </w:tcPr>
          <w:p w14:paraId="716E313A"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0.4</w:t>
            </w:r>
          </w:p>
        </w:tc>
        <w:tc>
          <w:tcPr>
            <w:tcW w:w="4704" w:type="dxa"/>
            <w:noWrap/>
            <w:hideMark/>
          </w:tcPr>
          <w:p w14:paraId="2B636B05" w14:textId="77777777" w:rsidR="00E627A5" w:rsidRPr="004606DF" w:rsidRDefault="00E627A5" w:rsidP="00D33796">
            <w:pPr>
              <w:ind w:firstLineChars="100" w:firstLine="22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Methyl stearate</w:t>
            </w:r>
          </w:p>
        </w:tc>
        <w:tc>
          <w:tcPr>
            <w:tcW w:w="2290" w:type="dxa"/>
            <w:noWrap/>
            <w:hideMark/>
          </w:tcPr>
          <w:p w14:paraId="200D567E"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C19H38O2</w:t>
            </w:r>
          </w:p>
        </w:tc>
      </w:tr>
      <w:tr w:rsidR="00E627A5" w:rsidRPr="00997462" w14:paraId="19A15025" w14:textId="77777777" w:rsidTr="00D3379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5267B2A3"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25</w:t>
            </w:r>
          </w:p>
        </w:tc>
        <w:tc>
          <w:tcPr>
            <w:tcW w:w="1097" w:type="dxa"/>
            <w:noWrap/>
            <w:hideMark/>
          </w:tcPr>
          <w:p w14:paraId="6F3CFA6B"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25.966</w:t>
            </w:r>
          </w:p>
        </w:tc>
        <w:tc>
          <w:tcPr>
            <w:tcW w:w="1210" w:type="dxa"/>
            <w:noWrap/>
            <w:hideMark/>
          </w:tcPr>
          <w:p w14:paraId="115FC798"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3.9</w:t>
            </w:r>
          </w:p>
        </w:tc>
        <w:tc>
          <w:tcPr>
            <w:tcW w:w="4704" w:type="dxa"/>
            <w:noWrap/>
            <w:hideMark/>
          </w:tcPr>
          <w:p w14:paraId="2278DB47" w14:textId="77777777" w:rsidR="00E627A5" w:rsidRPr="00F70172" w:rsidRDefault="00E627A5" w:rsidP="00D33796">
            <w:pPr>
              <w:ind w:firstLineChars="100" w:firstLine="22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u w:val="single"/>
                <w:lang w:val="es-ES" w:eastAsia="fr-FR"/>
              </w:rPr>
            </w:pPr>
            <w:r w:rsidRPr="00F70172">
              <w:rPr>
                <w:rFonts w:ascii="Times New Roman" w:eastAsia="Times New Roman" w:hAnsi="Times New Roman" w:cs="Times New Roman"/>
                <w:color w:val="000000" w:themeColor="text1"/>
                <w:u w:val="single"/>
                <w:lang w:val="es-ES" w:eastAsia="fr-FR"/>
              </w:rPr>
              <w:t>9.12-Octadecadienoic acid (Z.</w:t>
            </w:r>
            <w:r w:rsidRPr="00154628">
              <w:rPr>
                <w:rFonts w:ascii="Times New Roman" w:eastAsia="Times New Roman" w:hAnsi="Times New Roman" w:cs="Times New Roman"/>
                <w:color w:val="000000" w:themeColor="text1"/>
                <w:u w:val="single"/>
                <w:lang w:val="es-ES" w:eastAsia="fr-FR"/>
              </w:rPr>
              <w:t>Z)-.</w:t>
            </w:r>
            <w:r w:rsidRPr="00F70172">
              <w:rPr>
                <w:rFonts w:ascii="Times New Roman" w:eastAsia="Times New Roman" w:hAnsi="Times New Roman" w:cs="Times New Roman"/>
                <w:color w:val="000000" w:themeColor="text1"/>
                <w:u w:val="single"/>
                <w:lang w:val="es-ES" w:eastAsia="fr-FR"/>
              </w:rPr>
              <w:t xml:space="preserve"> TMS derivative</w:t>
            </w:r>
          </w:p>
        </w:tc>
        <w:tc>
          <w:tcPr>
            <w:tcW w:w="2290" w:type="dxa"/>
            <w:noWrap/>
            <w:hideMark/>
          </w:tcPr>
          <w:p w14:paraId="1180EA18"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C21H40O2Si</w:t>
            </w:r>
          </w:p>
        </w:tc>
      </w:tr>
      <w:tr w:rsidR="00E627A5" w:rsidRPr="00997462" w14:paraId="3434AF04" w14:textId="77777777" w:rsidTr="00D33796">
        <w:trPr>
          <w:trHeight w:val="295"/>
        </w:trPr>
        <w:tc>
          <w:tcPr>
            <w:cnfStyle w:val="001000000000" w:firstRow="0" w:lastRow="0" w:firstColumn="1" w:lastColumn="0" w:oddVBand="0" w:evenVBand="0" w:oddHBand="0" w:evenHBand="0" w:firstRowFirstColumn="0" w:firstRowLastColumn="0" w:lastRowFirstColumn="0" w:lastRowLastColumn="0"/>
            <w:tcW w:w="645" w:type="dxa"/>
            <w:noWrap/>
            <w:hideMark/>
          </w:tcPr>
          <w:p w14:paraId="5C8C6279"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26</w:t>
            </w:r>
          </w:p>
        </w:tc>
        <w:tc>
          <w:tcPr>
            <w:tcW w:w="1097" w:type="dxa"/>
            <w:noWrap/>
            <w:hideMark/>
          </w:tcPr>
          <w:p w14:paraId="10AA9D4B"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26.079</w:t>
            </w:r>
          </w:p>
        </w:tc>
        <w:tc>
          <w:tcPr>
            <w:tcW w:w="1210" w:type="dxa"/>
            <w:noWrap/>
            <w:hideMark/>
          </w:tcPr>
          <w:p w14:paraId="7C60F7D8"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33.9</w:t>
            </w:r>
          </w:p>
        </w:tc>
        <w:tc>
          <w:tcPr>
            <w:tcW w:w="4704" w:type="dxa"/>
            <w:noWrap/>
            <w:hideMark/>
          </w:tcPr>
          <w:p w14:paraId="2F11231D" w14:textId="77777777" w:rsidR="00E627A5" w:rsidRPr="00154628"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s-ES" w:eastAsia="fr-FR"/>
              </w:rPr>
            </w:pPr>
            <w:r w:rsidRPr="00F70172">
              <w:rPr>
                <w:rFonts w:ascii="Times New Roman" w:eastAsia="Times New Roman" w:hAnsi="Times New Roman" w:cs="Times New Roman"/>
                <w:color w:val="000000" w:themeColor="text1"/>
                <w:lang w:val="es-ES" w:eastAsia="fr-FR"/>
              </w:rPr>
              <w:t>9-Octadecenoic acid. (E)-</w:t>
            </w:r>
            <w:r w:rsidRPr="00154628">
              <w:rPr>
                <w:rFonts w:ascii="Times New Roman" w:eastAsia="Times New Roman" w:hAnsi="Times New Roman" w:cs="Times New Roman"/>
                <w:color w:val="000000" w:themeColor="text1"/>
                <w:lang w:val="es-ES" w:eastAsia="fr-FR"/>
              </w:rPr>
              <w:t>. TMS derivative</w:t>
            </w:r>
          </w:p>
        </w:tc>
        <w:tc>
          <w:tcPr>
            <w:tcW w:w="2290" w:type="dxa"/>
            <w:noWrap/>
            <w:hideMark/>
          </w:tcPr>
          <w:p w14:paraId="3F7CDCF0"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C21H42O2Si</w:t>
            </w:r>
          </w:p>
        </w:tc>
      </w:tr>
      <w:tr w:rsidR="00E627A5" w:rsidRPr="00997462" w14:paraId="7F09D11E" w14:textId="77777777" w:rsidTr="00D33796">
        <w:trPr>
          <w:cnfStyle w:val="000000100000" w:firstRow="0" w:lastRow="0" w:firstColumn="0" w:lastColumn="0" w:oddVBand="0" w:evenVBand="0" w:oddHBand="1"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645" w:type="dxa"/>
            <w:noWrap/>
            <w:hideMark/>
          </w:tcPr>
          <w:p w14:paraId="642AFF66"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27</w:t>
            </w:r>
          </w:p>
        </w:tc>
        <w:tc>
          <w:tcPr>
            <w:tcW w:w="1097" w:type="dxa"/>
            <w:noWrap/>
            <w:hideMark/>
          </w:tcPr>
          <w:p w14:paraId="6094C8D0"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26.14</w:t>
            </w:r>
          </w:p>
        </w:tc>
        <w:tc>
          <w:tcPr>
            <w:tcW w:w="1210" w:type="dxa"/>
            <w:noWrap/>
            <w:hideMark/>
          </w:tcPr>
          <w:p w14:paraId="46E8CED2"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10.5</w:t>
            </w:r>
          </w:p>
        </w:tc>
        <w:tc>
          <w:tcPr>
            <w:tcW w:w="4704" w:type="dxa"/>
            <w:noWrap/>
            <w:hideMark/>
          </w:tcPr>
          <w:p w14:paraId="6C532068"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Oleic Acid. (Z)-. TMS derivative</w:t>
            </w:r>
          </w:p>
        </w:tc>
        <w:tc>
          <w:tcPr>
            <w:tcW w:w="2290" w:type="dxa"/>
            <w:noWrap/>
            <w:hideMark/>
          </w:tcPr>
          <w:p w14:paraId="4C0F38FB"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C21H42O2Si</w:t>
            </w:r>
          </w:p>
        </w:tc>
      </w:tr>
      <w:tr w:rsidR="00E627A5" w:rsidRPr="00997462" w14:paraId="422EA6AD" w14:textId="77777777" w:rsidTr="00D33796">
        <w:trPr>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36A8673B"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28</w:t>
            </w:r>
          </w:p>
        </w:tc>
        <w:tc>
          <w:tcPr>
            <w:tcW w:w="1097" w:type="dxa"/>
            <w:noWrap/>
            <w:hideMark/>
          </w:tcPr>
          <w:p w14:paraId="758D1BAC"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26.348</w:t>
            </w:r>
          </w:p>
        </w:tc>
        <w:tc>
          <w:tcPr>
            <w:tcW w:w="1210" w:type="dxa"/>
            <w:noWrap/>
            <w:hideMark/>
          </w:tcPr>
          <w:p w14:paraId="416B7C23"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7.7</w:t>
            </w:r>
          </w:p>
        </w:tc>
        <w:tc>
          <w:tcPr>
            <w:tcW w:w="4704" w:type="dxa"/>
            <w:noWrap/>
            <w:hideMark/>
          </w:tcPr>
          <w:p w14:paraId="53861EDC"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Stearic acid. TMS derivative</w:t>
            </w:r>
          </w:p>
        </w:tc>
        <w:tc>
          <w:tcPr>
            <w:tcW w:w="2290" w:type="dxa"/>
            <w:noWrap/>
            <w:hideMark/>
          </w:tcPr>
          <w:p w14:paraId="5B5AB716"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C21H44O2Si</w:t>
            </w:r>
          </w:p>
        </w:tc>
      </w:tr>
      <w:tr w:rsidR="00E627A5" w:rsidRPr="00997462" w14:paraId="2C962D07" w14:textId="77777777" w:rsidTr="00D3379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12BD12F7"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29</w:t>
            </w:r>
          </w:p>
        </w:tc>
        <w:tc>
          <w:tcPr>
            <w:tcW w:w="1097" w:type="dxa"/>
            <w:noWrap/>
            <w:hideMark/>
          </w:tcPr>
          <w:p w14:paraId="7A8D5895"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27.069</w:t>
            </w:r>
          </w:p>
        </w:tc>
        <w:tc>
          <w:tcPr>
            <w:tcW w:w="1210" w:type="dxa"/>
            <w:noWrap/>
            <w:hideMark/>
          </w:tcPr>
          <w:p w14:paraId="1B8C3794"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0.7</w:t>
            </w:r>
          </w:p>
        </w:tc>
        <w:tc>
          <w:tcPr>
            <w:tcW w:w="4704" w:type="dxa"/>
            <w:noWrap/>
            <w:hideMark/>
          </w:tcPr>
          <w:p w14:paraId="6D3CEE85" w14:textId="77777777" w:rsidR="00E627A5" w:rsidRPr="00F70172"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s-ES" w:eastAsia="fr-FR"/>
              </w:rPr>
            </w:pPr>
            <w:r w:rsidRPr="00F70172">
              <w:rPr>
                <w:rFonts w:ascii="Times New Roman" w:eastAsia="Times New Roman" w:hAnsi="Times New Roman" w:cs="Times New Roman"/>
                <w:color w:val="000000" w:themeColor="text1"/>
                <w:lang w:val="es-ES" w:eastAsia="fr-FR"/>
              </w:rPr>
              <w:t>9.</w:t>
            </w:r>
            <w:r w:rsidRPr="00154628">
              <w:rPr>
                <w:rFonts w:ascii="Times New Roman" w:eastAsia="Times New Roman" w:hAnsi="Times New Roman" w:cs="Times New Roman"/>
                <w:color w:val="000000" w:themeColor="text1"/>
                <w:lang w:val="es-ES" w:eastAsia="fr-FR"/>
              </w:rPr>
              <w:t>12-Octadecadienoic acid (Z.</w:t>
            </w:r>
            <w:r w:rsidRPr="00F70172">
              <w:rPr>
                <w:rFonts w:ascii="Times New Roman" w:eastAsia="Times New Roman" w:hAnsi="Times New Roman" w:cs="Times New Roman"/>
                <w:color w:val="000000" w:themeColor="text1"/>
                <w:lang w:val="es-ES" w:eastAsia="fr-FR"/>
              </w:rPr>
              <w:t>Z)-. TMS derivative</w:t>
            </w:r>
          </w:p>
        </w:tc>
        <w:tc>
          <w:tcPr>
            <w:tcW w:w="2290" w:type="dxa"/>
            <w:noWrap/>
            <w:hideMark/>
          </w:tcPr>
          <w:p w14:paraId="559768A4"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C21H40O2Si</w:t>
            </w:r>
          </w:p>
        </w:tc>
      </w:tr>
      <w:tr w:rsidR="00E627A5" w:rsidRPr="00997462" w14:paraId="3D681E8C" w14:textId="77777777" w:rsidTr="00D33796">
        <w:trPr>
          <w:trHeight w:val="369"/>
        </w:trPr>
        <w:tc>
          <w:tcPr>
            <w:cnfStyle w:val="001000000000" w:firstRow="0" w:lastRow="0" w:firstColumn="1" w:lastColumn="0" w:oddVBand="0" w:evenVBand="0" w:oddHBand="0" w:evenHBand="0" w:firstRowFirstColumn="0" w:firstRowLastColumn="0" w:lastRowFirstColumn="0" w:lastRowLastColumn="0"/>
            <w:tcW w:w="645" w:type="dxa"/>
            <w:noWrap/>
            <w:hideMark/>
          </w:tcPr>
          <w:p w14:paraId="184A2A08"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30</w:t>
            </w:r>
          </w:p>
        </w:tc>
        <w:tc>
          <w:tcPr>
            <w:tcW w:w="1097" w:type="dxa"/>
            <w:noWrap/>
            <w:hideMark/>
          </w:tcPr>
          <w:p w14:paraId="703B2921"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28.366</w:t>
            </w:r>
          </w:p>
        </w:tc>
        <w:tc>
          <w:tcPr>
            <w:tcW w:w="1210" w:type="dxa"/>
            <w:noWrap/>
            <w:hideMark/>
          </w:tcPr>
          <w:p w14:paraId="28A5C7FB"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1.43177335</w:t>
            </w:r>
          </w:p>
        </w:tc>
        <w:tc>
          <w:tcPr>
            <w:tcW w:w="4704" w:type="dxa"/>
            <w:noWrap/>
            <w:hideMark/>
          </w:tcPr>
          <w:p w14:paraId="7AF5BEB9"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oleoamide</w:t>
            </w:r>
          </w:p>
        </w:tc>
        <w:tc>
          <w:tcPr>
            <w:tcW w:w="2290" w:type="dxa"/>
            <w:noWrap/>
            <w:hideMark/>
          </w:tcPr>
          <w:p w14:paraId="40A2B78B"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w:t>
            </w:r>
            <w:r w:rsidRPr="004606DF">
              <w:rPr>
                <w:rFonts w:ascii="Times New Roman" w:eastAsia="Times New Roman" w:hAnsi="Times New Roman" w:cs="Times New Roman"/>
                <w:color w:val="000000" w:themeColor="text1"/>
                <w:vertAlign w:val="subscript"/>
                <w:lang w:val="en-IE" w:eastAsia="fr-FR"/>
              </w:rPr>
              <w:t>18</w:t>
            </w:r>
            <w:r w:rsidRPr="004606DF">
              <w:rPr>
                <w:rFonts w:ascii="Times New Roman" w:eastAsia="Times New Roman" w:hAnsi="Times New Roman" w:cs="Times New Roman"/>
                <w:color w:val="000000" w:themeColor="text1"/>
                <w:lang w:val="en-IE" w:eastAsia="fr-FR"/>
              </w:rPr>
              <w:t>H</w:t>
            </w:r>
            <w:r w:rsidRPr="004606DF">
              <w:rPr>
                <w:rFonts w:ascii="Times New Roman" w:eastAsia="Times New Roman" w:hAnsi="Times New Roman" w:cs="Times New Roman"/>
                <w:color w:val="000000" w:themeColor="text1"/>
                <w:vertAlign w:val="subscript"/>
                <w:lang w:val="en-IE" w:eastAsia="fr-FR"/>
              </w:rPr>
              <w:t>35</w:t>
            </w:r>
            <w:r w:rsidRPr="004606DF">
              <w:rPr>
                <w:rFonts w:ascii="Times New Roman" w:eastAsia="Times New Roman" w:hAnsi="Times New Roman" w:cs="Times New Roman"/>
                <w:color w:val="000000" w:themeColor="text1"/>
                <w:lang w:val="en-IE" w:eastAsia="fr-FR"/>
              </w:rPr>
              <w:t>NO</w:t>
            </w:r>
          </w:p>
        </w:tc>
      </w:tr>
      <w:tr w:rsidR="00E627A5" w:rsidRPr="00997462" w14:paraId="1296DB68" w14:textId="77777777" w:rsidTr="00D33796">
        <w:trPr>
          <w:cnfStyle w:val="000000100000" w:firstRow="0" w:lastRow="0" w:firstColumn="0" w:lastColumn="0" w:oddVBand="0" w:evenVBand="0" w:oddHBand="1"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645" w:type="dxa"/>
            <w:noWrap/>
            <w:hideMark/>
          </w:tcPr>
          <w:p w14:paraId="5E68AC89"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31</w:t>
            </w:r>
          </w:p>
        </w:tc>
        <w:tc>
          <w:tcPr>
            <w:tcW w:w="1097" w:type="dxa"/>
            <w:noWrap/>
            <w:hideMark/>
          </w:tcPr>
          <w:p w14:paraId="70AFEF24"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28.433</w:t>
            </w:r>
          </w:p>
        </w:tc>
        <w:tc>
          <w:tcPr>
            <w:tcW w:w="1210" w:type="dxa"/>
            <w:noWrap/>
            <w:hideMark/>
          </w:tcPr>
          <w:p w14:paraId="28761D15"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1.13856685</w:t>
            </w:r>
          </w:p>
        </w:tc>
        <w:tc>
          <w:tcPr>
            <w:tcW w:w="4704" w:type="dxa"/>
            <w:noWrap/>
            <w:hideMark/>
          </w:tcPr>
          <w:p w14:paraId="564682C6"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nd</w:t>
            </w:r>
          </w:p>
        </w:tc>
        <w:tc>
          <w:tcPr>
            <w:tcW w:w="2290" w:type="dxa"/>
            <w:noWrap/>
            <w:hideMark/>
          </w:tcPr>
          <w:p w14:paraId="6A13BF18"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nd</w:t>
            </w:r>
          </w:p>
        </w:tc>
      </w:tr>
      <w:tr w:rsidR="00E627A5" w:rsidRPr="00997462" w14:paraId="71AF9F41" w14:textId="77777777" w:rsidTr="00D33796">
        <w:trPr>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406BD689"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32</w:t>
            </w:r>
          </w:p>
        </w:tc>
        <w:tc>
          <w:tcPr>
            <w:tcW w:w="1097" w:type="dxa"/>
            <w:noWrap/>
            <w:hideMark/>
          </w:tcPr>
          <w:p w14:paraId="041210A0"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28.658</w:t>
            </w:r>
          </w:p>
        </w:tc>
        <w:tc>
          <w:tcPr>
            <w:tcW w:w="1210" w:type="dxa"/>
            <w:noWrap/>
            <w:hideMark/>
          </w:tcPr>
          <w:p w14:paraId="44148F35"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1.13536311</w:t>
            </w:r>
          </w:p>
        </w:tc>
        <w:tc>
          <w:tcPr>
            <w:tcW w:w="4704" w:type="dxa"/>
            <w:noWrap/>
            <w:hideMark/>
          </w:tcPr>
          <w:p w14:paraId="63C6D039"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Arachidic acid. TMS derivative</w:t>
            </w:r>
          </w:p>
        </w:tc>
        <w:tc>
          <w:tcPr>
            <w:tcW w:w="2290" w:type="dxa"/>
            <w:noWrap/>
            <w:hideMark/>
          </w:tcPr>
          <w:p w14:paraId="5D2F1118"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C23H48O2Si</w:t>
            </w:r>
          </w:p>
        </w:tc>
      </w:tr>
      <w:tr w:rsidR="00E627A5" w:rsidRPr="00997462" w14:paraId="75298B59" w14:textId="77777777" w:rsidTr="00D3379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797D8323"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33</w:t>
            </w:r>
          </w:p>
        </w:tc>
        <w:tc>
          <w:tcPr>
            <w:tcW w:w="1097" w:type="dxa"/>
            <w:noWrap/>
            <w:hideMark/>
          </w:tcPr>
          <w:p w14:paraId="5F1CBFBD"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30.4</w:t>
            </w:r>
          </w:p>
        </w:tc>
        <w:tc>
          <w:tcPr>
            <w:tcW w:w="1210" w:type="dxa"/>
            <w:noWrap/>
            <w:hideMark/>
          </w:tcPr>
          <w:p w14:paraId="6CF49065"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0.85719016</w:t>
            </w:r>
          </w:p>
        </w:tc>
        <w:tc>
          <w:tcPr>
            <w:tcW w:w="4704" w:type="dxa"/>
            <w:noWrap/>
            <w:hideMark/>
          </w:tcPr>
          <w:p w14:paraId="7D54719E"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1-Monopalmitin. 2TMS derivative</w:t>
            </w:r>
          </w:p>
        </w:tc>
        <w:tc>
          <w:tcPr>
            <w:tcW w:w="2290" w:type="dxa"/>
            <w:noWrap/>
            <w:hideMark/>
          </w:tcPr>
          <w:p w14:paraId="2B97AF37"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C25H54O4Si2</w:t>
            </w:r>
          </w:p>
        </w:tc>
      </w:tr>
      <w:tr w:rsidR="00E627A5" w:rsidRPr="00997462" w14:paraId="2DFFC49F" w14:textId="77777777" w:rsidTr="00D33796">
        <w:trPr>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55D3C247"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34</w:t>
            </w:r>
          </w:p>
        </w:tc>
        <w:tc>
          <w:tcPr>
            <w:tcW w:w="1097" w:type="dxa"/>
            <w:noWrap/>
            <w:hideMark/>
          </w:tcPr>
          <w:p w14:paraId="37D0FBD4"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30.814</w:t>
            </w:r>
          </w:p>
        </w:tc>
        <w:tc>
          <w:tcPr>
            <w:tcW w:w="1210" w:type="dxa"/>
            <w:noWrap/>
            <w:hideMark/>
          </w:tcPr>
          <w:p w14:paraId="6759CC47"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0.45575842</w:t>
            </w:r>
          </w:p>
        </w:tc>
        <w:tc>
          <w:tcPr>
            <w:tcW w:w="4704" w:type="dxa"/>
            <w:noWrap/>
            <w:hideMark/>
          </w:tcPr>
          <w:p w14:paraId="7AFEBEF1"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Behenic acid. TMS derivative</w:t>
            </w:r>
          </w:p>
        </w:tc>
        <w:tc>
          <w:tcPr>
            <w:tcW w:w="2290" w:type="dxa"/>
            <w:noWrap/>
            <w:hideMark/>
          </w:tcPr>
          <w:p w14:paraId="19F02D1F"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C25H52O2Si</w:t>
            </w:r>
          </w:p>
        </w:tc>
      </w:tr>
      <w:tr w:rsidR="00E627A5" w:rsidRPr="00997462" w14:paraId="05D31AA1" w14:textId="77777777" w:rsidTr="00D3379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4826D0BE"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35</w:t>
            </w:r>
          </w:p>
        </w:tc>
        <w:tc>
          <w:tcPr>
            <w:tcW w:w="1097" w:type="dxa"/>
            <w:noWrap/>
            <w:hideMark/>
          </w:tcPr>
          <w:p w14:paraId="1422DFB8"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32.165</w:t>
            </w:r>
          </w:p>
        </w:tc>
        <w:tc>
          <w:tcPr>
            <w:tcW w:w="1210" w:type="dxa"/>
            <w:noWrap/>
            <w:hideMark/>
          </w:tcPr>
          <w:p w14:paraId="18ED4F64"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0.42408483</w:t>
            </w:r>
          </w:p>
        </w:tc>
        <w:tc>
          <w:tcPr>
            <w:tcW w:w="4704" w:type="dxa"/>
            <w:noWrap/>
            <w:hideMark/>
          </w:tcPr>
          <w:p w14:paraId="630B75FC"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1-Monooleoylglycerol. 2TMS derivative</w:t>
            </w:r>
          </w:p>
        </w:tc>
        <w:tc>
          <w:tcPr>
            <w:tcW w:w="2290" w:type="dxa"/>
            <w:noWrap/>
            <w:hideMark/>
          </w:tcPr>
          <w:p w14:paraId="49BA2966"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C27H56O4Si2</w:t>
            </w:r>
          </w:p>
        </w:tc>
      </w:tr>
      <w:tr w:rsidR="00E627A5" w:rsidRPr="00997462" w14:paraId="7C158438" w14:textId="77777777" w:rsidTr="00D33796">
        <w:trPr>
          <w:trHeight w:val="295"/>
        </w:trPr>
        <w:tc>
          <w:tcPr>
            <w:cnfStyle w:val="001000000000" w:firstRow="0" w:lastRow="0" w:firstColumn="1" w:lastColumn="0" w:oddVBand="0" w:evenVBand="0" w:oddHBand="0" w:evenHBand="0" w:firstRowFirstColumn="0" w:firstRowLastColumn="0" w:lastRowFirstColumn="0" w:lastRowLastColumn="0"/>
            <w:tcW w:w="645" w:type="dxa"/>
            <w:noWrap/>
            <w:hideMark/>
          </w:tcPr>
          <w:p w14:paraId="0EB14D89"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36</w:t>
            </w:r>
          </w:p>
        </w:tc>
        <w:tc>
          <w:tcPr>
            <w:tcW w:w="1097" w:type="dxa"/>
            <w:noWrap/>
            <w:hideMark/>
          </w:tcPr>
          <w:p w14:paraId="42F83957"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32.396</w:t>
            </w:r>
          </w:p>
        </w:tc>
        <w:tc>
          <w:tcPr>
            <w:tcW w:w="1210" w:type="dxa"/>
            <w:noWrap/>
            <w:hideMark/>
          </w:tcPr>
          <w:p w14:paraId="47BC9DC4"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1.09140811</w:t>
            </w:r>
          </w:p>
        </w:tc>
        <w:tc>
          <w:tcPr>
            <w:tcW w:w="4704" w:type="dxa"/>
            <w:noWrap/>
            <w:hideMark/>
          </w:tcPr>
          <w:p w14:paraId="29FD35E8"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nd</w:t>
            </w:r>
          </w:p>
        </w:tc>
        <w:tc>
          <w:tcPr>
            <w:tcW w:w="2290" w:type="dxa"/>
            <w:noWrap/>
            <w:hideMark/>
          </w:tcPr>
          <w:p w14:paraId="7209C69E" w14:textId="77777777" w:rsidR="00E627A5" w:rsidRPr="004606DF" w:rsidRDefault="00E627A5" w:rsidP="00D3379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nd</w:t>
            </w:r>
          </w:p>
        </w:tc>
      </w:tr>
      <w:tr w:rsidR="00E627A5" w:rsidRPr="00997462" w14:paraId="351B445F" w14:textId="77777777" w:rsidTr="00D33796">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645" w:type="dxa"/>
            <w:noWrap/>
            <w:hideMark/>
          </w:tcPr>
          <w:p w14:paraId="607E5D0A" w14:textId="77777777" w:rsidR="00E627A5" w:rsidRPr="004606DF" w:rsidRDefault="00E627A5" w:rsidP="00D33796">
            <w:pPr>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37</w:t>
            </w:r>
          </w:p>
        </w:tc>
        <w:tc>
          <w:tcPr>
            <w:tcW w:w="1097" w:type="dxa"/>
            <w:noWrap/>
            <w:hideMark/>
          </w:tcPr>
          <w:p w14:paraId="6AC43CD8"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32.829</w:t>
            </w:r>
          </w:p>
        </w:tc>
        <w:tc>
          <w:tcPr>
            <w:tcW w:w="1210" w:type="dxa"/>
            <w:noWrap/>
            <w:hideMark/>
          </w:tcPr>
          <w:p w14:paraId="055F201C"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0.31986733</w:t>
            </w:r>
          </w:p>
        </w:tc>
        <w:tc>
          <w:tcPr>
            <w:tcW w:w="4704" w:type="dxa"/>
            <w:noWrap/>
            <w:hideMark/>
          </w:tcPr>
          <w:p w14:paraId="2D5F8C65"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Lignoceric acid. TMS derivative</w:t>
            </w:r>
          </w:p>
        </w:tc>
        <w:tc>
          <w:tcPr>
            <w:tcW w:w="2290" w:type="dxa"/>
            <w:noWrap/>
            <w:hideMark/>
          </w:tcPr>
          <w:p w14:paraId="4599B756" w14:textId="77777777" w:rsidR="00E627A5" w:rsidRPr="004606DF" w:rsidRDefault="00E627A5" w:rsidP="00D3379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IE" w:eastAsia="fr-FR"/>
              </w:rPr>
            </w:pPr>
            <w:r w:rsidRPr="004606DF">
              <w:rPr>
                <w:rFonts w:ascii="Times New Roman" w:eastAsia="Times New Roman" w:hAnsi="Times New Roman" w:cs="Times New Roman"/>
                <w:color w:val="000000" w:themeColor="text1"/>
                <w:lang w:val="en-IE" w:eastAsia="fr-FR"/>
              </w:rPr>
              <w:t>C27H56O2Si</w:t>
            </w:r>
          </w:p>
        </w:tc>
      </w:tr>
    </w:tbl>
    <w:p w14:paraId="0071EE6A" w14:textId="0C18DA14" w:rsidR="00E627A5" w:rsidRDefault="00E627A5" w:rsidP="00C20823"/>
    <w:p w14:paraId="16420D8E" w14:textId="77777777" w:rsidR="00C20823" w:rsidRDefault="00C20823" w:rsidP="00C20823">
      <w:pPr>
        <w:rPr>
          <w:lang w:val="en-GB"/>
        </w:rPr>
      </w:pPr>
      <w:r>
        <w:rPr>
          <w:noProof/>
          <w:lang w:eastAsia="fr-FR"/>
        </w:rPr>
        <w:lastRenderedPageBreak/>
        <w:drawing>
          <wp:inline distT="0" distB="0" distL="0" distR="0" wp14:anchorId="2EA6DA3D" wp14:editId="520F1360">
            <wp:extent cx="5760720" cy="2263140"/>
            <wp:effectExtent l="0" t="0" r="0" b="3810"/>
            <wp:docPr id="143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9" name="Picture 3"/>
                    <pic:cNvPicPr>
                      <a:picLocks noChangeAspect="1" noChangeArrowheads="1"/>
                    </pic:cNvPicPr>
                  </pic:nvPicPr>
                  <pic:blipFill>
                    <a:blip r:embed="rId19" cstate="print"/>
                    <a:srcRect l="15000" t="7143" b="49143"/>
                    <a:stretch>
                      <a:fillRect/>
                    </a:stretch>
                  </pic:blipFill>
                  <pic:spPr bwMode="auto">
                    <a:xfrm>
                      <a:off x="0" y="0"/>
                      <a:ext cx="5760720" cy="2263140"/>
                    </a:xfrm>
                    <a:prstGeom prst="rect">
                      <a:avLst/>
                    </a:prstGeom>
                    <a:noFill/>
                    <a:ln w="1">
                      <a:noFill/>
                      <a:miter lim="800000"/>
                      <a:headEnd/>
                      <a:tailEnd type="none" w="med" len="med"/>
                    </a:ln>
                    <a:effectLst/>
                  </pic:spPr>
                </pic:pic>
              </a:graphicData>
            </a:graphic>
          </wp:inline>
        </w:drawing>
      </w:r>
    </w:p>
    <w:p w14:paraId="4C7A3333" w14:textId="77777777" w:rsidR="004B4D72" w:rsidRPr="004B4D72" w:rsidRDefault="004B4D72" w:rsidP="004B4D72">
      <w:pPr>
        <w:rPr>
          <w:rFonts w:ascii="Times New Roman" w:hAnsi="Times New Roman" w:cs="Times New Roman"/>
          <w:b/>
          <w:sz w:val="24"/>
          <w:lang w:val="en-GB"/>
        </w:rPr>
      </w:pPr>
      <w:r w:rsidRPr="004B4D72">
        <w:rPr>
          <w:rFonts w:ascii="Times New Roman" w:hAnsi="Times New Roman" w:cs="Times New Roman"/>
          <w:b/>
          <w:sz w:val="24"/>
          <w:lang w:val="en-GB"/>
        </w:rPr>
        <w:t xml:space="preserve">Figure SI </w:t>
      </w:r>
      <w:r>
        <w:rPr>
          <w:rFonts w:ascii="Times New Roman" w:hAnsi="Times New Roman" w:cs="Times New Roman"/>
          <w:b/>
          <w:sz w:val="24"/>
          <w:lang w:val="en-GB"/>
        </w:rPr>
        <w:t>3</w:t>
      </w:r>
      <w:r w:rsidRPr="004B4D72">
        <w:rPr>
          <w:rFonts w:ascii="Times New Roman" w:hAnsi="Times New Roman" w:cs="Times New Roman"/>
          <w:b/>
          <w:sz w:val="24"/>
          <w:lang w:val="en-GB"/>
        </w:rPr>
        <w:t xml:space="preserve"> TIC of bio-oil produced at 600°C</w:t>
      </w:r>
    </w:p>
    <w:p w14:paraId="45E9ADE8" w14:textId="5725DF94" w:rsidR="00134D5A" w:rsidRPr="000926D5" w:rsidRDefault="00134D5A" w:rsidP="00134D5A">
      <w:pPr>
        <w:rPr>
          <w:lang w:val="en-GB"/>
        </w:rPr>
      </w:pPr>
    </w:p>
    <w:p w14:paraId="30C17CE4" w14:textId="4355827B" w:rsidR="00134D5A" w:rsidRPr="00E627A5" w:rsidRDefault="00134D5A" w:rsidP="00134D5A">
      <w:pPr>
        <w:rPr>
          <w:lang w:val="en-GB"/>
        </w:rPr>
      </w:pPr>
    </w:p>
    <w:p w14:paraId="09E107FB" w14:textId="77777777" w:rsidR="00134D5A" w:rsidRPr="00E627A5" w:rsidRDefault="00134D5A" w:rsidP="00134D5A">
      <w:pPr>
        <w:rPr>
          <w:lang w:val="en-GB"/>
        </w:rPr>
      </w:pPr>
    </w:p>
    <w:p w14:paraId="18FBD0CC" w14:textId="77777777" w:rsidR="00134D5A" w:rsidRPr="00E627A5" w:rsidRDefault="00134D5A" w:rsidP="00134D5A">
      <w:pPr>
        <w:rPr>
          <w:lang w:val="en-GB"/>
        </w:rPr>
      </w:pPr>
    </w:p>
    <w:p w14:paraId="0F85E6D2" w14:textId="77777777" w:rsidR="00134D5A" w:rsidRPr="00E627A5" w:rsidRDefault="00134D5A" w:rsidP="00134D5A">
      <w:pPr>
        <w:rPr>
          <w:lang w:val="en-GB"/>
        </w:rPr>
      </w:pPr>
    </w:p>
    <w:p w14:paraId="1EF4CF6C" w14:textId="77777777" w:rsidR="00134D5A" w:rsidRPr="00E627A5" w:rsidRDefault="00134D5A" w:rsidP="00134D5A">
      <w:pPr>
        <w:rPr>
          <w:lang w:val="en-GB"/>
        </w:rPr>
      </w:pPr>
    </w:p>
    <w:p w14:paraId="30C62080" w14:textId="77777777" w:rsidR="00134D5A" w:rsidRPr="00E627A5" w:rsidRDefault="00134D5A" w:rsidP="00134D5A">
      <w:pPr>
        <w:rPr>
          <w:lang w:val="en-GB"/>
        </w:rPr>
      </w:pPr>
    </w:p>
    <w:p w14:paraId="3BD9A62B" w14:textId="77777777" w:rsidR="00134D5A" w:rsidRPr="00E627A5" w:rsidRDefault="00134D5A" w:rsidP="00134D5A">
      <w:pPr>
        <w:rPr>
          <w:lang w:val="en-GB"/>
        </w:rPr>
      </w:pPr>
    </w:p>
    <w:p w14:paraId="27C88708" w14:textId="77777777" w:rsidR="00134D5A" w:rsidRPr="00E627A5" w:rsidRDefault="00134D5A" w:rsidP="00134D5A">
      <w:pPr>
        <w:rPr>
          <w:lang w:val="en-GB"/>
        </w:rPr>
      </w:pPr>
    </w:p>
    <w:p w14:paraId="52F0F55A" w14:textId="77777777" w:rsidR="00134D5A" w:rsidRPr="00E627A5" w:rsidRDefault="00134D5A" w:rsidP="00134D5A">
      <w:pPr>
        <w:rPr>
          <w:lang w:val="en-GB"/>
        </w:rPr>
      </w:pPr>
    </w:p>
    <w:p w14:paraId="37D07272" w14:textId="0AAEDF1A" w:rsidR="0014313A" w:rsidRPr="00C20823" w:rsidRDefault="00A32848">
      <w:pPr>
        <w:rPr>
          <w:lang w:val="en-GB"/>
        </w:rPr>
      </w:pPr>
    </w:p>
    <w:sectPr w:rsidR="0014313A" w:rsidRPr="00C20823" w:rsidSect="00CE439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A509DF" w14:textId="77777777" w:rsidR="00A32848" w:rsidRDefault="00A32848" w:rsidP="00A450D9">
      <w:pPr>
        <w:spacing w:after="0" w:line="240" w:lineRule="auto"/>
      </w:pPr>
      <w:r>
        <w:separator/>
      </w:r>
    </w:p>
  </w:endnote>
  <w:endnote w:type="continuationSeparator" w:id="0">
    <w:p w14:paraId="043874BD" w14:textId="77777777" w:rsidR="00A32848" w:rsidRDefault="00A32848" w:rsidP="00A450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2841C5" w14:textId="77777777" w:rsidR="00A32848" w:rsidRDefault="00A32848" w:rsidP="00A450D9">
      <w:pPr>
        <w:spacing w:after="0" w:line="240" w:lineRule="auto"/>
      </w:pPr>
      <w:r>
        <w:separator/>
      </w:r>
    </w:p>
  </w:footnote>
  <w:footnote w:type="continuationSeparator" w:id="0">
    <w:p w14:paraId="5F619F6C" w14:textId="77777777" w:rsidR="00A32848" w:rsidRDefault="00A32848" w:rsidP="00A450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44080"/>
    <w:multiLevelType w:val="hybridMultilevel"/>
    <w:tmpl w:val="55F2A9B8"/>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36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D1E6440"/>
    <w:multiLevelType w:val="hybridMultilevel"/>
    <w:tmpl w:val="DAF476F2"/>
    <w:lvl w:ilvl="0" w:tplc="040C000B">
      <w:start w:val="1"/>
      <w:numFmt w:val="bullet"/>
      <w:lvlText w:val=""/>
      <w:lvlJc w:val="left"/>
      <w:pPr>
        <w:ind w:left="0" w:hanging="360"/>
      </w:pPr>
      <w:rPr>
        <w:rFonts w:ascii="Wingdings" w:hAnsi="Wingdings" w:hint="default"/>
      </w:rPr>
    </w:lvl>
    <w:lvl w:ilvl="1" w:tplc="040C0003">
      <w:start w:val="1"/>
      <w:numFmt w:val="bullet"/>
      <w:lvlText w:val="o"/>
      <w:lvlJc w:val="left"/>
      <w:pPr>
        <w:ind w:left="501" w:hanging="360"/>
      </w:pPr>
      <w:rPr>
        <w:rFonts w:ascii="Courier New" w:hAnsi="Courier New" w:cs="Courier New" w:hint="default"/>
      </w:rPr>
    </w:lvl>
    <w:lvl w:ilvl="2" w:tplc="040C0005">
      <w:start w:val="1"/>
      <w:numFmt w:val="bullet"/>
      <w:lvlText w:val=""/>
      <w:lvlJc w:val="left"/>
      <w:pPr>
        <w:ind w:left="1440" w:hanging="360"/>
      </w:pPr>
      <w:rPr>
        <w:rFonts w:ascii="Wingdings" w:hAnsi="Wingdings" w:hint="default"/>
      </w:rPr>
    </w:lvl>
    <w:lvl w:ilvl="3" w:tplc="040C0001">
      <w:start w:val="1"/>
      <w:numFmt w:val="bullet"/>
      <w:lvlText w:val=""/>
      <w:lvlJc w:val="left"/>
      <w:pPr>
        <w:ind w:left="2160" w:hanging="360"/>
      </w:pPr>
      <w:rPr>
        <w:rFonts w:ascii="Symbol" w:hAnsi="Symbol" w:hint="default"/>
      </w:rPr>
    </w:lvl>
    <w:lvl w:ilvl="4" w:tplc="040C0003">
      <w:start w:val="1"/>
      <w:numFmt w:val="bullet"/>
      <w:lvlText w:val="o"/>
      <w:lvlJc w:val="left"/>
      <w:pPr>
        <w:ind w:left="2880" w:hanging="360"/>
      </w:pPr>
      <w:rPr>
        <w:rFonts w:ascii="Courier New" w:hAnsi="Courier New" w:cs="Courier New" w:hint="default"/>
      </w:rPr>
    </w:lvl>
    <w:lvl w:ilvl="5" w:tplc="040C0005">
      <w:start w:val="1"/>
      <w:numFmt w:val="bullet"/>
      <w:lvlText w:val=""/>
      <w:lvlJc w:val="left"/>
      <w:pPr>
        <w:ind w:left="3600" w:hanging="360"/>
      </w:pPr>
      <w:rPr>
        <w:rFonts w:ascii="Wingdings" w:hAnsi="Wingdings" w:hint="default"/>
      </w:rPr>
    </w:lvl>
    <w:lvl w:ilvl="6" w:tplc="040C0001">
      <w:start w:val="1"/>
      <w:numFmt w:val="bullet"/>
      <w:lvlText w:val=""/>
      <w:lvlJc w:val="left"/>
      <w:pPr>
        <w:ind w:left="4320" w:hanging="360"/>
      </w:pPr>
      <w:rPr>
        <w:rFonts w:ascii="Symbol" w:hAnsi="Symbol" w:hint="default"/>
      </w:rPr>
    </w:lvl>
    <w:lvl w:ilvl="7" w:tplc="040C0003">
      <w:start w:val="1"/>
      <w:numFmt w:val="bullet"/>
      <w:lvlText w:val="o"/>
      <w:lvlJc w:val="left"/>
      <w:pPr>
        <w:ind w:left="5040" w:hanging="360"/>
      </w:pPr>
      <w:rPr>
        <w:rFonts w:ascii="Courier New" w:hAnsi="Courier New" w:cs="Courier New" w:hint="default"/>
      </w:rPr>
    </w:lvl>
    <w:lvl w:ilvl="8" w:tplc="040C0005">
      <w:start w:val="1"/>
      <w:numFmt w:val="bullet"/>
      <w:lvlText w:val=""/>
      <w:lvlJc w:val="left"/>
      <w:pPr>
        <w:ind w:left="5760" w:hanging="360"/>
      </w:pPr>
      <w:rPr>
        <w:rFonts w:ascii="Wingdings" w:hAnsi="Wingdings" w:hint="default"/>
      </w:rPr>
    </w:lvl>
  </w:abstractNum>
  <w:abstractNum w:abstractNumId="2" w15:restartNumberingAfterBreak="0">
    <w:nsid w:val="121D0609"/>
    <w:multiLevelType w:val="hybridMultilevel"/>
    <w:tmpl w:val="611CFD12"/>
    <w:lvl w:ilvl="0" w:tplc="040C000B">
      <w:start w:val="1"/>
      <w:numFmt w:val="bullet"/>
      <w:lvlText w:val=""/>
      <w:lvlJc w:val="left"/>
      <w:pPr>
        <w:ind w:left="360" w:hanging="360"/>
      </w:pPr>
      <w:rPr>
        <w:rFonts w:ascii="Wingdings" w:hAnsi="Wingdings" w:hint="default"/>
      </w:rPr>
    </w:lvl>
    <w:lvl w:ilvl="1" w:tplc="040C0003">
      <w:start w:val="1"/>
      <w:numFmt w:val="bullet"/>
      <w:lvlText w:val="o"/>
      <w:lvlJc w:val="left"/>
      <w:pPr>
        <w:ind w:left="501"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3" w15:restartNumberingAfterBreak="0">
    <w:nsid w:val="183903EA"/>
    <w:multiLevelType w:val="hybridMultilevel"/>
    <w:tmpl w:val="AE28E334"/>
    <w:lvl w:ilvl="0" w:tplc="040C000B">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4" w15:restartNumberingAfterBreak="0">
    <w:nsid w:val="321508C6"/>
    <w:multiLevelType w:val="hybridMultilevel"/>
    <w:tmpl w:val="AF4ECD0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5CC1986"/>
    <w:multiLevelType w:val="hybridMultilevel"/>
    <w:tmpl w:val="A9EE9A96"/>
    <w:lvl w:ilvl="0" w:tplc="040C000B">
      <w:start w:val="1"/>
      <w:numFmt w:val="bullet"/>
      <w:lvlText w:val=""/>
      <w:lvlJc w:val="left"/>
      <w:pPr>
        <w:ind w:left="0" w:hanging="360"/>
      </w:pPr>
      <w:rPr>
        <w:rFonts w:ascii="Wingdings" w:hAnsi="Wingdings" w:hint="default"/>
      </w:rPr>
    </w:lvl>
    <w:lvl w:ilvl="1" w:tplc="040C0003">
      <w:start w:val="1"/>
      <w:numFmt w:val="bullet"/>
      <w:lvlText w:val="o"/>
      <w:lvlJc w:val="left"/>
      <w:pPr>
        <w:ind w:left="720" w:hanging="360"/>
      </w:pPr>
      <w:rPr>
        <w:rFonts w:ascii="Courier New" w:hAnsi="Courier New" w:cs="Courier New" w:hint="default"/>
      </w:rPr>
    </w:lvl>
    <w:lvl w:ilvl="2" w:tplc="040C0005">
      <w:start w:val="1"/>
      <w:numFmt w:val="bullet"/>
      <w:lvlText w:val=""/>
      <w:lvlJc w:val="left"/>
      <w:pPr>
        <w:ind w:left="1440" w:hanging="360"/>
      </w:pPr>
      <w:rPr>
        <w:rFonts w:ascii="Wingdings" w:hAnsi="Wingdings" w:hint="default"/>
      </w:rPr>
    </w:lvl>
    <w:lvl w:ilvl="3" w:tplc="040C0001">
      <w:start w:val="1"/>
      <w:numFmt w:val="bullet"/>
      <w:lvlText w:val=""/>
      <w:lvlJc w:val="left"/>
      <w:pPr>
        <w:ind w:left="2160" w:hanging="360"/>
      </w:pPr>
      <w:rPr>
        <w:rFonts w:ascii="Symbol" w:hAnsi="Symbol" w:hint="default"/>
      </w:rPr>
    </w:lvl>
    <w:lvl w:ilvl="4" w:tplc="040C0003">
      <w:start w:val="1"/>
      <w:numFmt w:val="bullet"/>
      <w:lvlText w:val="o"/>
      <w:lvlJc w:val="left"/>
      <w:pPr>
        <w:ind w:left="2880" w:hanging="360"/>
      </w:pPr>
      <w:rPr>
        <w:rFonts w:ascii="Courier New" w:hAnsi="Courier New" w:cs="Courier New" w:hint="default"/>
      </w:rPr>
    </w:lvl>
    <w:lvl w:ilvl="5" w:tplc="040C0005">
      <w:start w:val="1"/>
      <w:numFmt w:val="bullet"/>
      <w:lvlText w:val=""/>
      <w:lvlJc w:val="left"/>
      <w:pPr>
        <w:ind w:left="3600" w:hanging="360"/>
      </w:pPr>
      <w:rPr>
        <w:rFonts w:ascii="Wingdings" w:hAnsi="Wingdings" w:hint="default"/>
      </w:rPr>
    </w:lvl>
    <w:lvl w:ilvl="6" w:tplc="040C0001">
      <w:start w:val="1"/>
      <w:numFmt w:val="bullet"/>
      <w:lvlText w:val=""/>
      <w:lvlJc w:val="left"/>
      <w:pPr>
        <w:ind w:left="4320" w:hanging="360"/>
      </w:pPr>
      <w:rPr>
        <w:rFonts w:ascii="Symbol" w:hAnsi="Symbol" w:hint="default"/>
      </w:rPr>
    </w:lvl>
    <w:lvl w:ilvl="7" w:tplc="040C0003">
      <w:start w:val="1"/>
      <w:numFmt w:val="bullet"/>
      <w:lvlText w:val="o"/>
      <w:lvlJc w:val="left"/>
      <w:pPr>
        <w:ind w:left="5040" w:hanging="360"/>
      </w:pPr>
      <w:rPr>
        <w:rFonts w:ascii="Courier New" w:hAnsi="Courier New" w:cs="Courier New" w:hint="default"/>
      </w:rPr>
    </w:lvl>
    <w:lvl w:ilvl="8" w:tplc="040C0005">
      <w:start w:val="1"/>
      <w:numFmt w:val="bullet"/>
      <w:lvlText w:val=""/>
      <w:lvlJc w:val="left"/>
      <w:pPr>
        <w:ind w:left="5760" w:hanging="360"/>
      </w:pPr>
      <w:rPr>
        <w:rFonts w:ascii="Wingdings" w:hAnsi="Wingdings" w:hint="default"/>
      </w:rPr>
    </w:lvl>
  </w:abstractNum>
  <w:abstractNum w:abstractNumId="6" w15:restartNumberingAfterBreak="0">
    <w:nsid w:val="4E96084A"/>
    <w:multiLevelType w:val="hybridMultilevel"/>
    <w:tmpl w:val="0D56E3BE"/>
    <w:lvl w:ilvl="0" w:tplc="040C000B">
      <w:start w:val="1"/>
      <w:numFmt w:val="bullet"/>
      <w:lvlText w:val=""/>
      <w:lvlJc w:val="left"/>
      <w:pPr>
        <w:ind w:left="0" w:hanging="360"/>
      </w:pPr>
      <w:rPr>
        <w:rFonts w:ascii="Wingdings" w:hAnsi="Wingdings" w:hint="default"/>
      </w:rPr>
    </w:lvl>
    <w:lvl w:ilvl="1" w:tplc="040C0003">
      <w:start w:val="1"/>
      <w:numFmt w:val="bullet"/>
      <w:lvlText w:val="o"/>
      <w:lvlJc w:val="left"/>
      <w:pPr>
        <w:ind w:left="720" w:hanging="360"/>
      </w:pPr>
      <w:rPr>
        <w:rFonts w:ascii="Courier New" w:hAnsi="Courier New" w:cs="Courier New" w:hint="default"/>
      </w:rPr>
    </w:lvl>
    <w:lvl w:ilvl="2" w:tplc="040C0005">
      <w:start w:val="1"/>
      <w:numFmt w:val="bullet"/>
      <w:lvlText w:val=""/>
      <w:lvlJc w:val="left"/>
      <w:pPr>
        <w:ind w:left="1440" w:hanging="360"/>
      </w:pPr>
      <w:rPr>
        <w:rFonts w:ascii="Wingdings" w:hAnsi="Wingdings" w:hint="default"/>
      </w:rPr>
    </w:lvl>
    <w:lvl w:ilvl="3" w:tplc="040C0001">
      <w:start w:val="1"/>
      <w:numFmt w:val="bullet"/>
      <w:lvlText w:val=""/>
      <w:lvlJc w:val="left"/>
      <w:pPr>
        <w:ind w:left="2160" w:hanging="360"/>
      </w:pPr>
      <w:rPr>
        <w:rFonts w:ascii="Symbol" w:hAnsi="Symbol" w:hint="default"/>
      </w:rPr>
    </w:lvl>
    <w:lvl w:ilvl="4" w:tplc="040C0003">
      <w:start w:val="1"/>
      <w:numFmt w:val="bullet"/>
      <w:lvlText w:val="o"/>
      <w:lvlJc w:val="left"/>
      <w:pPr>
        <w:ind w:left="2880" w:hanging="360"/>
      </w:pPr>
      <w:rPr>
        <w:rFonts w:ascii="Courier New" w:hAnsi="Courier New" w:cs="Courier New" w:hint="default"/>
      </w:rPr>
    </w:lvl>
    <w:lvl w:ilvl="5" w:tplc="040C0005">
      <w:start w:val="1"/>
      <w:numFmt w:val="bullet"/>
      <w:lvlText w:val=""/>
      <w:lvlJc w:val="left"/>
      <w:pPr>
        <w:ind w:left="3600" w:hanging="360"/>
      </w:pPr>
      <w:rPr>
        <w:rFonts w:ascii="Wingdings" w:hAnsi="Wingdings" w:hint="default"/>
      </w:rPr>
    </w:lvl>
    <w:lvl w:ilvl="6" w:tplc="040C0001">
      <w:start w:val="1"/>
      <w:numFmt w:val="bullet"/>
      <w:lvlText w:val=""/>
      <w:lvlJc w:val="left"/>
      <w:pPr>
        <w:ind w:left="4320" w:hanging="360"/>
      </w:pPr>
      <w:rPr>
        <w:rFonts w:ascii="Symbol" w:hAnsi="Symbol" w:hint="default"/>
      </w:rPr>
    </w:lvl>
    <w:lvl w:ilvl="7" w:tplc="040C0003">
      <w:start w:val="1"/>
      <w:numFmt w:val="bullet"/>
      <w:lvlText w:val="o"/>
      <w:lvlJc w:val="left"/>
      <w:pPr>
        <w:ind w:left="5040" w:hanging="360"/>
      </w:pPr>
      <w:rPr>
        <w:rFonts w:ascii="Courier New" w:hAnsi="Courier New" w:cs="Courier New" w:hint="default"/>
      </w:rPr>
    </w:lvl>
    <w:lvl w:ilvl="8" w:tplc="040C0005">
      <w:start w:val="1"/>
      <w:numFmt w:val="bullet"/>
      <w:lvlText w:val=""/>
      <w:lvlJc w:val="left"/>
      <w:pPr>
        <w:ind w:left="5760" w:hanging="360"/>
      </w:pPr>
      <w:rPr>
        <w:rFonts w:ascii="Wingdings" w:hAnsi="Wingdings" w:hint="default"/>
      </w:rPr>
    </w:lvl>
  </w:abstractNum>
  <w:abstractNum w:abstractNumId="7" w15:restartNumberingAfterBreak="0">
    <w:nsid w:val="567C0E9A"/>
    <w:multiLevelType w:val="hybridMultilevel"/>
    <w:tmpl w:val="C33A367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8" w15:restartNumberingAfterBreak="0">
    <w:nsid w:val="57D021F5"/>
    <w:multiLevelType w:val="hybridMultilevel"/>
    <w:tmpl w:val="2272BEAA"/>
    <w:lvl w:ilvl="0" w:tplc="040C000B">
      <w:start w:val="1"/>
      <w:numFmt w:val="bullet"/>
      <w:lvlText w:val=""/>
      <w:lvlJc w:val="left"/>
      <w:pPr>
        <w:ind w:left="360" w:hanging="360"/>
      </w:pPr>
      <w:rPr>
        <w:rFonts w:ascii="Wingdings" w:hAnsi="Wingdings" w:hint="default"/>
      </w:rPr>
    </w:lvl>
    <w:lvl w:ilvl="1" w:tplc="040C0003">
      <w:start w:val="1"/>
      <w:numFmt w:val="bullet"/>
      <w:lvlText w:val="o"/>
      <w:lvlJc w:val="left"/>
      <w:pPr>
        <w:ind w:left="501"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9" w15:restartNumberingAfterBreak="0">
    <w:nsid w:val="68ED1003"/>
    <w:multiLevelType w:val="hybridMultilevel"/>
    <w:tmpl w:val="D6D8D910"/>
    <w:lvl w:ilvl="0" w:tplc="040C000B">
      <w:start w:val="1"/>
      <w:numFmt w:val="bullet"/>
      <w:lvlText w:val=""/>
      <w:lvlJc w:val="left"/>
      <w:pPr>
        <w:ind w:left="0" w:hanging="360"/>
      </w:pPr>
      <w:rPr>
        <w:rFonts w:ascii="Wingdings" w:hAnsi="Wingdings" w:hint="default"/>
      </w:rPr>
    </w:lvl>
    <w:lvl w:ilvl="1" w:tplc="040C0003">
      <w:start w:val="1"/>
      <w:numFmt w:val="bullet"/>
      <w:lvlText w:val="o"/>
      <w:lvlJc w:val="left"/>
      <w:pPr>
        <w:ind w:left="720" w:hanging="360"/>
      </w:pPr>
      <w:rPr>
        <w:rFonts w:ascii="Courier New" w:hAnsi="Courier New" w:cs="Courier New" w:hint="default"/>
      </w:rPr>
    </w:lvl>
    <w:lvl w:ilvl="2" w:tplc="040C0005">
      <w:start w:val="1"/>
      <w:numFmt w:val="bullet"/>
      <w:lvlText w:val=""/>
      <w:lvlJc w:val="left"/>
      <w:pPr>
        <w:ind w:left="1440" w:hanging="360"/>
      </w:pPr>
      <w:rPr>
        <w:rFonts w:ascii="Wingdings" w:hAnsi="Wingdings" w:hint="default"/>
      </w:rPr>
    </w:lvl>
    <w:lvl w:ilvl="3" w:tplc="040C0001">
      <w:start w:val="1"/>
      <w:numFmt w:val="bullet"/>
      <w:lvlText w:val=""/>
      <w:lvlJc w:val="left"/>
      <w:pPr>
        <w:ind w:left="2160" w:hanging="360"/>
      </w:pPr>
      <w:rPr>
        <w:rFonts w:ascii="Symbol" w:hAnsi="Symbol" w:hint="default"/>
      </w:rPr>
    </w:lvl>
    <w:lvl w:ilvl="4" w:tplc="040C0003">
      <w:start w:val="1"/>
      <w:numFmt w:val="bullet"/>
      <w:lvlText w:val="o"/>
      <w:lvlJc w:val="left"/>
      <w:pPr>
        <w:ind w:left="2880" w:hanging="360"/>
      </w:pPr>
      <w:rPr>
        <w:rFonts w:ascii="Courier New" w:hAnsi="Courier New" w:cs="Courier New" w:hint="default"/>
      </w:rPr>
    </w:lvl>
    <w:lvl w:ilvl="5" w:tplc="040C0005">
      <w:start w:val="1"/>
      <w:numFmt w:val="bullet"/>
      <w:lvlText w:val=""/>
      <w:lvlJc w:val="left"/>
      <w:pPr>
        <w:ind w:left="3600" w:hanging="360"/>
      </w:pPr>
      <w:rPr>
        <w:rFonts w:ascii="Wingdings" w:hAnsi="Wingdings" w:hint="default"/>
      </w:rPr>
    </w:lvl>
    <w:lvl w:ilvl="6" w:tplc="040C0001">
      <w:start w:val="1"/>
      <w:numFmt w:val="bullet"/>
      <w:lvlText w:val=""/>
      <w:lvlJc w:val="left"/>
      <w:pPr>
        <w:ind w:left="4320" w:hanging="360"/>
      </w:pPr>
      <w:rPr>
        <w:rFonts w:ascii="Symbol" w:hAnsi="Symbol" w:hint="default"/>
      </w:rPr>
    </w:lvl>
    <w:lvl w:ilvl="7" w:tplc="040C0003">
      <w:start w:val="1"/>
      <w:numFmt w:val="bullet"/>
      <w:lvlText w:val="o"/>
      <w:lvlJc w:val="left"/>
      <w:pPr>
        <w:ind w:left="5040" w:hanging="360"/>
      </w:pPr>
      <w:rPr>
        <w:rFonts w:ascii="Courier New" w:hAnsi="Courier New" w:cs="Courier New" w:hint="default"/>
      </w:rPr>
    </w:lvl>
    <w:lvl w:ilvl="8" w:tplc="040C0005">
      <w:start w:val="1"/>
      <w:numFmt w:val="bullet"/>
      <w:lvlText w:val=""/>
      <w:lvlJc w:val="left"/>
      <w:pPr>
        <w:ind w:left="5760" w:hanging="360"/>
      </w:pPr>
      <w:rPr>
        <w:rFonts w:ascii="Wingdings" w:hAnsi="Wingdings" w:hint="default"/>
      </w:rPr>
    </w:lvl>
  </w:abstractNum>
  <w:abstractNum w:abstractNumId="10" w15:restartNumberingAfterBreak="0">
    <w:nsid w:val="73A42A19"/>
    <w:multiLevelType w:val="hybridMultilevel"/>
    <w:tmpl w:val="908838B4"/>
    <w:lvl w:ilvl="0" w:tplc="040C000B">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2"/>
  </w:num>
  <w:num w:numId="2">
    <w:abstractNumId w:val="8"/>
  </w:num>
  <w:num w:numId="3">
    <w:abstractNumId w:val="3"/>
  </w:num>
  <w:num w:numId="4">
    <w:abstractNumId w:val="1"/>
  </w:num>
  <w:num w:numId="5">
    <w:abstractNumId w:val="7"/>
  </w:num>
  <w:num w:numId="6">
    <w:abstractNumId w:val="4"/>
  </w:num>
  <w:num w:numId="7">
    <w:abstractNumId w:val="10"/>
  </w:num>
  <w:num w:numId="8">
    <w:abstractNumId w:val="5"/>
  </w:num>
  <w:num w:numId="9">
    <w:abstractNumId w:val="9"/>
  </w:num>
  <w:num w:numId="10">
    <w:abstractNumId w:val="6"/>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en-GB" w:vendorID="64" w:dllVersion="131078" w:nlCheck="1" w:checkStyle="1"/>
  <w:activeWritingStyle w:appName="MSWord" w:lang="en-US" w:vendorID="64" w:dllVersion="131078" w:nlCheck="1" w:checkStyle="1"/>
  <w:activeWritingStyle w:appName="MSWord" w:lang="en-IE" w:vendorID="64" w:dllVersion="131078" w:nlCheck="1" w:checkStyle="1"/>
  <w:activeWritingStyle w:appName="MSWord" w:lang="es-ES" w:vendorID="64" w:dllVersion="131078" w:nlCheck="1" w:checkStyle="0"/>
  <w:activeWritingStyle w:appName="MSWord" w:lang="fr-FR" w:vendorID="64" w:dllVersion="131078" w:nlCheck="1" w:checkStyle="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0823"/>
    <w:rsid w:val="00055DEF"/>
    <w:rsid w:val="000926D5"/>
    <w:rsid w:val="00134D5A"/>
    <w:rsid w:val="001F6040"/>
    <w:rsid w:val="00367C4B"/>
    <w:rsid w:val="00380EF7"/>
    <w:rsid w:val="00441138"/>
    <w:rsid w:val="00486789"/>
    <w:rsid w:val="004B4D72"/>
    <w:rsid w:val="005067DC"/>
    <w:rsid w:val="005B6C26"/>
    <w:rsid w:val="006C3B24"/>
    <w:rsid w:val="00712C36"/>
    <w:rsid w:val="00847B7C"/>
    <w:rsid w:val="0089164C"/>
    <w:rsid w:val="00917AA9"/>
    <w:rsid w:val="00960D27"/>
    <w:rsid w:val="00A32848"/>
    <w:rsid w:val="00A450D9"/>
    <w:rsid w:val="00AE6411"/>
    <w:rsid w:val="00C20823"/>
    <w:rsid w:val="00C85DBE"/>
    <w:rsid w:val="00CE439B"/>
    <w:rsid w:val="00D47DE0"/>
    <w:rsid w:val="00E2707A"/>
    <w:rsid w:val="00E627A5"/>
    <w:rsid w:val="00F328EC"/>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1F3AA4"/>
  <w15:chartTrackingRefBased/>
  <w15:docId w15:val="{A81D833F-A8C4-45D4-9392-6C852561A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082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34D5A"/>
    <w:pPr>
      <w:spacing w:line="256" w:lineRule="auto"/>
      <w:ind w:left="720"/>
      <w:contextualSpacing/>
    </w:pPr>
  </w:style>
  <w:style w:type="table" w:styleId="Grilledutableau">
    <w:name w:val="Table Grid"/>
    <w:basedOn w:val="TableauNormal"/>
    <w:uiPriority w:val="39"/>
    <w:rsid w:val="00134D5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134D5A"/>
    <w:rPr>
      <w:color w:val="0000FF"/>
      <w:u w:val="single"/>
    </w:rPr>
  </w:style>
  <w:style w:type="paragraph" w:styleId="En-tte">
    <w:name w:val="header"/>
    <w:basedOn w:val="Normal"/>
    <w:link w:val="En-tteCar"/>
    <w:uiPriority w:val="99"/>
    <w:unhideWhenUsed/>
    <w:rsid w:val="00A450D9"/>
    <w:pPr>
      <w:tabs>
        <w:tab w:val="center" w:pos="4536"/>
        <w:tab w:val="right" w:pos="9072"/>
      </w:tabs>
      <w:spacing w:after="0" w:line="240" w:lineRule="auto"/>
    </w:pPr>
  </w:style>
  <w:style w:type="character" w:customStyle="1" w:styleId="En-tteCar">
    <w:name w:val="En-tête Car"/>
    <w:basedOn w:val="Policepardfaut"/>
    <w:link w:val="En-tte"/>
    <w:uiPriority w:val="99"/>
    <w:rsid w:val="00A450D9"/>
  </w:style>
  <w:style w:type="paragraph" w:styleId="Pieddepage">
    <w:name w:val="footer"/>
    <w:basedOn w:val="Normal"/>
    <w:link w:val="PieddepageCar"/>
    <w:uiPriority w:val="99"/>
    <w:unhideWhenUsed/>
    <w:rsid w:val="00A450D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450D9"/>
  </w:style>
  <w:style w:type="table" w:styleId="TableauGrille4-Accentuation6">
    <w:name w:val="Grid Table 4 Accent 6"/>
    <w:basedOn w:val="TableauNormal"/>
    <w:uiPriority w:val="49"/>
    <w:rsid w:val="00E627A5"/>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Lgende">
    <w:name w:val="caption"/>
    <w:basedOn w:val="Normal"/>
    <w:next w:val="Normal"/>
    <w:uiPriority w:val="35"/>
    <w:semiHidden/>
    <w:unhideWhenUsed/>
    <w:qFormat/>
    <w:rsid w:val="00441138"/>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667921">
      <w:bodyDiv w:val="1"/>
      <w:marLeft w:val="0"/>
      <w:marRight w:val="0"/>
      <w:marTop w:val="0"/>
      <w:marBottom w:val="0"/>
      <w:divBdr>
        <w:top w:val="none" w:sz="0" w:space="0" w:color="auto"/>
        <w:left w:val="none" w:sz="0" w:space="0" w:color="auto"/>
        <w:bottom w:val="none" w:sz="0" w:space="0" w:color="auto"/>
        <w:right w:val="none" w:sz="0" w:space="0" w:color="auto"/>
      </w:divBdr>
    </w:div>
    <w:div w:id="1429236608">
      <w:bodyDiv w:val="1"/>
      <w:marLeft w:val="0"/>
      <w:marRight w:val="0"/>
      <w:marTop w:val="0"/>
      <w:marBottom w:val="0"/>
      <w:divBdr>
        <w:top w:val="none" w:sz="0" w:space="0" w:color="auto"/>
        <w:left w:val="none" w:sz="0" w:space="0" w:color="auto"/>
        <w:bottom w:val="none" w:sz="0" w:space="0" w:color="auto"/>
        <w:right w:val="none" w:sz="0" w:space="0" w:color="auto"/>
      </w:divBdr>
    </w:div>
    <w:div w:id="2072458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yperlink" Target="https://pubchem.ncbi.nlm.nih.gov/search/"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pubchem.ncbi.nlm.nih.gov/search/" TargetMode="External"/><Relationship Id="rId2" Type="http://schemas.openxmlformats.org/officeDocument/2006/relationships/numbering" Target="numbering.xml"/><Relationship Id="rId16" Type="http://schemas.openxmlformats.org/officeDocument/2006/relationships/hyperlink" Target="https://pubchem.ncbi.nlm.nih.gov/search/"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chemexper.com/cheminfo/servlet/org.chemcalc.ChemCalc?isograph=on&amp;mformula=C9H13NO3Si" TargetMode="External"/><Relationship Id="rId10" Type="http://schemas.openxmlformats.org/officeDocument/2006/relationships/image" Target="media/image3.jpeg"/><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pubchem.ncbi.nlm.nih.gov/search/"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01CA2-AAD1-421A-9D24-A6786325BB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5238</Words>
  <Characters>28815</Characters>
  <Application>Microsoft Office Word</Application>
  <DocSecurity>0</DocSecurity>
  <Lines>240</Lines>
  <Paragraphs>67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dc:creator>
  <cp:keywords/>
  <dc:description/>
  <cp:lastModifiedBy>Mohamed</cp:lastModifiedBy>
  <cp:revision>2</cp:revision>
  <dcterms:created xsi:type="dcterms:W3CDTF">2021-08-19T12:40:00Z</dcterms:created>
  <dcterms:modified xsi:type="dcterms:W3CDTF">2021-08-19T12:40:00Z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http://www.zotero.org/styles/biomass-conversion-and-biorefinery</vt:lpwstr>
  </property>
  <property fmtid="{D5CDD505-2E9C-101B-9397-08002B2CF9AE}" pid="9" name="Mendeley Recent Style Name 3_1">
    <vt:lpwstr>Biomass Conversion and Biorefinery</vt:lpwstr>
  </property>
  <property fmtid="{D5CDD505-2E9C-101B-9397-08002B2CF9AE}" pid="10" name="Mendeley Recent Style Id 4_1">
    <vt:lpwstr>http://www.zotero.org/styles/bioresource-technology</vt:lpwstr>
  </property>
  <property fmtid="{D5CDD505-2E9C-101B-9397-08002B2CF9AE}" pid="11" name="Mendeley Recent Style Name 4_1">
    <vt:lpwstr>Bioresource Technology</vt:lpwstr>
  </property>
  <property fmtid="{D5CDD505-2E9C-101B-9397-08002B2CF9AE}" pid="12" name="Mendeley Recent Style Id 5_1">
    <vt:lpwstr>http://www.zotero.org/styles/environmental-science-and-pollution-research</vt:lpwstr>
  </property>
  <property fmtid="{D5CDD505-2E9C-101B-9397-08002B2CF9AE}" pid="13" name="Mendeley Recent Style Name 5_1">
    <vt:lpwstr>Environmental Science and Pollution Research</vt:lpwstr>
  </property>
  <property fmtid="{D5CDD505-2E9C-101B-9397-08002B2CF9AE}" pid="14" name="Mendeley Recent Style Id 6_1">
    <vt:lpwstr>http://www.zotero.org/styles/fuel</vt:lpwstr>
  </property>
  <property fmtid="{D5CDD505-2E9C-101B-9397-08002B2CF9AE}" pid="15" name="Mendeley Recent Style Name 6_1">
    <vt:lpwstr>Fuel</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http://www.zotero.org/styles/journal-of-environmental-chemical-engineering</vt:lpwstr>
  </property>
  <property fmtid="{D5CDD505-2E9C-101B-9397-08002B2CF9AE}" pid="19" name="Mendeley Recent Style Name 8_1">
    <vt:lpwstr>Journal of Environmental Chemical Engineering</vt:lpwstr>
  </property>
  <property fmtid="{D5CDD505-2E9C-101B-9397-08002B2CF9AE}" pid="20" name="Mendeley Recent Style Id 9_1">
    <vt:lpwstr>http://www.zotero.org/styles/science-of-the-total-environment</vt:lpwstr>
  </property>
  <property fmtid="{D5CDD505-2E9C-101B-9397-08002B2CF9AE}" pid="21" name="Mendeley Recent Style Name 9_1">
    <vt:lpwstr>Science of the Total Environment</vt:lpwstr>
  </property>
  <property fmtid="{D5CDD505-2E9C-101B-9397-08002B2CF9AE}" pid="22" name="Mendeley Document_1">
    <vt:lpwstr>True</vt:lpwstr>
  </property>
  <property fmtid="{D5CDD505-2E9C-101B-9397-08002B2CF9AE}" pid="23" name="Mendeley Unique User Id_1">
    <vt:lpwstr>cf76bfc1-b08d-3ea9-b96f-8007dd3af5ff</vt:lpwstr>
  </property>
  <property fmtid="{D5CDD505-2E9C-101B-9397-08002B2CF9AE}" pid="24" name="Mendeley Citation Style_1">
    <vt:lpwstr>http://www.zotero.org/styles/environmental-science-and-pollution-research</vt:lpwstr>
  </property>
</Properties>
</file>