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36455" w14:textId="77777777" w:rsidR="00C24F23" w:rsidRPr="00D40903" w:rsidRDefault="00C24F23" w:rsidP="00C24F23">
      <w:pPr>
        <w:pStyle w:val="NormalWeb"/>
        <w:widowControl/>
        <w:spacing w:before="137" w:after="137" w:line="286" w:lineRule="atLeast"/>
        <w:rPr>
          <w:rFonts w:ascii="Times New Roman" w:hAnsi="Times New Roman" w:cs="Times New Roman"/>
        </w:rPr>
      </w:pPr>
      <w:r w:rsidRPr="00904402">
        <w:rPr>
          <w:rStyle w:val="Strong"/>
          <w:rFonts w:ascii="Times New Roman" w:eastAsia="Segoe UI" w:hAnsi="Times New Roman" w:cs="Times New Roman"/>
          <w:bCs/>
        </w:rPr>
        <w:t xml:space="preserve">Table 1. Trends in Deaths and Age-Adjusted Mortality Rates (AAMR) from </w:t>
      </w:r>
      <w:r w:rsidRPr="00904402">
        <w:rPr>
          <w:rStyle w:val="Strong"/>
          <w:rFonts w:ascii="Times New Roman" w:eastAsia="SimSun" w:hAnsi="Times New Roman" w:cs="Times New Roman"/>
          <w:bCs/>
        </w:rPr>
        <w:t>HLM</w:t>
      </w:r>
      <w:r w:rsidRPr="00904402">
        <w:rPr>
          <w:rStyle w:val="Strong"/>
          <w:rFonts w:ascii="Times New Roman" w:eastAsia="Segoe UI" w:hAnsi="Times New Roman" w:cs="Times New Roman"/>
          <w:bCs/>
        </w:rPr>
        <w:t xml:space="preserve"> in the United States, 1999 to 2023</w:t>
      </w:r>
    </w:p>
    <w:tbl>
      <w:tblPr>
        <w:tblW w:w="13746" w:type="dxa"/>
        <w:tblInd w:w="98" w:type="dxa"/>
        <w:tblLook w:val="04A0" w:firstRow="1" w:lastRow="0" w:firstColumn="1" w:lastColumn="0" w:noHBand="0" w:noVBand="1"/>
      </w:tblPr>
      <w:tblGrid>
        <w:gridCol w:w="2203"/>
        <w:gridCol w:w="816"/>
        <w:gridCol w:w="816"/>
        <w:gridCol w:w="2182"/>
        <w:gridCol w:w="2723"/>
        <w:gridCol w:w="2723"/>
        <w:gridCol w:w="2283"/>
      </w:tblGrid>
      <w:tr w:rsidR="00C24F23" w:rsidRPr="00904402" w14:paraId="3585BA9E" w14:textId="77777777" w:rsidTr="00FE0720">
        <w:trPr>
          <w:trHeight w:val="309"/>
        </w:trPr>
        <w:tc>
          <w:tcPr>
            <w:tcW w:w="0" w:type="auto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noWrap/>
            <w:vAlign w:val="bottom"/>
          </w:tcPr>
          <w:p w14:paraId="080CDC69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hAnsi="Times New Roman" w:cs="Times New Roman"/>
                <w:b/>
                <w:bCs/>
                <w:color w:val="000000"/>
              </w:rPr>
              <w:t>Characteristic</w:t>
            </w:r>
          </w:p>
        </w:tc>
        <w:tc>
          <w:tcPr>
            <w:tcW w:w="0" w:type="auto"/>
            <w:gridSpan w:val="3"/>
            <w:tcBorders>
              <w:top w:val="single" w:sz="12" w:space="0" w:color="000000" w:themeColor="text1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0705F3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Death</w:t>
            </w:r>
          </w:p>
        </w:tc>
        <w:tc>
          <w:tcPr>
            <w:tcW w:w="0" w:type="auto"/>
            <w:gridSpan w:val="3"/>
            <w:tcBorders>
              <w:top w:val="single" w:sz="12" w:space="0" w:color="000000" w:themeColor="text1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201AE3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AAMR</w:t>
            </w:r>
          </w:p>
        </w:tc>
      </w:tr>
      <w:tr w:rsidR="00C24F23" w:rsidRPr="00904402" w14:paraId="3B7347F1" w14:textId="77777777" w:rsidTr="00FE0720">
        <w:trPr>
          <w:trHeight w:val="309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655072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70149FF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1999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780B71F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2023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FFDE0EC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Percent.change(%)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9AAB49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1999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4DE220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2023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8CC29FB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AAPC (95% CI)</w:t>
            </w:r>
          </w:p>
        </w:tc>
      </w:tr>
      <w:tr w:rsidR="00C24F23" w:rsidRPr="00904402" w14:paraId="529650B4" w14:textId="77777777" w:rsidTr="00FE0720">
        <w:trPr>
          <w:trHeight w:val="309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09BC68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hAnsi="Times New Roman" w:cs="Times New Roman"/>
                <w:b/>
                <w:bCs/>
                <w:color w:val="000000"/>
              </w:rPr>
              <w:t>Overall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31B60E4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55080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C60C160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56039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6E762B5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5C29AA2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31.09 (30.83 to 31.35)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5B333BB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20.29 (20.12 to 20.46)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6D488F0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-1.74 (-1.80 to -1.68*</w:t>
            </w:r>
          </w:p>
        </w:tc>
      </w:tr>
      <w:tr w:rsidR="00C24F23" w:rsidRPr="00904402" w14:paraId="27E2AE71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A2EA6C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0813B0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E83ADB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2696F5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7A2611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135E20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0EC685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</w:tr>
      <w:tr w:rsidR="00C24F23" w:rsidRPr="00904402" w14:paraId="2BD89E68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4ADB86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D47F8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26089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2DC57E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23737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FE7659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-9.02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0F0CA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25.20 (24.90 to 25.51)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66023E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15.43 (15.23 to 15.63)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70E39B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-1.99 (-2.07 to -1.91*</w:t>
            </w:r>
          </w:p>
        </w:tc>
      </w:tr>
      <w:tr w:rsidR="00C24F23" w:rsidRPr="00904402" w14:paraId="261B095E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41C13E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9F299C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28991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0C2775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32302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52688E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81DA2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39.59 (39.13 to 40.05)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9A66A8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26.48 (26.18 to 26.77)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60EAC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-1.65 (-1.72 to -1.59*</w:t>
            </w:r>
          </w:p>
        </w:tc>
      </w:tr>
      <w:tr w:rsidR="00C24F23" w:rsidRPr="00904402" w14:paraId="27E67A5D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431C68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A5CA01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43448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A8E9C6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1D3F26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0C762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1CF4C2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</w:tr>
      <w:tr w:rsidR="00C24F23" w:rsidRPr="00904402" w14:paraId="2F4993EB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F10AF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Northeast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3F7781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11512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D889C6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9571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2A38C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D15846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31.08 (30.51 to 31.65)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346CC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18.75 (18.37 to 19.13)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3E68D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-2.06 (-2.23 to -1.89*</w:t>
            </w:r>
          </w:p>
        </w:tc>
      </w:tr>
      <w:tr w:rsidR="00C24F23" w:rsidRPr="00904402" w14:paraId="72B6D523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BC699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Midwest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2C118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13944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A89CE4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12777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97A98C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-8.37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504E15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33.22 (32.67 to 33.77)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D03699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22.07 (21.68 to 22.46)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CB638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-1.70 (-1.77 to -1.62*</w:t>
            </w:r>
          </w:p>
        </w:tc>
      </w:tr>
      <w:tr w:rsidR="00C24F23" w:rsidRPr="00904402" w14:paraId="28317515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1B936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South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F2D8B9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19008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70DFE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21721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49E786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43D446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30.38 (29.94 to 30.81)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335E0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20.69 (20.41 to 20.97)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AB92F4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-1.64 (-1.71 to -1.57*</w:t>
            </w:r>
          </w:p>
        </w:tc>
      </w:tr>
      <w:tr w:rsidR="00C24F23" w:rsidRPr="00904402" w14:paraId="1616FC2A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65635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West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A01F9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10616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E81BA0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11970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789F11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7B3621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29.83 (29.26 to 30.40)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D8597F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19.18 (18.83 to 19.53)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EE17E2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-1.73 (-1.82 to -1.65*</w:t>
            </w:r>
          </w:p>
        </w:tc>
      </w:tr>
      <w:tr w:rsidR="00C24F23" w:rsidRPr="00904402" w14:paraId="22B8EFAB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D4A08B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1F9A56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70A4A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69FC48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00068F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0882D4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8FCD04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</w:tr>
      <w:tr w:rsidR="00C24F23" w:rsidRPr="00904402" w14:paraId="4F1E0C92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CF251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CF0FD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9F8A30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854089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107.61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098D3B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22.93 (21.93 to 23.94)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7BD284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16.33 (15.85 to 16.81)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481A1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-1.44 (-1.59 to -1.28*</w:t>
            </w:r>
          </w:p>
        </w:tc>
      </w:tr>
      <w:tr w:rsidR="00C24F23" w:rsidRPr="00904402" w14:paraId="012E8267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D50E8F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NH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9C75C4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5EB6AC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92AF7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63216E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31.00 (30.12 to 31.89)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065CB1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20.67 (20.11 to 21.22)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1EC31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-1.54 (-1.65 to -1.44*</w:t>
            </w:r>
          </w:p>
        </w:tc>
      </w:tr>
      <w:tr w:rsidR="00C24F23" w:rsidRPr="00904402" w14:paraId="57F03F4D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4D5C5E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NH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DD6FC5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46865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15B40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43266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A94E9C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398221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31.86 (31.57 to 32.15)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41DC1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21.32 (21.11 to 21.52)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A54FB8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-1.66 (-1.72 to -1.60*</w:t>
            </w:r>
          </w:p>
        </w:tc>
      </w:tr>
      <w:tr w:rsidR="00C24F23" w:rsidRPr="00904402" w14:paraId="4208B6C7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B957AC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NH 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652E22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A7C795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A09B70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128.37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77D846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18.26 (17.05 to 19.47)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B0E54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11.52 (11.04 to 12.00)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5975C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-1.71 (-2.06 to -1.37*</w:t>
            </w:r>
          </w:p>
        </w:tc>
      </w:tr>
      <w:tr w:rsidR="00C24F23" w:rsidRPr="00904402" w14:paraId="7CB2D16B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58B57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Urbanicity</w:t>
            </w: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vertAlign w:val="superscript"/>
                <w:lang w:bidi="ar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35EFB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3A31BE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93464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FCD09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DBEC4F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053AEF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</w:tr>
      <w:tr w:rsidR="00C24F23" w:rsidRPr="00904402" w14:paraId="459890B7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18EAAE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lastRenderedPageBreak/>
              <w:t>Metropolitan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F01C4F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44591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7AC95C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46990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8B8CE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A9B33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30.95 (30.67 to 31.24)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4D266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21.06 (20.86 to 21.25)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C682E6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-1.86 (-2.05 to -1.66*</w:t>
            </w:r>
          </w:p>
        </w:tc>
      </w:tr>
      <w:tr w:rsidR="00C24F23" w:rsidRPr="00904402" w14:paraId="5B7862AA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F48A2F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Nonmetropolitan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65EE6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10489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781AF8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10132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AF7A5B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F5BBDE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31.78 (31.17 to 32.39)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35001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23.14 (22.68 to 23.60)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50BD3B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-1.56 (-1.65 to -1.48*</w:t>
            </w:r>
          </w:p>
        </w:tc>
      </w:tr>
      <w:tr w:rsidR="00C24F23" w:rsidRPr="00904402" w14:paraId="05E123CF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6DF29E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Age Group (years)</w:t>
            </w:r>
            <w:r w:rsidRPr="009044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vertAlign w:val="superscript"/>
                <w:lang w:bidi="ar"/>
              </w:rPr>
              <w:t>$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016F96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22C5A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06652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643555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5ECA61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86D689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</w:tr>
      <w:tr w:rsidR="00C24F23" w:rsidRPr="00904402" w14:paraId="48D98A36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276E1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25-34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B7B43C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8A4500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85FDB8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-43.44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636B31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2.39 (2.39 to 2.39)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13E721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1.19 (1.19 to 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96BCE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-2.72 (-3.58 to -1.86*</w:t>
            </w:r>
          </w:p>
        </w:tc>
      </w:tr>
      <w:tr w:rsidR="00C24F23" w:rsidRPr="00904402" w14:paraId="75377CE6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981E78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35-44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D5CE2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5302A9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9A12B1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-48.93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CBEF89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4.24 (4.24 to 4.24)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B12F70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2.20 (2.20 to 2.20)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75BF45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-2.88 (-3.06 to -2.69*</w:t>
            </w:r>
          </w:p>
        </w:tc>
      </w:tr>
      <w:tr w:rsidR="00C24F23" w:rsidRPr="00904402" w14:paraId="1A85F889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BF84A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45-54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50F9A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8710D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9D6A95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-46.13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0EC09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10.80 (10.80 to 10.80)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FFB20E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5.26 (5.26 to 5.26)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5EA25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-3.11 (-3.43 to -2.79*</w:t>
            </w:r>
          </w:p>
        </w:tc>
      </w:tr>
      <w:tr w:rsidR="00C24F23" w:rsidRPr="00904402" w14:paraId="5D9B146D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9C63F5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55-64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B36CB8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7554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5EA9F5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6311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AAF10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EE396B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31.77 (31.77 to 31.77)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1D9278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15.08 (15.08 to 15.08)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88BBD8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-3.03 (-3.17 to -2.88*</w:t>
            </w:r>
          </w:p>
        </w:tc>
      </w:tr>
      <w:tr w:rsidR="00C24F23" w:rsidRPr="00904402" w14:paraId="3692B766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6B825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65-74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740B9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EE4ED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54636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764E92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77.81 (77.81 to 77.81)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B0FD1A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40.51 (40.51 to 40.51)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EA7B8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-2.66 (-3.03 to -2.29*</w:t>
            </w:r>
          </w:p>
        </w:tc>
      </w:tr>
      <w:tr w:rsidR="00C24F23" w:rsidRPr="00904402" w14:paraId="7FED007F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92A27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75-84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6F83F9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18089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26D202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19636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535572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01AB2B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147.97 (147.97 to 147.97)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103F4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106.90 (106.90 to 106.90)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594D0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-1.33 (-1.48 to -1.19*</w:t>
            </w:r>
          </w:p>
        </w:tc>
      </w:tr>
      <w:tr w:rsidR="00C24F23" w:rsidRPr="00904402" w14:paraId="55F79391" w14:textId="77777777" w:rsidTr="00FE0720">
        <w:trPr>
          <w:trHeight w:val="309"/>
        </w:trPr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bottom"/>
          </w:tcPr>
          <w:p w14:paraId="42390B1D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85+ years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bottom"/>
          </w:tcPr>
          <w:p w14:paraId="216C1E7F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8282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bottom"/>
          </w:tcPr>
          <w:p w14:paraId="4BDAA223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12393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bottom"/>
          </w:tcPr>
          <w:p w14:paraId="1D8AF4CE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49.64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bottom"/>
          </w:tcPr>
          <w:p w14:paraId="76DE3F60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199.37 (199.37 to 199.37)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bottom"/>
          </w:tcPr>
          <w:p w14:paraId="47323D16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200.05 (200.05 to 200.05)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bottom"/>
          </w:tcPr>
          <w:p w14:paraId="6D5E4E87" w14:textId="77777777" w:rsidR="00C24F23" w:rsidRPr="00904402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04402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-0.16 (-0.29 to -0.04*</w:t>
            </w:r>
          </w:p>
        </w:tc>
      </w:tr>
    </w:tbl>
    <w:p w14:paraId="15E50BB4" w14:textId="77777777" w:rsidR="00C24F23" w:rsidRPr="00383F16" w:rsidRDefault="00C24F23" w:rsidP="00C24F23">
      <w:pPr>
        <w:pStyle w:val="NormalWeb"/>
        <w:widowControl/>
        <w:spacing w:before="137" w:after="137"/>
        <w:rPr>
          <w:rFonts w:ascii="Times New Roman" w:eastAsia="Segoe UI" w:hAnsi="Times New Roman" w:cs="Times New Roman"/>
          <w:sz w:val="21"/>
          <w:szCs w:val="21"/>
        </w:rPr>
      </w:pPr>
      <w:r w:rsidRPr="00427085">
        <w:rPr>
          <w:rStyle w:val="Strong"/>
          <w:rFonts w:ascii="Times New Roman" w:eastAsia="Segoe UI" w:hAnsi="Times New Roman" w:cs="Times New Roman"/>
          <w:bCs/>
          <w:sz w:val="21"/>
          <w:szCs w:val="21"/>
        </w:rPr>
        <w:t>Abbreviations:</w:t>
      </w:r>
      <w:r>
        <w:rPr>
          <w:rFonts w:ascii="Times New Roman" w:eastAsia="Segoe UI" w:hAnsi="Times New Roman" w:cs="Times New Roman"/>
          <w:sz w:val="21"/>
          <w:szCs w:val="21"/>
        </w:rPr>
        <w:t xml:space="preserve"> </w:t>
      </w:r>
      <w:r w:rsidRPr="00427085">
        <w:rPr>
          <w:rFonts w:ascii="Times New Roman" w:eastAsia="Segoe UI" w:hAnsi="Times New Roman" w:cs="Times New Roman"/>
          <w:sz w:val="21"/>
          <w:szCs w:val="21"/>
        </w:rPr>
        <w:t>AAMR, Age-Adjusted Mortality Rate (per 100,000 population); AAPC, Average Annual Percent Change; CI, Confidence Interval; NH, Non-Hispanic.</w:t>
      </w:r>
      <w:r>
        <w:rPr>
          <w:rFonts w:ascii="Times New Roman" w:eastAsia="Segoe UI" w:hAnsi="Times New Roman" w:cs="Times New Roman"/>
          <w:sz w:val="21"/>
          <w:szCs w:val="21"/>
        </w:rPr>
        <w:t xml:space="preserve"> </w:t>
      </w:r>
      <w:r w:rsidRPr="00427085">
        <w:rPr>
          <w:rStyle w:val="Strong"/>
          <w:rFonts w:ascii="Times New Roman" w:eastAsia="Segoe UI" w:hAnsi="Times New Roman" w:cs="Times New Roman"/>
          <w:bCs/>
          <w:sz w:val="21"/>
          <w:szCs w:val="21"/>
        </w:rPr>
        <w:t xml:space="preserve">Notes: </w:t>
      </w:r>
      <w:r w:rsidRPr="00427085">
        <w:rPr>
          <w:rFonts w:ascii="Times New Roman" w:eastAsia="Segoe UI" w:hAnsi="Times New Roman" w:cs="Times New Roman"/>
          <w:sz w:val="21"/>
          <w:szCs w:val="21"/>
        </w:rPr>
        <w:t>* is statistically significant (95% CI does not include 0).</w:t>
      </w:r>
      <w:r w:rsidRPr="00427085">
        <w:rPr>
          <w:rFonts w:ascii="Times New Roman" w:eastAsia="SimSun" w:hAnsi="Times New Roman" w:cs="Times New Roman"/>
          <w:b/>
          <w:bCs/>
          <w:color w:val="000000"/>
          <w:kern w:val="0"/>
          <w:lang w:bidi="ar"/>
        </w:rPr>
        <w:t xml:space="preserve"> </w:t>
      </w:r>
      <w:r w:rsidRPr="00427085">
        <w:rPr>
          <w:rFonts w:ascii="Times New Roman" w:eastAsia="SimSun" w:hAnsi="Times New Roman" w:cs="Times New Roman"/>
          <w:b/>
          <w:bCs/>
          <w:color w:val="000000"/>
          <w:kern w:val="0"/>
          <w:sz w:val="21"/>
          <w:szCs w:val="21"/>
          <w:lang w:bidi="ar"/>
        </w:rPr>
        <w:t>Urbanicity</w:t>
      </w:r>
      <w:r w:rsidRPr="00427085">
        <w:rPr>
          <w:rFonts w:ascii="Times New Roman" w:eastAsia="SimSun" w:hAnsi="Times New Roman" w:cs="Times New Roman"/>
          <w:b/>
          <w:bCs/>
          <w:color w:val="000000"/>
          <w:kern w:val="0"/>
          <w:sz w:val="21"/>
          <w:szCs w:val="21"/>
          <w:vertAlign w:val="superscript"/>
          <w:lang w:bidi="ar"/>
        </w:rPr>
        <w:t>#</w:t>
      </w:r>
      <w:r w:rsidRPr="00427085">
        <w:rPr>
          <w:rFonts w:ascii="Times New Roman" w:eastAsia="Segoe UI" w:hAnsi="Times New Roman" w:cs="Times New Roman"/>
          <w:sz w:val="21"/>
          <w:szCs w:val="21"/>
        </w:rPr>
        <w:t xml:space="preserve"> is </w:t>
      </w:r>
      <w:r w:rsidRPr="00427085">
        <w:rPr>
          <w:rFonts w:ascii="Times New Roman" w:eastAsia="Microsoft YaHei" w:hAnsi="Times New Roman" w:cs="Times New Roman"/>
          <w:sz w:val="21"/>
          <w:szCs w:val="21"/>
        </w:rPr>
        <w:t>limited to the period 1999 through 2020, as records from 2021 onward exhibit statistical discontinuities precluding complete reporting. AAMR and AAPC for the Age Group (years)</w:t>
      </w:r>
      <w:r w:rsidRPr="00427085">
        <w:rPr>
          <w:rFonts w:ascii="Times New Roman" w:eastAsia="Microsoft YaHei" w:hAnsi="Times New Roman" w:cs="Times New Roman"/>
          <w:sz w:val="21"/>
          <w:szCs w:val="21"/>
          <w:vertAlign w:val="superscript"/>
        </w:rPr>
        <w:t>$</w:t>
      </w:r>
      <w:r w:rsidRPr="00427085">
        <w:rPr>
          <w:rFonts w:ascii="Times New Roman" w:eastAsia="Microsoft YaHei" w:hAnsi="Times New Roman" w:cs="Times New Roman"/>
          <w:sz w:val="21"/>
          <w:szCs w:val="21"/>
        </w:rPr>
        <w:t xml:space="preserve"> are computed using crude mortality rates as opposed to age-adjusted parameters. </w:t>
      </w:r>
    </w:p>
    <w:p w14:paraId="48B0240A" w14:textId="77777777" w:rsidR="00C24F23" w:rsidRPr="00C24F23" w:rsidRDefault="00C24F23" w:rsidP="00C24F23">
      <w:pPr>
        <w:rPr>
          <w:lang w:val="en-US" w:eastAsia="zh-CN"/>
        </w:rPr>
      </w:pPr>
    </w:p>
    <w:p w14:paraId="551DB2D4" w14:textId="77777777" w:rsidR="00C24F23" w:rsidRDefault="00C24F23" w:rsidP="00C24F23">
      <w:pPr>
        <w:pStyle w:val="Bibliography"/>
        <w:rPr>
          <w:rFonts w:ascii="Times New Roman" w:hAnsi="Times New Roman" w:cs="Times New Roman"/>
          <w:b/>
          <w:bCs/>
          <w:sz w:val="24"/>
        </w:rPr>
      </w:pPr>
    </w:p>
    <w:p w14:paraId="76A18052" w14:textId="77777777" w:rsidR="00C24F23" w:rsidRPr="00D442B3" w:rsidRDefault="00C24F23" w:rsidP="00C24F23">
      <w:pPr>
        <w:pStyle w:val="NormalWeb"/>
        <w:widowControl/>
        <w:spacing w:before="137" w:after="137"/>
        <w:rPr>
          <w:rFonts w:ascii="Times New Roman" w:eastAsia="Microsoft YaHei" w:hAnsi="Times New Roman" w:cs="Times New Roman"/>
          <w:sz w:val="21"/>
          <w:szCs w:val="21"/>
        </w:rPr>
      </w:pPr>
      <w:r w:rsidRPr="000E7AD1">
        <w:rPr>
          <w:rStyle w:val="Strong"/>
          <w:rFonts w:ascii="Times New Roman" w:eastAsia="Segoe UI" w:hAnsi="Times New Roman" w:cs="Times New Roman"/>
          <w:bCs/>
        </w:rPr>
        <w:t xml:space="preserve">Table 2. Trends in Deaths and Age-Adjusted Mortality Rates (AAMR) from </w:t>
      </w:r>
      <w:r w:rsidRPr="000E7AD1">
        <w:rPr>
          <w:rStyle w:val="Strong"/>
          <w:rFonts w:ascii="Times New Roman" w:eastAsia="SimSun" w:hAnsi="Times New Roman" w:cs="Times New Roman"/>
          <w:bCs/>
        </w:rPr>
        <w:t>DNHL</w:t>
      </w:r>
      <w:r w:rsidRPr="000E7AD1">
        <w:rPr>
          <w:rStyle w:val="Strong"/>
          <w:rFonts w:ascii="Times New Roman" w:eastAsia="Segoe UI" w:hAnsi="Times New Roman" w:cs="Times New Roman"/>
          <w:bCs/>
        </w:rPr>
        <w:t xml:space="preserve"> in the United States, 1999 </w:t>
      </w:r>
      <w:r w:rsidRPr="000E7AD1">
        <w:rPr>
          <w:rStyle w:val="Strong"/>
          <w:rFonts w:ascii="Times New Roman" w:eastAsia="SimSun" w:hAnsi="Times New Roman" w:cs="Times New Roman"/>
          <w:bCs/>
        </w:rPr>
        <w:t>to</w:t>
      </w:r>
      <w:r w:rsidRPr="000E7AD1">
        <w:rPr>
          <w:rStyle w:val="Strong"/>
          <w:rFonts w:ascii="Times New Roman" w:eastAsia="Segoe UI" w:hAnsi="Times New Roman" w:cs="Times New Roman"/>
          <w:bCs/>
        </w:rPr>
        <w:t xml:space="preserve"> 2023</w:t>
      </w:r>
    </w:p>
    <w:tbl>
      <w:tblPr>
        <w:tblW w:w="13859" w:type="dxa"/>
        <w:tblInd w:w="98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2"/>
        <w:gridCol w:w="160"/>
        <w:gridCol w:w="987"/>
        <w:gridCol w:w="1250"/>
        <w:gridCol w:w="2322"/>
        <w:gridCol w:w="2009"/>
        <w:gridCol w:w="2436"/>
        <w:gridCol w:w="2543"/>
      </w:tblGrid>
      <w:tr w:rsidR="00C24F23" w:rsidRPr="000E7AD1" w14:paraId="142B791F" w14:textId="77777777" w:rsidTr="00FE0720">
        <w:trPr>
          <w:trHeight w:val="290"/>
        </w:trPr>
        <w:tc>
          <w:tcPr>
            <w:tcW w:w="2152" w:type="dxa"/>
            <w:vMerge w:val="restart"/>
            <w:tcBorders>
              <w:tl2br w:val="nil"/>
              <w:tr2bl w:val="nil"/>
            </w:tcBorders>
            <w:noWrap/>
            <w:vAlign w:val="bottom"/>
          </w:tcPr>
          <w:p w14:paraId="2CC4CE4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hAnsi="Times New Roman" w:cs="Times New Roman"/>
                <w:b/>
                <w:bCs/>
                <w:color w:val="000000"/>
              </w:rPr>
              <w:t>Characteristic</w:t>
            </w:r>
          </w:p>
        </w:tc>
        <w:tc>
          <w:tcPr>
            <w:tcW w:w="4719" w:type="dxa"/>
            <w:gridSpan w:val="4"/>
            <w:tcBorders>
              <w:bottom w:val="single" w:sz="4" w:space="0" w:color="000000" w:themeColor="text1"/>
              <w:tl2br w:val="nil"/>
              <w:tr2bl w:val="nil"/>
            </w:tcBorders>
            <w:noWrap/>
            <w:vAlign w:val="bottom"/>
          </w:tcPr>
          <w:p w14:paraId="1529BF9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Death</w:t>
            </w:r>
          </w:p>
        </w:tc>
        <w:tc>
          <w:tcPr>
            <w:tcW w:w="6988" w:type="dxa"/>
            <w:gridSpan w:val="3"/>
            <w:tcBorders>
              <w:bottom w:val="single" w:sz="4" w:space="0" w:color="000000" w:themeColor="text1"/>
              <w:tl2br w:val="nil"/>
              <w:tr2bl w:val="nil"/>
            </w:tcBorders>
            <w:noWrap/>
            <w:vAlign w:val="bottom"/>
          </w:tcPr>
          <w:p w14:paraId="7DA73F1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AAMR</w:t>
            </w:r>
          </w:p>
        </w:tc>
      </w:tr>
      <w:tr w:rsidR="00C24F23" w:rsidRPr="000E7AD1" w14:paraId="654B0711" w14:textId="77777777" w:rsidTr="00FE0720">
        <w:trPr>
          <w:trHeight w:val="290"/>
        </w:trPr>
        <w:tc>
          <w:tcPr>
            <w:tcW w:w="2152" w:type="dxa"/>
            <w:vMerge/>
            <w:tcBorders>
              <w:bottom w:val="single" w:sz="4" w:space="0" w:color="auto"/>
              <w:tl2br w:val="nil"/>
              <w:tr2bl w:val="nil"/>
            </w:tcBorders>
            <w:noWrap/>
            <w:vAlign w:val="bottom"/>
          </w:tcPr>
          <w:p w14:paraId="62D25D2C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000000" w:themeColor="text1"/>
              <w:bottom w:val="single" w:sz="4" w:space="0" w:color="auto"/>
            </w:tcBorders>
            <w:noWrap/>
            <w:vAlign w:val="bottom"/>
          </w:tcPr>
          <w:p w14:paraId="3B4D42B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1999</w:t>
            </w:r>
          </w:p>
        </w:tc>
        <w:tc>
          <w:tcPr>
            <w:tcW w:w="1250" w:type="dxa"/>
            <w:tcBorders>
              <w:top w:val="single" w:sz="4" w:space="0" w:color="000000" w:themeColor="text1"/>
              <w:bottom w:val="single" w:sz="4" w:space="0" w:color="auto"/>
            </w:tcBorders>
            <w:noWrap/>
            <w:vAlign w:val="bottom"/>
          </w:tcPr>
          <w:p w14:paraId="1E0454B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2023</w:t>
            </w:r>
          </w:p>
        </w:tc>
        <w:tc>
          <w:tcPr>
            <w:tcW w:w="2322" w:type="dxa"/>
            <w:tcBorders>
              <w:top w:val="single" w:sz="4" w:space="0" w:color="000000" w:themeColor="text1"/>
              <w:bottom w:val="single" w:sz="4" w:space="0" w:color="auto"/>
            </w:tcBorders>
            <w:noWrap/>
            <w:vAlign w:val="bottom"/>
          </w:tcPr>
          <w:p w14:paraId="2733F210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Percent.change(%)</w:t>
            </w:r>
          </w:p>
        </w:tc>
        <w:tc>
          <w:tcPr>
            <w:tcW w:w="2009" w:type="dxa"/>
            <w:tcBorders>
              <w:top w:val="single" w:sz="4" w:space="0" w:color="000000" w:themeColor="text1"/>
              <w:bottom w:val="single" w:sz="4" w:space="0" w:color="auto"/>
            </w:tcBorders>
            <w:noWrap/>
            <w:vAlign w:val="bottom"/>
          </w:tcPr>
          <w:p w14:paraId="0EDA1F0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1999(95% CI)</w:t>
            </w:r>
          </w:p>
        </w:tc>
        <w:tc>
          <w:tcPr>
            <w:tcW w:w="2436" w:type="dxa"/>
            <w:tcBorders>
              <w:top w:val="single" w:sz="4" w:space="0" w:color="000000" w:themeColor="text1"/>
              <w:bottom w:val="single" w:sz="4" w:space="0" w:color="auto"/>
            </w:tcBorders>
            <w:noWrap/>
            <w:vAlign w:val="bottom"/>
          </w:tcPr>
          <w:p w14:paraId="60E48FB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2023(95% CI)</w:t>
            </w:r>
          </w:p>
        </w:tc>
        <w:tc>
          <w:tcPr>
            <w:tcW w:w="2543" w:type="dxa"/>
            <w:tcBorders>
              <w:top w:val="single" w:sz="4" w:space="0" w:color="000000" w:themeColor="text1"/>
              <w:bottom w:val="single" w:sz="4" w:space="0" w:color="auto"/>
            </w:tcBorders>
            <w:noWrap/>
            <w:vAlign w:val="bottom"/>
          </w:tcPr>
          <w:p w14:paraId="3B69CF8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AAPC (95% CI)</w:t>
            </w:r>
          </w:p>
        </w:tc>
      </w:tr>
      <w:tr w:rsidR="00C24F23" w:rsidRPr="000E7AD1" w14:paraId="30B73270" w14:textId="77777777" w:rsidTr="00FE0720">
        <w:trPr>
          <w:trHeight w:val="290"/>
        </w:trPr>
        <w:tc>
          <w:tcPr>
            <w:tcW w:w="2152" w:type="dxa"/>
            <w:tcBorders>
              <w:top w:val="single" w:sz="4" w:space="0" w:color="auto"/>
            </w:tcBorders>
            <w:noWrap/>
            <w:vAlign w:val="bottom"/>
          </w:tcPr>
          <w:p w14:paraId="0A5B0AA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hAnsi="Times New Roman" w:cs="Times New Roman"/>
                <w:b/>
                <w:bCs/>
                <w:color w:val="000000"/>
              </w:rPr>
              <w:t>Overall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</w:tcBorders>
            <w:noWrap/>
            <w:vAlign w:val="bottom"/>
          </w:tcPr>
          <w:p w14:paraId="61B40BE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2628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noWrap/>
            <w:vAlign w:val="bottom"/>
          </w:tcPr>
          <w:p w14:paraId="5339339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7295</w:t>
            </w:r>
          </w:p>
        </w:tc>
        <w:tc>
          <w:tcPr>
            <w:tcW w:w="2322" w:type="dxa"/>
            <w:tcBorders>
              <w:top w:val="single" w:sz="4" w:space="0" w:color="auto"/>
            </w:tcBorders>
            <w:noWrap/>
            <w:vAlign w:val="bottom"/>
          </w:tcPr>
          <w:p w14:paraId="547E3606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177.59</w:t>
            </w:r>
          </w:p>
        </w:tc>
        <w:tc>
          <w:tcPr>
            <w:tcW w:w="2009" w:type="dxa"/>
            <w:tcBorders>
              <w:top w:val="single" w:sz="4" w:space="0" w:color="auto"/>
            </w:tcBorders>
            <w:noWrap/>
            <w:vAlign w:val="bottom"/>
          </w:tcPr>
          <w:p w14:paraId="08EB672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1.48 (1.42 - 1.54)</w:t>
            </w:r>
          </w:p>
        </w:tc>
        <w:tc>
          <w:tcPr>
            <w:tcW w:w="2436" w:type="dxa"/>
            <w:tcBorders>
              <w:top w:val="single" w:sz="4" w:space="0" w:color="auto"/>
            </w:tcBorders>
            <w:noWrap/>
            <w:vAlign w:val="bottom"/>
          </w:tcPr>
          <w:p w14:paraId="49E167B6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2.62 (2.56 - 2.69)</w:t>
            </w:r>
          </w:p>
        </w:tc>
        <w:tc>
          <w:tcPr>
            <w:tcW w:w="2543" w:type="dxa"/>
            <w:tcBorders>
              <w:top w:val="single" w:sz="4" w:space="0" w:color="auto"/>
            </w:tcBorders>
            <w:noWrap/>
            <w:vAlign w:val="bottom"/>
          </w:tcPr>
          <w:p w14:paraId="6754867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2.64 (1.19 - 4.11)*</w:t>
            </w:r>
          </w:p>
        </w:tc>
      </w:tr>
      <w:tr w:rsidR="00C24F23" w:rsidRPr="000E7AD1" w14:paraId="2AAAB9C8" w14:textId="77777777" w:rsidTr="00FE0720">
        <w:trPr>
          <w:trHeight w:val="290"/>
        </w:trPr>
        <w:tc>
          <w:tcPr>
            <w:tcW w:w="2152" w:type="dxa"/>
            <w:tcBorders>
              <w:top w:val="single" w:sz="4" w:space="0" w:color="auto"/>
            </w:tcBorders>
            <w:noWrap/>
            <w:vAlign w:val="bottom"/>
          </w:tcPr>
          <w:p w14:paraId="7F16B6CB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lastRenderedPageBreak/>
              <w:t>Sex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</w:tcBorders>
            <w:noWrap/>
            <w:vAlign w:val="bottom"/>
          </w:tcPr>
          <w:p w14:paraId="256F8E3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250" w:type="dxa"/>
            <w:tcBorders>
              <w:top w:val="single" w:sz="4" w:space="0" w:color="auto"/>
            </w:tcBorders>
            <w:noWrap/>
            <w:vAlign w:val="bottom"/>
          </w:tcPr>
          <w:p w14:paraId="43AFD99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322" w:type="dxa"/>
            <w:tcBorders>
              <w:top w:val="single" w:sz="4" w:space="0" w:color="auto"/>
            </w:tcBorders>
            <w:noWrap/>
            <w:vAlign w:val="bottom"/>
          </w:tcPr>
          <w:p w14:paraId="4C3AD76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009" w:type="dxa"/>
            <w:tcBorders>
              <w:top w:val="single" w:sz="4" w:space="0" w:color="auto"/>
            </w:tcBorders>
            <w:noWrap/>
            <w:vAlign w:val="bottom"/>
          </w:tcPr>
          <w:p w14:paraId="0867A0E8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436" w:type="dxa"/>
            <w:tcBorders>
              <w:top w:val="single" w:sz="4" w:space="0" w:color="auto"/>
            </w:tcBorders>
            <w:noWrap/>
            <w:vAlign w:val="bottom"/>
          </w:tcPr>
          <w:p w14:paraId="0A94A71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543" w:type="dxa"/>
            <w:tcBorders>
              <w:top w:val="single" w:sz="4" w:space="0" w:color="auto"/>
            </w:tcBorders>
            <w:noWrap/>
            <w:vAlign w:val="bottom"/>
          </w:tcPr>
          <w:p w14:paraId="03DC04A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</w:tr>
      <w:tr w:rsidR="00C24F23" w:rsidRPr="000E7AD1" w14:paraId="5B375F8E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72A5FBF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Female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64BFB8B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1199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2A1E7F6E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2903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6F0B59D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142.12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2182F78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1.17 (1.10 - 1.23)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385FEA10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1.91 (1.83 - 1.98)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52A33BBB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2.44 (0.53 - 4.39)*</w:t>
            </w:r>
          </w:p>
        </w:tc>
      </w:tr>
      <w:tr w:rsidR="00C24F23" w:rsidRPr="000E7AD1" w14:paraId="5B161E9B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7659B6A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Male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6AC03BD7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1429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6BC4A2F6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4392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71AC9AD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207.35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05BE3F3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1.89 (1.79 - 1.99)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6E8D0C7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3.57 (3.47 - 3.68)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3423C3A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2.56 (1.50 - 3.63)*</w:t>
            </w:r>
          </w:p>
        </w:tc>
      </w:tr>
      <w:tr w:rsidR="00C24F23" w:rsidRPr="000E7AD1" w14:paraId="4F7A09A4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7AA115F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Region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10D3C580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274C783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3BACE97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73845982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376AB8AD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143BA6C8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</w:tr>
      <w:tr w:rsidR="00C24F23" w:rsidRPr="000E7AD1" w14:paraId="0A03FDDA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17D0C14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Northeast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3E92AAF0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456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1BB4883D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1227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77DB57D6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169.08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34C5981E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1.24 (1.13 - 1.36)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1B69759E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2.42 (2.28 - 2.56)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37D1E326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3.01 (1.15 - 4.91)*</w:t>
            </w:r>
          </w:p>
        </w:tc>
      </w:tr>
      <w:tr w:rsidR="00C24F23" w:rsidRPr="000E7AD1" w14:paraId="6BEF3321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562E4DE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Midwest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496EF86C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714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413D23D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1740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619502C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143.70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2C98D9B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1.71 (1.58 - 1.83)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7EE65078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2.98 (2.84 - 3.12)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64AA14DC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2.59 (0.76 - 4.45)*</w:t>
            </w:r>
          </w:p>
        </w:tc>
      </w:tr>
      <w:tr w:rsidR="00C24F23" w:rsidRPr="000E7AD1" w14:paraId="093A0BDC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528978D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South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7EECBF4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935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5B728FA2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2637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54FD247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182.03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0E6D2202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1.49 (1.39 - 1.58)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0BBE575C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2.51 (2.41 - 2.60)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202A137B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2.38 (1.37 - 3.39)*</w:t>
            </w:r>
          </w:p>
        </w:tc>
      </w:tr>
      <w:tr w:rsidR="00C24F23" w:rsidRPr="000E7AD1" w14:paraId="4A08E84E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12E5B6E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West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11A6E722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523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4AFDB8B3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1691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02A3917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223.33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580FF498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1.46 (1.33 - 1.58)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772742C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2.72 (2.58 - 2.85)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383AFD0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2.88 (1.13 - 4.65)*</w:t>
            </w:r>
          </w:p>
        </w:tc>
      </w:tr>
      <w:tr w:rsidR="00C24F23" w:rsidRPr="000E7AD1" w14:paraId="19AF5C7D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52C4C31D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Race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617E1403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3CD2A72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786485B8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436AE74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77370C9E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15EBFF57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</w:tr>
      <w:tr w:rsidR="00C24F23" w:rsidRPr="000E7AD1" w14:paraId="25F96001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777BDD8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Hispanic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65EDA39C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101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68AA7A5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704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6F24B100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597.03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6DA732D3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1.01 (0.80 - 1.22)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4255C32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2.40 (2.21 - 2.58)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6F2CD522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3.90 (0.78 - 7.11)*</w:t>
            </w:r>
          </w:p>
        </w:tc>
      </w:tr>
      <w:tr w:rsidR="00C24F23" w:rsidRPr="000E7AD1" w14:paraId="64523738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6AE4DA8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NH Black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689F866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140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4AF38A2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467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7C082CF2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233.57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60B128E3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0.83 (0.69 - 0.97)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077A78BD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1.71 (1.55 - 1.87)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0076B033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2.89 (-0.38 - 6.27)</w:t>
            </w:r>
          </w:p>
        </w:tc>
      </w:tr>
      <w:tr w:rsidR="00C24F23" w:rsidRPr="000E7AD1" w14:paraId="580769B6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411D3D0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NH White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19BA369E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2338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17CE0A6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5753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5672552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146.07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7B38BDE8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1.58 (1.52 - 1.64)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4ADA7533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2.84 (2.76 - 2.91)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39CF128C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2.68 (1.16 - 4.23)*</w:t>
            </w:r>
          </w:p>
        </w:tc>
      </w:tr>
      <w:tr w:rsidR="00C24F23" w:rsidRPr="000E7AD1" w14:paraId="19274F48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2F6F57B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NH Other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5D83DC58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41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26A8FAE8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350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3BAE4F1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753.66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291C7FF8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0.81 (0.57 - 1.13)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45660E6E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1.79 (1.60 - 1.98)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77447AC8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3.41 (1.42 - 5.44)*</w:t>
            </w:r>
          </w:p>
        </w:tc>
      </w:tr>
      <w:tr w:rsidR="00C24F23" w:rsidRPr="000E7AD1" w14:paraId="33381277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1419441E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Urbanicity</w:t>
            </w: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vertAlign w:val="superscript"/>
                <w:lang w:bidi="ar"/>
              </w:rPr>
              <w:t>#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2856E6E7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28E4E1A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6FB1337B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7C10ECE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305CE6BB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770C702B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</w:tr>
      <w:tr w:rsidR="00C24F23" w:rsidRPr="000E7AD1" w14:paraId="63F8677D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092927FD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Metropolitan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0AEFD6B3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2099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2E0C56F0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5208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2A6FFAB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148.12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24F2544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1.44 (1.38 - 1.51)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7F976BF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2.33 (2.26 - 2.39)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6F1717C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2.56 (0.53 - 4.63)*</w:t>
            </w:r>
          </w:p>
        </w:tc>
      </w:tr>
      <w:tr w:rsidR="00C24F23" w:rsidRPr="000E7AD1" w14:paraId="47DE67A1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4BA70EC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Nonmetropolitan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62EF0FD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529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083F3DEB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1209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7D37042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128.54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42A87888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1.62 (1.48 - 1.75)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5424E42E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2.73 (2.58 - 2.89)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26528C5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2.30 (-0.08 - 4.72)</w:t>
            </w:r>
          </w:p>
        </w:tc>
      </w:tr>
      <w:tr w:rsidR="00C24F23" w:rsidRPr="000E7AD1" w14:paraId="428C23FF" w14:textId="77777777" w:rsidTr="00FE0720">
        <w:trPr>
          <w:trHeight w:val="290"/>
        </w:trPr>
        <w:tc>
          <w:tcPr>
            <w:tcW w:w="2312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3A3A61A8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vertAlign w:val="superscript"/>
                <w:lang w:bidi="ar"/>
              </w:rPr>
            </w:pP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lang w:bidi="ar"/>
              </w:rPr>
              <w:t>Age Group (years)</w:t>
            </w:r>
            <w:r w:rsidRPr="000E7AD1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vertAlign w:val="superscript"/>
                <w:lang w:bidi="ar"/>
              </w:rPr>
              <w:t>$</w:t>
            </w:r>
          </w:p>
        </w:tc>
        <w:tc>
          <w:tcPr>
            <w:tcW w:w="987" w:type="dxa"/>
            <w:tcBorders>
              <w:tl2br w:val="nil"/>
              <w:tr2bl w:val="nil"/>
            </w:tcBorders>
            <w:noWrap/>
            <w:vAlign w:val="bottom"/>
          </w:tcPr>
          <w:p w14:paraId="6CC13F86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4CAEDB2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6B1B7C4E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187C9B33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7F5AA580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538C259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</w:pPr>
          </w:p>
        </w:tc>
      </w:tr>
      <w:tr w:rsidR="00C24F23" w:rsidRPr="000E7AD1" w14:paraId="28F2E4ED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154DC24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25-34 years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63240DE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43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7936B33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69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4285D2FE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60.47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22FC32E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0.11 (0.11 - 0.11)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403A1047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0.15 (0.15 - 0.15)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0E8F426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1.29 (0.47 - 2.11)*</w:t>
            </w:r>
          </w:p>
        </w:tc>
      </w:tr>
      <w:tr w:rsidR="00C24F23" w:rsidRPr="000E7AD1" w14:paraId="7EDB9D76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09450F7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lastRenderedPageBreak/>
              <w:t>35-44 years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396F515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103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7E90AC9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146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0F3A980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41.75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55E6A5E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0.23 (0.23 - 0.23)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0C77373C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0.33 (0.33 - 0.33)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548EA1A2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0.83 (-2.41 - 4.18)</w:t>
            </w:r>
          </w:p>
        </w:tc>
      </w:tr>
      <w:tr w:rsidR="00C24F23" w:rsidRPr="000E7AD1" w14:paraId="76BD5780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4A34C15C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45-54 years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64EACC3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218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1EAA8752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300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0F1626FD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37.61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5FE2755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0.60 (0.60 - 0.60)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0DBCD57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0.74 (0.74 - 0.74)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2054F81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1.03 (-0.33 - 2.41)</w:t>
            </w:r>
          </w:p>
        </w:tc>
      </w:tr>
      <w:tr w:rsidR="00C24F23" w:rsidRPr="000E7AD1" w14:paraId="5E6900DB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58D2B39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55-64 years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2640D637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374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2066C97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884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224B604D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136.36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40BA38CC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1.57 (1.57 - 1.57)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4321C73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2.11 (2.11 - 2.11)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01E58D43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1.13 (-0.14 - 2.42)</w:t>
            </w:r>
          </w:p>
        </w:tc>
      </w:tr>
      <w:tr w:rsidR="00C24F23" w:rsidRPr="000E7AD1" w14:paraId="68FE6038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7D52B04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65-74 years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68412852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719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26B4C94D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1853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009B5DF4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157.72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636FF7FC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3.90 (3.90 - 3.90)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59896E0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5.34 (5.34 - 5.34)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084F65BB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1.61 (-0.61 - 3.87)</w:t>
            </w:r>
          </w:p>
        </w:tc>
      </w:tr>
      <w:tr w:rsidR="00C24F23" w:rsidRPr="000E7AD1" w14:paraId="5D813179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01BE2169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75-84 years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76145D2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851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0647BC1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2617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09071A52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207.52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7089611A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6.96 (6.96 - 6.96)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615F0DD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14.25 (14.25 - 14.25)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16A1F002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3.17 (2.04 - 4.31)*</w:t>
            </w:r>
          </w:p>
        </w:tc>
      </w:tr>
      <w:tr w:rsidR="00C24F23" w:rsidRPr="000E7AD1" w14:paraId="73225F42" w14:textId="77777777" w:rsidTr="00FE0720">
        <w:trPr>
          <w:trHeight w:val="290"/>
        </w:trPr>
        <w:tc>
          <w:tcPr>
            <w:tcW w:w="2152" w:type="dxa"/>
            <w:tcBorders>
              <w:tl2br w:val="nil"/>
              <w:tr2bl w:val="nil"/>
            </w:tcBorders>
            <w:noWrap/>
            <w:vAlign w:val="bottom"/>
          </w:tcPr>
          <w:p w14:paraId="4053EA5D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85+ years</w:t>
            </w:r>
          </w:p>
        </w:tc>
        <w:tc>
          <w:tcPr>
            <w:tcW w:w="1147" w:type="dxa"/>
            <w:gridSpan w:val="2"/>
            <w:tcBorders>
              <w:tl2br w:val="nil"/>
              <w:tr2bl w:val="nil"/>
            </w:tcBorders>
            <w:noWrap/>
            <w:vAlign w:val="bottom"/>
          </w:tcPr>
          <w:p w14:paraId="6E52D1D7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320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noWrap/>
            <w:vAlign w:val="bottom"/>
          </w:tcPr>
          <w:p w14:paraId="7A49200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1426</w:t>
            </w:r>
          </w:p>
        </w:tc>
        <w:tc>
          <w:tcPr>
            <w:tcW w:w="2322" w:type="dxa"/>
            <w:tcBorders>
              <w:tl2br w:val="nil"/>
              <w:tr2bl w:val="nil"/>
            </w:tcBorders>
            <w:noWrap/>
            <w:vAlign w:val="bottom"/>
          </w:tcPr>
          <w:p w14:paraId="625FE27F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345.62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noWrap/>
            <w:vAlign w:val="bottom"/>
          </w:tcPr>
          <w:p w14:paraId="13811681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7.70 (7.70 - 7.70)</w:t>
            </w:r>
          </w:p>
        </w:tc>
        <w:tc>
          <w:tcPr>
            <w:tcW w:w="2436" w:type="dxa"/>
            <w:tcBorders>
              <w:tl2br w:val="nil"/>
              <w:tr2bl w:val="nil"/>
            </w:tcBorders>
            <w:noWrap/>
            <w:vAlign w:val="bottom"/>
          </w:tcPr>
          <w:p w14:paraId="5A4909B6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23.02 (23.02 - 23.02)</w:t>
            </w:r>
          </w:p>
        </w:tc>
        <w:tc>
          <w:tcPr>
            <w:tcW w:w="2543" w:type="dxa"/>
            <w:tcBorders>
              <w:tl2br w:val="nil"/>
              <w:tr2bl w:val="nil"/>
            </w:tcBorders>
            <w:noWrap/>
            <w:vAlign w:val="bottom"/>
          </w:tcPr>
          <w:p w14:paraId="3F066375" w14:textId="77777777" w:rsidR="00C24F23" w:rsidRPr="000E7AD1" w:rsidRDefault="00C24F23" w:rsidP="00FE072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0E7AD1">
              <w:rPr>
                <w:rFonts w:ascii="Times New Roman" w:eastAsia="SimSun" w:hAnsi="Times New Roman" w:cs="Times New Roman"/>
                <w:color w:val="000000"/>
                <w:kern w:val="0"/>
                <w:lang w:bidi="ar"/>
              </w:rPr>
              <w:t>4.41 (1.75 - 7.14)*</w:t>
            </w:r>
          </w:p>
        </w:tc>
      </w:tr>
    </w:tbl>
    <w:p w14:paraId="08AD6C6D" w14:textId="77777777" w:rsidR="00C24F23" w:rsidRPr="00D442B3" w:rsidRDefault="00C24F23" w:rsidP="00C24F23">
      <w:pPr>
        <w:pStyle w:val="NormalWeb"/>
        <w:widowControl/>
        <w:spacing w:before="137" w:after="137" w:line="286" w:lineRule="atLeast"/>
        <w:rPr>
          <w:rFonts w:ascii="Times New Roman" w:eastAsia="Segoe UI" w:hAnsi="Times New Roman" w:cs="Times New Roman"/>
          <w:b/>
          <w:bCs/>
          <w:sz w:val="21"/>
          <w:szCs w:val="21"/>
        </w:rPr>
      </w:pPr>
      <w:r w:rsidRPr="000E7AD1">
        <w:rPr>
          <w:rStyle w:val="Strong"/>
          <w:rFonts w:ascii="Times New Roman" w:eastAsia="Segoe UI" w:hAnsi="Times New Roman" w:cs="Times New Roman"/>
          <w:bCs/>
          <w:sz w:val="21"/>
          <w:szCs w:val="21"/>
        </w:rPr>
        <w:t>Abbreviations:</w:t>
      </w:r>
      <w:r>
        <w:rPr>
          <w:rFonts w:ascii="Times New Roman" w:eastAsia="Segoe UI" w:hAnsi="Times New Roman" w:cs="Times New Roman"/>
          <w:sz w:val="21"/>
          <w:szCs w:val="21"/>
        </w:rPr>
        <w:t xml:space="preserve"> </w:t>
      </w:r>
      <w:r w:rsidRPr="000E7AD1">
        <w:rPr>
          <w:rFonts w:ascii="Times New Roman" w:eastAsia="Segoe UI" w:hAnsi="Times New Roman" w:cs="Times New Roman"/>
          <w:sz w:val="21"/>
          <w:szCs w:val="21"/>
        </w:rPr>
        <w:t>AAMR, Age-Adjusted Mortality Rate (per 100,000 population); AAPC, Average Annual Percent Change; CI, Confidence Interval; NH, Non-Hispanic.</w:t>
      </w:r>
      <w:r w:rsidRPr="000E7AD1">
        <w:rPr>
          <w:rStyle w:val="Strong"/>
          <w:rFonts w:ascii="Times New Roman" w:eastAsia="Segoe UI" w:hAnsi="Times New Roman" w:cs="Times New Roman"/>
          <w:bCs/>
          <w:sz w:val="21"/>
          <w:szCs w:val="21"/>
        </w:rPr>
        <w:t xml:space="preserve">Notes: </w:t>
      </w:r>
      <w:r w:rsidRPr="000E7AD1">
        <w:rPr>
          <w:rFonts w:ascii="Times New Roman" w:eastAsia="Segoe UI" w:hAnsi="Times New Roman" w:cs="Times New Roman"/>
          <w:sz w:val="21"/>
          <w:szCs w:val="21"/>
        </w:rPr>
        <w:t>* is statistically significant (95% CI does not include 0).</w:t>
      </w:r>
      <w:r w:rsidRPr="000E7AD1">
        <w:rPr>
          <w:rFonts w:ascii="Times New Roman" w:eastAsia="SimSun" w:hAnsi="Times New Roman" w:cs="Times New Roman"/>
          <w:b/>
          <w:bCs/>
          <w:color w:val="000000"/>
          <w:kern w:val="0"/>
          <w:lang w:bidi="ar"/>
        </w:rPr>
        <w:t xml:space="preserve"> </w:t>
      </w:r>
      <w:r w:rsidRPr="000E7AD1">
        <w:rPr>
          <w:rFonts w:ascii="Times New Roman" w:eastAsia="SimSun" w:hAnsi="Times New Roman" w:cs="Times New Roman"/>
          <w:b/>
          <w:bCs/>
          <w:color w:val="000000"/>
          <w:kern w:val="0"/>
          <w:sz w:val="21"/>
          <w:szCs w:val="21"/>
          <w:lang w:bidi="ar"/>
        </w:rPr>
        <w:t>Urbanicity</w:t>
      </w:r>
      <w:r w:rsidRPr="000E7AD1">
        <w:rPr>
          <w:rFonts w:ascii="Times New Roman" w:eastAsia="SimSun" w:hAnsi="Times New Roman" w:cs="Times New Roman"/>
          <w:b/>
          <w:bCs/>
          <w:color w:val="000000"/>
          <w:kern w:val="0"/>
          <w:sz w:val="21"/>
          <w:szCs w:val="21"/>
          <w:vertAlign w:val="superscript"/>
          <w:lang w:bidi="ar"/>
        </w:rPr>
        <w:t>#</w:t>
      </w:r>
      <w:r w:rsidRPr="000E7AD1">
        <w:rPr>
          <w:rFonts w:ascii="Times New Roman" w:eastAsia="Segoe UI" w:hAnsi="Times New Roman" w:cs="Times New Roman"/>
          <w:sz w:val="21"/>
          <w:szCs w:val="21"/>
        </w:rPr>
        <w:t xml:space="preserve"> is </w:t>
      </w:r>
      <w:r w:rsidRPr="000E7AD1">
        <w:rPr>
          <w:rFonts w:ascii="Times New Roman" w:eastAsia="Microsoft YaHei" w:hAnsi="Times New Roman" w:cs="Times New Roman"/>
          <w:sz w:val="21"/>
          <w:szCs w:val="21"/>
        </w:rPr>
        <w:t xml:space="preserve">limited to the period 1999 through 2020, as records from 2021 onward exhibit statistical discontinuities precluding complete reporting. AAMR and AAPC for the </w:t>
      </w:r>
      <w:r w:rsidRPr="00C6168F">
        <w:rPr>
          <w:rFonts w:ascii="Times New Roman" w:eastAsia="Microsoft YaHei" w:hAnsi="Times New Roman" w:cs="Times New Roman"/>
          <w:b/>
          <w:bCs/>
          <w:sz w:val="21"/>
          <w:szCs w:val="21"/>
        </w:rPr>
        <w:t>Age Group (years)</w:t>
      </w:r>
      <w:r w:rsidRPr="00C6168F">
        <w:rPr>
          <w:rFonts w:ascii="Times New Roman" w:eastAsia="Microsoft YaHei" w:hAnsi="Times New Roman" w:cs="Times New Roman"/>
          <w:b/>
          <w:bCs/>
          <w:sz w:val="21"/>
          <w:szCs w:val="21"/>
          <w:vertAlign w:val="superscript"/>
        </w:rPr>
        <w:t>$</w:t>
      </w:r>
      <w:r w:rsidRPr="000E7AD1">
        <w:rPr>
          <w:rFonts w:ascii="Times New Roman" w:eastAsia="Microsoft YaHei" w:hAnsi="Times New Roman" w:cs="Times New Roman"/>
          <w:sz w:val="21"/>
          <w:szCs w:val="21"/>
        </w:rPr>
        <w:t xml:space="preserve"> </w:t>
      </w:r>
      <w:r>
        <w:rPr>
          <w:rFonts w:ascii="Times New Roman" w:eastAsia="Microsoft YaHei" w:hAnsi="Times New Roman" w:cs="Times New Roman"/>
          <w:sz w:val="21"/>
          <w:szCs w:val="21"/>
        </w:rPr>
        <w:t>are</w:t>
      </w:r>
      <w:r w:rsidRPr="000E7AD1">
        <w:rPr>
          <w:rFonts w:ascii="Times New Roman" w:eastAsia="Microsoft YaHei" w:hAnsi="Times New Roman" w:cs="Times New Roman"/>
          <w:sz w:val="21"/>
          <w:szCs w:val="21"/>
        </w:rPr>
        <w:t xml:space="preserve"> computed using crude mortality rates as opposed to age-adjusted parameters.</w:t>
      </w:r>
    </w:p>
    <w:p w14:paraId="3FBE841D" w14:textId="77777777" w:rsidR="00EB4A2D" w:rsidRDefault="00EB4A2D"/>
    <w:sectPr w:rsidR="00EB4A2D" w:rsidSect="00C24F2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F23"/>
    <w:rsid w:val="005C0D39"/>
    <w:rsid w:val="0070406C"/>
    <w:rsid w:val="00724754"/>
    <w:rsid w:val="007C5920"/>
    <w:rsid w:val="00C24F23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F7EAF"/>
  <w15:chartTrackingRefBased/>
  <w15:docId w15:val="{24071368-030C-4A6E-8047-C40C0C9E9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4F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4F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F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4F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4F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4F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4F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4F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4F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F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4F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F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4F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4F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4F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4F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4F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4F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4F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4F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4F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4F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4F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4F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4F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4F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4F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4F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4F23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semiHidden/>
    <w:unhideWhenUsed/>
    <w:rsid w:val="00C24F23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NormalWeb">
    <w:name w:val="Normal (Web)"/>
    <w:basedOn w:val="Normal"/>
    <w:link w:val="NormalWebChar"/>
    <w:rsid w:val="00C24F23"/>
    <w:pPr>
      <w:widowControl w:val="0"/>
      <w:spacing w:after="0" w:line="240" w:lineRule="auto"/>
      <w:jc w:val="both"/>
    </w:pPr>
    <w:rPr>
      <w:rFonts w:eastAsiaTheme="minorEastAsia"/>
      <w:lang w:val="en-US" w:eastAsia="zh-CN"/>
      <w14:ligatures w14:val="none"/>
    </w:rPr>
  </w:style>
  <w:style w:type="character" w:styleId="Strong">
    <w:name w:val="Strong"/>
    <w:basedOn w:val="DefaultParagraphFont"/>
    <w:qFormat/>
    <w:rsid w:val="00C24F23"/>
    <w:rPr>
      <w:b/>
    </w:rPr>
  </w:style>
  <w:style w:type="character" w:customStyle="1" w:styleId="NormalWebChar">
    <w:name w:val="Normal (Web) Char"/>
    <w:basedOn w:val="DefaultParagraphFont"/>
    <w:link w:val="NormalWeb"/>
    <w:rsid w:val="00C24F23"/>
    <w:rPr>
      <w:rFonts w:eastAsiaTheme="minorEastAsia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855</Words>
  <Characters>4330</Characters>
  <Application>Microsoft Office Word</Application>
  <DocSecurity>0</DocSecurity>
  <Lines>360</Lines>
  <Paragraphs>324</Paragraphs>
  <ScaleCrop>false</ScaleCrop>
  <Company/>
  <LinksUpToDate>false</LinksUpToDate>
  <CharactersWithSpaces>4861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2026-01-08T10:05:00Z</dcterms:created>
  <dcterms:modified xsi:type="dcterms:W3CDTF">2026-01-08T10:06:00Z</dcterms:modified>
</cp:coreProperties>
</file>