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26313" w14:textId="77777777" w:rsidR="007207E2" w:rsidRPr="000D0B90" w:rsidRDefault="007207E2" w:rsidP="00CE774D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bookmarkStart w:id="0" w:name="_Ref207806750"/>
      <w:r w:rsidRPr="000D0B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Table </w:t>
      </w:r>
      <w:bookmarkEnd w:id="0"/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2</w:t>
      </w:r>
      <w:r w:rsidRPr="000D0B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: WHO core drug use indicators index.</w:t>
      </w:r>
    </w:p>
    <w:tbl>
      <w:tblPr>
        <w:tblStyle w:val="TableGrid"/>
        <w:tblW w:w="13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0"/>
        <w:gridCol w:w="2657"/>
        <w:gridCol w:w="1079"/>
        <w:gridCol w:w="1073"/>
        <w:gridCol w:w="1391"/>
        <w:gridCol w:w="900"/>
      </w:tblGrid>
      <w:tr w:rsidR="007207E2" w:rsidRPr="000D0B90" w14:paraId="25991689" w14:textId="77777777" w:rsidTr="00395801">
        <w:trPr>
          <w:trHeight w:val="305"/>
        </w:trPr>
        <w:tc>
          <w:tcPr>
            <w:tcW w:w="6130" w:type="dxa"/>
            <w:tcBorders>
              <w:top w:val="single" w:sz="4" w:space="0" w:color="auto"/>
              <w:bottom w:val="single" w:sz="4" w:space="0" w:color="auto"/>
            </w:tcBorders>
          </w:tcPr>
          <w:p w14:paraId="455F9955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Core drug use indicators</w:t>
            </w:r>
          </w:p>
        </w:tc>
        <w:tc>
          <w:tcPr>
            <w:tcW w:w="2657" w:type="dxa"/>
            <w:tcBorders>
              <w:top w:val="single" w:sz="4" w:space="0" w:color="auto"/>
              <w:bottom w:val="single" w:sz="4" w:space="0" w:color="auto"/>
            </w:tcBorders>
          </w:tcPr>
          <w:p w14:paraId="7F8A2C04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Index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14:paraId="72C782FF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Observed value A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14:paraId="6AF9600E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WHO optimal value B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</w:tcPr>
          <w:p w14:paraId="7BE6D6D1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Observed Index </w:t>
            </w:r>
          </w:p>
          <w:p w14:paraId="61CC191E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(A/B or B/A</w:t>
            </w:r>
            <w:r w:rsidRPr="000D0B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$</w:t>
            </w:r>
            <w:r w:rsidRPr="000D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EC8437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WHO optimal index</w:t>
            </w:r>
          </w:p>
        </w:tc>
      </w:tr>
      <w:tr w:rsidR="007207E2" w:rsidRPr="000D0B90" w14:paraId="5DC1C4DD" w14:textId="77777777" w:rsidTr="00395801">
        <w:trPr>
          <w:trHeight w:val="251"/>
        </w:trPr>
        <w:tc>
          <w:tcPr>
            <w:tcW w:w="13230" w:type="dxa"/>
            <w:gridSpan w:val="6"/>
            <w:tcBorders>
              <w:top w:val="single" w:sz="4" w:space="0" w:color="auto"/>
            </w:tcBorders>
          </w:tcPr>
          <w:p w14:paraId="7D02569D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Prescribing indicator</w:t>
            </w:r>
          </w:p>
        </w:tc>
      </w:tr>
      <w:tr w:rsidR="007207E2" w:rsidRPr="000D0B90" w14:paraId="464FFCD8" w14:textId="77777777" w:rsidTr="00395801">
        <w:trPr>
          <w:trHeight w:val="197"/>
        </w:trPr>
        <w:tc>
          <w:tcPr>
            <w:tcW w:w="6130" w:type="dxa"/>
          </w:tcPr>
          <w:p w14:paraId="6DAA27A0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Average number of drugs prescribed per patient encounter</w:t>
            </w:r>
          </w:p>
        </w:tc>
        <w:tc>
          <w:tcPr>
            <w:tcW w:w="2657" w:type="dxa"/>
          </w:tcPr>
          <w:p w14:paraId="33BF210F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Non-polypharmacy index</w:t>
            </w:r>
          </w:p>
        </w:tc>
        <w:tc>
          <w:tcPr>
            <w:tcW w:w="1079" w:type="dxa"/>
          </w:tcPr>
          <w:p w14:paraId="466400B5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5.34</w:t>
            </w:r>
          </w:p>
        </w:tc>
        <w:tc>
          <w:tcPr>
            <w:tcW w:w="1073" w:type="dxa"/>
          </w:tcPr>
          <w:p w14:paraId="057C0BCE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1.6–1.8</w:t>
            </w:r>
          </w:p>
        </w:tc>
        <w:tc>
          <w:tcPr>
            <w:tcW w:w="1391" w:type="dxa"/>
          </w:tcPr>
          <w:p w14:paraId="02DD8E78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  <w:r w:rsidRPr="000D0B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900" w:type="dxa"/>
          </w:tcPr>
          <w:p w14:paraId="08AF40A7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7207E2" w:rsidRPr="000D0B90" w14:paraId="2D10FCED" w14:textId="77777777" w:rsidTr="00395801">
        <w:trPr>
          <w:trHeight w:val="143"/>
        </w:trPr>
        <w:tc>
          <w:tcPr>
            <w:tcW w:w="6130" w:type="dxa"/>
          </w:tcPr>
          <w:p w14:paraId="05A3C174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Percent medicines prescribed by generic name</w:t>
            </w:r>
          </w:p>
        </w:tc>
        <w:tc>
          <w:tcPr>
            <w:tcW w:w="2657" w:type="dxa"/>
          </w:tcPr>
          <w:p w14:paraId="76414545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Generic name index</w:t>
            </w:r>
          </w:p>
        </w:tc>
        <w:tc>
          <w:tcPr>
            <w:tcW w:w="1079" w:type="dxa"/>
          </w:tcPr>
          <w:p w14:paraId="410B68DE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73" w:type="dxa"/>
          </w:tcPr>
          <w:p w14:paraId="6DC2EFC7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1" w:type="dxa"/>
          </w:tcPr>
          <w:p w14:paraId="6A758B0B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900" w:type="dxa"/>
          </w:tcPr>
          <w:p w14:paraId="3A64189C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7207E2" w:rsidRPr="000D0B90" w14:paraId="452D6377" w14:textId="77777777" w:rsidTr="00395801">
        <w:trPr>
          <w:trHeight w:val="269"/>
        </w:trPr>
        <w:tc>
          <w:tcPr>
            <w:tcW w:w="6130" w:type="dxa"/>
          </w:tcPr>
          <w:p w14:paraId="7FC3EB48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Percent encounters with an antibiotic prescribed</w:t>
            </w:r>
          </w:p>
        </w:tc>
        <w:tc>
          <w:tcPr>
            <w:tcW w:w="2657" w:type="dxa"/>
          </w:tcPr>
          <w:p w14:paraId="1A262B89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Rational antibiotic index</w:t>
            </w:r>
          </w:p>
        </w:tc>
        <w:tc>
          <w:tcPr>
            <w:tcW w:w="1079" w:type="dxa"/>
          </w:tcPr>
          <w:p w14:paraId="4560DC58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25.94</w:t>
            </w:r>
          </w:p>
        </w:tc>
        <w:tc>
          <w:tcPr>
            <w:tcW w:w="1073" w:type="dxa"/>
          </w:tcPr>
          <w:p w14:paraId="2FF1F0F0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20.0–26.8</w:t>
            </w:r>
          </w:p>
        </w:tc>
        <w:tc>
          <w:tcPr>
            <w:tcW w:w="1391" w:type="dxa"/>
          </w:tcPr>
          <w:p w14:paraId="6FB50046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 w:rsidRPr="000D0B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900" w:type="dxa"/>
          </w:tcPr>
          <w:p w14:paraId="0DD87C83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7207E2" w:rsidRPr="000D0B90" w14:paraId="31B6B795" w14:textId="77777777" w:rsidTr="00395801">
        <w:trPr>
          <w:trHeight w:val="58"/>
        </w:trPr>
        <w:tc>
          <w:tcPr>
            <w:tcW w:w="6130" w:type="dxa"/>
          </w:tcPr>
          <w:p w14:paraId="794D96B5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Percent encounters with an injection prescribed</w:t>
            </w:r>
          </w:p>
        </w:tc>
        <w:tc>
          <w:tcPr>
            <w:tcW w:w="2657" w:type="dxa"/>
          </w:tcPr>
          <w:p w14:paraId="309B8CB9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Injection safety index</w:t>
            </w:r>
          </w:p>
        </w:tc>
        <w:tc>
          <w:tcPr>
            <w:tcW w:w="1079" w:type="dxa"/>
          </w:tcPr>
          <w:p w14:paraId="5A726F7F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8.95</w:t>
            </w:r>
          </w:p>
        </w:tc>
        <w:tc>
          <w:tcPr>
            <w:tcW w:w="1073" w:type="dxa"/>
          </w:tcPr>
          <w:p w14:paraId="732C3041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13.4–24.1</w:t>
            </w:r>
          </w:p>
        </w:tc>
        <w:tc>
          <w:tcPr>
            <w:tcW w:w="1391" w:type="dxa"/>
          </w:tcPr>
          <w:p w14:paraId="014414A5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  <w:r w:rsidRPr="000D0B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$</w:t>
            </w:r>
          </w:p>
        </w:tc>
        <w:tc>
          <w:tcPr>
            <w:tcW w:w="900" w:type="dxa"/>
          </w:tcPr>
          <w:p w14:paraId="2BD8A821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7207E2" w:rsidRPr="000D0B90" w14:paraId="651F9EB4" w14:textId="77777777" w:rsidTr="00395801">
        <w:trPr>
          <w:trHeight w:val="287"/>
        </w:trPr>
        <w:tc>
          <w:tcPr>
            <w:tcW w:w="6130" w:type="dxa"/>
          </w:tcPr>
          <w:p w14:paraId="49AD99F2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Percent of medicines prescribed from EML</w:t>
            </w:r>
          </w:p>
        </w:tc>
        <w:tc>
          <w:tcPr>
            <w:tcW w:w="2657" w:type="dxa"/>
          </w:tcPr>
          <w:p w14:paraId="23F7ADB3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Essential drug list index</w:t>
            </w:r>
          </w:p>
        </w:tc>
        <w:tc>
          <w:tcPr>
            <w:tcW w:w="1079" w:type="dxa"/>
          </w:tcPr>
          <w:p w14:paraId="6FCF6079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47.94</w:t>
            </w:r>
          </w:p>
        </w:tc>
        <w:tc>
          <w:tcPr>
            <w:tcW w:w="1073" w:type="dxa"/>
          </w:tcPr>
          <w:p w14:paraId="01B507DC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1" w:type="dxa"/>
          </w:tcPr>
          <w:p w14:paraId="18FB26D1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900" w:type="dxa"/>
          </w:tcPr>
          <w:p w14:paraId="760CD3A0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7207E2" w:rsidRPr="000D0B90" w14:paraId="432CB0FD" w14:textId="77777777" w:rsidTr="00395801">
        <w:trPr>
          <w:trHeight w:val="269"/>
        </w:trPr>
        <w:tc>
          <w:tcPr>
            <w:tcW w:w="6130" w:type="dxa"/>
          </w:tcPr>
          <w:p w14:paraId="091849B8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Index of Rational Drug Prescribing (IRDP)</w:t>
            </w:r>
          </w:p>
        </w:tc>
        <w:tc>
          <w:tcPr>
            <w:tcW w:w="2657" w:type="dxa"/>
          </w:tcPr>
          <w:p w14:paraId="03D0C1A8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14:paraId="7AA20B24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35925E5D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B3ADA0B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4.59</w:t>
            </w:r>
          </w:p>
        </w:tc>
        <w:tc>
          <w:tcPr>
            <w:tcW w:w="900" w:type="dxa"/>
          </w:tcPr>
          <w:p w14:paraId="2BCBC40B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</w:tr>
      <w:tr w:rsidR="007207E2" w:rsidRPr="000D0B90" w14:paraId="10E9060E" w14:textId="77777777" w:rsidTr="00395801">
        <w:trPr>
          <w:trHeight w:val="161"/>
        </w:trPr>
        <w:tc>
          <w:tcPr>
            <w:tcW w:w="13230" w:type="dxa"/>
            <w:gridSpan w:val="6"/>
          </w:tcPr>
          <w:p w14:paraId="248EAF55" w14:textId="77777777" w:rsidR="007207E2" w:rsidRPr="000D0B90" w:rsidRDefault="007207E2" w:rsidP="00395801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Patient care indicators</w:t>
            </w:r>
          </w:p>
        </w:tc>
      </w:tr>
      <w:tr w:rsidR="007207E2" w:rsidRPr="000D0B90" w14:paraId="73CADA19" w14:textId="77777777" w:rsidTr="00395801">
        <w:trPr>
          <w:trHeight w:val="285"/>
        </w:trPr>
        <w:tc>
          <w:tcPr>
            <w:tcW w:w="6130" w:type="dxa"/>
          </w:tcPr>
          <w:p w14:paraId="569A0713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Average consultation time (minutes)</w:t>
            </w:r>
          </w:p>
        </w:tc>
        <w:tc>
          <w:tcPr>
            <w:tcW w:w="2657" w:type="dxa"/>
          </w:tcPr>
          <w:p w14:paraId="6E0E4262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Consultation time index</w:t>
            </w:r>
          </w:p>
        </w:tc>
        <w:tc>
          <w:tcPr>
            <w:tcW w:w="1079" w:type="dxa"/>
          </w:tcPr>
          <w:p w14:paraId="3415ABAE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5.86</w:t>
            </w:r>
          </w:p>
        </w:tc>
        <w:tc>
          <w:tcPr>
            <w:tcW w:w="1073" w:type="dxa"/>
          </w:tcPr>
          <w:p w14:paraId="3E67F246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≥10</w:t>
            </w:r>
          </w:p>
        </w:tc>
        <w:tc>
          <w:tcPr>
            <w:tcW w:w="1391" w:type="dxa"/>
          </w:tcPr>
          <w:p w14:paraId="34C64CE2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900" w:type="dxa"/>
          </w:tcPr>
          <w:p w14:paraId="368051B2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7207E2" w:rsidRPr="000D0B90" w14:paraId="46DF3BF7" w14:textId="77777777" w:rsidTr="00395801">
        <w:trPr>
          <w:trHeight w:val="285"/>
        </w:trPr>
        <w:tc>
          <w:tcPr>
            <w:tcW w:w="6130" w:type="dxa"/>
          </w:tcPr>
          <w:p w14:paraId="481DF960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Average dispensing time (minutes)</w:t>
            </w:r>
          </w:p>
        </w:tc>
        <w:tc>
          <w:tcPr>
            <w:tcW w:w="2657" w:type="dxa"/>
          </w:tcPr>
          <w:p w14:paraId="40F4C14D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Dispensing time index</w:t>
            </w:r>
          </w:p>
        </w:tc>
        <w:tc>
          <w:tcPr>
            <w:tcW w:w="1079" w:type="dxa"/>
          </w:tcPr>
          <w:p w14:paraId="08A87042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1073" w:type="dxa"/>
          </w:tcPr>
          <w:p w14:paraId="40E739D1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≥1.5</w:t>
            </w:r>
          </w:p>
        </w:tc>
        <w:tc>
          <w:tcPr>
            <w:tcW w:w="1391" w:type="dxa"/>
          </w:tcPr>
          <w:p w14:paraId="01A1D65B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900" w:type="dxa"/>
          </w:tcPr>
          <w:p w14:paraId="38A902DA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7207E2" w:rsidRPr="000D0B90" w14:paraId="14BBFD2C" w14:textId="77777777" w:rsidTr="00395801">
        <w:trPr>
          <w:trHeight w:val="285"/>
        </w:trPr>
        <w:tc>
          <w:tcPr>
            <w:tcW w:w="6130" w:type="dxa"/>
          </w:tcPr>
          <w:p w14:paraId="7D0C3EB4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Percent medicines actually dispensed</w:t>
            </w:r>
          </w:p>
        </w:tc>
        <w:tc>
          <w:tcPr>
            <w:tcW w:w="2657" w:type="dxa"/>
          </w:tcPr>
          <w:p w14:paraId="59CE86A3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Dispensing drug index</w:t>
            </w:r>
          </w:p>
        </w:tc>
        <w:tc>
          <w:tcPr>
            <w:tcW w:w="1079" w:type="dxa"/>
          </w:tcPr>
          <w:p w14:paraId="630FEFCF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76.27</w:t>
            </w:r>
          </w:p>
        </w:tc>
        <w:tc>
          <w:tcPr>
            <w:tcW w:w="1073" w:type="dxa"/>
          </w:tcPr>
          <w:p w14:paraId="756FB4CF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1" w:type="dxa"/>
          </w:tcPr>
          <w:p w14:paraId="59785685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900" w:type="dxa"/>
          </w:tcPr>
          <w:p w14:paraId="789C06C0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7207E2" w:rsidRPr="000D0B90" w14:paraId="22551246" w14:textId="77777777" w:rsidTr="00395801">
        <w:trPr>
          <w:trHeight w:val="285"/>
        </w:trPr>
        <w:tc>
          <w:tcPr>
            <w:tcW w:w="6130" w:type="dxa"/>
          </w:tcPr>
          <w:p w14:paraId="0AEC398F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Percent medicines adequately labelled</w:t>
            </w:r>
          </w:p>
        </w:tc>
        <w:tc>
          <w:tcPr>
            <w:tcW w:w="2657" w:type="dxa"/>
          </w:tcPr>
          <w:p w14:paraId="2368DBBF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Labeled drug index</w:t>
            </w:r>
          </w:p>
        </w:tc>
        <w:tc>
          <w:tcPr>
            <w:tcW w:w="1079" w:type="dxa"/>
          </w:tcPr>
          <w:p w14:paraId="08C2FC17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50.17</w:t>
            </w:r>
          </w:p>
        </w:tc>
        <w:tc>
          <w:tcPr>
            <w:tcW w:w="1073" w:type="dxa"/>
          </w:tcPr>
          <w:p w14:paraId="3B4DBFB2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1" w:type="dxa"/>
          </w:tcPr>
          <w:p w14:paraId="30BFD220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900" w:type="dxa"/>
          </w:tcPr>
          <w:p w14:paraId="49ECF3E2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7207E2" w:rsidRPr="000D0B90" w14:paraId="1CE1BC57" w14:textId="77777777" w:rsidTr="00395801">
        <w:trPr>
          <w:trHeight w:val="285"/>
        </w:trPr>
        <w:tc>
          <w:tcPr>
            <w:tcW w:w="6130" w:type="dxa"/>
          </w:tcPr>
          <w:p w14:paraId="34AAD3DC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Percent patients with knowledge of correct doses</w:t>
            </w:r>
          </w:p>
        </w:tc>
        <w:tc>
          <w:tcPr>
            <w:tcW w:w="2657" w:type="dxa"/>
          </w:tcPr>
          <w:p w14:paraId="188E5CE4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Patients’ knowledge index</w:t>
            </w:r>
          </w:p>
        </w:tc>
        <w:tc>
          <w:tcPr>
            <w:tcW w:w="1079" w:type="dxa"/>
          </w:tcPr>
          <w:p w14:paraId="288E529F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50.20</w:t>
            </w:r>
          </w:p>
        </w:tc>
        <w:tc>
          <w:tcPr>
            <w:tcW w:w="1073" w:type="dxa"/>
          </w:tcPr>
          <w:p w14:paraId="770475A6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1" w:type="dxa"/>
          </w:tcPr>
          <w:p w14:paraId="012263FC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900" w:type="dxa"/>
          </w:tcPr>
          <w:p w14:paraId="1F6265A2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7207E2" w:rsidRPr="000D0B90" w14:paraId="17CFDCA7" w14:textId="77777777" w:rsidTr="00395801">
        <w:trPr>
          <w:trHeight w:val="285"/>
        </w:trPr>
        <w:tc>
          <w:tcPr>
            <w:tcW w:w="6130" w:type="dxa"/>
          </w:tcPr>
          <w:p w14:paraId="1B031556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Index of Rational Patient-care Drug Use (IRPCDU)</w:t>
            </w:r>
          </w:p>
        </w:tc>
        <w:tc>
          <w:tcPr>
            <w:tcW w:w="2657" w:type="dxa"/>
          </w:tcPr>
          <w:p w14:paraId="60563728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14:paraId="668ED07C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0FE10A34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751289C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4.77</w:t>
            </w:r>
          </w:p>
        </w:tc>
        <w:tc>
          <w:tcPr>
            <w:tcW w:w="900" w:type="dxa"/>
          </w:tcPr>
          <w:p w14:paraId="0F8FB999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</w:tr>
      <w:tr w:rsidR="007207E2" w:rsidRPr="000D0B90" w14:paraId="61721807" w14:textId="77777777" w:rsidTr="00395801">
        <w:trPr>
          <w:trHeight w:val="251"/>
        </w:trPr>
        <w:tc>
          <w:tcPr>
            <w:tcW w:w="13230" w:type="dxa"/>
            <w:gridSpan w:val="6"/>
          </w:tcPr>
          <w:p w14:paraId="1C50C3BE" w14:textId="77777777" w:rsidR="007207E2" w:rsidRPr="000D0B90" w:rsidRDefault="007207E2" w:rsidP="00395801">
            <w:pPr>
              <w:spacing w:before="2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Facility indicators</w:t>
            </w:r>
          </w:p>
        </w:tc>
      </w:tr>
      <w:tr w:rsidR="007207E2" w:rsidRPr="000D0B90" w14:paraId="24C6E335" w14:textId="77777777" w:rsidTr="00395801">
        <w:trPr>
          <w:trHeight w:val="285"/>
        </w:trPr>
        <w:tc>
          <w:tcPr>
            <w:tcW w:w="6130" w:type="dxa"/>
          </w:tcPr>
          <w:p w14:paraId="7110B3BC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Percentage availability of EML to practitioners</w:t>
            </w:r>
          </w:p>
        </w:tc>
        <w:tc>
          <w:tcPr>
            <w:tcW w:w="2657" w:type="dxa"/>
          </w:tcPr>
          <w:p w14:paraId="28CC226B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Index of EML</w:t>
            </w:r>
          </w:p>
        </w:tc>
        <w:tc>
          <w:tcPr>
            <w:tcW w:w="1079" w:type="dxa"/>
          </w:tcPr>
          <w:p w14:paraId="3A5124BC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52.8</w:t>
            </w:r>
          </w:p>
        </w:tc>
        <w:tc>
          <w:tcPr>
            <w:tcW w:w="1073" w:type="dxa"/>
          </w:tcPr>
          <w:p w14:paraId="55FB0D2C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1" w:type="dxa"/>
          </w:tcPr>
          <w:p w14:paraId="1B3538C3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900" w:type="dxa"/>
          </w:tcPr>
          <w:p w14:paraId="63CF5A45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7207E2" w:rsidRPr="000D0B90" w14:paraId="0D25ED80" w14:textId="77777777" w:rsidTr="00395801">
        <w:trPr>
          <w:trHeight w:val="285"/>
        </w:trPr>
        <w:tc>
          <w:tcPr>
            <w:tcW w:w="6130" w:type="dxa"/>
          </w:tcPr>
          <w:p w14:paraId="7D072F6F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Percentage of key medicines available</w:t>
            </w:r>
          </w:p>
        </w:tc>
        <w:tc>
          <w:tcPr>
            <w:tcW w:w="2657" w:type="dxa"/>
          </w:tcPr>
          <w:p w14:paraId="17B3A498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Index of key drugs availability</w:t>
            </w:r>
          </w:p>
        </w:tc>
        <w:tc>
          <w:tcPr>
            <w:tcW w:w="1079" w:type="dxa"/>
          </w:tcPr>
          <w:p w14:paraId="61BE2B04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77.11</w:t>
            </w:r>
          </w:p>
        </w:tc>
        <w:tc>
          <w:tcPr>
            <w:tcW w:w="1073" w:type="dxa"/>
          </w:tcPr>
          <w:p w14:paraId="57852373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1" w:type="dxa"/>
          </w:tcPr>
          <w:p w14:paraId="29ADDB4E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900" w:type="dxa"/>
          </w:tcPr>
          <w:p w14:paraId="0DC301BA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7207E2" w:rsidRPr="000D0B90" w14:paraId="118FC968" w14:textId="77777777" w:rsidTr="00395801">
        <w:trPr>
          <w:trHeight w:val="285"/>
        </w:trPr>
        <w:tc>
          <w:tcPr>
            <w:tcW w:w="6130" w:type="dxa"/>
          </w:tcPr>
          <w:p w14:paraId="0315126F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Index of Rational Facility-Specific Drug Use (IRFSDU)</w:t>
            </w:r>
          </w:p>
        </w:tc>
        <w:tc>
          <w:tcPr>
            <w:tcW w:w="2657" w:type="dxa"/>
          </w:tcPr>
          <w:p w14:paraId="5A70D203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14:paraId="3535A4F2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660598F3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FC99597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900" w:type="dxa"/>
          </w:tcPr>
          <w:p w14:paraId="737CB099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</w:tr>
      <w:tr w:rsidR="007207E2" w:rsidRPr="000D0B90" w14:paraId="001B6AF8" w14:textId="77777777" w:rsidTr="00395801">
        <w:trPr>
          <w:trHeight w:val="285"/>
        </w:trPr>
        <w:tc>
          <w:tcPr>
            <w:tcW w:w="6130" w:type="dxa"/>
            <w:tcBorders>
              <w:bottom w:val="single" w:sz="4" w:space="0" w:color="auto"/>
            </w:tcBorders>
          </w:tcPr>
          <w:p w14:paraId="542E5CF1" w14:textId="77777777" w:rsidR="007207E2" w:rsidRPr="000D0B90" w:rsidRDefault="007207E2" w:rsidP="00395801">
            <w:pPr>
              <w:spacing w:before="24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Index of Rational Drug Supply (IRDS)</w:t>
            </w:r>
          </w:p>
        </w:tc>
        <w:tc>
          <w:tcPr>
            <w:tcW w:w="2657" w:type="dxa"/>
            <w:tcBorders>
              <w:bottom w:val="single" w:sz="4" w:space="0" w:color="auto"/>
            </w:tcBorders>
          </w:tcPr>
          <w:p w14:paraId="11B0724E" w14:textId="77777777" w:rsidR="007207E2" w:rsidRPr="000D0B90" w:rsidRDefault="007207E2" w:rsidP="0039580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391DCB44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14:paraId="470BBAA2" w14:textId="77777777" w:rsidR="007207E2" w:rsidRPr="000D0B90" w:rsidRDefault="007207E2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2803A4E8" w14:textId="77777777" w:rsidR="007207E2" w:rsidRPr="000D0B90" w:rsidRDefault="007207E2" w:rsidP="00395801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10.66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EDA19C5" w14:textId="77777777" w:rsidR="007207E2" w:rsidRPr="000D0B90" w:rsidRDefault="007207E2" w:rsidP="00395801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B90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</w:tr>
    </w:tbl>
    <w:p w14:paraId="4B439C4F" w14:textId="7B892F36" w:rsidR="007207E2" w:rsidRPr="00C467F1" w:rsidRDefault="007207E2" w:rsidP="007207E2">
      <w:pPr>
        <w:rPr>
          <w:rFonts w:ascii="Times New Roman" w:hAnsi="Times New Roman" w:cs="Times New Roman"/>
          <w:sz w:val="16"/>
          <w:szCs w:val="16"/>
        </w:rPr>
      </w:pPr>
      <w:r w:rsidRPr="000D0B90">
        <w:rPr>
          <w:rFonts w:ascii="Times New Roman" w:hAnsi="Times New Roman" w:cs="Times New Roman"/>
          <w:b/>
          <w:bCs/>
          <w:sz w:val="16"/>
          <w:szCs w:val="16"/>
        </w:rPr>
        <w:t xml:space="preserve">Note: </w:t>
      </w:r>
      <w:r w:rsidRPr="000D0B90">
        <w:rPr>
          <w:rFonts w:ascii="Times New Roman" w:hAnsi="Times New Roman" w:cs="Times New Roman"/>
          <w:sz w:val="16"/>
          <w:szCs w:val="16"/>
          <w:vertAlign w:val="superscript"/>
        </w:rPr>
        <w:t>$</w:t>
      </w:r>
      <w:r w:rsidRPr="000D0B90">
        <w:rPr>
          <w:rFonts w:ascii="Times New Roman" w:hAnsi="Times New Roman" w:cs="Times New Roman"/>
          <w:sz w:val="16"/>
          <w:szCs w:val="16"/>
        </w:rPr>
        <w:t xml:space="preserve">B/A; EML = Essential Medicine List, IRDP, IRPCDU, and IRFSDU are the summation of respective A/B and B/A values. IRDS includes the sum total of the A/B and B/A scores of IRDP, IRPCDU, and IRFSDU. </w:t>
      </w:r>
    </w:p>
    <w:p w14:paraId="7BD05677" w14:textId="77777777" w:rsidR="007207E2" w:rsidRDefault="007207E2" w:rsidP="007207E2"/>
    <w:p w14:paraId="10060740" w14:textId="0798D910" w:rsidR="007207E2" w:rsidRDefault="007207E2">
      <w:pPr>
        <w:spacing w:line="278" w:lineRule="auto"/>
      </w:pPr>
    </w:p>
    <w:sectPr w:rsidR="007207E2" w:rsidSect="00C467F1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B6797"/>
    <w:multiLevelType w:val="hybridMultilevel"/>
    <w:tmpl w:val="50AA13D6"/>
    <w:lvl w:ilvl="0" w:tplc="5BC4CAF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709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8D"/>
    <w:rsid w:val="00191CC8"/>
    <w:rsid w:val="00210A63"/>
    <w:rsid w:val="003D5D35"/>
    <w:rsid w:val="0048294E"/>
    <w:rsid w:val="00702100"/>
    <w:rsid w:val="007207E2"/>
    <w:rsid w:val="008367F0"/>
    <w:rsid w:val="008A3528"/>
    <w:rsid w:val="00B3408D"/>
    <w:rsid w:val="00C467F1"/>
    <w:rsid w:val="00CE4A52"/>
    <w:rsid w:val="00CE774D"/>
    <w:rsid w:val="00DF0206"/>
    <w:rsid w:val="00FE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E63DD"/>
  <w15:chartTrackingRefBased/>
  <w15:docId w15:val="{39C57289-5D45-4E0B-9C09-4582D13F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F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4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0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0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0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0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0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0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0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4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4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0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40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0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0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08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367F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367F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 rahman</dc:creator>
  <cp:keywords/>
  <dc:description/>
  <cp:lastModifiedBy>Md. Rabiul Islam</cp:lastModifiedBy>
  <cp:revision>10</cp:revision>
  <dcterms:created xsi:type="dcterms:W3CDTF">2025-12-05T08:33:00Z</dcterms:created>
  <dcterms:modified xsi:type="dcterms:W3CDTF">2025-12-08T16:14:00Z</dcterms:modified>
</cp:coreProperties>
</file>