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STROBE Statement—Checklist for Cross‑Sectional Studies</w:t>
      </w:r>
    </w:p>
    <w:p>
      <w:r>
        <w:t>Manuscript: Comparison of Preformed Orthodontic Archwires with Modified Dental Arch Forms: A Cross‑Sectional Study</w:t>
      </w:r>
    </w:p>
    <w:p>
      <w:r>
        <w:t>Corresponding author: Salah M. Bin Hafedh (salah.hafedh@gmc‑ye.com)</w:t>
      </w:r>
    </w:p>
    <w:p>
      <w:r>
        <w:t>Journal target: BMC Oral Health (Research Article)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Recommendation (abridged)</w:t>
            </w:r>
          </w:p>
        </w:tc>
        <w:tc>
          <w:tcPr>
            <w:tcW w:type="dxa" w:w="2160"/>
          </w:tcPr>
          <w:p>
            <w:r>
              <w:t>Where reported in manuscript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>
              <w:t>1a</w:t>
            </w:r>
          </w:p>
        </w:tc>
        <w:tc>
          <w:tcPr>
            <w:tcW w:type="dxa" w:w="2160"/>
          </w:tcPr>
          <w:p>
            <w:r>
              <w:t>Indicate study design in the title or abstract</w:t>
            </w:r>
          </w:p>
        </w:tc>
        <w:tc>
          <w:tcPr>
            <w:tcW w:type="dxa" w:w="2160"/>
          </w:tcPr>
          <w:p>
            <w:r>
              <w:t>Title; Abstract (first sentence)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1b</w:t>
            </w:r>
          </w:p>
        </w:tc>
        <w:tc>
          <w:tcPr>
            <w:tcW w:type="dxa" w:w="2160"/>
          </w:tcPr>
          <w:p>
            <w:r>
              <w:t>Provide an informative and balanced abstract</w:t>
            </w:r>
          </w:p>
        </w:tc>
        <w:tc>
          <w:tcPr>
            <w:tcW w:type="dxa" w:w="2160"/>
          </w:tcPr>
          <w:p>
            <w:r>
              <w:t>Structured Abstract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Explain scientific background and rationale</w:t>
            </w:r>
          </w:p>
        </w:tc>
        <w:tc>
          <w:tcPr>
            <w:tcW w:type="dxa" w:w="2160"/>
          </w:tcPr>
          <w:p>
            <w:r>
              <w:t>Background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State specific objectives</w:t>
            </w:r>
          </w:p>
        </w:tc>
        <w:tc>
          <w:tcPr>
            <w:tcW w:type="dxa" w:w="2160"/>
          </w:tcPr>
          <w:p>
            <w:r>
              <w:t>Background (final paragraph)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Present key elements of study design early</w:t>
            </w:r>
          </w:p>
        </w:tc>
        <w:tc>
          <w:tcPr>
            <w:tcW w:type="dxa" w:w="2160"/>
          </w:tcPr>
          <w:p>
            <w:r>
              <w:t>Methods—Study design and setting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Describe setting, locations, and relevant dates</w:t>
            </w:r>
          </w:p>
        </w:tc>
        <w:tc>
          <w:tcPr>
            <w:tcW w:type="dxa" w:w="2160"/>
          </w:tcPr>
          <w:p>
            <w:r>
              <w:t>Methods—Study design and setting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6a</w:t>
            </w:r>
          </w:p>
        </w:tc>
        <w:tc>
          <w:tcPr>
            <w:tcW w:type="dxa" w:w="2160"/>
          </w:tcPr>
          <w:p>
            <w:r>
              <w:t>Eligibility criteria and selection methods</w:t>
            </w:r>
          </w:p>
        </w:tc>
        <w:tc>
          <w:tcPr>
            <w:tcW w:type="dxa" w:w="2160"/>
          </w:tcPr>
          <w:p>
            <w:r>
              <w:t>Methods—Participants and eligibility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6b</w:t>
            </w:r>
          </w:p>
        </w:tc>
        <w:tc>
          <w:tcPr>
            <w:tcW w:type="dxa" w:w="2160"/>
          </w:tcPr>
          <w:p>
            <w:r>
              <w:t>Give reasons for non‑participation</w:t>
            </w:r>
          </w:p>
        </w:tc>
        <w:tc>
          <w:tcPr>
            <w:tcW w:type="dxa" w:w="2160"/>
          </w:tcPr>
          <w:p>
            <w:r>
              <w:t>Figure 2 (flow); reasons not collected</w:t>
            </w:r>
          </w:p>
        </w:tc>
        <w:tc>
          <w:tcPr>
            <w:tcW w:type="dxa" w:w="2160"/>
          </w:tcPr>
          <w:p>
            <w:r>
              <w:t>Not applicable/Not collected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Clearly define outcomes, exposures, predictors</w:t>
            </w:r>
          </w:p>
        </w:tc>
        <w:tc>
          <w:tcPr>
            <w:tcW w:type="dxa" w:w="2160"/>
          </w:tcPr>
          <w:p>
            <w:r>
              <w:t>Methods—Outcomes; Landmarks and measurements; Arch form categorization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Data sources and assessment methods</w:t>
            </w:r>
          </w:p>
        </w:tc>
        <w:tc>
          <w:tcPr>
            <w:tcW w:type="dxa" w:w="2160"/>
          </w:tcPr>
          <w:p>
            <w:r>
              <w:t>Methods—Model digitization and quality control; Landmarks and measurements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Describe efforts to address potential sources of bias</w:t>
            </w:r>
          </w:p>
        </w:tc>
        <w:tc>
          <w:tcPr>
            <w:tcW w:type="dxa" w:w="2160"/>
          </w:tcPr>
          <w:p>
            <w:r>
              <w:t>Methods—Model digitization and QC; Reliability and repeatability; Sensitivity analyses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Explain how the study size was arrived at</w:t>
            </w:r>
          </w:p>
        </w:tc>
        <w:tc>
          <w:tcPr>
            <w:tcW w:type="dxa" w:w="2160"/>
          </w:tcPr>
          <w:p>
            <w:r>
              <w:t>Methods—Sampling frame and sample size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Explain handling of quantitative variables</w:t>
            </w:r>
          </w:p>
        </w:tc>
        <w:tc>
          <w:tcPr>
            <w:tcW w:type="dxa" w:w="2160"/>
          </w:tcPr>
          <w:p>
            <w:r>
              <w:t>Methods—Landmarks and measurements; Outcomes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12a</w:t>
            </w:r>
          </w:p>
        </w:tc>
        <w:tc>
          <w:tcPr>
            <w:tcW w:type="dxa" w:w="2160"/>
          </w:tcPr>
          <w:p>
            <w:r>
              <w:t>Describe all statistical methods</w:t>
            </w:r>
          </w:p>
        </w:tc>
        <w:tc>
          <w:tcPr>
            <w:tcW w:type="dxa" w:w="2160"/>
          </w:tcPr>
          <w:p>
            <w:r>
              <w:t>Methods—Statistical analysis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12b</w:t>
            </w:r>
          </w:p>
        </w:tc>
        <w:tc>
          <w:tcPr>
            <w:tcW w:type="dxa" w:w="2160"/>
          </w:tcPr>
          <w:p>
            <w:r>
              <w:t>Methods for subgroup/interaction analyses</w:t>
            </w:r>
          </w:p>
        </w:tc>
        <w:tc>
          <w:tcPr>
            <w:tcW w:type="dxa" w:w="2160"/>
          </w:tcPr>
          <w:p>
            <w:r>
              <w:t>Methods—Statistical analysis; Sensitivity analyses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12c</w:t>
            </w:r>
          </w:p>
        </w:tc>
        <w:tc>
          <w:tcPr>
            <w:tcW w:type="dxa" w:w="2160"/>
          </w:tcPr>
          <w:p>
            <w:r>
              <w:t>How missing data were addressed</w:t>
            </w:r>
          </w:p>
        </w:tc>
        <w:tc>
          <w:tcPr>
            <w:tcW w:type="dxa" w:w="2160"/>
          </w:tcPr>
          <w:p>
            <w:r>
              <w:t>Methods—Statistical analysis</w:t>
            </w:r>
          </w:p>
        </w:tc>
        <w:tc>
          <w:tcPr>
            <w:tcW w:type="dxa" w:w="2160"/>
          </w:tcPr>
          <w:p>
            <w:r>
              <w:t>Complete‑case; no imputation</w:t>
            </w:r>
          </w:p>
        </w:tc>
      </w:tr>
      <w:tr>
        <w:tc>
          <w:tcPr>
            <w:tcW w:type="dxa" w:w="2160"/>
          </w:tcPr>
          <w:p>
            <w:r>
              <w:t>12d</w:t>
            </w:r>
          </w:p>
        </w:tc>
        <w:tc>
          <w:tcPr>
            <w:tcW w:type="dxa" w:w="2160"/>
          </w:tcPr>
          <w:p>
            <w:r>
              <w:t>Analytical methods accounting for sampling strategy</w:t>
            </w:r>
          </w:p>
        </w:tc>
        <w:tc>
          <w:tcPr>
            <w:tcW w:type="dxa" w:w="2160"/>
          </w:tcPr>
          <w:p>
            <w:r>
              <w:t>Methods—Statistical analysis</w:t>
            </w:r>
          </w:p>
        </w:tc>
        <w:tc>
          <w:tcPr>
            <w:tcW w:type="dxa" w:w="2160"/>
          </w:tcPr>
          <w:p>
            <w:r>
              <w:t>Not applicable</w:t>
            </w:r>
          </w:p>
        </w:tc>
      </w:tr>
      <w:tr>
        <w:tc>
          <w:tcPr>
            <w:tcW w:type="dxa" w:w="2160"/>
          </w:tcPr>
          <w:p>
            <w:r>
              <w:t>12e</w:t>
            </w:r>
          </w:p>
        </w:tc>
        <w:tc>
          <w:tcPr>
            <w:tcW w:type="dxa" w:w="2160"/>
          </w:tcPr>
          <w:p>
            <w:r>
              <w:t>Sensitivity analyses</w:t>
            </w:r>
          </w:p>
        </w:tc>
        <w:tc>
          <w:tcPr>
            <w:tcW w:type="dxa" w:w="2160"/>
          </w:tcPr>
          <w:p>
            <w:r>
              <w:t>Methods—Sensitivity analyses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13a</w:t>
            </w:r>
          </w:p>
        </w:tc>
        <w:tc>
          <w:tcPr>
            <w:tcW w:type="dxa" w:w="2160"/>
          </w:tcPr>
          <w:p>
            <w:r>
              <w:t>Report numbers at each stage of study</w:t>
            </w:r>
          </w:p>
        </w:tc>
        <w:tc>
          <w:tcPr>
            <w:tcW w:type="dxa" w:w="2160"/>
          </w:tcPr>
          <w:p>
            <w:r>
              <w:t>Results—Sample characteristics; Figure 2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13b</w:t>
            </w:r>
          </w:p>
        </w:tc>
        <w:tc>
          <w:tcPr>
            <w:tcW w:type="dxa" w:w="2160"/>
          </w:tcPr>
          <w:p>
            <w:r>
              <w:t>Reasons for non‑participation at each stage</w:t>
            </w:r>
          </w:p>
        </w:tc>
        <w:tc>
          <w:tcPr>
            <w:tcW w:type="dxa" w:w="2160"/>
          </w:tcPr>
          <w:p>
            <w:r>
              <w:t>Figure 2</w:t>
            </w:r>
          </w:p>
        </w:tc>
        <w:tc>
          <w:tcPr>
            <w:tcW w:type="dxa" w:w="2160"/>
          </w:tcPr>
          <w:p>
            <w:r>
              <w:t>Not collected</w:t>
            </w:r>
          </w:p>
        </w:tc>
      </w:tr>
      <w:tr>
        <w:tc>
          <w:tcPr>
            <w:tcW w:type="dxa" w:w="2160"/>
          </w:tcPr>
          <w:p>
            <w:r>
              <w:t>13c</w:t>
            </w:r>
          </w:p>
        </w:tc>
        <w:tc>
          <w:tcPr>
            <w:tcW w:type="dxa" w:w="2160"/>
          </w:tcPr>
          <w:p>
            <w:r>
              <w:t>Consider a flow diagram</w:t>
            </w:r>
          </w:p>
        </w:tc>
        <w:tc>
          <w:tcPr>
            <w:tcW w:type="dxa" w:w="2160"/>
          </w:tcPr>
          <w:p>
            <w:r>
              <w:t>Figure 2</w:t>
            </w:r>
          </w:p>
        </w:tc>
        <w:tc>
          <w:tcPr>
            <w:tcW w:type="dxa" w:w="2160"/>
          </w:tcPr>
          <w:p>
            <w:r>
              <w:t>Provided</w:t>
            </w:r>
          </w:p>
        </w:tc>
      </w:tr>
      <w:tr>
        <w:tc>
          <w:tcPr>
            <w:tcW w:type="dxa" w:w="2160"/>
          </w:tcPr>
          <w:p>
            <w:r>
              <w:t>14a</w:t>
            </w:r>
          </w:p>
        </w:tc>
        <w:tc>
          <w:tcPr>
            <w:tcW w:type="dxa" w:w="2160"/>
          </w:tcPr>
          <w:p>
            <w:r>
              <w:t>Give characteristics of study participants</w:t>
            </w:r>
          </w:p>
        </w:tc>
        <w:tc>
          <w:tcPr>
            <w:tcW w:type="dxa" w:w="2160"/>
          </w:tcPr>
          <w:p>
            <w:r>
              <w:t>Results—Sample characteristics; Arch dimensions; Table 1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14b</w:t>
            </w:r>
          </w:p>
        </w:tc>
        <w:tc>
          <w:tcPr>
            <w:tcW w:type="dxa" w:w="2160"/>
          </w:tcPr>
          <w:p>
            <w:r>
              <w:t>Indicate number of participants with missing data</w:t>
            </w:r>
          </w:p>
        </w:tc>
        <w:tc>
          <w:tcPr>
            <w:tcW w:type="dxa" w:w="2160"/>
          </w:tcPr>
          <w:p>
            <w:r>
              <w:t>Results—Sample characteristics</w:t>
            </w:r>
          </w:p>
        </w:tc>
        <w:tc>
          <w:tcPr>
            <w:tcW w:type="dxa" w:w="2160"/>
          </w:tcPr>
          <w:p>
            <w:r>
              <w:t>No missing data reported</w:t>
            </w:r>
          </w:p>
        </w:tc>
      </w:tr>
      <w:tr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Report outcome data (numbers, summary measures)</w:t>
            </w:r>
          </w:p>
        </w:tc>
        <w:tc>
          <w:tcPr>
            <w:tcW w:type="dxa" w:w="2160"/>
          </w:tcPr>
          <w:p>
            <w:r>
              <w:t>Results—Archwire adaptability; Tables 2–4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16a</w:t>
            </w:r>
          </w:p>
        </w:tc>
        <w:tc>
          <w:tcPr>
            <w:tcW w:type="dxa" w:w="2160"/>
          </w:tcPr>
          <w:p>
            <w:r>
              <w:t>Unadjusted and, if applicable, adjusted estimates with precision</w:t>
            </w:r>
          </w:p>
        </w:tc>
        <w:tc>
          <w:tcPr>
            <w:tcW w:type="dxa" w:w="2160"/>
          </w:tcPr>
          <w:p>
            <w:r>
              <w:t>Results—Archwire adaptability; Table 3</w:t>
            </w:r>
          </w:p>
        </w:tc>
        <w:tc>
          <w:tcPr>
            <w:tcW w:type="dxa" w:w="2160"/>
          </w:tcPr>
          <w:p>
            <w:r>
              <w:t>Unadjusted means and differences; 95% CIs described in methods framework</w:t>
            </w:r>
          </w:p>
        </w:tc>
      </w:tr>
      <w:tr>
        <w:tc>
          <w:tcPr>
            <w:tcW w:type="dxa" w:w="2160"/>
          </w:tcPr>
          <w:p>
            <w:r>
              <w:t>16b</w:t>
            </w:r>
          </w:p>
        </w:tc>
        <w:tc>
          <w:tcPr>
            <w:tcW w:type="dxa" w:w="2160"/>
          </w:tcPr>
          <w:p>
            <w:r>
              <w:t>Report category boundaries when continuous variables were categorized</w:t>
            </w:r>
          </w:p>
        </w:tc>
        <w:tc>
          <w:tcPr>
            <w:tcW w:type="dxa" w:w="2160"/>
          </w:tcPr>
          <w:p>
            <w:r>
              <w:t>Methods—Arch form categorization</w:t>
            </w:r>
          </w:p>
        </w:tc>
        <w:tc>
          <w:tcPr>
            <w:tcW w:type="dxa" w:w="2160"/>
          </w:tcPr>
          <w:p>
            <w:r>
              <w:t>Canonical templates (tapered/ovoid/square)</w:t>
            </w:r>
          </w:p>
        </w:tc>
      </w:tr>
      <w:tr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Report other analyses (e.g., subgroups, interactions)</w:t>
            </w:r>
          </w:p>
        </w:tc>
        <w:tc>
          <w:tcPr>
            <w:tcW w:type="dxa" w:w="2160"/>
          </w:tcPr>
          <w:p>
            <w:r>
              <w:t>Discussion—Comparison with contemporary literature; Methods—Sensitivity analyses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Summarize key results with reference to objectives</w:t>
            </w:r>
          </w:p>
        </w:tc>
        <w:tc>
          <w:tcPr>
            <w:tcW w:type="dxa" w:w="2160"/>
          </w:tcPr>
          <w:p>
            <w:r>
              <w:t>Discussion (opening paragraph); Conclusions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Discuss limitations of the study</w:t>
            </w:r>
          </w:p>
        </w:tc>
        <w:tc>
          <w:tcPr>
            <w:tcW w:type="dxa" w:w="2160"/>
          </w:tcPr>
          <w:p>
            <w:r>
              <w:t>Discussion—Limitations and future research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Provide cautious overall interpretation of results</w:t>
            </w:r>
          </w:p>
        </w:tc>
        <w:tc>
          <w:tcPr>
            <w:tcW w:type="dxa" w:w="2160"/>
          </w:tcPr>
          <w:p>
            <w:r>
              <w:t>Discussion—Clinical implications; Concluding clinical recommendations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Discuss generalisability (external validity)</w:t>
            </w:r>
          </w:p>
        </w:tc>
        <w:tc>
          <w:tcPr>
            <w:tcW w:type="dxa" w:w="2160"/>
          </w:tcPr>
          <w:p>
            <w:r>
              <w:t>Discussion—Population context and external validity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Source of funding and role of funders</w:t>
            </w:r>
          </w:p>
        </w:tc>
        <w:tc>
          <w:tcPr>
            <w:tcW w:type="dxa" w:w="2160"/>
          </w:tcPr>
          <w:p>
            <w:r>
              <w:t>Declarations—Funding</w:t>
            </w:r>
          </w:p>
        </w:tc>
        <w:tc>
          <w:tcPr>
            <w:tcW w:type="dxa" w:w="2160"/>
          </w:tcPr>
          <w:p>
            <w:r>
              <w:t>None</w:t>
            </w:r>
          </w:p>
        </w:tc>
      </w:tr>
    </w:tbl>
    <w:p>
      <w:r>
        <w:t xml:space="preserve"> </w:t>
      </w:r>
    </w:p>
    <w:p>
      <w:r>
        <w:t>Checklist source and guidance:</w:t>
      </w:r>
    </w:p>
    <w:p>
      <w:r>
        <w:t>• STROBE Statement (Cross‑sectional studies): https://www.strobe-statement.org/checklists/</w:t>
      </w:r>
    </w:p>
    <w:p>
      <w:r>
        <w:t>• EQUATOR Network—STROBE: https://www.equator-network.org/reporting-guidelines/strobe/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