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B006C2" w14:textId="77777777" w:rsidR="00DB79C0" w:rsidRPr="00D67605" w:rsidRDefault="00DB79C0" w:rsidP="00DB79C0">
      <w:pPr>
        <w:spacing w:after="0" w:line="240" w:lineRule="auto"/>
        <w:rPr>
          <w:rFonts w:ascii="Times New Roman" w:eastAsiaTheme="minorEastAsia" w:hAnsi="Times New Roman" w:cs="Times New Roman"/>
          <w:kern w:val="0"/>
          <w:sz w:val="24"/>
          <w14:ligatures w14:val="none"/>
        </w:rPr>
      </w:pPr>
      <w:r w:rsidRPr="00D67605">
        <w:rPr>
          <w:rFonts w:ascii="Times New Roman" w:eastAsiaTheme="minorEastAsia" w:hAnsi="Times New Roman" w:cs="Times New Roman"/>
          <w:b/>
          <w:bCs/>
          <w:color w:val="000000" w:themeColor="text1"/>
          <w:kern w:val="0"/>
          <w:sz w:val="24"/>
          <w:szCs w:val="24"/>
          <w14:ligatures w14:val="none"/>
        </w:rPr>
        <w:t xml:space="preserve">Supplemental Table 1. </w:t>
      </w:r>
      <w:r w:rsidRPr="00D67605">
        <w:rPr>
          <w:rFonts w:ascii="Times New Roman" w:eastAsiaTheme="minorEastAsia" w:hAnsi="Times New Roman" w:cs="Times New Roman"/>
          <w:color w:val="000000" w:themeColor="text1"/>
          <w:kern w:val="0"/>
          <w:sz w:val="24"/>
          <w:szCs w:val="24"/>
          <w14:ligatures w14:val="none"/>
        </w:rPr>
        <w:t>Candidate genes for SOVM</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9" w:type="dxa"/>
          <w:right w:w="29" w:type="dxa"/>
        </w:tblCellMar>
        <w:tblLook w:val="04A0" w:firstRow="1" w:lastRow="0" w:firstColumn="1" w:lastColumn="0" w:noHBand="0" w:noVBand="1"/>
      </w:tblPr>
      <w:tblGrid>
        <w:gridCol w:w="2520"/>
        <w:gridCol w:w="3723"/>
        <w:gridCol w:w="3117"/>
      </w:tblGrid>
      <w:tr w:rsidR="00DB79C0" w:rsidRPr="00D67605" w14:paraId="2DBE22A6" w14:textId="77777777" w:rsidTr="00204155">
        <w:trPr>
          <w:trHeight w:val="288"/>
        </w:trPr>
        <w:tc>
          <w:tcPr>
            <w:tcW w:w="1346" w:type="pct"/>
            <w:tcBorders>
              <w:top w:val="single" w:sz="4" w:space="0" w:color="auto"/>
              <w:bottom w:val="single" w:sz="4" w:space="0" w:color="auto"/>
            </w:tcBorders>
            <w:shd w:val="clear" w:color="auto" w:fill="D9D9D9" w:themeFill="background1" w:themeFillShade="D9"/>
          </w:tcPr>
          <w:p w14:paraId="6D0000FD" w14:textId="77777777"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sz w:val="24"/>
                <w:szCs w:val="24"/>
              </w:rPr>
              <w:t>Functional Domain</w:t>
            </w:r>
          </w:p>
        </w:tc>
        <w:tc>
          <w:tcPr>
            <w:tcW w:w="1989" w:type="pct"/>
            <w:tcBorders>
              <w:top w:val="single" w:sz="4" w:space="0" w:color="auto"/>
              <w:bottom w:val="single" w:sz="4" w:space="0" w:color="auto"/>
            </w:tcBorders>
            <w:shd w:val="clear" w:color="auto" w:fill="D9D9D9" w:themeFill="background1" w:themeFillShade="D9"/>
          </w:tcPr>
          <w:p w14:paraId="3432D2D0" w14:textId="77777777"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sz w:val="24"/>
                <w:szCs w:val="24"/>
              </w:rPr>
              <w:t>Genes to review</w:t>
            </w:r>
          </w:p>
        </w:tc>
        <w:tc>
          <w:tcPr>
            <w:tcW w:w="1665" w:type="pct"/>
            <w:tcBorders>
              <w:top w:val="single" w:sz="4" w:space="0" w:color="auto"/>
              <w:bottom w:val="single" w:sz="4" w:space="0" w:color="auto"/>
            </w:tcBorders>
            <w:shd w:val="clear" w:color="auto" w:fill="D9D9D9" w:themeFill="background1" w:themeFillShade="D9"/>
          </w:tcPr>
          <w:p w14:paraId="1CCE346E" w14:textId="77777777"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sz w:val="24"/>
                <w:szCs w:val="24"/>
              </w:rPr>
              <w:t>Notes</w:t>
            </w:r>
          </w:p>
        </w:tc>
      </w:tr>
      <w:tr w:rsidR="00DB79C0" w:rsidRPr="00D67605" w14:paraId="3695B6D2" w14:textId="77777777" w:rsidTr="00204155">
        <w:trPr>
          <w:trHeight w:val="288"/>
        </w:trPr>
        <w:tc>
          <w:tcPr>
            <w:tcW w:w="1346" w:type="pct"/>
            <w:tcBorders>
              <w:top w:val="single" w:sz="4" w:space="0" w:color="auto"/>
            </w:tcBorders>
          </w:tcPr>
          <w:p w14:paraId="36D1779E" w14:textId="77777777"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sz w:val="24"/>
              </w:rPr>
              <w:t>Voltage-Gated Ion Channels (Excitability)</w:t>
            </w:r>
          </w:p>
        </w:tc>
        <w:tc>
          <w:tcPr>
            <w:tcW w:w="1989" w:type="pct"/>
            <w:tcBorders>
              <w:top w:val="single" w:sz="4" w:space="0" w:color="auto"/>
            </w:tcBorders>
          </w:tcPr>
          <w:p w14:paraId="59DF050A" w14:textId="77777777" w:rsidR="00DB79C0" w:rsidRPr="00D67605" w:rsidRDefault="00DB79C0" w:rsidP="00D67605">
            <w:pPr>
              <w:contextualSpacing/>
              <w:rPr>
                <w:rFonts w:ascii="Times New Roman" w:hAnsi="Times New Roman" w:cs="Times New Roman"/>
                <w:i/>
                <w:iCs/>
                <w:color w:val="000000" w:themeColor="text1"/>
                <w:sz w:val="24"/>
              </w:rPr>
            </w:pPr>
            <w:r w:rsidRPr="00D67605">
              <w:rPr>
                <w:rFonts w:ascii="Times New Roman" w:hAnsi="Times New Roman" w:cs="Times New Roman"/>
                <w:i/>
                <w:iCs/>
                <w:color w:val="000000" w:themeColor="text1"/>
                <w:sz w:val="24"/>
              </w:rPr>
              <w:t>CACNA1A, CACNA1C, CACNA1D, CACNA1E, CACNA1G, CACNA1H, CACNA1S, CACNB4, CACNA2D2, HCN1, KCNA1, KCNAB2, KCNQ2, KCNQ3, KCNT1, SCN1A, SCN2A, SCN3A, SCN4A, SCN8A, SCN9A</w:t>
            </w:r>
          </w:p>
          <w:p w14:paraId="5BD141B3" w14:textId="77777777" w:rsidR="00DB79C0" w:rsidRPr="00D67605" w:rsidRDefault="00DB79C0" w:rsidP="00D67605">
            <w:pPr>
              <w:contextualSpacing/>
              <w:rPr>
                <w:rFonts w:ascii="Times New Roman" w:hAnsi="Times New Roman" w:cs="Times New Roman"/>
                <w:sz w:val="24"/>
                <w:szCs w:val="24"/>
              </w:rPr>
            </w:pPr>
          </w:p>
        </w:tc>
        <w:tc>
          <w:tcPr>
            <w:tcW w:w="1665" w:type="pct"/>
            <w:tcBorders>
              <w:top w:val="single" w:sz="4" w:space="0" w:color="auto"/>
            </w:tcBorders>
          </w:tcPr>
          <w:p w14:paraId="6FF574FB" w14:textId="77777777"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sz w:val="24"/>
              </w:rPr>
              <w:t>Involved in action potential generation, sleep transition rhythms, and neuronal hyperexcitability</w:t>
            </w:r>
          </w:p>
        </w:tc>
      </w:tr>
      <w:tr w:rsidR="00DB79C0" w:rsidRPr="00D67605" w14:paraId="213D8697" w14:textId="77777777" w:rsidTr="00204155">
        <w:trPr>
          <w:trHeight w:val="288"/>
        </w:trPr>
        <w:tc>
          <w:tcPr>
            <w:tcW w:w="1346" w:type="pct"/>
          </w:tcPr>
          <w:p w14:paraId="28937706" w14:textId="77777777"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sz w:val="24"/>
              </w:rPr>
              <w:t>Chloride and Potassium Channels (Inhibitory Tone)</w:t>
            </w:r>
          </w:p>
        </w:tc>
        <w:tc>
          <w:tcPr>
            <w:tcW w:w="1989" w:type="pct"/>
          </w:tcPr>
          <w:p w14:paraId="0642DA72" w14:textId="77777777" w:rsidR="00204155" w:rsidRDefault="00DB79C0" w:rsidP="00D67605">
            <w:pPr>
              <w:contextualSpacing/>
              <w:rPr>
                <w:rFonts w:ascii="Times New Roman" w:hAnsi="Times New Roman" w:cs="Times New Roman"/>
                <w:i/>
                <w:iCs/>
                <w:sz w:val="24"/>
              </w:rPr>
            </w:pPr>
            <w:r w:rsidRPr="00D67605">
              <w:rPr>
                <w:rFonts w:ascii="Times New Roman" w:hAnsi="Times New Roman" w:cs="Times New Roman"/>
                <w:i/>
                <w:iCs/>
                <w:sz w:val="24"/>
              </w:rPr>
              <w:t xml:space="preserve">CLCN1, CLCN2, CLCNKB, </w:t>
            </w:r>
          </w:p>
          <w:p w14:paraId="4C7BCA5C" w14:textId="77777777" w:rsidR="00204155" w:rsidRDefault="00DB79C0" w:rsidP="00D67605">
            <w:pPr>
              <w:contextualSpacing/>
              <w:rPr>
                <w:rFonts w:ascii="Times New Roman" w:hAnsi="Times New Roman" w:cs="Times New Roman"/>
                <w:i/>
                <w:iCs/>
                <w:sz w:val="24"/>
              </w:rPr>
            </w:pPr>
            <w:r w:rsidRPr="00D67605">
              <w:rPr>
                <w:rFonts w:ascii="Times New Roman" w:hAnsi="Times New Roman" w:cs="Times New Roman"/>
                <w:i/>
                <w:iCs/>
                <w:sz w:val="24"/>
              </w:rPr>
              <w:t xml:space="preserve">SLC12A5 (KCC2), SLC12A2, </w:t>
            </w:r>
          </w:p>
          <w:p w14:paraId="3C49E7C3" w14:textId="4DC2FD49"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i/>
                <w:iCs/>
                <w:sz w:val="24"/>
              </w:rPr>
              <w:t>KCNJ2, KCNJ10, KCNMA1</w:t>
            </w:r>
          </w:p>
        </w:tc>
        <w:tc>
          <w:tcPr>
            <w:tcW w:w="1665" w:type="pct"/>
          </w:tcPr>
          <w:p w14:paraId="7A4D01B9" w14:textId="77777777" w:rsidR="00DB79C0" w:rsidRPr="00D67605" w:rsidRDefault="00DB79C0" w:rsidP="00D67605">
            <w:pPr>
              <w:contextualSpacing/>
              <w:rPr>
                <w:rFonts w:ascii="Times New Roman" w:hAnsi="Times New Roman" w:cs="Times New Roman"/>
                <w:sz w:val="24"/>
              </w:rPr>
            </w:pPr>
            <w:r w:rsidRPr="00D67605">
              <w:rPr>
                <w:rFonts w:ascii="Times New Roman" w:hAnsi="Times New Roman" w:cs="Times New Roman"/>
                <w:sz w:val="24"/>
              </w:rPr>
              <w:t>Regulates inhibitory post-synaptic potentials, chloride gradients, and sensory motor gating</w:t>
            </w:r>
          </w:p>
          <w:p w14:paraId="774806E5" w14:textId="77777777" w:rsidR="00DB79C0" w:rsidRPr="00D67605" w:rsidRDefault="00DB79C0" w:rsidP="00D67605">
            <w:pPr>
              <w:contextualSpacing/>
              <w:rPr>
                <w:rFonts w:ascii="Times New Roman" w:hAnsi="Times New Roman" w:cs="Times New Roman"/>
                <w:sz w:val="24"/>
                <w:szCs w:val="24"/>
              </w:rPr>
            </w:pPr>
          </w:p>
        </w:tc>
      </w:tr>
      <w:tr w:rsidR="00DB79C0" w:rsidRPr="00D67605" w14:paraId="7DFDDAD7" w14:textId="77777777" w:rsidTr="00204155">
        <w:trPr>
          <w:trHeight w:val="288"/>
        </w:trPr>
        <w:tc>
          <w:tcPr>
            <w:tcW w:w="1346" w:type="pct"/>
          </w:tcPr>
          <w:p w14:paraId="50610B06" w14:textId="77777777" w:rsidR="00DB79C0" w:rsidRPr="00D67605" w:rsidRDefault="00DB79C0" w:rsidP="00D67605">
            <w:pPr>
              <w:contextualSpacing/>
              <w:rPr>
                <w:rFonts w:ascii="Times New Roman" w:hAnsi="Times New Roman" w:cs="Times New Roman"/>
                <w:sz w:val="24"/>
              </w:rPr>
            </w:pPr>
            <w:r w:rsidRPr="00D67605">
              <w:rPr>
                <w:rFonts w:ascii="Times New Roman" w:hAnsi="Times New Roman" w:cs="Times New Roman"/>
                <w:sz w:val="24"/>
              </w:rPr>
              <w:t xml:space="preserve">RAAS / </w:t>
            </w:r>
          </w:p>
          <w:p w14:paraId="35F0B98D" w14:textId="77777777"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sz w:val="24"/>
              </w:rPr>
              <w:t>Vascular Tone Regulation</w:t>
            </w:r>
          </w:p>
        </w:tc>
        <w:tc>
          <w:tcPr>
            <w:tcW w:w="1989" w:type="pct"/>
          </w:tcPr>
          <w:p w14:paraId="48F5B29C" w14:textId="77777777" w:rsidR="00204155" w:rsidRDefault="00DB79C0" w:rsidP="00D67605">
            <w:pPr>
              <w:contextualSpacing/>
              <w:rPr>
                <w:rFonts w:ascii="Times New Roman" w:hAnsi="Times New Roman" w:cs="Times New Roman"/>
                <w:i/>
                <w:iCs/>
                <w:sz w:val="24"/>
              </w:rPr>
            </w:pPr>
            <w:r w:rsidRPr="00D67605">
              <w:rPr>
                <w:rFonts w:ascii="Times New Roman" w:hAnsi="Times New Roman" w:cs="Times New Roman"/>
                <w:i/>
                <w:iCs/>
                <w:sz w:val="24"/>
              </w:rPr>
              <w:t xml:space="preserve">ACE, AGT, AGTR1, AGTR2, REN, </w:t>
            </w:r>
          </w:p>
          <w:p w14:paraId="51B158D9" w14:textId="77777777" w:rsidR="00204155" w:rsidRDefault="00DB79C0" w:rsidP="00D67605">
            <w:pPr>
              <w:contextualSpacing/>
              <w:rPr>
                <w:rFonts w:ascii="Times New Roman" w:hAnsi="Times New Roman" w:cs="Times New Roman"/>
                <w:i/>
                <w:iCs/>
                <w:sz w:val="24"/>
              </w:rPr>
            </w:pPr>
            <w:r w:rsidRPr="00D67605">
              <w:rPr>
                <w:rFonts w:ascii="Times New Roman" w:hAnsi="Times New Roman" w:cs="Times New Roman"/>
                <w:i/>
                <w:iCs/>
                <w:sz w:val="24"/>
              </w:rPr>
              <w:t xml:space="preserve">EPAS1, CYP11B2, NR3C2, NOS3, </w:t>
            </w:r>
          </w:p>
          <w:p w14:paraId="6F0B1DED" w14:textId="14D1DA53" w:rsidR="00DB79C0" w:rsidRPr="00204155" w:rsidRDefault="00DB79C0" w:rsidP="00D67605">
            <w:pPr>
              <w:contextualSpacing/>
              <w:rPr>
                <w:rFonts w:ascii="Times New Roman" w:hAnsi="Times New Roman" w:cs="Times New Roman"/>
                <w:i/>
                <w:iCs/>
                <w:sz w:val="24"/>
              </w:rPr>
            </w:pPr>
            <w:r w:rsidRPr="00D67605">
              <w:rPr>
                <w:rFonts w:ascii="Times New Roman" w:hAnsi="Times New Roman" w:cs="Times New Roman"/>
                <w:i/>
                <w:iCs/>
                <w:sz w:val="24"/>
              </w:rPr>
              <w:t>EDN1</w:t>
            </w:r>
          </w:p>
        </w:tc>
        <w:tc>
          <w:tcPr>
            <w:tcW w:w="1665" w:type="pct"/>
          </w:tcPr>
          <w:p w14:paraId="188806C9" w14:textId="77777777"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sz w:val="24"/>
                <w:szCs w:val="24"/>
              </w:rPr>
              <w:t>Regulates perfusion, vascular tone, fluid balance, angiotensin II availability, and bradykinin degradation—critical for maintaining sleep-state stability and preventing RAAS underactivity</w:t>
            </w:r>
          </w:p>
          <w:p w14:paraId="3578FFE6" w14:textId="77777777" w:rsidR="00DB79C0" w:rsidRPr="00D67605" w:rsidRDefault="00DB79C0" w:rsidP="00D67605">
            <w:pPr>
              <w:contextualSpacing/>
              <w:rPr>
                <w:rFonts w:ascii="Times New Roman" w:hAnsi="Times New Roman" w:cs="Times New Roman"/>
                <w:sz w:val="24"/>
                <w:szCs w:val="24"/>
              </w:rPr>
            </w:pPr>
          </w:p>
        </w:tc>
      </w:tr>
      <w:tr w:rsidR="00DB79C0" w:rsidRPr="00D67605" w14:paraId="55AC93B0" w14:textId="77777777" w:rsidTr="00204155">
        <w:trPr>
          <w:trHeight w:val="288"/>
        </w:trPr>
        <w:tc>
          <w:tcPr>
            <w:tcW w:w="1346" w:type="pct"/>
          </w:tcPr>
          <w:p w14:paraId="3540407E" w14:textId="77777777" w:rsidR="00204155" w:rsidRDefault="00DB79C0" w:rsidP="00D67605">
            <w:pPr>
              <w:contextualSpacing/>
              <w:rPr>
                <w:rFonts w:ascii="Times New Roman" w:hAnsi="Times New Roman" w:cs="Times New Roman"/>
                <w:sz w:val="24"/>
              </w:rPr>
            </w:pPr>
            <w:r w:rsidRPr="00D67605">
              <w:rPr>
                <w:rFonts w:ascii="Times New Roman" w:hAnsi="Times New Roman" w:cs="Times New Roman"/>
                <w:sz w:val="24"/>
              </w:rPr>
              <w:t xml:space="preserve">Bradykinin Pathway Disruption and Impaired </w:t>
            </w:r>
          </w:p>
          <w:p w14:paraId="0EC16477" w14:textId="58CFC187"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sz w:val="24"/>
              </w:rPr>
              <w:t>Degradation</w:t>
            </w:r>
          </w:p>
        </w:tc>
        <w:tc>
          <w:tcPr>
            <w:tcW w:w="1989" w:type="pct"/>
          </w:tcPr>
          <w:p w14:paraId="1A2E428E" w14:textId="77777777" w:rsidR="00204155" w:rsidRDefault="00DB79C0" w:rsidP="00D67605">
            <w:pPr>
              <w:contextualSpacing/>
              <w:rPr>
                <w:rFonts w:ascii="Times New Roman" w:hAnsi="Times New Roman" w:cs="Times New Roman"/>
                <w:i/>
                <w:iCs/>
                <w:sz w:val="24"/>
              </w:rPr>
            </w:pPr>
            <w:r w:rsidRPr="00D67605">
              <w:rPr>
                <w:rFonts w:ascii="Times New Roman" w:hAnsi="Times New Roman" w:cs="Times New Roman"/>
                <w:i/>
                <w:iCs/>
                <w:sz w:val="24"/>
              </w:rPr>
              <w:t xml:space="preserve">KNG1, KLKB1, BDKRB1, BDKRB2, </w:t>
            </w:r>
          </w:p>
          <w:p w14:paraId="2C37F489" w14:textId="0D97F8BE"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i/>
                <w:iCs/>
                <w:sz w:val="24"/>
              </w:rPr>
              <w:t>ACE, XPNPEP2, CPN1, CPN2, MME (neprilysin), DPP4</w:t>
            </w:r>
          </w:p>
        </w:tc>
        <w:tc>
          <w:tcPr>
            <w:tcW w:w="1665" w:type="pct"/>
          </w:tcPr>
          <w:p w14:paraId="79ACF44C" w14:textId="77777777" w:rsidR="00DB79C0" w:rsidRPr="00D67605" w:rsidRDefault="00DB79C0" w:rsidP="00D67605">
            <w:pPr>
              <w:contextualSpacing/>
              <w:rPr>
                <w:rFonts w:ascii="Times New Roman" w:hAnsi="Times New Roman" w:cs="Times New Roman"/>
                <w:sz w:val="24"/>
              </w:rPr>
            </w:pPr>
            <w:r w:rsidRPr="00D67605">
              <w:rPr>
                <w:rFonts w:ascii="Times New Roman" w:hAnsi="Times New Roman" w:cs="Times New Roman"/>
                <w:sz w:val="24"/>
              </w:rPr>
              <w:t xml:space="preserve">Modulates bradykinin synthesis, receptor signaling, and </w:t>
            </w:r>
            <w:proofErr w:type="gramStart"/>
            <w:r w:rsidRPr="00D67605">
              <w:rPr>
                <w:rFonts w:ascii="Times New Roman" w:hAnsi="Times New Roman" w:cs="Times New Roman"/>
                <w:sz w:val="24"/>
              </w:rPr>
              <w:t>degradation;</w:t>
            </w:r>
            <w:proofErr w:type="gramEnd"/>
            <w:r w:rsidRPr="00D67605">
              <w:rPr>
                <w:rFonts w:ascii="Times New Roman" w:hAnsi="Times New Roman" w:cs="Times New Roman"/>
                <w:sz w:val="24"/>
              </w:rPr>
              <w:t xml:space="preserve"> influence inflammation and vascular permeability</w:t>
            </w:r>
          </w:p>
          <w:p w14:paraId="7B250137" w14:textId="77777777" w:rsidR="00DB79C0" w:rsidRPr="00D67605" w:rsidRDefault="00DB79C0" w:rsidP="00D67605">
            <w:pPr>
              <w:contextualSpacing/>
              <w:rPr>
                <w:rFonts w:ascii="Times New Roman" w:hAnsi="Times New Roman" w:cs="Times New Roman"/>
                <w:sz w:val="24"/>
                <w:szCs w:val="24"/>
              </w:rPr>
            </w:pPr>
          </w:p>
        </w:tc>
      </w:tr>
      <w:tr w:rsidR="00DB79C0" w:rsidRPr="00D67605" w14:paraId="0F7A934D" w14:textId="77777777" w:rsidTr="00204155">
        <w:trPr>
          <w:trHeight w:val="288"/>
        </w:trPr>
        <w:tc>
          <w:tcPr>
            <w:tcW w:w="1346" w:type="pct"/>
          </w:tcPr>
          <w:p w14:paraId="58AAB8C1" w14:textId="77777777"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sz w:val="24"/>
              </w:rPr>
              <w:t>Vasopressin / Renal Water Balance</w:t>
            </w:r>
          </w:p>
        </w:tc>
        <w:tc>
          <w:tcPr>
            <w:tcW w:w="1989" w:type="pct"/>
          </w:tcPr>
          <w:p w14:paraId="5108C739" w14:textId="77777777" w:rsidR="00204155" w:rsidRDefault="00DB79C0" w:rsidP="00D67605">
            <w:pPr>
              <w:contextualSpacing/>
              <w:rPr>
                <w:rFonts w:ascii="Times New Roman" w:hAnsi="Times New Roman" w:cs="Times New Roman"/>
                <w:i/>
                <w:iCs/>
                <w:sz w:val="24"/>
              </w:rPr>
            </w:pPr>
            <w:r w:rsidRPr="00D67605">
              <w:rPr>
                <w:rFonts w:ascii="Times New Roman" w:hAnsi="Times New Roman" w:cs="Times New Roman"/>
                <w:i/>
                <w:iCs/>
                <w:sz w:val="24"/>
              </w:rPr>
              <w:t xml:space="preserve">AVP, AVPR1A, AVPR1B, AVPR2, </w:t>
            </w:r>
          </w:p>
          <w:p w14:paraId="287E9A95" w14:textId="7F573E95"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i/>
                <w:iCs/>
                <w:sz w:val="24"/>
              </w:rPr>
              <w:t>AQP1, AQP2, AQP4, SLC14A2, SLC12A1, NEDD4L</w:t>
            </w:r>
          </w:p>
        </w:tc>
        <w:tc>
          <w:tcPr>
            <w:tcW w:w="1665" w:type="pct"/>
          </w:tcPr>
          <w:p w14:paraId="1BFD1122" w14:textId="77777777"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sz w:val="24"/>
              </w:rPr>
              <w:t>Regulates ADH signaling, water reabsorption, and nocturnal fluid handling</w:t>
            </w:r>
            <w:r w:rsidRPr="00D67605">
              <w:rPr>
                <w:rFonts w:ascii="Times New Roman" w:hAnsi="Times New Roman" w:cs="Times New Roman"/>
                <w:sz w:val="24"/>
                <w:szCs w:val="24"/>
              </w:rPr>
              <w:t xml:space="preserve"> </w:t>
            </w:r>
          </w:p>
          <w:p w14:paraId="5687185F" w14:textId="77777777" w:rsidR="00DB79C0" w:rsidRPr="00D67605" w:rsidRDefault="00DB79C0" w:rsidP="00D67605">
            <w:pPr>
              <w:contextualSpacing/>
              <w:rPr>
                <w:rFonts w:ascii="Times New Roman" w:hAnsi="Times New Roman" w:cs="Times New Roman"/>
                <w:sz w:val="24"/>
                <w:szCs w:val="24"/>
              </w:rPr>
            </w:pPr>
          </w:p>
          <w:p w14:paraId="17BED83E" w14:textId="77777777" w:rsidR="00DB79C0" w:rsidRPr="00D67605" w:rsidRDefault="00DB79C0" w:rsidP="00D67605">
            <w:pPr>
              <w:contextualSpacing/>
              <w:rPr>
                <w:rFonts w:ascii="Times New Roman" w:hAnsi="Times New Roman" w:cs="Times New Roman"/>
                <w:sz w:val="24"/>
                <w:szCs w:val="24"/>
              </w:rPr>
            </w:pPr>
          </w:p>
        </w:tc>
      </w:tr>
      <w:tr w:rsidR="00DB79C0" w:rsidRPr="00D67605" w14:paraId="6893636C" w14:textId="77777777" w:rsidTr="00204155">
        <w:trPr>
          <w:trHeight w:val="288"/>
        </w:trPr>
        <w:tc>
          <w:tcPr>
            <w:tcW w:w="1346" w:type="pct"/>
          </w:tcPr>
          <w:p w14:paraId="6C719D1A" w14:textId="77777777"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sz w:val="24"/>
              </w:rPr>
              <w:t>Coagulation / Perfusion Vulnerability</w:t>
            </w:r>
          </w:p>
        </w:tc>
        <w:tc>
          <w:tcPr>
            <w:tcW w:w="1989" w:type="pct"/>
          </w:tcPr>
          <w:p w14:paraId="59903D99" w14:textId="77777777" w:rsidR="00204155" w:rsidRDefault="00DB79C0" w:rsidP="00D67605">
            <w:pPr>
              <w:contextualSpacing/>
              <w:rPr>
                <w:rFonts w:ascii="Times New Roman" w:hAnsi="Times New Roman" w:cs="Times New Roman"/>
                <w:i/>
                <w:iCs/>
                <w:sz w:val="24"/>
              </w:rPr>
            </w:pPr>
            <w:r w:rsidRPr="00D67605">
              <w:rPr>
                <w:rFonts w:ascii="Times New Roman" w:hAnsi="Times New Roman" w:cs="Times New Roman"/>
                <w:i/>
                <w:iCs/>
                <w:sz w:val="24"/>
              </w:rPr>
              <w:t xml:space="preserve">F2, F5, MTHFR, SERPINE1 (PAI-1), </w:t>
            </w:r>
          </w:p>
          <w:p w14:paraId="5DA4EE1F" w14:textId="0C6A000A"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i/>
                <w:iCs/>
                <w:sz w:val="24"/>
              </w:rPr>
              <w:t>PROC, PROS1</w:t>
            </w:r>
          </w:p>
        </w:tc>
        <w:tc>
          <w:tcPr>
            <w:tcW w:w="1665" w:type="pct"/>
          </w:tcPr>
          <w:p w14:paraId="1B5008E2" w14:textId="77777777" w:rsidR="00DB79C0" w:rsidRPr="00D67605" w:rsidRDefault="00DB79C0" w:rsidP="00D67605">
            <w:pPr>
              <w:contextualSpacing/>
              <w:rPr>
                <w:rFonts w:ascii="Times New Roman" w:hAnsi="Times New Roman" w:cs="Times New Roman"/>
                <w:sz w:val="24"/>
              </w:rPr>
            </w:pPr>
            <w:r w:rsidRPr="00D67605">
              <w:rPr>
                <w:rFonts w:ascii="Times New Roman" w:hAnsi="Times New Roman" w:cs="Times New Roman"/>
                <w:sz w:val="24"/>
              </w:rPr>
              <w:t>Linked to clotting risk, endothelial stress, and cerebral perfusion instability</w:t>
            </w:r>
          </w:p>
          <w:p w14:paraId="687195F9" w14:textId="77777777" w:rsidR="00DB79C0" w:rsidRPr="00D67605" w:rsidRDefault="00DB79C0" w:rsidP="00D67605">
            <w:pPr>
              <w:contextualSpacing/>
              <w:rPr>
                <w:rFonts w:ascii="Times New Roman" w:hAnsi="Times New Roman" w:cs="Times New Roman"/>
                <w:sz w:val="24"/>
                <w:szCs w:val="24"/>
              </w:rPr>
            </w:pPr>
          </w:p>
        </w:tc>
      </w:tr>
      <w:tr w:rsidR="00DB79C0" w:rsidRPr="00D67605" w14:paraId="51930C21" w14:textId="77777777" w:rsidTr="00204155">
        <w:trPr>
          <w:trHeight w:val="288"/>
        </w:trPr>
        <w:tc>
          <w:tcPr>
            <w:tcW w:w="1346" w:type="pct"/>
          </w:tcPr>
          <w:p w14:paraId="2B503A00" w14:textId="77777777" w:rsidR="00204155" w:rsidRDefault="00DB79C0" w:rsidP="00D67605">
            <w:pPr>
              <w:contextualSpacing/>
              <w:rPr>
                <w:rFonts w:ascii="Times New Roman" w:hAnsi="Times New Roman" w:cs="Times New Roman"/>
                <w:sz w:val="24"/>
              </w:rPr>
            </w:pPr>
            <w:r w:rsidRPr="00D67605">
              <w:rPr>
                <w:rFonts w:ascii="Times New Roman" w:hAnsi="Times New Roman" w:cs="Times New Roman"/>
                <w:sz w:val="24"/>
              </w:rPr>
              <w:t xml:space="preserve">Neuro-inflammation </w:t>
            </w:r>
          </w:p>
          <w:p w14:paraId="795A0AA3" w14:textId="7CF7038D"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sz w:val="24"/>
              </w:rPr>
              <w:t>/ Synaptic Coupling</w:t>
            </w:r>
          </w:p>
        </w:tc>
        <w:tc>
          <w:tcPr>
            <w:tcW w:w="1989" w:type="pct"/>
          </w:tcPr>
          <w:p w14:paraId="3765DDB3" w14:textId="77777777" w:rsidR="00204155" w:rsidRDefault="00DB79C0" w:rsidP="00D67605">
            <w:pPr>
              <w:contextualSpacing/>
              <w:rPr>
                <w:rFonts w:ascii="Times New Roman" w:hAnsi="Times New Roman" w:cs="Times New Roman"/>
                <w:i/>
                <w:iCs/>
                <w:sz w:val="24"/>
              </w:rPr>
            </w:pPr>
            <w:r w:rsidRPr="00D67605">
              <w:rPr>
                <w:rFonts w:ascii="Times New Roman" w:hAnsi="Times New Roman" w:cs="Times New Roman"/>
                <w:i/>
                <w:iCs/>
                <w:sz w:val="24"/>
              </w:rPr>
              <w:t xml:space="preserve">RELN, APP, APOE, TNF, IL1B, IL6, </w:t>
            </w:r>
          </w:p>
          <w:p w14:paraId="0E56F858" w14:textId="4156BB8D"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i/>
                <w:iCs/>
                <w:sz w:val="24"/>
              </w:rPr>
              <w:t>HLA-DRB1</w:t>
            </w:r>
          </w:p>
        </w:tc>
        <w:tc>
          <w:tcPr>
            <w:tcW w:w="1665" w:type="pct"/>
          </w:tcPr>
          <w:p w14:paraId="3981F573" w14:textId="77777777" w:rsidR="00DB79C0" w:rsidRPr="00D67605" w:rsidRDefault="00DB79C0" w:rsidP="00D67605">
            <w:pPr>
              <w:contextualSpacing/>
              <w:rPr>
                <w:rFonts w:ascii="Times New Roman" w:hAnsi="Times New Roman" w:cs="Times New Roman"/>
                <w:sz w:val="24"/>
              </w:rPr>
            </w:pPr>
            <w:r w:rsidRPr="00D67605">
              <w:rPr>
                <w:rFonts w:ascii="Times New Roman" w:hAnsi="Times New Roman" w:cs="Times New Roman"/>
                <w:sz w:val="24"/>
              </w:rPr>
              <w:t>Affects neurodevelopment, glial modulation, blood brain barrier function, and sleep architecture</w:t>
            </w:r>
          </w:p>
          <w:p w14:paraId="49B2206F" w14:textId="77777777" w:rsidR="00DB79C0" w:rsidRPr="00D67605" w:rsidRDefault="00DB79C0" w:rsidP="00D67605">
            <w:pPr>
              <w:contextualSpacing/>
              <w:rPr>
                <w:rFonts w:ascii="Times New Roman" w:hAnsi="Times New Roman" w:cs="Times New Roman"/>
                <w:sz w:val="24"/>
                <w:szCs w:val="24"/>
              </w:rPr>
            </w:pPr>
          </w:p>
        </w:tc>
      </w:tr>
      <w:tr w:rsidR="00DB79C0" w:rsidRPr="00D67605" w14:paraId="608C474B" w14:textId="77777777" w:rsidTr="00204155">
        <w:trPr>
          <w:trHeight w:val="288"/>
        </w:trPr>
        <w:tc>
          <w:tcPr>
            <w:tcW w:w="1346" w:type="pct"/>
          </w:tcPr>
          <w:p w14:paraId="77F21E3C" w14:textId="77777777" w:rsidR="00204155" w:rsidRDefault="00DB79C0" w:rsidP="00D67605">
            <w:pPr>
              <w:contextualSpacing/>
              <w:rPr>
                <w:rFonts w:ascii="Times New Roman" w:hAnsi="Times New Roman" w:cs="Times New Roman"/>
                <w:sz w:val="24"/>
              </w:rPr>
            </w:pPr>
            <w:r w:rsidRPr="00D67605">
              <w:rPr>
                <w:rFonts w:ascii="Times New Roman" w:hAnsi="Times New Roman" w:cs="Times New Roman"/>
                <w:sz w:val="24"/>
              </w:rPr>
              <w:t xml:space="preserve">Magnesium and </w:t>
            </w:r>
          </w:p>
          <w:p w14:paraId="1145249C" w14:textId="4404670C" w:rsidR="00DB79C0" w:rsidRPr="00D67605" w:rsidRDefault="00DB79C0" w:rsidP="00D67605">
            <w:pPr>
              <w:contextualSpacing/>
              <w:rPr>
                <w:rFonts w:ascii="Times New Roman" w:hAnsi="Times New Roman" w:cs="Times New Roman"/>
                <w:sz w:val="24"/>
              </w:rPr>
            </w:pPr>
            <w:r w:rsidRPr="00D67605">
              <w:rPr>
                <w:rFonts w:ascii="Times New Roman" w:hAnsi="Times New Roman" w:cs="Times New Roman"/>
                <w:sz w:val="24"/>
              </w:rPr>
              <w:t xml:space="preserve">Mineral </w:t>
            </w:r>
          </w:p>
          <w:p w14:paraId="249A2740" w14:textId="77777777"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sz w:val="24"/>
              </w:rPr>
              <w:t>Transport</w:t>
            </w:r>
          </w:p>
        </w:tc>
        <w:tc>
          <w:tcPr>
            <w:tcW w:w="1989" w:type="pct"/>
          </w:tcPr>
          <w:p w14:paraId="48E08D07" w14:textId="77777777"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i/>
                <w:iCs/>
                <w:sz w:val="24"/>
              </w:rPr>
              <w:t>CNNM2, TRPM6, TRPM7, SLC41A1, SLC12A3, SLC26A4, SLC4A1</w:t>
            </w:r>
          </w:p>
        </w:tc>
        <w:tc>
          <w:tcPr>
            <w:tcW w:w="1665" w:type="pct"/>
          </w:tcPr>
          <w:p w14:paraId="698F2A05" w14:textId="77777777" w:rsidR="00DB79C0" w:rsidRPr="00D67605" w:rsidRDefault="00DB79C0" w:rsidP="00D67605">
            <w:pPr>
              <w:contextualSpacing/>
              <w:rPr>
                <w:rFonts w:ascii="Times New Roman" w:hAnsi="Times New Roman" w:cs="Times New Roman"/>
                <w:sz w:val="24"/>
              </w:rPr>
            </w:pPr>
            <w:r w:rsidRPr="00D67605">
              <w:rPr>
                <w:rFonts w:ascii="Times New Roman" w:hAnsi="Times New Roman" w:cs="Times New Roman"/>
                <w:sz w:val="24"/>
              </w:rPr>
              <w:t>Regulates divalent ion balance, NMDA gating, and cellular osmotic buffering</w:t>
            </w:r>
          </w:p>
          <w:p w14:paraId="344BF1E9" w14:textId="77777777" w:rsidR="00DB79C0" w:rsidRPr="00D67605" w:rsidRDefault="00DB79C0" w:rsidP="00D67605">
            <w:pPr>
              <w:contextualSpacing/>
              <w:rPr>
                <w:rFonts w:ascii="Times New Roman" w:hAnsi="Times New Roman" w:cs="Times New Roman"/>
                <w:sz w:val="24"/>
                <w:szCs w:val="24"/>
              </w:rPr>
            </w:pPr>
          </w:p>
        </w:tc>
      </w:tr>
      <w:tr w:rsidR="00DB79C0" w:rsidRPr="00D67605" w14:paraId="34C6B5BD" w14:textId="77777777" w:rsidTr="00204155">
        <w:trPr>
          <w:trHeight w:val="288"/>
        </w:trPr>
        <w:tc>
          <w:tcPr>
            <w:tcW w:w="1346" w:type="pct"/>
          </w:tcPr>
          <w:p w14:paraId="57930329" w14:textId="77777777" w:rsidR="00204155" w:rsidRDefault="00DB79C0" w:rsidP="00D67605">
            <w:pPr>
              <w:contextualSpacing/>
              <w:rPr>
                <w:rFonts w:ascii="Times New Roman" w:hAnsi="Times New Roman" w:cs="Times New Roman"/>
                <w:sz w:val="24"/>
              </w:rPr>
            </w:pPr>
            <w:r w:rsidRPr="00D67605">
              <w:rPr>
                <w:rFonts w:ascii="Times New Roman" w:hAnsi="Times New Roman" w:cs="Times New Roman"/>
                <w:sz w:val="24"/>
              </w:rPr>
              <w:lastRenderedPageBreak/>
              <w:t xml:space="preserve">Autonomic and Adrenergic </w:t>
            </w:r>
          </w:p>
          <w:p w14:paraId="0097E550" w14:textId="3FCDDC8E" w:rsidR="00DB79C0" w:rsidRPr="00D67605" w:rsidRDefault="00DB79C0" w:rsidP="00D67605">
            <w:pPr>
              <w:contextualSpacing/>
              <w:rPr>
                <w:rFonts w:ascii="Times New Roman" w:hAnsi="Times New Roman" w:cs="Times New Roman"/>
                <w:sz w:val="24"/>
              </w:rPr>
            </w:pPr>
            <w:r w:rsidRPr="00D67605">
              <w:rPr>
                <w:rFonts w:ascii="Times New Roman" w:hAnsi="Times New Roman" w:cs="Times New Roman"/>
                <w:sz w:val="24"/>
              </w:rPr>
              <w:t xml:space="preserve">Regulation  </w:t>
            </w:r>
          </w:p>
          <w:p w14:paraId="5E44D21A" w14:textId="77777777" w:rsidR="00DB79C0" w:rsidRPr="00D67605" w:rsidRDefault="00DB79C0" w:rsidP="00D67605">
            <w:pPr>
              <w:contextualSpacing/>
              <w:rPr>
                <w:rFonts w:ascii="Times New Roman" w:hAnsi="Times New Roman" w:cs="Times New Roman"/>
                <w:sz w:val="24"/>
                <w:szCs w:val="24"/>
              </w:rPr>
            </w:pPr>
          </w:p>
        </w:tc>
        <w:tc>
          <w:tcPr>
            <w:tcW w:w="1989" w:type="pct"/>
          </w:tcPr>
          <w:p w14:paraId="113D1773" w14:textId="77777777"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i/>
                <w:iCs/>
                <w:sz w:val="24"/>
              </w:rPr>
              <w:t>COMT, MAOA, ADRA2A, ADRB1, ADRB2, CHRNA7, GNAS</w:t>
            </w:r>
          </w:p>
        </w:tc>
        <w:tc>
          <w:tcPr>
            <w:tcW w:w="1665" w:type="pct"/>
          </w:tcPr>
          <w:p w14:paraId="6FB95A36" w14:textId="77777777"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sz w:val="24"/>
              </w:rPr>
              <w:t>Controls stress response, sympathetic tone, G-protein signaling, and arousal threshold</w:t>
            </w:r>
          </w:p>
        </w:tc>
      </w:tr>
      <w:tr w:rsidR="00DB79C0" w:rsidRPr="00D67605" w14:paraId="17FD6A75" w14:textId="77777777" w:rsidTr="00204155">
        <w:trPr>
          <w:trHeight w:val="288"/>
        </w:trPr>
        <w:tc>
          <w:tcPr>
            <w:tcW w:w="1346" w:type="pct"/>
          </w:tcPr>
          <w:p w14:paraId="4636F1B2" w14:textId="77777777"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sz w:val="24"/>
              </w:rPr>
              <w:t xml:space="preserve">Osmotic / Aquaporin-Mediated Fluid Flow </w:t>
            </w:r>
          </w:p>
        </w:tc>
        <w:tc>
          <w:tcPr>
            <w:tcW w:w="1989" w:type="pct"/>
          </w:tcPr>
          <w:p w14:paraId="7CB7A0BB" w14:textId="77777777" w:rsidR="00204155" w:rsidRDefault="00DB79C0" w:rsidP="00D67605">
            <w:pPr>
              <w:contextualSpacing/>
              <w:rPr>
                <w:rFonts w:ascii="Times New Roman" w:hAnsi="Times New Roman" w:cs="Times New Roman"/>
                <w:i/>
                <w:iCs/>
                <w:sz w:val="24"/>
              </w:rPr>
            </w:pPr>
            <w:r w:rsidRPr="00D67605">
              <w:rPr>
                <w:rFonts w:ascii="Times New Roman" w:hAnsi="Times New Roman" w:cs="Times New Roman"/>
                <w:i/>
                <w:iCs/>
                <w:sz w:val="24"/>
              </w:rPr>
              <w:t xml:space="preserve">AQP1, AQP4, AQP5, ATP1A2, </w:t>
            </w:r>
          </w:p>
          <w:p w14:paraId="44E311EE" w14:textId="59D5DE22"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i/>
                <w:iCs/>
                <w:sz w:val="24"/>
              </w:rPr>
              <w:t>FXYD2, SLC9A3R1</w:t>
            </w:r>
          </w:p>
        </w:tc>
        <w:tc>
          <w:tcPr>
            <w:tcW w:w="1665" w:type="pct"/>
          </w:tcPr>
          <w:p w14:paraId="5633B040" w14:textId="77777777" w:rsidR="00DB79C0" w:rsidRPr="00D67605" w:rsidRDefault="00DB79C0" w:rsidP="00D67605">
            <w:pPr>
              <w:contextualSpacing/>
              <w:rPr>
                <w:rFonts w:ascii="Times New Roman" w:hAnsi="Times New Roman" w:cs="Times New Roman"/>
                <w:sz w:val="24"/>
                <w:szCs w:val="24"/>
              </w:rPr>
            </w:pPr>
            <w:r w:rsidRPr="00D67605">
              <w:rPr>
                <w:rFonts w:ascii="Times New Roman" w:hAnsi="Times New Roman" w:cs="Times New Roman"/>
                <w:sz w:val="24"/>
              </w:rPr>
              <w:t>Mediates interstitial water flow, glymphatic clearance, and ion-driven osmotic regulation</w:t>
            </w:r>
          </w:p>
        </w:tc>
      </w:tr>
    </w:tbl>
    <w:p w14:paraId="06ADBA38" w14:textId="77777777" w:rsidR="00726410" w:rsidRPr="00D67605" w:rsidRDefault="00726410" w:rsidP="00DB79C0">
      <w:pPr>
        <w:spacing w:after="0" w:line="240" w:lineRule="auto"/>
        <w:contextualSpacing/>
        <w:rPr>
          <w:rFonts w:ascii="Times New Roman" w:hAnsi="Times New Roman" w:cs="Times New Roman"/>
          <w:sz w:val="24"/>
          <w:szCs w:val="24"/>
        </w:rPr>
      </w:pPr>
    </w:p>
    <w:p w14:paraId="315C1A55" w14:textId="04247BCA" w:rsidR="00DB79C0" w:rsidRPr="00D67605" w:rsidRDefault="00DB79C0" w:rsidP="00DB79C0">
      <w:pPr>
        <w:spacing w:after="0" w:line="240" w:lineRule="auto"/>
        <w:contextualSpacing/>
        <w:rPr>
          <w:rFonts w:ascii="Times New Roman" w:hAnsi="Times New Roman" w:cs="Times New Roman"/>
          <w:sz w:val="24"/>
          <w:szCs w:val="24"/>
        </w:rPr>
      </w:pPr>
      <w:r w:rsidRPr="00D67605">
        <w:rPr>
          <w:rFonts w:ascii="Times New Roman" w:hAnsi="Times New Roman" w:cs="Times New Roman"/>
          <w:sz w:val="24"/>
          <w:szCs w:val="24"/>
        </w:rPr>
        <w:t>Notes:</w:t>
      </w:r>
    </w:p>
    <w:p w14:paraId="356AF0F7" w14:textId="77777777" w:rsidR="00DB79C0" w:rsidRPr="00D67605" w:rsidRDefault="00DB79C0" w:rsidP="00DB79C0">
      <w:pPr>
        <w:spacing w:after="0" w:line="240" w:lineRule="auto"/>
        <w:contextualSpacing/>
        <w:rPr>
          <w:rFonts w:ascii="Times New Roman" w:hAnsi="Times New Roman" w:cs="Times New Roman"/>
          <w:sz w:val="24"/>
        </w:rPr>
      </w:pPr>
      <w:r w:rsidRPr="00D67605">
        <w:rPr>
          <w:rFonts w:ascii="Times New Roman" w:hAnsi="Times New Roman" w:cs="Times New Roman"/>
          <w:sz w:val="24"/>
        </w:rPr>
        <w:t xml:space="preserve">Candidate genes grouped by functional domain for consideration in genetic review. These genes have been selected based on known or proposed relevance to neuronal excitability, vascular tone regulation, osmoregulation, bradykinin signaling, and sleep-state transition physiology. They include both confirmed and hypothesized contributors drawn from this case, and broader pathophysiological frameworks. </w:t>
      </w:r>
    </w:p>
    <w:p w14:paraId="62AB1583" w14:textId="77777777" w:rsidR="00DB79C0" w:rsidRPr="00D67605" w:rsidRDefault="00DB79C0" w:rsidP="00DB79C0">
      <w:pPr>
        <w:spacing w:after="0" w:line="240" w:lineRule="auto"/>
        <w:contextualSpacing/>
        <w:rPr>
          <w:rFonts w:ascii="Times New Roman" w:hAnsi="Times New Roman" w:cs="Times New Roman"/>
          <w:sz w:val="24"/>
          <w:szCs w:val="24"/>
        </w:rPr>
      </w:pPr>
    </w:p>
    <w:p w14:paraId="5F24B750" w14:textId="77777777" w:rsidR="00F52DB1" w:rsidRDefault="00F52DB1" w:rsidP="00D56DE5">
      <w:pPr>
        <w:spacing w:after="0" w:line="240" w:lineRule="auto"/>
        <w:contextualSpacing/>
        <w:rPr>
          <w:rFonts w:ascii="Times New Roman" w:hAnsi="Times New Roman" w:cs="Times New Roman"/>
          <w:b/>
          <w:bCs/>
          <w:sz w:val="24"/>
          <w:szCs w:val="24"/>
        </w:rPr>
        <w:sectPr w:rsidR="00F52DB1">
          <w:pgSz w:w="12240" w:h="15840"/>
          <w:pgMar w:top="1440" w:right="1440" w:bottom="1440" w:left="1440" w:header="720" w:footer="720" w:gutter="0"/>
          <w:cols w:space="720"/>
          <w:docGrid w:linePitch="360"/>
        </w:sectPr>
      </w:pPr>
    </w:p>
    <w:p w14:paraId="3F132A1D" w14:textId="77777777" w:rsidR="00DB79C0" w:rsidRPr="00D56DE5" w:rsidRDefault="00DB79C0">
      <w:pPr>
        <w:spacing w:after="0" w:line="240" w:lineRule="auto"/>
        <w:contextualSpacing/>
        <w:rPr>
          <w:rFonts w:ascii="Times New Roman" w:hAnsi="Times New Roman" w:cs="Times New Roman"/>
          <w:sz w:val="24"/>
          <w:szCs w:val="24"/>
        </w:rPr>
      </w:pPr>
    </w:p>
    <w:sectPr w:rsidR="00DB79C0" w:rsidRPr="00D56DE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C63F1C" w14:textId="77777777" w:rsidR="00057C02" w:rsidRDefault="00057C02" w:rsidP="00DB79C0">
      <w:pPr>
        <w:spacing w:after="0" w:line="240" w:lineRule="auto"/>
      </w:pPr>
      <w:r>
        <w:separator/>
      </w:r>
    </w:p>
  </w:endnote>
  <w:endnote w:type="continuationSeparator" w:id="0">
    <w:p w14:paraId="6B9BF581" w14:textId="77777777" w:rsidR="00057C02" w:rsidRDefault="00057C02" w:rsidP="00DB79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847276" w14:textId="77777777" w:rsidR="00057C02" w:rsidRDefault="00057C02" w:rsidP="00DB79C0">
      <w:pPr>
        <w:spacing w:after="0" w:line="240" w:lineRule="auto"/>
      </w:pPr>
      <w:r>
        <w:separator/>
      </w:r>
    </w:p>
  </w:footnote>
  <w:footnote w:type="continuationSeparator" w:id="0">
    <w:p w14:paraId="227A1CB9" w14:textId="77777777" w:rsidR="00057C02" w:rsidRDefault="00057C02" w:rsidP="00DB79C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DE5"/>
    <w:rsid w:val="0002140D"/>
    <w:rsid w:val="00024ADC"/>
    <w:rsid w:val="00057C02"/>
    <w:rsid w:val="000619C3"/>
    <w:rsid w:val="00063EC2"/>
    <w:rsid w:val="00071B47"/>
    <w:rsid w:val="0010054D"/>
    <w:rsid w:val="00185478"/>
    <w:rsid w:val="00204155"/>
    <w:rsid w:val="002522EA"/>
    <w:rsid w:val="002707E1"/>
    <w:rsid w:val="00323C6E"/>
    <w:rsid w:val="003262ED"/>
    <w:rsid w:val="00330FD9"/>
    <w:rsid w:val="0039676E"/>
    <w:rsid w:val="003C34DE"/>
    <w:rsid w:val="004056D8"/>
    <w:rsid w:val="00444B73"/>
    <w:rsid w:val="0048636E"/>
    <w:rsid w:val="00554AC2"/>
    <w:rsid w:val="00610C85"/>
    <w:rsid w:val="00624042"/>
    <w:rsid w:val="00631D26"/>
    <w:rsid w:val="007224EF"/>
    <w:rsid w:val="00726410"/>
    <w:rsid w:val="00796577"/>
    <w:rsid w:val="007C296B"/>
    <w:rsid w:val="007C35D7"/>
    <w:rsid w:val="007D1D70"/>
    <w:rsid w:val="007F1C0E"/>
    <w:rsid w:val="008908A5"/>
    <w:rsid w:val="008E7C3F"/>
    <w:rsid w:val="009A6D1B"/>
    <w:rsid w:val="009D3308"/>
    <w:rsid w:val="009F0727"/>
    <w:rsid w:val="00A17FC1"/>
    <w:rsid w:val="00A22D00"/>
    <w:rsid w:val="00B901B9"/>
    <w:rsid w:val="00BB40FA"/>
    <w:rsid w:val="00C64103"/>
    <w:rsid w:val="00D02A4B"/>
    <w:rsid w:val="00D56DE5"/>
    <w:rsid w:val="00D67605"/>
    <w:rsid w:val="00DB79C0"/>
    <w:rsid w:val="00E05712"/>
    <w:rsid w:val="00EB486F"/>
    <w:rsid w:val="00EF10B6"/>
    <w:rsid w:val="00F52D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5E1CE"/>
  <w15:chartTrackingRefBased/>
  <w15:docId w15:val="{C002ABE4-A490-4F92-9BB0-2F350AC0D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6D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6D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6D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6D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6D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6D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6D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6D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6D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6D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6D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6D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6D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6D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6D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6D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6D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6DE5"/>
    <w:rPr>
      <w:rFonts w:eastAsiaTheme="majorEastAsia" w:cstheme="majorBidi"/>
      <w:color w:val="272727" w:themeColor="text1" w:themeTint="D8"/>
    </w:rPr>
  </w:style>
  <w:style w:type="paragraph" w:styleId="Title">
    <w:name w:val="Title"/>
    <w:basedOn w:val="Normal"/>
    <w:next w:val="Normal"/>
    <w:link w:val="TitleChar"/>
    <w:uiPriority w:val="10"/>
    <w:qFormat/>
    <w:rsid w:val="00D56D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6D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6D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6D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6DE5"/>
    <w:pPr>
      <w:spacing w:before="160"/>
      <w:jc w:val="center"/>
    </w:pPr>
    <w:rPr>
      <w:i/>
      <w:iCs/>
      <w:color w:val="404040" w:themeColor="text1" w:themeTint="BF"/>
    </w:rPr>
  </w:style>
  <w:style w:type="character" w:customStyle="1" w:styleId="QuoteChar">
    <w:name w:val="Quote Char"/>
    <w:basedOn w:val="DefaultParagraphFont"/>
    <w:link w:val="Quote"/>
    <w:uiPriority w:val="29"/>
    <w:rsid w:val="00D56DE5"/>
    <w:rPr>
      <w:i/>
      <w:iCs/>
      <w:color w:val="404040" w:themeColor="text1" w:themeTint="BF"/>
    </w:rPr>
  </w:style>
  <w:style w:type="paragraph" w:styleId="ListParagraph">
    <w:name w:val="List Paragraph"/>
    <w:basedOn w:val="Normal"/>
    <w:uiPriority w:val="34"/>
    <w:qFormat/>
    <w:rsid w:val="00D56DE5"/>
    <w:pPr>
      <w:ind w:left="720"/>
      <w:contextualSpacing/>
    </w:pPr>
  </w:style>
  <w:style w:type="character" w:styleId="IntenseEmphasis">
    <w:name w:val="Intense Emphasis"/>
    <w:basedOn w:val="DefaultParagraphFont"/>
    <w:uiPriority w:val="21"/>
    <w:qFormat/>
    <w:rsid w:val="00D56DE5"/>
    <w:rPr>
      <w:i/>
      <w:iCs/>
      <w:color w:val="0F4761" w:themeColor="accent1" w:themeShade="BF"/>
    </w:rPr>
  </w:style>
  <w:style w:type="paragraph" w:styleId="IntenseQuote">
    <w:name w:val="Intense Quote"/>
    <w:basedOn w:val="Normal"/>
    <w:next w:val="Normal"/>
    <w:link w:val="IntenseQuoteChar"/>
    <w:uiPriority w:val="30"/>
    <w:qFormat/>
    <w:rsid w:val="00D56D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6DE5"/>
    <w:rPr>
      <w:i/>
      <w:iCs/>
      <w:color w:val="0F4761" w:themeColor="accent1" w:themeShade="BF"/>
    </w:rPr>
  </w:style>
  <w:style w:type="character" w:styleId="IntenseReference">
    <w:name w:val="Intense Reference"/>
    <w:basedOn w:val="DefaultParagraphFont"/>
    <w:uiPriority w:val="32"/>
    <w:qFormat/>
    <w:rsid w:val="00D56DE5"/>
    <w:rPr>
      <w:b/>
      <w:bCs/>
      <w:smallCaps/>
      <w:color w:val="0F4761" w:themeColor="accent1" w:themeShade="BF"/>
      <w:spacing w:val="5"/>
    </w:rPr>
  </w:style>
  <w:style w:type="table" w:styleId="TableGrid">
    <w:name w:val="Table Grid"/>
    <w:basedOn w:val="TableNormal"/>
    <w:uiPriority w:val="39"/>
    <w:rsid w:val="00D56D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52DB1"/>
    <w:rPr>
      <w:sz w:val="16"/>
      <w:szCs w:val="16"/>
    </w:rPr>
  </w:style>
  <w:style w:type="paragraph" w:styleId="CommentText">
    <w:name w:val="annotation text"/>
    <w:basedOn w:val="Normal"/>
    <w:link w:val="CommentTextChar"/>
    <w:uiPriority w:val="99"/>
    <w:semiHidden/>
    <w:unhideWhenUsed/>
    <w:rsid w:val="00F52DB1"/>
    <w:pPr>
      <w:spacing w:line="240" w:lineRule="auto"/>
    </w:pPr>
    <w:rPr>
      <w:sz w:val="20"/>
      <w:szCs w:val="20"/>
    </w:rPr>
  </w:style>
  <w:style w:type="character" w:customStyle="1" w:styleId="CommentTextChar">
    <w:name w:val="Comment Text Char"/>
    <w:basedOn w:val="DefaultParagraphFont"/>
    <w:link w:val="CommentText"/>
    <w:uiPriority w:val="99"/>
    <w:semiHidden/>
    <w:rsid w:val="00F52DB1"/>
    <w:rPr>
      <w:sz w:val="20"/>
      <w:szCs w:val="20"/>
    </w:rPr>
  </w:style>
  <w:style w:type="paragraph" w:styleId="CommentSubject">
    <w:name w:val="annotation subject"/>
    <w:basedOn w:val="CommentText"/>
    <w:next w:val="CommentText"/>
    <w:link w:val="CommentSubjectChar"/>
    <w:uiPriority w:val="99"/>
    <w:semiHidden/>
    <w:unhideWhenUsed/>
    <w:rsid w:val="00F52DB1"/>
    <w:rPr>
      <w:b/>
      <w:bCs/>
    </w:rPr>
  </w:style>
  <w:style w:type="character" w:customStyle="1" w:styleId="CommentSubjectChar">
    <w:name w:val="Comment Subject Char"/>
    <w:basedOn w:val="CommentTextChar"/>
    <w:link w:val="CommentSubject"/>
    <w:uiPriority w:val="99"/>
    <w:semiHidden/>
    <w:rsid w:val="00F52DB1"/>
    <w:rPr>
      <w:b/>
      <w:bCs/>
      <w:sz w:val="20"/>
      <w:szCs w:val="20"/>
    </w:rPr>
  </w:style>
  <w:style w:type="paragraph" w:styleId="Header">
    <w:name w:val="header"/>
    <w:basedOn w:val="Normal"/>
    <w:link w:val="HeaderChar"/>
    <w:uiPriority w:val="99"/>
    <w:unhideWhenUsed/>
    <w:rsid w:val="00DB79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79C0"/>
  </w:style>
  <w:style w:type="paragraph" w:styleId="Footer">
    <w:name w:val="footer"/>
    <w:basedOn w:val="Normal"/>
    <w:link w:val="FooterChar"/>
    <w:uiPriority w:val="99"/>
    <w:unhideWhenUsed/>
    <w:rsid w:val="00DB79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79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390</Words>
  <Characters>2225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dc:creator>
  <cp:keywords/>
  <dc:description/>
  <cp:lastModifiedBy>Tracy Hans</cp:lastModifiedBy>
  <cp:revision>2</cp:revision>
  <dcterms:created xsi:type="dcterms:W3CDTF">2025-06-13T19:50:00Z</dcterms:created>
  <dcterms:modified xsi:type="dcterms:W3CDTF">2025-06-21T23:14:00Z</dcterms:modified>
</cp:coreProperties>
</file>