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7021F" w14:textId="1FF76696" w:rsidR="00D56DE5" w:rsidRDefault="00500034" w:rsidP="00D56DE5">
      <w:pPr>
        <w:spacing w:after="0" w:line="240" w:lineRule="auto"/>
        <w:contextualSpacing/>
        <w:rPr>
          <w:rFonts w:ascii="Times New Roman" w:hAnsi="Times New Roman" w:cs="Times New Roman"/>
          <w:sz w:val="24"/>
          <w:szCs w:val="24"/>
        </w:rPr>
      </w:pPr>
      <w:r>
        <w:rPr>
          <w:rFonts w:ascii="Times New Roman" w:hAnsi="Times New Roman" w:cs="Times New Roman"/>
          <w:b/>
          <w:bCs/>
          <w:sz w:val="24"/>
          <w:szCs w:val="24"/>
        </w:rPr>
        <w:t>Supplemental Table 2</w:t>
      </w:r>
      <w:r w:rsidR="00D56DE5" w:rsidRPr="00D56DE5">
        <w:rPr>
          <w:rFonts w:ascii="Times New Roman" w:hAnsi="Times New Roman" w:cs="Times New Roman"/>
          <w:b/>
          <w:bCs/>
          <w:sz w:val="24"/>
          <w:szCs w:val="24"/>
        </w:rPr>
        <w:t>.</w:t>
      </w:r>
      <w:r w:rsidR="00D56DE5" w:rsidRPr="00D56DE5">
        <w:rPr>
          <w:rFonts w:ascii="Times New Roman" w:hAnsi="Times New Roman" w:cs="Times New Roman"/>
          <w:sz w:val="24"/>
          <w:szCs w:val="24"/>
        </w:rPr>
        <w:t xml:space="preserve"> </w:t>
      </w:r>
      <w:r>
        <w:rPr>
          <w:rFonts w:ascii="Times New Roman" w:hAnsi="Times New Roman" w:cs="Times New Roman"/>
          <w:sz w:val="24"/>
          <w:szCs w:val="24"/>
        </w:rPr>
        <w:t>Candidate therapies aligned with the SOVM framework</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1981"/>
        <w:gridCol w:w="4049"/>
        <w:gridCol w:w="3330"/>
      </w:tblGrid>
      <w:tr w:rsidR="00624042" w:rsidRPr="00624042" w14:paraId="58709CFC" w14:textId="77777777" w:rsidTr="009F44B6">
        <w:trPr>
          <w:trHeight w:val="288"/>
        </w:trPr>
        <w:tc>
          <w:tcPr>
            <w:tcW w:w="1058" w:type="pct"/>
            <w:tcBorders>
              <w:top w:val="single" w:sz="4" w:space="0" w:color="auto"/>
              <w:bottom w:val="single" w:sz="4" w:space="0" w:color="auto"/>
            </w:tcBorders>
            <w:shd w:val="clear" w:color="auto" w:fill="D9D9D9" w:themeFill="background1" w:themeFillShade="D9"/>
          </w:tcPr>
          <w:p w14:paraId="1123EE25" w14:textId="6690D033"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Target</w:t>
            </w:r>
          </w:p>
        </w:tc>
        <w:tc>
          <w:tcPr>
            <w:tcW w:w="2163" w:type="pct"/>
            <w:tcBorders>
              <w:top w:val="single" w:sz="4" w:space="0" w:color="auto"/>
              <w:bottom w:val="single" w:sz="4" w:space="0" w:color="auto"/>
            </w:tcBorders>
            <w:shd w:val="clear" w:color="auto" w:fill="D9D9D9" w:themeFill="background1" w:themeFillShade="D9"/>
          </w:tcPr>
          <w:p w14:paraId="2A73C4F4" w14:textId="076D787F"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Mechanism</w:t>
            </w:r>
          </w:p>
        </w:tc>
        <w:tc>
          <w:tcPr>
            <w:tcW w:w="1779" w:type="pct"/>
            <w:tcBorders>
              <w:top w:val="single" w:sz="4" w:space="0" w:color="auto"/>
              <w:bottom w:val="single" w:sz="4" w:space="0" w:color="auto"/>
            </w:tcBorders>
            <w:shd w:val="clear" w:color="auto" w:fill="D9D9D9" w:themeFill="background1" w:themeFillShade="D9"/>
          </w:tcPr>
          <w:p w14:paraId="3657915E" w14:textId="295356E0"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Candidate Therapies</w:t>
            </w:r>
          </w:p>
        </w:tc>
      </w:tr>
      <w:tr w:rsidR="00624042" w:rsidRPr="00624042" w14:paraId="79912431" w14:textId="77777777" w:rsidTr="009F44B6">
        <w:trPr>
          <w:trHeight w:val="288"/>
        </w:trPr>
        <w:tc>
          <w:tcPr>
            <w:tcW w:w="1058" w:type="pct"/>
            <w:tcBorders>
              <w:top w:val="single" w:sz="4" w:space="0" w:color="auto"/>
            </w:tcBorders>
          </w:tcPr>
          <w:p w14:paraId="73436794" w14:textId="679B4E15"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CSF Regulation</w:t>
            </w:r>
          </w:p>
        </w:tc>
        <w:tc>
          <w:tcPr>
            <w:tcW w:w="2163" w:type="pct"/>
            <w:tcBorders>
              <w:top w:val="single" w:sz="4" w:space="0" w:color="auto"/>
            </w:tcBorders>
          </w:tcPr>
          <w:p w14:paraId="0457323B" w14:textId="77777777" w:rsidR="009F44B6" w:rsidRDefault="00500034" w:rsidP="00500034">
            <w:pPr>
              <w:contextualSpacing/>
              <w:rPr>
                <w:rFonts w:ascii="Times New Roman" w:hAnsi="Times New Roman" w:cs="Times New Roman"/>
                <w:sz w:val="24"/>
                <w:szCs w:val="24"/>
              </w:rPr>
            </w:pPr>
            <w:r w:rsidRPr="008548D0">
              <w:rPr>
                <w:rFonts w:ascii="Times New Roman" w:hAnsi="Times New Roman" w:cs="Times New Roman"/>
                <w:sz w:val="24"/>
                <w:szCs w:val="24"/>
              </w:rPr>
              <w:t xml:space="preserve">Reduce intracranial pressure and </w:t>
            </w:r>
          </w:p>
          <w:p w14:paraId="7BE99884" w14:textId="4FB59663" w:rsidR="00330FD9" w:rsidRPr="00624042" w:rsidRDefault="00500034" w:rsidP="00500034">
            <w:pPr>
              <w:contextualSpacing/>
              <w:rPr>
                <w:rFonts w:ascii="Times New Roman" w:hAnsi="Times New Roman" w:cs="Times New Roman"/>
                <w:sz w:val="24"/>
                <w:szCs w:val="24"/>
              </w:rPr>
            </w:pPr>
            <w:r w:rsidRPr="008548D0">
              <w:rPr>
                <w:rFonts w:ascii="Times New Roman" w:hAnsi="Times New Roman" w:cs="Times New Roman"/>
                <w:sz w:val="24"/>
                <w:szCs w:val="24"/>
              </w:rPr>
              <w:t>improve CSF flow dynamics</w:t>
            </w:r>
          </w:p>
        </w:tc>
        <w:tc>
          <w:tcPr>
            <w:tcW w:w="1779" w:type="pct"/>
            <w:tcBorders>
              <w:top w:val="single" w:sz="4" w:space="0" w:color="auto"/>
            </w:tcBorders>
          </w:tcPr>
          <w:p w14:paraId="1D71E241" w14:textId="53DC8D8B" w:rsidR="00D56DE5"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Acetazolamide (Diamox), posture strategies, mild alkalinization</w:t>
            </w:r>
          </w:p>
          <w:p w14:paraId="4B8CF49E" w14:textId="0C5173BB" w:rsidR="007E5559" w:rsidRPr="00624042" w:rsidRDefault="007E5559" w:rsidP="00D56DE5">
            <w:pPr>
              <w:contextualSpacing/>
              <w:rPr>
                <w:rFonts w:ascii="Times New Roman" w:hAnsi="Times New Roman" w:cs="Times New Roman"/>
                <w:sz w:val="24"/>
                <w:szCs w:val="24"/>
              </w:rPr>
            </w:pPr>
          </w:p>
        </w:tc>
      </w:tr>
      <w:tr w:rsidR="00624042" w:rsidRPr="00624042" w14:paraId="174F11F7" w14:textId="77777777" w:rsidTr="009F44B6">
        <w:trPr>
          <w:trHeight w:val="288"/>
        </w:trPr>
        <w:tc>
          <w:tcPr>
            <w:tcW w:w="1058" w:type="pct"/>
          </w:tcPr>
          <w:p w14:paraId="502660FD" w14:textId="780FA59A"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Neural Excitability</w:t>
            </w:r>
          </w:p>
        </w:tc>
        <w:tc>
          <w:tcPr>
            <w:tcW w:w="2163" w:type="pct"/>
          </w:tcPr>
          <w:p w14:paraId="3ED36AD0" w14:textId="77777777" w:rsidR="009F44B6"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 xml:space="preserve">Stabilize membrane potentials and </w:t>
            </w:r>
          </w:p>
          <w:p w14:paraId="6B63A70B" w14:textId="3FA883C1" w:rsidR="00D56DE5" w:rsidRPr="00624042"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reduce synaptic overactivation</w:t>
            </w:r>
          </w:p>
        </w:tc>
        <w:tc>
          <w:tcPr>
            <w:tcW w:w="1779" w:type="pct"/>
          </w:tcPr>
          <w:p w14:paraId="7614D50C" w14:textId="77777777" w:rsidR="00330FD9" w:rsidRDefault="00500034" w:rsidP="00500034">
            <w:pPr>
              <w:contextualSpacing/>
              <w:rPr>
                <w:rFonts w:ascii="Times New Roman" w:hAnsi="Times New Roman" w:cs="Times New Roman"/>
                <w:sz w:val="24"/>
                <w:szCs w:val="24"/>
              </w:rPr>
            </w:pPr>
            <w:r w:rsidRPr="008548D0">
              <w:rPr>
                <w:rFonts w:ascii="Times New Roman" w:hAnsi="Times New Roman" w:cs="Times New Roman"/>
                <w:sz w:val="24"/>
                <w:szCs w:val="24"/>
              </w:rPr>
              <w:t>Levetiracetam (Keppra), Brivaracetam</w:t>
            </w:r>
            <w:r>
              <w:rPr>
                <w:rFonts w:ascii="Times New Roman" w:hAnsi="Times New Roman" w:cs="Times New Roman"/>
                <w:sz w:val="24"/>
                <w:szCs w:val="24"/>
              </w:rPr>
              <w:t xml:space="preserve"> (Briviact)</w:t>
            </w:r>
            <w:r w:rsidRPr="008548D0">
              <w:rPr>
                <w:rFonts w:ascii="Times New Roman" w:hAnsi="Times New Roman" w:cs="Times New Roman"/>
                <w:sz w:val="24"/>
                <w:szCs w:val="24"/>
              </w:rPr>
              <w:t>,</w:t>
            </w:r>
            <w:r>
              <w:rPr>
                <w:rFonts w:ascii="Times New Roman" w:hAnsi="Times New Roman" w:cs="Times New Roman"/>
                <w:sz w:val="24"/>
                <w:szCs w:val="24"/>
              </w:rPr>
              <w:t xml:space="preserve"> topical liposomal lidocaine, taurine, </w:t>
            </w:r>
            <w:r w:rsidRPr="008548D0">
              <w:rPr>
                <w:rFonts w:ascii="Times New Roman" w:hAnsi="Times New Roman" w:cs="Times New Roman"/>
                <w:sz w:val="24"/>
                <w:szCs w:val="24"/>
              </w:rPr>
              <w:t>low-dose benzodiazepines*</w:t>
            </w:r>
          </w:p>
          <w:p w14:paraId="690C48BB" w14:textId="402788E3" w:rsidR="00500034" w:rsidRPr="00624042" w:rsidRDefault="00500034" w:rsidP="00500034">
            <w:pPr>
              <w:contextualSpacing/>
              <w:rPr>
                <w:rFonts w:ascii="Times New Roman" w:hAnsi="Times New Roman" w:cs="Times New Roman"/>
                <w:sz w:val="24"/>
                <w:szCs w:val="24"/>
              </w:rPr>
            </w:pPr>
          </w:p>
        </w:tc>
      </w:tr>
      <w:tr w:rsidR="00624042" w:rsidRPr="00624042" w14:paraId="652CBB87" w14:textId="77777777" w:rsidTr="009F44B6">
        <w:trPr>
          <w:trHeight w:val="288"/>
        </w:trPr>
        <w:tc>
          <w:tcPr>
            <w:tcW w:w="1058" w:type="pct"/>
          </w:tcPr>
          <w:p w14:paraId="4F70F703" w14:textId="602ED0BB"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Neurogenic Inflammation</w:t>
            </w:r>
            <w:r w:rsidR="009F0727">
              <w:rPr>
                <w:rFonts w:ascii="Times New Roman" w:hAnsi="Times New Roman" w:cs="Times New Roman"/>
                <w:sz w:val="24"/>
                <w:szCs w:val="24"/>
              </w:rPr>
              <w:t xml:space="preserve"> </w:t>
            </w:r>
          </w:p>
        </w:tc>
        <w:tc>
          <w:tcPr>
            <w:tcW w:w="2163" w:type="pct"/>
          </w:tcPr>
          <w:p w14:paraId="7E5457E5" w14:textId="67B2AD39" w:rsidR="00D56DE5"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Suppress mast cell activity and neuroinflammatory mediators (e.g., substance P)</w:t>
            </w:r>
            <w:r w:rsidR="004056D8">
              <w:rPr>
                <w:rFonts w:ascii="Times New Roman" w:hAnsi="Times New Roman" w:cs="Times New Roman"/>
                <w:sz w:val="24"/>
                <w:szCs w:val="24"/>
              </w:rPr>
              <w:t xml:space="preserve">. </w:t>
            </w:r>
          </w:p>
          <w:p w14:paraId="3BC11677" w14:textId="440D5DB1" w:rsidR="009F0727" w:rsidRPr="00624042" w:rsidRDefault="009F0727" w:rsidP="00D56DE5">
            <w:pPr>
              <w:contextualSpacing/>
              <w:rPr>
                <w:rFonts w:ascii="Times New Roman" w:hAnsi="Times New Roman" w:cs="Times New Roman"/>
                <w:sz w:val="24"/>
                <w:szCs w:val="24"/>
              </w:rPr>
            </w:pPr>
          </w:p>
        </w:tc>
        <w:tc>
          <w:tcPr>
            <w:tcW w:w="1779" w:type="pct"/>
          </w:tcPr>
          <w:p w14:paraId="414BB1A2" w14:textId="77777777" w:rsidR="00330FD9" w:rsidRDefault="00500034" w:rsidP="00500034">
            <w:pPr>
              <w:contextualSpacing/>
              <w:rPr>
                <w:rFonts w:ascii="Times New Roman" w:hAnsi="Times New Roman" w:cs="Times New Roman"/>
                <w:sz w:val="24"/>
                <w:szCs w:val="24"/>
              </w:rPr>
            </w:pPr>
            <w:r w:rsidRPr="008548D0">
              <w:rPr>
                <w:rFonts w:ascii="Times New Roman" w:hAnsi="Times New Roman" w:cs="Times New Roman"/>
                <w:sz w:val="24"/>
                <w:szCs w:val="24"/>
              </w:rPr>
              <w:t xml:space="preserve">Luteolin, Rutin, mast cell stabilizers, neurokinin-1 antagonists, quercetin, </w:t>
            </w:r>
            <w:r>
              <w:rPr>
                <w:rFonts w:ascii="Times New Roman" w:hAnsi="Times New Roman" w:cs="Times New Roman"/>
                <w:sz w:val="24"/>
                <w:szCs w:val="24"/>
              </w:rPr>
              <w:t>palmitoylethanolamide (</w:t>
            </w:r>
            <w:r w:rsidRPr="008548D0">
              <w:rPr>
                <w:rFonts w:ascii="Times New Roman" w:hAnsi="Times New Roman" w:cs="Times New Roman"/>
                <w:sz w:val="24"/>
                <w:szCs w:val="24"/>
              </w:rPr>
              <w:t>PEA</w:t>
            </w:r>
            <w:r>
              <w:rPr>
                <w:rFonts w:ascii="Times New Roman" w:hAnsi="Times New Roman" w:cs="Times New Roman"/>
                <w:sz w:val="24"/>
                <w:szCs w:val="24"/>
              </w:rPr>
              <w:t>), specialized pro-resolving mediators (S</w:t>
            </w:r>
            <w:r w:rsidRPr="008548D0">
              <w:rPr>
                <w:rFonts w:ascii="Times New Roman" w:hAnsi="Times New Roman" w:cs="Times New Roman"/>
                <w:sz w:val="24"/>
                <w:szCs w:val="24"/>
              </w:rPr>
              <w:t>PMs</w:t>
            </w:r>
            <w:r>
              <w:rPr>
                <w:rFonts w:ascii="Times New Roman" w:hAnsi="Times New Roman" w:cs="Times New Roman"/>
                <w:sz w:val="24"/>
                <w:szCs w:val="24"/>
              </w:rPr>
              <w:t>)</w:t>
            </w:r>
            <w:r w:rsidRPr="008548D0">
              <w:rPr>
                <w:rFonts w:ascii="Times New Roman" w:hAnsi="Times New Roman" w:cs="Times New Roman"/>
                <w:sz w:val="24"/>
                <w:szCs w:val="24"/>
              </w:rPr>
              <w:t>, lactoferrin</w:t>
            </w:r>
          </w:p>
          <w:p w14:paraId="7987AE0A" w14:textId="4A036CA5" w:rsidR="00500034" w:rsidRPr="00624042" w:rsidRDefault="00500034" w:rsidP="00500034">
            <w:pPr>
              <w:contextualSpacing/>
              <w:rPr>
                <w:rFonts w:ascii="Times New Roman" w:hAnsi="Times New Roman" w:cs="Times New Roman"/>
                <w:sz w:val="24"/>
                <w:szCs w:val="24"/>
              </w:rPr>
            </w:pPr>
          </w:p>
        </w:tc>
      </w:tr>
      <w:tr w:rsidR="00624042" w:rsidRPr="00624042" w14:paraId="67CA2B0A" w14:textId="77777777" w:rsidTr="009F44B6">
        <w:trPr>
          <w:trHeight w:val="288"/>
        </w:trPr>
        <w:tc>
          <w:tcPr>
            <w:tcW w:w="1058" w:type="pct"/>
          </w:tcPr>
          <w:p w14:paraId="6F296F50" w14:textId="4BC7791E" w:rsidR="00D56DE5"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Cerebrovascular Tone Regulation</w:t>
            </w:r>
          </w:p>
          <w:p w14:paraId="00231AAA" w14:textId="46D955A0" w:rsidR="009F0727" w:rsidRPr="00624042" w:rsidRDefault="009F0727" w:rsidP="00D56DE5">
            <w:pPr>
              <w:contextualSpacing/>
              <w:rPr>
                <w:rFonts w:ascii="Times New Roman" w:hAnsi="Times New Roman" w:cs="Times New Roman"/>
                <w:sz w:val="24"/>
                <w:szCs w:val="24"/>
              </w:rPr>
            </w:pPr>
          </w:p>
        </w:tc>
        <w:tc>
          <w:tcPr>
            <w:tcW w:w="2163" w:type="pct"/>
          </w:tcPr>
          <w:p w14:paraId="22089E2A" w14:textId="77777777" w:rsidR="009F44B6"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 xml:space="preserve">Modulate vascular tone and enhance </w:t>
            </w:r>
          </w:p>
          <w:p w14:paraId="5DC29F75" w14:textId="002EE4B5" w:rsidR="00D56DE5" w:rsidRPr="00624042" w:rsidRDefault="00500034" w:rsidP="00D56DE5">
            <w:pPr>
              <w:contextualSpacing/>
              <w:rPr>
                <w:rFonts w:ascii="Times New Roman" w:hAnsi="Times New Roman" w:cs="Times New Roman"/>
                <w:sz w:val="24"/>
                <w:szCs w:val="24"/>
              </w:rPr>
            </w:pPr>
            <w:r w:rsidRPr="008548D0">
              <w:rPr>
                <w:rFonts w:ascii="Times New Roman" w:hAnsi="Times New Roman" w:cs="Times New Roman"/>
                <w:sz w:val="24"/>
                <w:szCs w:val="24"/>
              </w:rPr>
              <w:t>venous outflow</w:t>
            </w:r>
          </w:p>
        </w:tc>
        <w:tc>
          <w:tcPr>
            <w:tcW w:w="1779" w:type="pct"/>
          </w:tcPr>
          <w:p w14:paraId="4CAAC3AE" w14:textId="786B2C5C" w:rsidR="00330FD9" w:rsidRDefault="00500034" w:rsidP="00500034">
            <w:pPr>
              <w:contextualSpacing/>
              <w:rPr>
                <w:rFonts w:ascii="Times New Roman" w:hAnsi="Times New Roman" w:cs="Times New Roman"/>
                <w:sz w:val="24"/>
                <w:szCs w:val="24"/>
              </w:rPr>
            </w:pPr>
            <w:r w:rsidRPr="008548D0">
              <w:rPr>
                <w:rFonts w:ascii="Times New Roman" w:hAnsi="Times New Roman" w:cs="Times New Roman"/>
                <w:sz w:val="24"/>
                <w:szCs w:val="24"/>
              </w:rPr>
              <w:t>RAAS modulation (e.g., sodium citrate), compression, positional strategies, diosmin</w:t>
            </w:r>
            <w:r w:rsidR="00AA3DC6">
              <w:rPr>
                <w:rFonts w:ascii="Times New Roman" w:hAnsi="Times New Roman" w:cs="Times New Roman"/>
                <w:sz w:val="24"/>
                <w:szCs w:val="24"/>
              </w:rPr>
              <w:t>, clonidine</w:t>
            </w:r>
          </w:p>
          <w:p w14:paraId="0E6C3216" w14:textId="115BCCAC" w:rsidR="00500034" w:rsidRPr="00624042" w:rsidRDefault="00500034" w:rsidP="00500034">
            <w:pPr>
              <w:contextualSpacing/>
              <w:rPr>
                <w:rFonts w:ascii="Times New Roman" w:hAnsi="Times New Roman" w:cs="Times New Roman"/>
                <w:sz w:val="24"/>
                <w:szCs w:val="24"/>
              </w:rPr>
            </w:pPr>
          </w:p>
        </w:tc>
      </w:tr>
      <w:tr w:rsidR="00624042" w:rsidRPr="00624042" w14:paraId="69411C6A" w14:textId="77777777" w:rsidTr="009F44B6">
        <w:trPr>
          <w:trHeight w:val="288"/>
        </w:trPr>
        <w:tc>
          <w:tcPr>
            <w:tcW w:w="1058" w:type="pct"/>
          </w:tcPr>
          <w:p w14:paraId="51E20F8D" w14:textId="6BBDFB5B" w:rsidR="00D56DE5" w:rsidRPr="00624042" w:rsidRDefault="00500034" w:rsidP="00D56DE5">
            <w:pPr>
              <w:contextualSpacing/>
              <w:rPr>
                <w:rFonts w:ascii="Times New Roman" w:hAnsi="Times New Roman" w:cs="Times New Roman"/>
                <w:sz w:val="24"/>
                <w:szCs w:val="24"/>
              </w:rPr>
            </w:pPr>
            <w:r>
              <w:rPr>
                <w:rFonts w:ascii="Times New Roman" w:hAnsi="Times New Roman" w:cs="Times New Roman"/>
                <w:sz w:val="24"/>
                <w:szCs w:val="24"/>
              </w:rPr>
              <w:t>Bradykinin Reduction</w:t>
            </w:r>
          </w:p>
        </w:tc>
        <w:tc>
          <w:tcPr>
            <w:tcW w:w="2163" w:type="pct"/>
          </w:tcPr>
          <w:p w14:paraId="3805012A" w14:textId="77777777" w:rsidR="009F44B6" w:rsidRDefault="004F2B4C" w:rsidP="004F2B4C">
            <w:pPr>
              <w:contextualSpacing/>
              <w:rPr>
                <w:rFonts w:ascii="Times New Roman" w:hAnsi="Times New Roman" w:cs="Times New Roman"/>
                <w:sz w:val="24"/>
                <w:szCs w:val="24"/>
              </w:rPr>
            </w:pPr>
            <w:r w:rsidRPr="008548D0">
              <w:rPr>
                <w:rFonts w:ascii="Times New Roman" w:hAnsi="Times New Roman" w:cs="Times New Roman"/>
                <w:sz w:val="24"/>
                <w:szCs w:val="24"/>
              </w:rPr>
              <w:t xml:space="preserve">Reduce accumulation of bradykinin </w:t>
            </w:r>
          </w:p>
          <w:p w14:paraId="687B63CB" w14:textId="202EA1E1" w:rsidR="00330FD9" w:rsidRPr="00624042" w:rsidRDefault="004F2B4C" w:rsidP="004F2B4C">
            <w:pPr>
              <w:contextualSpacing/>
              <w:rPr>
                <w:rFonts w:ascii="Times New Roman" w:hAnsi="Times New Roman" w:cs="Times New Roman"/>
                <w:sz w:val="24"/>
                <w:szCs w:val="24"/>
              </w:rPr>
            </w:pPr>
            <w:r w:rsidRPr="008548D0">
              <w:rPr>
                <w:rFonts w:ascii="Times New Roman" w:hAnsi="Times New Roman" w:cs="Times New Roman"/>
                <w:sz w:val="24"/>
                <w:szCs w:val="24"/>
              </w:rPr>
              <w:t>and enhance degradation pathways</w:t>
            </w:r>
          </w:p>
        </w:tc>
        <w:tc>
          <w:tcPr>
            <w:tcW w:w="1779" w:type="pct"/>
          </w:tcPr>
          <w:p w14:paraId="74476264" w14:textId="77777777" w:rsidR="00D56DE5" w:rsidRDefault="004F2B4C" w:rsidP="00D56DE5">
            <w:pPr>
              <w:contextualSpacing/>
              <w:rPr>
                <w:rFonts w:ascii="Times New Roman" w:hAnsi="Times New Roman" w:cs="Times New Roman"/>
                <w:sz w:val="24"/>
                <w:szCs w:val="24"/>
              </w:rPr>
            </w:pPr>
            <w:r w:rsidRPr="008548D0">
              <w:rPr>
                <w:rFonts w:ascii="Times New Roman" w:hAnsi="Times New Roman" w:cs="Times New Roman"/>
                <w:sz w:val="24"/>
                <w:szCs w:val="24"/>
              </w:rPr>
              <w:t>Theoretical B2 receptor antagonists (e.g., icatibant), ACE support (future)</w:t>
            </w:r>
          </w:p>
          <w:p w14:paraId="60B05F33" w14:textId="5F3C3125" w:rsidR="004F2B4C" w:rsidRPr="00624042" w:rsidRDefault="004F2B4C" w:rsidP="00D56DE5">
            <w:pPr>
              <w:contextualSpacing/>
              <w:rPr>
                <w:rFonts w:ascii="Times New Roman" w:hAnsi="Times New Roman" w:cs="Times New Roman"/>
                <w:sz w:val="24"/>
                <w:szCs w:val="24"/>
              </w:rPr>
            </w:pPr>
          </w:p>
        </w:tc>
      </w:tr>
    </w:tbl>
    <w:p w14:paraId="0CA1B487" w14:textId="26D087C2" w:rsidR="00D56DE5" w:rsidRDefault="003C34DE" w:rsidP="00D56DE5">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Notes:</w:t>
      </w:r>
    </w:p>
    <w:p w14:paraId="10E43119" w14:textId="77777777" w:rsidR="00500034" w:rsidRDefault="00500034" w:rsidP="00500034">
      <w:pPr>
        <w:pStyle w:val="NormalWeb"/>
        <w:spacing w:before="0" w:beforeAutospacing="0" w:after="0" w:afterAutospacing="0"/>
      </w:pPr>
      <w:r w:rsidRPr="008548D0">
        <w:t>Conceptual mapping of candidate intervention categories aligned with the five proposed mechanistic domains of Sleep-Onset Vasomotor Myoclonus (SOVM). These include CSF regulation, neural excitability, neurogenic inflammation, cerebrovascular tone, and bradykinin signaling. The table is intended to guide future research by outlining therapeutic targets derived from the case findings and neurovascular-autonomic model described in this paper. No formal treatment recommendations are made.</w:t>
      </w:r>
    </w:p>
    <w:p w14:paraId="1D3C549E" w14:textId="77777777" w:rsidR="00500034" w:rsidRDefault="00500034" w:rsidP="00500034">
      <w:pPr>
        <w:pStyle w:val="NormalWeb"/>
        <w:spacing w:before="0" w:beforeAutospacing="0" w:after="0" w:afterAutospacing="0"/>
      </w:pPr>
    </w:p>
    <w:p w14:paraId="2E86F549" w14:textId="77777777" w:rsidR="00500034" w:rsidRPr="00D53964" w:rsidRDefault="00500034" w:rsidP="00500034">
      <w:pPr>
        <w:pStyle w:val="NormalWeb"/>
        <w:spacing w:before="0" w:beforeAutospacing="0" w:after="0" w:afterAutospacing="0"/>
        <w:rPr>
          <w:rStyle w:val="Strong"/>
          <w:rFonts w:eastAsiaTheme="majorEastAsia"/>
          <w:b w:val="0"/>
          <w:bCs w:val="0"/>
          <w:sz w:val="20"/>
          <w:szCs w:val="20"/>
        </w:rPr>
      </w:pPr>
      <w:r w:rsidRPr="00D53964">
        <w:rPr>
          <w:rStyle w:val="Strong"/>
          <w:rFonts w:eastAsiaTheme="majorEastAsia"/>
          <w:sz w:val="20"/>
          <w:szCs w:val="20"/>
        </w:rPr>
        <w:t>* Benzodiazepines may reduce neural excitability and hypnic jerking short-term, but long-term use carries risks of tolerance, sedation, rebound excitability, and potential disruption of sleep architecture. Caution is advised, especially in individuals with impaired drug metabolism or autonomic instability.</w:t>
      </w:r>
    </w:p>
    <w:p w14:paraId="58CC2F94" w14:textId="026FAA48" w:rsidR="003C34DE" w:rsidRPr="00D56DE5" w:rsidRDefault="003C34DE" w:rsidP="00D56DE5">
      <w:pPr>
        <w:spacing w:after="0" w:line="240" w:lineRule="auto"/>
        <w:contextualSpacing/>
        <w:rPr>
          <w:rFonts w:ascii="Times New Roman" w:hAnsi="Times New Roman" w:cs="Times New Roman"/>
          <w:sz w:val="24"/>
          <w:szCs w:val="24"/>
        </w:rPr>
      </w:pPr>
    </w:p>
    <w:sectPr w:rsidR="003C34DE" w:rsidRPr="00D56D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DE5"/>
    <w:rsid w:val="00024ADC"/>
    <w:rsid w:val="00063EC2"/>
    <w:rsid w:val="00071B47"/>
    <w:rsid w:val="0010054D"/>
    <w:rsid w:val="002522EA"/>
    <w:rsid w:val="002707E1"/>
    <w:rsid w:val="00323C6E"/>
    <w:rsid w:val="003262ED"/>
    <w:rsid w:val="00330FD9"/>
    <w:rsid w:val="0039676E"/>
    <w:rsid w:val="003C34DE"/>
    <w:rsid w:val="004056D8"/>
    <w:rsid w:val="004F2B4C"/>
    <w:rsid w:val="00500034"/>
    <w:rsid w:val="00554AC2"/>
    <w:rsid w:val="00610C85"/>
    <w:rsid w:val="00624042"/>
    <w:rsid w:val="00631D26"/>
    <w:rsid w:val="006A29E6"/>
    <w:rsid w:val="007224EF"/>
    <w:rsid w:val="00793AE9"/>
    <w:rsid w:val="00796577"/>
    <w:rsid w:val="007C296B"/>
    <w:rsid w:val="007C35D7"/>
    <w:rsid w:val="007D1D70"/>
    <w:rsid w:val="007E5559"/>
    <w:rsid w:val="007F1C0E"/>
    <w:rsid w:val="008908A5"/>
    <w:rsid w:val="009A6D1B"/>
    <w:rsid w:val="009D3308"/>
    <w:rsid w:val="009F0727"/>
    <w:rsid w:val="009F44B6"/>
    <w:rsid w:val="00A17FC1"/>
    <w:rsid w:val="00AA3DC6"/>
    <w:rsid w:val="00B7024E"/>
    <w:rsid w:val="00B901B9"/>
    <w:rsid w:val="00BB40FA"/>
    <w:rsid w:val="00C64103"/>
    <w:rsid w:val="00CA7DA0"/>
    <w:rsid w:val="00D56DE5"/>
    <w:rsid w:val="00E05712"/>
    <w:rsid w:val="00EB486F"/>
    <w:rsid w:val="00EF10B6"/>
    <w:rsid w:val="00F52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5E1CE"/>
  <w15:chartTrackingRefBased/>
  <w15:docId w15:val="{C606886D-35C1-4912-9519-8C3868970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6D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6D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6D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6D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6D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6D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6D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6D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6D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D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6D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6D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6D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6D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6D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D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D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DE5"/>
    <w:rPr>
      <w:rFonts w:eastAsiaTheme="majorEastAsia" w:cstheme="majorBidi"/>
      <w:color w:val="272727" w:themeColor="text1" w:themeTint="D8"/>
    </w:rPr>
  </w:style>
  <w:style w:type="paragraph" w:styleId="Title">
    <w:name w:val="Title"/>
    <w:basedOn w:val="Normal"/>
    <w:next w:val="Normal"/>
    <w:link w:val="TitleChar"/>
    <w:uiPriority w:val="10"/>
    <w:qFormat/>
    <w:rsid w:val="00D56D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6D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D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6D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DE5"/>
    <w:pPr>
      <w:spacing w:before="160"/>
      <w:jc w:val="center"/>
    </w:pPr>
    <w:rPr>
      <w:i/>
      <w:iCs/>
      <w:color w:val="404040" w:themeColor="text1" w:themeTint="BF"/>
    </w:rPr>
  </w:style>
  <w:style w:type="character" w:customStyle="1" w:styleId="QuoteChar">
    <w:name w:val="Quote Char"/>
    <w:basedOn w:val="DefaultParagraphFont"/>
    <w:link w:val="Quote"/>
    <w:uiPriority w:val="29"/>
    <w:rsid w:val="00D56DE5"/>
    <w:rPr>
      <w:i/>
      <w:iCs/>
      <w:color w:val="404040" w:themeColor="text1" w:themeTint="BF"/>
    </w:rPr>
  </w:style>
  <w:style w:type="paragraph" w:styleId="ListParagraph">
    <w:name w:val="List Paragraph"/>
    <w:basedOn w:val="Normal"/>
    <w:uiPriority w:val="34"/>
    <w:qFormat/>
    <w:rsid w:val="00D56DE5"/>
    <w:pPr>
      <w:ind w:left="720"/>
      <w:contextualSpacing/>
    </w:pPr>
  </w:style>
  <w:style w:type="character" w:styleId="IntenseEmphasis">
    <w:name w:val="Intense Emphasis"/>
    <w:basedOn w:val="DefaultParagraphFont"/>
    <w:uiPriority w:val="21"/>
    <w:qFormat/>
    <w:rsid w:val="00D56DE5"/>
    <w:rPr>
      <w:i/>
      <w:iCs/>
      <w:color w:val="0F4761" w:themeColor="accent1" w:themeShade="BF"/>
    </w:rPr>
  </w:style>
  <w:style w:type="paragraph" w:styleId="IntenseQuote">
    <w:name w:val="Intense Quote"/>
    <w:basedOn w:val="Normal"/>
    <w:next w:val="Normal"/>
    <w:link w:val="IntenseQuoteChar"/>
    <w:uiPriority w:val="30"/>
    <w:qFormat/>
    <w:rsid w:val="00D56D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6DE5"/>
    <w:rPr>
      <w:i/>
      <w:iCs/>
      <w:color w:val="0F4761" w:themeColor="accent1" w:themeShade="BF"/>
    </w:rPr>
  </w:style>
  <w:style w:type="character" w:styleId="IntenseReference">
    <w:name w:val="Intense Reference"/>
    <w:basedOn w:val="DefaultParagraphFont"/>
    <w:uiPriority w:val="32"/>
    <w:qFormat/>
    <w:rsid w:val="00D56DE5"/>
    <w:rPr>
      <w:b/>
      <w:bCs/>
      <w:smallCaps/>
      <w:color w:val="0F4761" w:themeColor="accent1" w:themeShade="BF"/>
      <w:spacing w:val="5"/>
    </w:rPr>
  </w:style>
  <w:style w:type="table" w:styleId="TableGrid">
    <w:name w:val="Table Grid"/>
    <w:basedOn w:val="TableNormal"/>
    <w:uiPriority w:val="39"/>
    <w:rsid w:val="00D56D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52DB1"/>
    <w:rPr>
      <w:sz w:val="16"/>
      <w:szCs w:val="16"/>
    </w:rPr>
  </w:style>
  <w:style w:type="paragraph" w:styleId="CommentText">
    <w:name w:val="annotation text"/>
    <w:basedOn w:val="Normal"/>
    <w:link w:val="CommentTextChar"/>
    <w:uiPriority w:val="99"/>
    <w:semiHidden/>
    <w:unhideWhenUsed/>
    <w:rsid w:val="00F52DB1"/>
    <w:pPr>
      <w:spacing w:line="240" w:lineRule="auto"/>
    </w:pPr>
    <w:rPr>
      <w:sz w:val="20"/>
      <w:szCs w:val="20"/>
    </w:rPr>
  </w:style>
  <w:style w:type="character" w:customStyle="1" w:styleId="CommentTextChar">
    <w:name w:val="Comment Text Char"/>
    <w:basedOn w:val="DefaultParagraphFont"/>
    <w:link w:val="CommentText"/>
    <w:uiPriority w:val="99"/>
    <w:semiHidden/>
    <w:rsid w:val="00F52DB1"/>
    <w:rPr>
      <w:sz w:val="20"/>
      <w:szCs w:val="20"/>
    </w:rPr>
  </w:style>
  <w:style w:type="paragraph" w:styleId="CommentSubject">
    <w:name w:val="annotation subject"/>
    <w:basedOn w:val="CommentText"/>
    <w:next w:val="CommentText"/>
    <w:link w:val="CommentSubjectChar"/>
    <w:uiPriority w:val="99"/>
    <w:semiHidden/>
    <w:unhideWhenUsed/>
    <w:rsid w:val="00F52DB1"/>
    <w:rPr>
      <w:b/>
      <w:bCs/>
    </w:rPr>
  </w:style>
  <w:style w:type="character" w:customStyle="1" w:styleId="CommentSubjectChar">
    <w:name w:val="Comment Subject Char"/>
    <w:basedOn w:val="CommentTextChar"/>
    <w:link w:val="CommentSubject"/>
    <w:uiPriority w:val="99"/>
    <w:semiHidden/>
    <w:rsid w:val="00F52DB1"/>
    <w:rPr>
      <w:b/>
      <w:bCs/>
      <w:sz w:val="20"/>
      <w:szCs w:val="20"/>
    </w:rPr>
  </w:style>
  <w:style w:type="character" w:styleId="Strong">
    <w:name w:val="Strong"/>
    <w:basedOn w:val="DefaultParagraphFont"/>
    <w:uiPriority w:val="22"/>
    <w:qFormat/>
    <w:rsid w:val="00500034"/>
    <w:rPr>
      <w:b/>
      <w:bCs/>
    </w:rPr>
  </w:style>
  <w:style w:type="paragraph" w:styleId="NormalWeb">
    <w:name w:val="Normal (Web)"/>
    <w:basedOn w:val="Normal"/>
    <w:link w:val="NormalWebChar"/>
    <w:uiPriority w:val="99"/>
    <w:unhideWhenUsed/>
    <w:rsid w:val="0050003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WebChar">
    <w:name w:val="Normal (Web) Char"/>
    <w:basedOn w:val="DefaultParagraphFont"/>
    <w:link w:val="NormalWeb"/>
    <w:uiPriority w:val="99"/>
    <w:rsid w:val="00500034"/>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280</Words>
  <Characters>1601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Tracy Hans</cp:lastModifiedBy>
  <cp:revision>6</cp:revision>
  <dcterms:created xsi:type="dcterms:W3CDTF">2025-06-13T21:05:00Z</dcterms:created>
  <dcterms:modified xsi:type="dcterms:W3CDTF">2025-06-22T14:39:00Z</dcterms:modified>
</cp:coreProperties>
</file>