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BADD6" w14:textId="77777777" w:rsidR="00F9272F" w:rsidRDefault="00F9272F" w:rsidP="00F9272F">
      <w:pPr>
        <w:pStyle w:val="Heading2"/>
        <w:rPr>
          <w:noProof/>
        </w:rPr>
      </w:pPr>
      <w:r>
        <w:rPr>
          <w:noProof/>
        </w:rPr>
        <w:t>Supplemental Figures and Legends</w:t>
      </w:r>
    </w:p>
    <w:p w14:paraId="31D8C688" w14:textId="77777777" w:rsidR="00F9272F" w:rsidRPr="004B1509" w:rsidRDefault="00F9272F" w:rsidP="00F9272F">
      <w:pPr>
        <w:pStyle w:val="Heading2"/>
        <w:rPr>
          <w:rFonts w:eastAsia="MicrosoftSansSerif"/>
        </w:rPr>
      </w:pPr>
      <w:r>
        <w:rPr>
          <w:noProof/>
        </w:rPr>
        <w:lastRenderedPageBreak/>
        <w:drawing>
          <wp:inline distT="0" distB="0" distL="0" distR="0" wp14:anchorId="1115AD5B" wp14:editId="07A83263">
            <wp:extent cx="6489700" cy="8153400"/>
            <wp:effectExtent l="0" t="0" r="0" b="0"/>
            <wp:docPr id="20" name="Picture 20" descr="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Picture 20" descr="Diagram&#10;&#10;Description automatically generated"/>
                    <pic:cNvPicPr>
                      <a:picLocks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8153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B1509">
        <w:lastRenderedPageBreak/>
        <w:t xml:space="preserve">Supplemental Figure 1: APOE4 native lipoproteins are less </w:t>
      </w:r>
      <w:proofErr w:type="spellStart"/>
      <w:r>
        <w:t>lipidated</w:t>
      </w:r>
      <w:proofErr w:type="spellEnd"/>
      <w:r>
        <w:t xml:space="preserve"> with unique lipid </w:t>
      </w:r>
      <w:r w:rsidRPr="004B1509">
        <w:t>specie</w:t>
      </w:r>
      <w:r>
        <w:t xml:space="preserve"> profiles. </w:t>
      </w:r>
      <w:r>
        <w:rPr>
          <w:rFonts w:ascii="Times New Roman" w:hAnsi="Times New Roman" w:cs="Times New Roman"/>
          <w:sz w:val="24"/>
        </w:rPr>
        <w:t>(supplemental to Figure 1)</w:t>
      </w:r>
    </w:p>
    <w:p w14:paraId="64451670" w14:textId="77777777" w:rsidR="00F9272F" w:rsidRPr="00347757" w:rsidRDefault="00F9272F" w:rsidP="00F9272F">
      <w:pPr>
        <w:ind w:firstLine="0"/>
        <w:rPr>
          <w:rFonts w:eastAsia="Times New Roman"/>
          <w:shd w:val="clear" w:color="auto" w:fill="FFFFFF"/>
        </w:rPr>
      </w:pPr>
      <w:r w:rsidRPr="00347757">
        <w:rPr>
          <w:bCs/>
        </w:rPr>
        <w:t>(a)</w:t>
      </w:r>
      <w:r w:rsidRPr="00347757">
        <w:t xml:space="preserve"> E3 or E4 native lipoproteins were derived from pooled samples of astrocyte conditioned media from APOE3 or APOE4 primary astrocytes </w:t>
      </w:r>
      <w:r>
        <w:t>as well as l</w:t>
      </w:r>
      <w:r w:rsidRPr="00475CAF">
        <w:t>ipoproteins derived from APOE3/Abca1</w:t>
      </w:r>
      <w:r w:rsidRPr="00475CAF">
        <w:rPr>
          <w:vertAlign w:val="superscript"/>
        </w:rPr>
        <w:t>het</w:t>
      </w:r>
      <w:r w:rsidRPr="00475CAF">
        <w:t xml:space="preserve"> and APOE4/Abca1</w:t>
      </w:r>
      <w:r w:rsidRPr="00475CAF">
        <w:rPr>
          <w:vertAlign w:val="superscript"/>
        </w:rPr>
        <w:t>het</w:t>
      </w:r>
      <w:r w:rsidRPr="00475CAF">
        <w:t xml:space="preserve"> astrocytes </w:t>
      </w:r>
      <w:r>
        <w:t xml:space="preserve">and </w:t>
      </w:r>
      <w:r w:rsidRPr="00347757">
        <w:t xml:space="preserve">analyzed by shotgun </w:t>
      </w:r>
      <w:proofErr w:type="spellStart"/>
      <w:r w:rsidRPr="00347757">
        <w:t>lipidomics</w:t>
      </w:r>
      <w:proofErr w:type="spellEnd"/>
      <w:r w:rsidRPr="00347757">
        <w:t xml:space="preserve">. </w:t>
      </w:r>
      <w:r>
        <w:t>L</w:t>
      </w:r>
      <w:r w:rsidRPr="00475CAF">
        <w:t xml:space="preserve">ipoproteins derived from </w:t>
      </w:r>
      <w:r>
        <w:t>E3</w:t>
      </w:r>
      <w:r w:rsidRPr="00475CAF">
        <w:rPr>
          <w:vertAlign w:val="superscript"/>
        </w:rPr>
        <w:t>het</w:t>
      </w:r>
      <w:r w:rsidRPr="00475CAF">
        <w:t xml:space="preserve"> and </w:t>
      </w:r>
      <w:r>
        <w:t>E4</w:t>
      </w:r>
      <w:r w:rsidRPr="00475CAF">
        <w:rPr>
          <w:vertAlign w:val="superscript"/>
        </w:rPr>
        <w:t>het</w:t>
      </w:r>
      <w:r w:rsidRPr="00475CAF">
        <w:t xml:space="preserve"> astrocytes </w:t>
      </w:r>
      <w:r>
        <w:t xml:space="preserve">were used as </w:t>
      </w:r>
      <w:r w:rsidRPr="00475CAF">
        <w:t>negative controls</w:t>
      </w:r>
      <w:r>
        <w:t xml:space="preserve"> and demonstrated half of the phospholipid amount of their wild-type counterparts. </w:t>
      </w:r>
      <w:r w:rsidRPr="00CD12B6">
        <w:rPr>
          <w:bCs/>
        </w:rPr>
        <w:t>Note the reduction of phospholipid level in the following order: E3 &gt; E4 &gt; E3</w:t>
      </w:r>
      <w:r w:rsidRPr="00CD12B6">
        <w:rPr>
          <w:bCs/>
          <w:vertAlign w:val="superscript"/>
        </w:rPr>
        <w:t>het</w:t>
      </w:r>
      <w:r w:rsidRPr="00CD12B6">
        <w:rPr>
          <w:bCs/>
        </w:rPr>
        <w:t xml:space="preserve"> &gt; E4</w:t>
      </w:r>
      <w:r w:rsidRPr="00CD12B6">
        <w:rPr>
          <w:bCs/>
          <w:vertAlign w:val="superscript"/>
        </w:rPr>
        <w:t>het</w:t>
      </w:r>
      <w:r w:rsidRPr="00CD12B6">
        <w:rPr>
          <w:bCs/>
        </w:rPr>
        <w:t xml:space="preserve">. </w:t>
      </w:r>
      <w:r w:rsidRPr="00347757">
        <w:t xml:space="preserve">Lipid species-specific analysis of </w:t>
      </w:r>
      <w:r w:rsidRPr="00347757">
        <w:rPr>
          <w:rFonts w:eastAsia="Times New Roman"/>
          <w:shd w:val="clear" w:color="auto" w:fill="FFFFFF"/>
        </w:rPr>
        <w:t xml:space="preserve">Phosphatidylcholine, PC (b); Phosphatidylinositol, PI (c); Phosphatidylethanolamine, PE (d); Phosphatidylserine, PS (e); Sphingomyelin, SM (f); </w:t>
      </w:r>
      <w:proofErr w:type="spellStart"/>
      <w:r w:rsidRPr="00347757">
        <w:rPr>
          <w:rFonts w:eastAsia="Times New Roman"/>
          <w:shd w:val="clear" w:color="auto" w:fill="FFFFFF"/>
        </w:rPr>
        <w:t>Lysophosphatidylcholine</w:t>
      </w:r>
      <w:proofErr w:type="spellEnd"/>
      <w:r w:rsidRPr="00347757">
        <w:rPr>
          <w:rFonts w:eastAsia="Times New Roman"/>
          <w:shd w:val="clear" w:color="auto" w:fill="FFFFFF"/>
        </w:rPr>
        <w:t xml:space="preserve">, LPC (g); </w:t>
      </w:r>
      <w:proofErr w:type="spellStart"/>
      <w:r w:rsidRPr="00347757">
        <w:rPr>
          <w:rFonts w:eastAsia="Times New Roman"/>
          <w:shd w:val="clear" w:color="auto" w:fill="FFFFFF"/>
        </w:rPr>
        <w:t>Lysophosphatidylethanolamine</w:t>
      </w:r>
      <w:proofErr w:type="spellEnd"/>
      <w:r w:rsidRPr="00347757">
        <w:rPr>
          <w:rFonts w:eastAsia="Times New Roman"/>
          <w:shd w:val="clear" w:color="auto" w:fill="FFFFFF"/>
        </w:rPr>
        <w:t>, LPE (h); Phosphatidylglycerol, PG (</w:t>
      </w:r>
      <w:proofErr w:type="spellStart"/>
      <w:r w:rsidRPr="00347757">
        <w:rPr>
          <w:rFonts w:eastAsia="Times New Roman"/>
          <w:shd w:val="clear" w:color="auto" w:fill="FFFFFF"/>
        </w:rPr>
        <w:t>i</w:t>
      </w:r>
      <w:proofErr w:type="spellEnd"/>
      <w:r w:rsidRPr="00347757">
        <w:rPr>
          <w:rFonts w:eastAsia="Times New Roman"/>
          <w:shd w:val="clear" w:color="auto" w:fill="FFFFFF"/>
        </w:rPr>
        <w:t xml:space="preserve">); and Phosphatidic acid, PA (j). </w:t>
      </w:r>
      <w:r w:rsidRPr="00E15362">
        <w:t>(</w:t>
      </w:r>
      <w:r>
        <w:t>k</w:t>
      </w:r>
      <w:r w:rsidRPr="00E15362">
        <w:t>)</w:t>
      </w:r>
      <w:r w:rsidRPr="00E15362">
        <w:rPr>
          <w:bCs/>
        </w:rPr>
        <w:t xml:space="preserve"> </w:t>
      </w:r>
      <w:r w:rsidRPr="00E15362">
        <w:t>C</w:t>
      </w:r>
      <w:r w:rsidRPr="00E15362">
        <w:rPr>
          <w:bCs/>
        </w:rPr>
        <w:t xml:space="preserve">holesterol concentration of the </w:t>
      </w:r>
      <w:r w:rsidRPr="00E15362">
        <w:rPr>
          <w:color w:val="000000"/>
        </w:rPr>
        <w:t xml:space="preserve">native E3 and E4 was measured using </w:t>
      </w:r>
      <w:r>
        <w:rPr>
          <w:color w:val="000000"/>
        </w:rPr>
        <w:t xml:space="preserve">a </w:t>
      </w:r>
      <w:r w:rsidRPr="00E15362">
        <w:rPr>
          <w:color w:val="000000"/>
        </w:rPr>
        <w:t xml:space="preserve">commercial kit. </w:t>
      </w:r>
      <w:r w:rsidRPr="00347757">
        <w:rPr>
          <w:rFonts w:eastAsia="Times New Roman"/>
          <w:shd w:val="clear" w:color="auto" w:fill="FFFFFF"/>
        </w:rPr>
        <w:t>Bars represent mean ± SEM and Box and Whiskers represent the interquartile range and mean.</w:t>
      </w:r>
    </w:p>
    <w:p w14:paraId="497AA805" w14:textId="77777777" w:rsidR="00F9272F" w:rsidRDefault="00F9272F" w:rsidP="00F9272F">
      <w:pPr>
        <w:widowControl/>
        <w:spacing w:before="0" w:line="240" w:lineRule="auto"/>
        <w:ind w:firstLine="0"/>
        <w:jc w:val="left"/>
        <w:rPr>
          <w:rFonts w:ascii="Myriad Pro Light" w:eastAsia="Times New Roman" w:hAnsi="Myriad Pro Light"/>
          <w:b/>
          <w:bCs/>
          <w:color w:val="2F5496" w:themeColor="accent1" w:themeShade="BF"/>
          <w:sz w:val="26"/>
          <w:szCs w:val="26"/>
        </w:rPr>
      </w:pPr>
      <w:r>
        <w:br w:type="page"/>
      </w:r>
    </w:p>
    <w:p w14:paraId="018C9FC9" w14:textId="77777777" w:rsidR="00F9272F" w:rsidRPr="00931195" w:rsidRDefault="00F9272F" w:rsidP="00F9272F">
      <w:pPr>
        <w:pStyle w:val="Heading2"/>
      </w:pPr>
      <w:r>
        <w:rPr>
          <w:noProof/>
        </w:rPr>
        <w:lastRenderedPageBreak/>
        <w:drawing>
          <wp:inline distT="0" distB="0" distL="0" distR="0" wp14:anchorId="5AA1A787" wp14:editId="06A4BC4A">
            <wp:extent cx="6489700" cy="3429000"/>
            <wp:effectExtent l="0" t="0" r="0" b="0"/>
            <wp:docPr id="19" name="Picture 19" descr="A picture containing 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19" descr="A picture containing diagram&#10;&#10;Description automatically generated"/>
                    <pic:cNvPicPr>
                      <a:picLocks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195">
        <w:t xml:space="preserve">Figure 2: Effect of native E3 and E4 </w:t>
      </w:r>
      <w:r>
        <w:t xml:space="preserve">lipoproteins </w:t>
      </w:r>
      <w:r w:rsidRPr="00931195">
        <w:t>on A</w:t>
      </w:r>
      <w:r>
        <w:t>β</w:t>
      </w:r>
      <w:r w:rsidRPr="00931195">
        <w:t xml:space="preserve"> aggregation</w:t>
      </w:r>
      <w:r>
        <w:t xml:space="preserve"> and behavior. </w:t>
      </w:r>
      <w:r>
        <w:rPr>
          <w:rFonts w:ascii="Times New Roman" w:hAnsi="Times New Roman" w:cs="Times New Roman"/>
          <w:sz w:val="24"/>
        </w:rPr>
        <w:t>(supplemental to Figure 2)</w:t>
      </w:r>
    </w:p>
    <w:p w14:paraId="0ADA9EF1" w14:textId="77777777" w:rsidR="00F9272F" w:rsidRPr="00503CE7" w:rsidRDefault="00F9272F" w:rsidP="00F9272F">
      <w:pPr>
        <w:ind w:firstLine="0"/>
        <w:rPr>
          <w:rFonts w:eastAsia="ヒラギノ角ゴ Pro W3"/>
          <w:sz w:val="22"/>
          <w:szCs w:val="22"/>
        </w:rPr>
      </w:pPr>
      <w:bookmarkStart w:id="0" w:name="_Hlk42616571"/>
      <w:r>
        <w:t>(a-c) The effect native E3 and E4 lipoproteins on A</w:t>
      </w:r>
      <w:r>
        <w:rPr>
          <w:rFonts w:cs="Lucida Grande"/>
          <w:color w:val="000000"/>
        </w:rPr>
        <w:t>β</w:t>
      </w:r>
      <w:r>
        <w:t xml:space="preserve"> aggregation was tested using a disaggregated A</w:t>
      </w:r>
      <w:r>
        <w:rPr>
          <w:rFonts w:cs="Lucida Grande"/>
          <w:color w:val="000000"/>
        </w:rPr>
        <w:t>β monomer as before</w:t>
      </w:r>
      <w:hyperlink w:anchor="_ENREF_29" w:tooltip="Lefterov, 2010 #27" w:history="1">
        <w:r>
          <w:fldChar w:fldCharType="begin">
            <w:fldData xml:space="preserve">PEVuZE5vdGU+PENpdGU+PEF1dGhvcj5MZWZ0ZXJvdjwvQXV0aG9yPjxZZWFyPjIwMTA8L1llYXI+
PFJlY051bT4yNzwvUmVjTnVtPjxEaXNwbGF5VGV4dD48c3R5bGUgZmFjZT0ic3VwZXJzY3JpcHQi
PjI5PC9zdHlsZT48L0Rpc3BsYXlUZXh0PjxyZWNvcmQ+PHJlYy1udW1iZXI+Mjc8L3JlYy1udW1i
ZXI+PGZvcmVpZ24ta2V5cz48a2V5IGFwcD0iRU4iIGRiLWlkPSJ4enJlMHhwZm9wOWQwdWV0NXRw
NXh3YWd2NTBlMjllMHhyeHIiIHRpbWVzdGFtcD0iMTU5NzQxMzg3NyI+Mjc8L2tleT48L2ZvcmVp
Z24ta2V5cz48cmVmLXR5cGUgbmFtZT0iSm91cm5hbCBBcnRpY2xlIj4xNzwvcmVmLXR5cGU+PGNv
bnRyaWJ1dG9ycz48YXV0aG9ycz48YXV0aG9yPkxlZnRlcm92LCBJLjwvYXV0aG9yPjxhdXRob3I+
Rml0eiwgTi4gRi48L2F1dGhvcj48YXV0aG9yPkNyb25pY2FuLCBBLiBBLjwvYXV0aG9yPjxhdXRo
b3I+Rm9nZywgQS48L2F1dGhvcj48YXV0aG9yPkxlZnRlcm92LCBQLjwvYXV0aG9yPjxhdXRob3I+
S29kYWxpLCBSLjwvYXV0aG9yPjxhdXRob3I+V2V0emVsLCBSLjwvYXV0aG9yPjxhdXRob3I+S29s
ZGFtb3ZhLCBSLjwvYXV0aG9yPjwvYXV0aG9ycz48L2NvbnRyaWJ1dG9ycz48YXV0aC1hZGRyZXNz
PkRlcGFydG1lbnQgb2YgRW52aXJvbm1lbnRhbCBhbmQgT2NjdXBhdGlvbmFsIEhlYWx0aCwgVW5p
dmVyc2l0eSBvZiBQaXR0c2J1cmdoLCBQaXR0c2J1cmdoLCBQZW5uc3lsdmFuaWEgMTUyMTksIFVT
QS4gaWxpeWFsQHBpdHQuZWR1PC9hdXRoLWFkZHJlc3M+PHRpdGxlcz48dGl0bGU+QXBvbGlwb3By
b3RlaW4gQS1JIGRlZmljaWVuY3kgaW5jcmVhc2VzIGNlcmVicmFsIGFteWxvaWQgYW5naW9wYXRo
eSBhbmQgY29nbml0aXZlIGRlZmljaXRzIGluIEFQUC9QUzFEZWx0YUU5IG1pY2U8L3RpdGxlPjxz
ZWNvbmRhcnktdGl0bGU+SiBCaW9sIENoZW08L3NlY29uZGFyeS10aXRsZT48L3RpdGxlcz48cGVy
aW9kaWNhbD48ZnVsbC10aXRsZT5KIEJpb2wgQ2hlbTwvZnVsbC10aXRsZT48L3BlcmlvZGljYWw+
PHBhZ2VzPjM2OTQ1LTU3PC9wYWdlcz48dm9sdW1lPjI4NTwvdm9sdW1lPjxudW1iZXI+NDc8L251
bWJlcj48ZWRpdGlvbj4yMDEwLzA4LzI3PC9lZGl0aW9uPjxrZXl3b3Jkcz48a2V5d29yZD5BbXls
b2lkIGJldGEtUHJvdGVpbiBQcmVjdXJzb3IvKnBoeXNpb2xvZ3k8L2tleXdvcmQ+PGtleXdvcmQ+
QW5pbWFsczwva2V5d29yZD48a2V5d29yZD5BcG9saXBvcHJvdGVpbiBBLUkvKnBoeXNpb2xvZ3k8
L2tleXdvcmQ+PGtleXdvcmQ+QmVoYXZpb3IsIEFuaW1hbDwva2V5d29yZD48a2V5d29yZD5CbG90
dGluZywgV2VzdGVybjwva2V5d29yZD48a2V5d29yZD5CcmFpbi9tZXRhYm9saXNtLypwYXRob2xv
Z3k8L2tleXdvcmQ+PGtleXdvcmQ+Q2VsbHMsIEN1bHR1cmVkPC9rZXl3b3JkPjxrZXl3b3JkPkNl
cmVicmFsIEFteWxvaWQgQW5naW9wYXRoeS9ldGlvbG9neS8qcGF0aG9sb2d5PC9rZXl3b3JkPjxr
ZXl3b3JkPkNob2xlc3Rlcm9sL21ldGFib2xpc208L2tleXdvcmQ+PGtleXdvcmQ+RW1icnlvLCBN
YW1tYWxpYW4vY3l0b2xvZ3kvbWV0YWJvbGlzbTwva2V5d29yZD48a2V5d29yZD5Fbnp5bWUtTGlu
a2VkIEltbXVub3NvcmJlbnQgQXNzYXk8L2tleXdvcmQ+PGtleXdvcmQ+SHVtYW5zPC9rZXl3b3Jk
PjxrZXl3b3JkPkltbXVub2VuenltZSBUZWNobmlxdWVzPC9rZXl3b3JkPjxrZXl3b3JkPk1hemUg
TGVhcm5pbmc8L2tleXdvcmQ+PGtleXdvcmQ+TWVtb3J5IERpc29yZGVycy9ldGlvbG9neS8qcGF0
aG9sb2d5PC9rZXl3b3JkPjxrZXl3b3JkPk1pY2U8L2tleXdvcmQ+PGtleXdvcmQ+TWljZSwgSW5i
cmVkIEM1N0JMPC9rZXl3b3JkPjxrZXl3b3JkPk1pY2UsIEtub2Nrb3V0PC9rZXl3b3JkPjxrZXl3
b3JkPk1pY2UsIFRyYW5zZ2VuaWM8L2tleXdvcmQ+PGtleXdvcmQ+TXV0YXRpb24vZ2VuZXRpY3M8
L2tleXdvcmQ+PGtleXdvcmQ+TXlvY3l0ZXMsIFNtb290aCBNdXNjbGUvbWV0YWJvbGlzbTwva2V5
d29yZD48a2V5d29yZD5QcmVzZW5pbGluLTEvKnBoeXNpb2xvZ3k8L2tleXdvcmQ+PGtleXdvcmQ+
Uk5BLCBNZXNzZW5nZXIvZ2VuZXRpY3M8L2tleXdvcmQ+PGtleXdvcmQ+UmF0czwva2V5d29yZD48
a2V5d29yZD5SYXRzLCBTcHJhZ3VlLURhd2xleTwva2V5d29yZD48a2V5d29yZD5SZXZlcnNlIFRy
YW5zY3JpcHRhc2UgUG9seW1lcmFzZSBDaGFpbiBSZWFjdGlvbjwva2V5d29yZD48a2V5d29yZD5T
ZXF1ZW5jZSBEZWxldGlvbjwva2V5d29yZD48L2tleXdvcmRzPjxkYXRlcz48eWVhcj4yMDEwPC95
ZWFyPjxwdWItZGF0ZXM+PGRhdGU+Tm92IDE5PC9kYXRlPjwvcHViLWRhdGVzPjwvZGF0ZXM+PGlz
Ym4+MDAyMS05MjU4IChQcmludCkmI3hEOzAwMjEtOTI1ODwvaXNibj48YWNjZXNzaW9uLW51bT4y
MDczOTI5MjwvYWNjZXNzaW9uLW51bT48dXJscz48cmVsYXRlZC11cmxzPjx1cmw+aHR0cHM6Ly93
d3cubmNiaS5ubG0ubmloLmdvdi9wbWMvYXJ0aWNsZXMvUE1DMjk3ODYyMy9wZGYvemJjMzY5NDUu
cGRmPC91cmw+PC9yZWxhdGVkLXVybHM+PC91cmxzPjxjdXN0b20yPlBNQzI5Nzg2MjM8L2N1c3Rv
bTI+PGVsZWN0cm9uaWMtcmVzb3VyY2UtbnVtPjEwLjEwNzQvamJjLk0xMTAuMTI3NzM4PC9lbGVj
dHJvbmljLXJlc291cmNlLW51bT48cmVtb3RlLWRhdGFiYXNlLXByb3ZpZGVyPk5MTTwvcmVtb3Rl
LWRhdGFiYXNlLXByb3ZpZGVyPjxsYW5ndWFnZT5lbmc8L2xhbmd1YWdlPjwvcmVjb3JkPjwvQ2l0
ZT48L0VuZE5vdGU+
</w:fldData>
          </w:fldChar>
        </w:r>
        <w:r>
          <w:instrText xml:space="preserve"> ADDIN EN.CITE </w:instrText>
        </w:r>
        <w:r>
          <w:fldChar w:fldCharType="begin">
            <w:fldData xml:space="preserve">PEVuZE5vdGU+PENpdGU+PEF1dGhvcj5MZWZ0ZXJvdjwvQXV0aG9yPjxZZWFyPjIwMTA8L1llYXI+
PFJlY051bT4yNzwvUmVjTnVtPjxEaXNwbGF5VGV4dD48c3R5bGUgZmFjZT0ic3VwZXJzY3JpcHQi
PjI5PC9zdHlsZT48L0Rpc3BsYXlUZXh0PjxyZWNvcmQ+PHJlYy1udW1iZXI+Mjc8L3JlYy1udW1i
ZXI+PGZvcmVpZ24ta2V5cz48a2V5IGFwcD0iRU4iIGRiLWlkPSJ4enJlMHhwZm9wOWQwdWV0NXRw
NXh3YWd2NTBlMjllMHhyeHIiIHRpbWVzdGFtcD0iMTU5NzQxMzg3NyI+Mjc8L2tleT48L2ZvcmVp
Z24ta2V5cz48cmVmLXR5cGUgbmFtZT0iSm91cm5hbCBBcnRpY2xlIj4xNzwvcmVmLXR5cGU+PGNv
bnRyaWJ1dG9ycz48YXV0aG9ycz48YXV0aG9yPkxlZnRlcm92LCBJLjwvYXV0aG9yPjxhdXRob3I+
Rml0eiwgTi4gRi48L2F1dGhvcj48YXV0aG9yPkNyb25pY2FuLCBBLiBBLjwvYXV0aG9yPjxhdXRo
b3I+Rm9nZywgQS48L2F1dGhvcj48YXV0aG9yPkxlZnRlcm92LCBQLjwvYXV0aG9yPjxhdXRob3I+
S29kYWxpLCBSLjwvYXV0aG9yPjxhdXRob3I+V2V0emVsLCBSLjwvYXV0aG9yPjxhdXRob3I+S29s
ZGFtb3ZhLCBSLjwvYXV0aG9yPjwvYXV0aG9ycz48L2NvbnRyaWJ1dG9ycz48YXV0aC1hZGRyZXNz
PkRlcGFydG1lbnQgb2YgRW52aXJvbm1lbnRhbCBhbmQgT2NjdXBhdGlvbmFsIEhlYWx0aCwgVW5p
dmVyc2l0eSBvZiBQaXR0c2J1cmdoLCBQaXR0c2J1cmdoLCBQZW5uc3lsdmFuaWEgMTUyMTksIFVT
QS4gaWxpeWFsQHBpdHQuZWR1PC9hdXRoLWFkZHJlc3M+PHRpdGxlcz48dGl0bGU+QXBvbGlwb3By
b3RlaW4gQS1JIGRlZmljaWVuY3kgaW5jcmVhc2VzIGNlcmVicmFsIGFteWxvaWQgYW5naW9wYXRo
eSBhbmQgY29nbml0aXZlIGRlZmljaXRzIGluIEFQUC9QUzFEZWx0YUU5IG1pY2U8L3RpdGxlPjxz
ZWNvbmRhcnktdGl0bGU+SiBCaW9sIENoZW08L3NlY29uZGFyeS10aXRsZT48L3RpdGxlcz48cGVy
aW9kaWNhbD48ZnVsbC10aXRsZT5KIEJpb2wgQ2hlbTwvZnVsbC10aXRsZT48L3BlcmlvZGljYWw+
PHBhZ2VzPjM2OTQ1LTU3PC9wYWdlcz48dm9sdW1lPjI4NTwvdm9sdW1lPjxudW1iZXI+NDc8L251
bWJlcj48ZWRpdGlvbj4yMDEwLzA4LzI3PC9lZGl0aW9uPjxrZXl3b3Jkcz48a2V5d29yZD5BbXls
b2lkIGJldGEtUHJvdGVpbiBQcmVjdXJzb3IvKnBoeXNpb2xvZ3k8L2tleXdvcmQ+PGtleXdvcmQ+
QW5pbWFsczwva2V5d29yZD48a2V5d29yZD5BcG9saXBvcHJvdGVpbiBBLUkvKnBoeXNpb2xvZ3k8
L2tleXdvcmQ+PGtleXdvcmQ+QmVoYXZpb3IsIEFuaW1hbDwva2V5d29yZD48a2V5d29yZD5CbG90
dGluZywgV2VzdGVybjwva2V5d29yZD48a2V5d29yZD5CcmFpbi9tZXRhYm9saXNtLypwYXRob2xv
Z3k8L2tleXdvcmQ+PGtleXdvcmQ+Q2VsbHMsIEN1bHR1cmVkPC9rZXl3b3JkPjxrZXl3b3JkPkNl
cmVicmFsIEFteWxvaWQgQW5naW9wYXRoeS9ldGlvbG9neS8qcGF0aG9sb2d5PC9rZXl3b3JkPjxr
ZXl3b3JkPkNob2xlc3Rlcm9sL21ldGFib2xpc208L2tleXdvcmQ+PGtleXdvcmQ+RW1icnlvLCBN
YW1tYWxpYW4vY3l0b2xvZ3kvbWV0YWJvbGlzbTwva2V5d29yZD48a2V5d29yZD5Fbnp5bWUtTGlu
a2VkIEltbXVub3NvcmJlbnQgQXNzYXk8L2tleXdvcmQ+PGtleXdvcmQ+SHVtYW5zPC9rZXl3b3Jk
PjxrZXl3b3JkPkltbXVub2VuenltZSBUZWNobmlxdWVzPC9rZXl3b3JkPjxrZXl3b3JkPk1hemUg
TGVhcm5pbmc8L2tleXdvcmQ+PGtleXdvcmQ+TWVtb3J5IERpc29yZGVycy9ldGlvbG9neS8qcGF0
aG9sb2d5PC9rZXl3b3JkPjxrZXl3b3JkPk1pY2U8L2tleXdvcmQ+PGtleXdvcmQ+TWljZSwgSW5i
cmVkIEM1N0JMPC9rZXl3b3JkPjxrZXl3b3JkPk1pY2UsIEtub2Nrb3V0PC9rZXl3b3JkPjxrZXl3
b3JkPk1pY2UsIFRyYW5zZ2VuaWM8L2tleXdvcmQ+PGtleXdvcmQ+TXV0YXRpb24vZ2VuZXRpY3M8
L2tleXdvcmQ+PGtleXdvcmQ+TXlvY3l0ZXMsIFNtb290aCBNdXNjbGUvbWV0YWJvbGlzbTwva2V5
d29yZD48a2V5d29yZD5QcmVzZW5pbGluLTEvKnBoeXNpb2xvZ3k8L2tleXdvcmQ+PGtleXdvcmQ+
Uk5BLCBNZXNzZW5nZXIvZ2VuZXRpY3M8L2tleXdvcmQ+PGtleXdvcmQ+UmF0czwva2V5d29yZD48
a2V5d29yZD5SYXRzLCBTcHJhZ3VlLURhd2xleTwva2V5d29yZD48a2V5d29yZD5SZXZlcnNlIFRy
YW5zY3JpcHRhc2UgUG9seW1lcmFzZSBDaGFpbiBSZWFjdGlvbjwva2V5d29yZD48a2V5d29yZD5T
ZXF1ZW5jZSBEZWxldGlvbjwva2V5d29yZD48L2tleXdvcmRzPjxkYXRlcz48eWVhcj4yMDEwPC95
ZWFyPjxwdWItZGF0ZXM+PGRhdGU+Tm92IDE5PC9kYXRlPjwvcHViLWRhdGVzPjwvZGF0ZXM+PGlz
Ym4+MDAyMS05MjU4IChQcmludCkmI3hEOzAwMjEtOTI1ODwvaXNibj48YWNjZXNzaW9uLW51bT4y
MDczOTI5MjwvYWNjZXNzaW9uLW51bT48dXJscz48cmVsYXRlZC11cmxzPjx1cmw+aHR0cHM6Ly93
d3cubmNiaS5ubG0ubmloLmdvdi9wbWMvYXJ0aWNsZXMvUE1DMjk3ODYyMy9wZGYvemJjMzY5NDUu
cGRmPC91cmw+PC9yZWxhdGVkLXVybHM+PC91cmxzPjxjdXN0b20yPlBNQzI5Nzg2MjM8L2N1c3Rv
bTI+PGVsZWN0cm9uaWMtcmVzb3VyY2UtbnVtPjEwLjEwNzQvamJjLk0xMTAuMTI3NzM4PC9lbGVj
dHJvbmljLXJlc291cmNlLW51bT48cmVtb3RlLWRhdGFiYXNlLXByb3ZpZGVyPk5MTTwvcmVtb3Rl
LWRhdGFiYXNlLXByb3ZpZGVyPjxsYW5ndWFnZT5lbmc8L2xhbmd1YWdlPjwvcmVjb3JkPjwvQ2l0
ZT48L0VuZE5vdGU+
</w:fldData>
          </w:fldChar>
        </w:r>
        <w:r>
          <w:instrText xml:space="preserve"> ADDIN EN.CITE.DATA </w:instrText>
        </w:r>
        <w:r>
          <w:fldChar w:fldCharType="end"/>
        </w:r>
        <w:r>
          <w:fldChar w:fldCharType="separate"/>
        </w:r>
        <w:r w:rsidRPr="00375CDB">
          <w:rPr>
            <w:noProof/>
            <w:vertAlign w:val="superscript"/>
          </w:rPr>
          <w:t>29</w:t>
        </w:r>
        <w:r>
          <w:fldChar w:fldCharType="end"/>
        </w:r>
      </w:hyperlink>
      <w:r>
        <w:t xml:space="preserve">. </w:t>
      </w:r>
      <w:r w:rsidRPr="00F2318C">
        <w:rPr>
          <w:sz w:val="22"/>
          <w:szCs w:val="22"/>
        </w:rPr>
        <w:t>Monomeric A</w:t>
      </w:r>
      <w:r>
        <w:rPr>
          <w:sz w:val="22"/>
          <w:szCs w:val="22"/>
        </w:rPr>
        <w:t>β</w:t>
      </w:r>
      <w:r w:rsidRPr="00F2318C">
        <w:rPr>
          <w:sz w:val="22"/>
          <w:szCs w:val="22"/>
        </w:rPr>
        <w:t xml:space="preserve">42 (10 µM) was pre-incubated with either PBS or native E3 or E4 lipoproteins (1 µM) for 24 </w:t>
      </w:r>
      <w:proofErr w:type="spellStart"/>
      <w:r w:rsidRPr="00F2318C">
        <w:rPr>
          <w:sz w:val="22"/>
          <w:szCs w:val="22"/>
        </w:rPr>
        <w:t>h at</w:t>
      </w:r>
      <w:proofErr w:type="spellEnd"/>
      <w:r w:rsidRPr="00F2318C">
        <w:rPr>
          <w:sz w:val="22"/>
          <w:szCs w:val="22"/>
        </w:rPr>
        <w:t xml:space="preserve"> oligomer forming conditions. The presence of A</w:t>
      </w:r>
      <w:r>
        <w:rPr>
          <w:sz w:val="22"/>
          <w:szCs w:val="22"/>
        </w:rPr>
        <w:t>β</w:t>
      </w:r>
      <w:r w:rsidRPr="00F2318C">
        <w:rPr>
          <w:sz w:val="22"/>
          <w:szCs w:val="22"/>
        </w:rPr>
        <w:t xml:space="preserve"> oligomers after 24 h incubation was determined by electron microscopy (</w:t>
      </w:r>
      <w:r>
        <w:rPr>
          <w:sz w:val="22"/>
          <w:szCs w:val="22"/>
        </w:rPr>
        <w:t>a</w:t>
      </w:r>
      <w:r w:rsidRPr="00F2318C">
        <w:rPr>
          <w:sz w:val="22"/>
          <w:szCs w:val="22"/>
        </w:rPr>
        <w:t>) and Western blotting (</w:t>
      </w:r>
      <w:r>
        <w:rPr>
          <w:sz w:val="22"/>
          <w:szCs w:val="22"/>
        </w:rPr>
        <w:t>b</w:t>
      </w:r>
      <w:r w:rsidRPr="00F2318C">
        <w:rPr>
          <w:sz w:val="22"/>
          <w:szCs w:val="22"/>
        </w:rPr>
        <w:t>). (</w:t>
      </w:r>
      <w:r>
        <w:rPr>
          <w:sz w:val="22"/>
          <w:szCs w:val="22"/>
        </w:rPr>
        <w:t>a</w:t>
      </w:r>
      <w:r w:rsidRPr="00F2318C">
        <w:rPr>
          <w:sz w:val="22"/>
          <w:szCs w:val="22"/>
        </w:rPr>
        <w:t>) Electron micrographs of A</w:t>
      </w:r>
      <w:r>
        <w:rPr>
          <w:sz w:val="22"/>
          <w:szCs w:val="22"/>
        </w:rPr>
        <w:t>β</w:t>
      </w:r>
      <w:r w:rsidRPr="00F2318C">
        <w:rPr>
          <w:sz w:val="22"/>
          <w:szCs w:val="22"/>
        </w:rPr>
        <w:t xml:space="preserve"> +/- APOE at the start of incubation (Time 0) and after 24 h (Time 24 h). Red arrow and inset point to A</w:t>
      </w:r>
      <w:r>
        <w:rPr>
          <w:sz w:val="22"/>
          <w:szCs w:val="22"/>
        </w:rPr>
        <w:t>β</w:t>
      </w:r>
      <w:r w:rsidRPr="00F2318C">
        <w:rPr>
          <w:sz w:val="22"/>
          <w:szCs w:val="22"/>
        </w:rPr>
        <w:t xml:space="preserve"> oligomers in A</w:t>
      </w:r>
      <w:r>
        <w:rPr>
          <w:sz w:val="22"/>
          <w:szCs w:val="22"/>
        </w:rPr>
        <w:t>β</w:t>
      </w:r>
      <w:r w:rsidRPr="00F2318C">
        <w:rPr>
          <w:sz w:val="22"/>
          <w:szCs w:val="22"/>
        </w:rPr>
        <w:t xml:space="preserve"> +</w:t>
      </w:r>
      <w:r>
        <w:rPr>
          <w:sz w:val="22"/>
          <w:szCs w:val="22"/>
        </w:rPr>
        <w:t xml:space="preserve"> </w:t>
      </w:r>
      <w:r w:rsidRPr="00F2318C">
        <w:rPr>
          <w:sz w:val="22"/>
          <w:szCs w:val="22"/>
        </w:rPr>
        <w:t xml:space="preserve">PBS preparations. White arrows and inset point to native APOE lipoproteins that are visualized as discs. Scale bar is 100 </w:t>
      </w:r>
      <w:r>
        <w:rPr>
          <w:sz w:val="22"/>
          <w:szCs w:val="22"/>
        </w:rPr>
        <w:t>n</w:t>
      </w:r>
      <w:r w:rsidRPr="00F2318C">
        <w:rPr>
          <w:sz w:val="22"/>
          <w:szCs w:val="22"/>
        </w:rPr>
        <w:t>m.</w:t>
      </w:r>
      <w:r w:rsidRPr="00F2318C">
        <w:rPr>
          <w:b/>
          <w:sz w:val="22"/>
          <w:szCs w:val="22"/>
        </w:rPr>
        <w:t xml:space="preserve"> </w:t>
      </w:r>
      <w:r w:rsidRPr="00F2318C">
        <w:rPr>
          <w:bCs/>
          <w:sz w:val="22"/>
          <w:szCs w:val="22"/>
        </w:rPr>
        <w:t>(</w:t>
      </w:r>
      <w:r>
        <w:rPr>
          <w:bCs/>
          <w:sz w:val="22"/>
          <w:szCs w:val="22"/>
        </w:rPr>
        <w:t>b</w:t>
      </w:r>
      <w:r w:rsidRPr="00F2318C">
        <w:rPr>
          <w:bCs/>
          <w:sz w:val="22"/>
          <w:szCs w:val="22"/>
        </w:rPr>
        <w:t xml:space="preserve">) Aliquots from the same </w:t>
      </w:r>
      <w:r w:rsidRPr="00F2318C">
        <w:rPr>
          <w:sz w:val="22"/>
          <w:szCs w:val="22"/>
        </w:rPr>
        <w:t>A</w:t>
      </w:r>
      <w:r>
        <w:rPr>
          <w:sz w:val="22"/>
          <w:szCs w:val="22"/>
        </w:rPr>
        <w:t>β</w:t>
      </w:r>
      <w:r w:rsidRPr="00F2318C">
        <w:rPr>
          <w:sz w:val="22"/>
          <w:szCs w:val="22"/>
        </w:rPr>
        <w:t xml:space="preserve">42 </w:t>
      </w:r>
      <w:r w:rsidRPr="00F2318C">
        <w:rPr>
          <w:bCs/>
          <w:sz w:val="22"/>
          <w:szCs w:val="22"/>
        </w:rPr>
        <w:t>preparations were resolved on SDS-</w:t>
      </w:r>
      <w:proofErr w:type="spellStart"/>
      <w:r w:rsidRPr="00F2318C">
        <w:rPr>
          <w:bCs/>
          <w:sz w:val="22"/>
          <w:szCs w:val="22"/>
        </w:rPr>
        <w:t>NuPAGE</w:t>
      </w:r>
      <w:proofErr w:type="spellEnd"/>
      <w:r w:rsidRPr="00F2318C">
        <w:rPr>
          <w:bCs/>
          <w:sz w:val="22"/>
          <w:szCs w:val="22"/>
        </w:rPr>
        <w:t xml:space="preserve"> gel and probed with anti-</w:t>
      </w:r>
      <w:r w:rsidRPr="00F2318C">
        <w:rPr>
          <w:sz w:val="22"/>
          <w:szCs w:val="22"/>
        </w:rPr>
        <w:t>A</w:t>
      </w:r>
      <w:r>
        <w:rPr>
          <w:sz w:val="22"/>
          <w:szCs w:val="22"/>
        </w:rPr>
        <w:t>β</w:t>
      </w:r>
      <w:r w:rsidRPr="00F2318C">
        <w:rPr>
          <w:bCs/>
          <w:sz w:val="22"/>
          <w:szCs w:val="22"/>
        </w:rPr>
        <w:t xml:space="preserve"> antibody (6E10). Brackets point toward </w:t>
      </w:r>
      <w:r w:rsidRPr="00F2318C">
        <w:rPr>
          <w:sz w:val="22"/>
          <w:szCs w:val="22"/>
          <w:lang w:eastAsia="ko-KR"/>
        </w:rPr>
        <w:t>A</w:t>
      </w:r>
      <w:r>
        <w:rPr>
          <w:sz w:val="22"/>
          <w:szCs w:val="22"/>
        </w:rPr>
        <w:t>β</w:t>
      </w:r>
      <w:r w:rsidRPr="00F2318C">
        <w:rPr>
          <w:bCs/>
          <w:sz w:val="22"/>
          <w:szCs w:val="22"/>
        </w:rPr>
        <w:t xml:space="preserve"> oligomers. (</w:t>
      </w:r>
      <w:r>
        <w:rPr>
          <w:bCs/>
          <w:sz w:val="22"/>
          <w:szCs w:val="22"/>
        </w:rPr>
        <w:t>c</w:t>
      </w:r>
      <w:r w:rsidRPr="00F2318C">
        <w:rPr>
          <w:bCs/>
          <w:sz w:val="22"/>
          <w:szCs w:val="22"/>
        </w:rPr>
        <w:t>)</w:t>
      </w:r>
      <w:r w:rsidRPr="00F2318C">
        <w:rPr>
          <w:sz w:val="22"/>
          <w:szCs w:val="22"/>
        </w:rPr>
        <w:t xml:space="preserve"> WB for APOE demonstrates the same amount</w:t>
      </w:r>
      <w:r>
        <w:rPr>
          <w:sz w:val="22"/>
          <w:szCs w:val="22"/>
        </w:rPr>
        <w:t xml:space="preserve"> of</w:t>
      </w:r>
      <w:r w:rsidRPr="00F2318C">
        <w:rPr>
          <w:sz w:val="22"/>
          <w:szCs w:val="22"/>
        </w:rPr>
        <w:t xml:space="preserve"> E3 and E4 was used.</w:t>
      </w:r>
      <w:r w:rsidRPr="00F2318C">
        <w:rPr>
          <w:rFonts w:eastAsia="ヒラギノ角ゴ Pro W3"/>
          <w:sz w:val="22"/>
          <w:szCs w:val="22"/>
        </w:rPr>
        <w:t xml:space="preserve"> (</w:t>
      </w:r>
      <w:r>
        <w:rPr>
          <w:rFonts w:eastAsia="ヒラギノ角ゴ Pro W3"/>
          <w:sz w:val="22"/>
          <w:szCs w:val="22"/>
        </w:rPr>
        <w:t>d-f</w:t>
      </w:r>
      <w:r w:rsidRPr="00F2318C">
        <w:rPr>
          <w:rFonts w:eastAsia="ヒラギノ角ゴ Pro W3"/>
          <w:sz w:val="22"/>
          <w:szCs w:val="22"/>
        </w:rPr>
        <w:t>)</w:t>
      </w:r>
      <w:bookmarkEnd w:id="0"/>
      <w:r>
        <w:rPr>
          <w:rFonts w:eastAsia="ヒラギノ角ゴ Pro W3"/>
          <w:sz w:val="22"/>
          <w:szCs w:val="22"/>
        </w:rPr>
        <w:t xml:space="preserve">. </w:t>
      </w:r>
      <w:r>
        <w:t>Behavior controls show n</w:t>
      </w:r>
      <w:r w:rsidRPr="004B1509">
        <w:t xml:space="preserve">o significant differences </w:t>
      </w:r>
      <w:r>
        <w:t xml:space="preserve">between the groups for </w:t>
      </w:r>
      <w:r w:rsidRPr="004B1509">
        <w:t xml:space="preserve">fear conditioning </w:t>
      </w:r>
      <w:r>
        <w:t xml:space="preserve">and </w:t>
      </w:r>
      <w:r w:rsidRPr="004B1509">
        <w:t xml:space="preserve">novel object recognition </w:t>
      </w:r>
      <w:r>
        <w:t>tests</w:t>
      </w:r>
      <w:r>
        <w:rPr>
          <w:rFonts w:eastAsia="ヒラギノ角ゴ Pro W3"/>
          <w:sz w:val="22"/>
          <w:szCs w:val="22"/>
        </w:rPr>
        <w:t xml:space="preserve">. </w:t>
      </w:r>
      <w:r>
        <w:t>A</w:t>
      </w:r>
      <w:r>
        <w:rPr>
          <w:rFonts w:ascii="Symbol" w:hAnsi="Symbol"/>
        </w:rPr>
        <w:t></w:t>
      </w:r>
      <w:r>
        <w:t>, A</w:t>
      </w:r>
      <w:r>
        <w:rPr>
          <w:rFonts w:ascii="Symbol" w:hAnsi="Symbol"/>
        </w:rPr>
        <w:t></w:t>
      </w:r>
      <w:r>
        <w:t>E3 and A</w:t>
      </w:r>
      <w:r>
        <w:rPr>
          <w:rFonts w:ascii="Symbol" w:hAnsi="Symbol"/>
        </w:rPr>
        <w:t></w:t>
      </w:r>
      <w:r>
        <w:t>E4 were infused into the cortex of WT mice and cognition examined. Scrambled A</w:t>
      </w:r>
      <w:r>
        <w:rPr>
          <w:rFonts w:ascii="Symbol" w:hAnsi="Symbol"/>
        </w:rPr>
        <w:t></w:t>
      </w:r>
      <w:r>
        <w:t xml:space="preserve"> (</w:t>
      </w:r>
      <w:proofErr w:type="spellStart"/>
      <w:r>
        <w:t>scrA</w:t>
      </w:r>
      <w:proofErr w:type="spellEnd"/>
      <w:r>
        <w:rPr>
          <w:rFonts w:ascii="Symbol" w:hAnsi="Symbol"/>
        </w:rPr>
        <w:t></w:t>
      </w:r>
      <w:r>
        <w:t>) was used as negative controls (</w:t>
      </w:r>
      <w:proofErr w:type="spellStart"/>
      <w:r>
        <w:t>scrA</w:t>
      </w:r>
      <w:proofErr w:type="spellEnd"/>
      <w:r>
        <w:rPr>
          <w:rFonts w:ascii="Symbol" w:hAnsi="Symbol"/>
        </w:rPr>
        <w:t></w:t>
      </w:r>
      <w:r>
        <w:t>, scrA</w:t>
      </w:r>
      <w:r>
        <w:rPr>
          <w:rFonts w:ascii="Symbol" w:hAnsi="Symbol"/>
        </w:rPr>
        <w:t></w:t>
      </w:r>
      <w:r>
        <w:t>E3, and scrA</w:t>
      </w:r>
      <w:r>
        <w:rPr>
          <w:rFonts w:ascii="Symbol" w:hAnsi="Symbol"/>
        </w:rPr>
        <w:t></w:t>
      </w:r>
      <w:r>
        <w:t xml:space="preserve">E4). All mice were infused 30 min prior to training on days 2 through 6 of behavioral testing. (d-e) There is </w:t>
      </w:r>
      <w:r w:rsidRPr="00333BEE">
        <w:t xml:space="preserve">no significant difference in </w:t>
      </w:r>
      <w:r>
        <w:t xml:space="preserve">percent freezing during the cued phase </w:t>
      </w:r>
      <w:r w:rsidRPr="001F244F">
        <w:t>(</w:t>
      </w:r>
      <w:r>
        <w:t>d</w:t>
      </w:r>
      <w:r w:rsidRPr="001F244F">
        <w:t>)</w:t>
      </w:r>
      <w:r>
        <w:rPr>
          <w:b/>
        </w:rPr>
        <w:t xml:space="preserve"> </w:t>
      </w:r>
      <w:r>
        <w:t>or novel</w:t>
      </w:r>
      <w:r w:rsidRPr="00333BEE">
        <w:t xml:space="preserve"> phase</w:t>
      </w:r>
      <w:r>
        <w:t xml:space="preserve"> </w:t>
      </w:r>
      <w:r w:rsidRPr="001F244F">
        <w:t>(</w:t>
      </w:r>
      <w:r>
        <w:t>e</w:t>
      </w:r>
      <w:r w:rsidRPr="001F244F">
        <w:t>)</w:t>
      </w:r>
      <w:r>
        <w:rPr>
          <w:b/>
        </w:rPr>
        <w:t xml:space="preserve"> </w:t>
      </w:r>
      <w:r w:rsidRPr="00333BEE">
        <w:t xml:space="preserve">of </w:t>
      </w:r>
      <w:r>
        <w:t>the contextual-cued fear conditioning for all experimental groups assessed</w:t>
      </w:r>
      <w:r w:rsidRPr="00333BEE">
        <w:t>.</w:t>
      </w:r>
      <w:r>
        <w:t xml:space="preserve"> (f) There is </w:t>
      </w:r>
      <w:r w:rsidRPr="00333BEE">
        <w:t xml:space="preserve">no significant difference </w:t>
      </w:r>
      <w:r>
        <w:t>in</w:t>
      </w:r>
      <w:r w:rsidRPr="005F4448">
        <w:t xml:space="preserve"> </w:t>
      </w:r>
      <w:r w:rsidRPr="00333BEE">
        <w:t xml:space="preserve">total distance (m) traveled during </w:t>
      </w:r>
      <w:r>
        <w:t xml:space="preserve">the open field during day 1 of the novel object recognition. Both suggest that differences in performance during fear conditioning and novel object recognition are </w:t>
      </w:r>
      <w:r>
        <w:lastRenderedPageBreak/>
        <w:t xml:space="preserve">due to changes in cognitive function. Analysis by one-way ANOVA followed by </w:t>
      </w:r>
      <w:proofErr w:type="spellStart"/>
      <w:r>
        <w:t>Tukeys</w:t>
      </w:r>
      <w:proofErr w:type="spellEnd"/>
      <w:r>
        <w:t xml:space="preserve"> </w:t>
      </w:r>
      <w:r w:rsidRPr="00FB4B27">
        <w:t xml:space="preserve">multiple comparison </w:t>
      </w:r>
      <w:r>
        <w:t xml:space="preserve">test. N=12 for Aβ +/- E3 or E4, and N=8 for </w:t>
      </w:r>
      <w:proofErr w:type="spellStart"/>
      <w:r>
        <w:t>scrA</w:t>
      </w:r>
      <w:proofErr w:type="spellEnd"/>
      <w:r>
        <w:t xml:space="preserve">β controls. </w:t>
      </w:r>
      <w:r w:rsidRPr="00B12B68">
        <w:t>Bars represent mean ± SEM.</w:t>
      </w:r>
      <w:r w:rsidRPr="007B1E3A">
        <w:rPr>
          <w:sz w:val="22"/>
          <w:szCs w:val="22"/>
        </w:rPr>
        <w:t xml:space="preserve"> </w:t>
      </w:r>
      <w:r>
        <w:t>NS= no significance.</w:t>
      </w:r>
    </w:p>
    <w:p w14:paraId="00102A85" w14:textId="77777777" w:rsidR="00F9272F" w:rsidRDefault="00F9272F" w:rsidP="00F9272F">
      <w:pPr>
        <w:widowControl/>
        <w:spacing w:before="0" w:line="240" w:lineRule="auto"/>
        <w:ind w:firstLine="0"/>
        <w:jc w:val="left"/>
        <w:rPr>
          <w:rFonts w:ascii="Myriad Pro Light" w:eastAsia="Times New Roman" w:hAnsi="Myriad Pro Light"/>
          <w:b/>
          <w:bCs/>
          <w:color w:val="2F5496" w:themeColor="accent1" w:themeShade="BF"/>
          <w:sz w:val="26"/>
          <w:szCs w:val="26"/>
        </w:rPr>
      </w:pPr>
      <w:r>
        <w:br w:type="page"/>
      </w:r>
    </w:p>
    <w:p w14:paraId="073BDA51" w14:textId="77777777" w:rsidR="00F9272F" w:rsidRDefault="00F9272F" w:rsidP="00F9272F">
      <w:pPr>
        <w:pStyle w:val="Heading2"/>
      </w:pPr>
      <w:r>
        <w:rPr>
          <w:noProof/>
        </w:rPr>
        <w:lastRenderedPageBreak/>
        <w:drawing>
          <wp:inline distT="0" distB="0" distL="0" distR="0" wp14:anchorId="78D818FA" wp14:editId="15433492">
            <wp:extent cx="6489700" cy="8648700"/>
            <wp:effectExtent l="0" t="0" r="0" b="0"/>
            <wp:docPr id="18" name="Picture 18" descr="A picture containing 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 descr="A picture containing diagram&#10;&#10;Description automatically generated"/>
                    <pic:cNvPicPr>
                      <a:picLocks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8648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lastRenderedPageBreak/>
        <w:t xml:space="preserve">Supplemental Figure 3: </w:t>
      </w:r>
      <w:r>
        <w:rPr>
          <w:i/>
        </w:rPr>
        <w:t xml:space="preserve">In vivo </w:t>
      </w:r>
      <w:r>
        <w:t xml:space="preserve">microglial interaction with Aβ is affected by APOE isoform over time. </w:t>
      </w:r>
      <w:r>
        <w:rPr>
          <w:rFonts w:ascii="Times New Roman" w:hAnsi="Times New Roman" w:cs="Times New Roman"/>
          <w:sz w:val="24"/>
        </w:rPr>
        <w:t>(supplemental to Figure 3)</w:t>
      </w:r>
    </w:p>
    <w:p w14:paraId="1E3314C8" w14:textId="77777777" w:rsidR="00F9272F" w:rsidRPr="00305178" w:rsidRDefault="00F9272F" w:rsidP="00F9272F">
      <w:pPr>
        <w:ind w:firstLine="0"/>
        <w:rPr>
          <w:b/>
        </w:rPr>
      </w:pPr>
      <w:r>
        <w:t>WT and Cx3cr1</w:t>
      </w:r>
      <w:r>
        <w:rPr>
          <w:vertAlign w:val="superscript"/>
        </w:rPr>
        <w:t>GFP</w:t>
      </w:r>
      <w:r>
        <w:t xml:space="preserve"> mice were infused with control, 555-labeled Aβ42 pre-incubated with E3 (A</w:t>
      </w:r>
      <w:r>
        <w:sym w:font="Symbol" w:char="F062"/>
      </w:r>
      <w:r>
        <w:t>E3) or E4 (A</w:t>
      </w:r>
      <w:r>
        <w:sym w:font="Symbol" w:char="F062"/>
      </w:r>
      <w:r>
        <w:t>E4). Q1-1 corresponds to cells that are CD11b</w:t>
      </w:r>
      <w:r>
        <w:rPr>
          <w:vertAlign w:val="superscript"/>
        </w:rPr>
        <w:t>High</w:t>
      </w:r>
      <w:r>
        <w:t>/A</w:t>
      </w:r>
      <w:r>
        <w:sym w:font="Symbol" w:char="F062"/>
      </w:r>
      <w:r>
        <w:t>-555</w:t>
      </w:r>
      <w:r>
        <w:rPr>
          <w:vertAlign w:val="superscript"/>
        </w:rPr>
        <w:t>Low</w:t>
      </w:r>
      <w:r>
        <w:t xml:space="preserve"> and are counted as single+ cells. The Q2-1 correspond to CD11b</w:t>
      </w:r>
      <w:r>
        <w:rPr>
          <w:vertAlign w:val="superscript"/>
        </w:rPr>
        <w:t>High</w:t>
      </w:r>
      <w:r>
        <w:t>/A</w:t>
      </w:r>
      <w:r>
        <w:sym w:font="Symbol" w:char="F062"/>
      </w:r>
      <w:r>
        <w:t>-555</w:t>
      </w:r>
      <w:r>
        <w:rPr>
          <w:vertAlign w:val="superscript"/>
        </w:rPr>
        <w:t>High</w:t>
      </w:r>
      <w:r>
        <w:t xml:space="preserve"> cells counted as dual+. (a) WT control injected mice show no cells in Q2-1 quadrant labeled as dual positive. (b-d) Flow cytometry results showing all cells, followed by removing multiple cells, and finally separating by microglia marker high (CD11b or Cx3cr1</w:t>
      </w:r>
      <w:r>
        <w:rPr>
          <w:vertAlign w:val="superscript"/>
        </w:rPr>
        <w:t>GFP</w:t>
      </w:r>
      <w:r>
        <w:t>) and 555-labeled Aβ. This allows for the identification of single+ and dual+ cells in control (b), WT (c), and Cx3cr1</w:t>
      </w:r>
      <w:r>
        <w:rPr>
          <w:vertAlign w:val="superscript"/>
        </w:rPr>
        <w:t xml:space="preserve">GFP </w:t>
      </w:r>
      <w:r>
        <w:t xml:space="preserve">(d) mice. </w:t>
      </w:r>
      <w:proofErr w:type="spellStart"/>
      <w:r>
        <w:t>Hilyte</w:t>
      </w:r>
      <w:proofErr w:type="spellEnd"/>
      <w:r>
        <w:t>™-555-labeled Aβ pre-incubated with native E3 or E4 particles and microglia tracked in real time using two-photon imaging. Time series are color coded with infused Aβ in white; and initial time point in green and later time points in red as indicated below each image from 0-80 min post injection from AβE3 (e) or AβE4 (f) groups.</w:t>
      </w:r>
    </w:p>
    <w:p w14:paraId="28B100C0" w14:textId="77777777" w:rsidR="00F9272F" w:rsidRDefault="00F9272F" w:rsidP="00F9272F">
      <w:pPr>
        <w:widowControl/>
        <w:spacing w:before="0" w:line="240" w:lineRule="auto"/>
        <w:ind w:firstLine="0"/>
        <w:jc w:val="left"/>
        <w:rPr>
          <w:rFonts w:ascii="Myriad Pro Light" w:eastAsia="Times New Roman" w:hAnsi="Myriad Pro Light"/>
          <w:b/>
          <w:bCs/>
          <w:color w:val="2F5496" w:themeColor="accent1" w:themeShade="BF"/>
          <w:sz w:val="26"/>
          <w:szCs w:val="26"/>
        </w:rPr>
      </w:pPr>
      <w:r>
        <w:br w:type="page"/>
      </w:r>
    </w:p>
    <w:p w14:paraId="2976855E" w14:textId="77777777" w:rsidR="00F9272F" w:rsidRDefault="00F9272F" w:rsidP="00F9272F">
      <w:pPr>
        <w:pStyle w:val="Heading2"/>
      </w:pPr>
      <w:r>
        <w:rPr>
          <w:noProof/>
        </w:rPr>
        <w:lastRenderedPageBreak/>
        <w:drawing>
          <wp:inline distT="0" distB="0" distL="0" distR="0" wp14:anchorId="4E44815B" wp14:editId="3523625E">
            <wp:extent cx="6489700" cy="3289300"/>
            <wp:effectExtent l="0" t="0" r="0" b="0"/>
            <wp:docPr id="17" name="Picture 17" descr="Graphical user interface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 descr="Graphical user interface&#10;&#10;Description automatically generated"/>
                    <pic:cNvPicPr>
                      <a:picLocks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>Supplemental Figure 4. Comparisons of microglial transcriptome from Cx3cr1</w:t>
      </w:r>
      <w:r>
        <w:rPr>
          <w:vertAlign w:val="superscript"/>
        </w:rPr>
        <w:t>GFP</w:t>
      </w:r>
      <w:r>
        <w:t xml:space="preserve"> mice at 4- and 24-hours post-injection. </w:t>
      </w:r>
      <w:r w:rsidRPr="00303F01">
        <w:rPr>
          <w:sz w:val="22"/>
          <w:szCs w:val="22"/>
        </w:rPr>
        <w:t xml:space="preserve">(supplemental to Figure </w:t>
      </w:r>
      <w:r>
        <w:rPr>
          <w:sz w:val="22"/>
          <w:szCs w:val="22"/>
        </w:rPr>
        <w:t>4</w:t>
      </w:r>
      <w:r w:rsidRPr="00303F01">
        <w:rPr>
          <w:sz w:val="22"/>
          <w:szCs w:val="22"/>
        </w:rPr>
        <w:t>)</w:t>
      </w:r>
    </w:p>
    <w:p w14:paraId="42E722CB" w14:textId="77777777" w:rsidR="00F9272F" w:rsidRDefault="00F9272F" w:rsidP="00F9272F">
      <w:pPr>
        <w:ind w:firstLine="0"/>
        <w:rPr>
          <w:szCs w:val="22"/>
        </w:rPr>
      </w:pPr>
      <w:r w:rsidRPr="00491BBE">
        <w:rPr>
          <w:szCs w:val="22"/>
        </w:rPr>
        <w:t>(</w:t>
      </w:r>
      <w:r>
        <w:rPr>
          <w:szCs w:val="22"/>
        </w:rPr>
        <w:t>a-b</w:t>
      </w:r>
      <w:r w:rsidRPr="00491BBE">
        <w:rPr>
          <w:szCs w:val="22"/>
        </w:rPr>
        <w:t>) Scatterplots represent significantly affected transcripts (FDR&lt;0.05) of dual+ vs single+ microglia from Cx3cr1</w:t>
      </w:r>
      <w:r w:rsidRPr="00491BBE">
        <w:rPr>
          <w:szCs w:val="22"/>
          <w:vertAlign w:val="superscript"/>
        </w:rPr>
        <w:t>GFP</w:t>
      </w:r>
      <w:r w:rsidRPr="00491BBE">
        <w:rPr>
          <w:szCs w:val="22"/>
        </w:rPr>
        <w:t xml:space="preserve"> mice at the 4</w:t>
      </w:r>
      <w:r>
        <w:rPr>
          <w:szCs w:val="22"/>
        </w:rPr>
        <w:t xml:space="preserve"> </w:t>
      </w:r>
      <w:r w:rsidRPr="00491BBE">
        <w:rPr>
          <w:szCs w:val="22"/>
        </w:rPr>
        <w:t>h (</w:t>
      </w:r>
      <w:r>
        <w:rPr>
          <w:szCs w:val="22"/>
        </w:rPr>
        <w:t>a</w:t>
      </w:r>
      <w:r w:rsidRPr="00491BBE">
        <w:rPr>
          <w:szCs w:val="22"/>
        </w:rPr>
        <w:t>) or 24</w:t>
      </w:r>
      <w:r>
        <w:rPr>
          <w:szCs w:val="22"/>
        </w:rPr>
        <w:t xml:space="preserve"> </w:t>
      </w:r>
      <w:r w:rsidRPr="00491BBE">
        <w:rPr>
          <w:szCs w:val="22"/>
        </w:rPr>
        <w:t>h (</w:t>
      </w:r>
      <w:r>
        <w:rPr>
          <w:szCs w:val="22"/>
        </w:rPr>
        <w:t>b</w:t>
      </w:r>
      <w:r w:rsidRPr="00491BBE">
        <w:rPr>
          <w:szCs w:val="22"/>
        </w:rPr>
        <w:t xml:space="preserve">) timepoint. X and Y axes correspond to the log2 average of the count per million (CPM) for dual+ and single+ microglia respectively. </w:t>
      </w:r>
      <w:r>
        <w:rPr>
          <w:szCs w:val="22"/>
        </w:rPr>
        <w:t xml:space="preserve">Pie charts in the upper left (single+), and lower right (dual+) represent the genes common between, or unique to a single timepoint. </w:t>
      </w:r>
      <w:r w:rsidRPr="00491BBE">
        <w:rPr>
          <w:szCs w:val="22"/>
        </w:rPr>
        <w:t>(</w:t>
      </w:r>
      <w:r>
        <w:rPr>
          <w:szCs w:val="22"/>
        </w:rPr>
        <w:t>c-f</w:t>
      </w:r>
      <w:r w:rsidRPr="00491BBE">
        <w:rPr>
          <w:szCs w:val="22"/>
        </w:rPr>
        <w:t>)</w:t>
      </w:r>
      <w:r>
        <w:rPr>
          <w:szCs w:val="22"/>
        </w:rPr>
        <w:t xml:space="preserve"> Comparison of common DEGs in 4 vs 24 h post-injection. </w:t>
      </w:r>
      <w:r>
        <w:t>Volcano plots and bar plots depict the 1831 commonly differentially expressed in dual+ cells (c) and 949 commonly differentially expressed in single+ cells (e)</w:t>
      </w:r>
      <w:r>
        <w:rPr>
          <w:szCs w:val="22"/>
        </w:rPr>
        <w:t>.</w:t>
      </w:r>
      <w:r w:rsidRPr="00491BBE">
        <w:rPr>
          <w:szCs w:val="22"/>
        </w:rPr>
        <w:t xml:space="preserve"> Grey box indicates </w:t>
      </w:r>
      <w:r>
        <w:rPr>
          <w:szCs w:val="22"/>
        </w:rPr>
        <w:t xml:space="preserve">non-significantly affected </w:t>
      </w:r>
      <w:r w:rsidRPr="00491BBE">
        <w:rPr>
          <w:szCs w:val="22"/>
        </w:rPr>
        <w:t xml:space="preserve">genes; blue, a higher </w:t>
      </w:r>
      <w:r>
        <w:rPr>
          <w:szCs w:val="22"/>
        </w:rPr>
        <w:t xml:space="preserve">expression </w:t>
      </w:r>
      <w:r w:rsidRPr="00491BBE">
        <w:rPr>
          <w:szCs w:val="22"/>
        </w:rPr>
        <w:t xml:space="preserve">at 4h, and red with a higher </w:t>
      </w:r>
      <w:r>
        <w:rPr>
          <w:szCs w:val="22"/>
        </w:rPr>
        <w:t xml:space="preserve">expression </w:t>
      </w:r>
      <w:r w:rsidRPr="00491BBE">
        <w:rPr>
          <w:szCs w:val="22"/>
        </w:rPr>
        <w:t>at 24</w:t>
      </w:r>
      <w:r>
        <w:rPr>
          <w:szCs w:val="22"/>
        </w:rPr>
        <w:t xml:space="preserve"> </w:t>
      </w:r>
      <w:r w:rsidRPr="00491BBE">
        <w:rPr>
          <w:szCs w:val="22"/>
        </w:rPr>
        <w:t>h</w:t>
      </w:r>
      <w:r>
        <w:rPr>
          <w:szCs w:val="22"/>
        </w:rPr>
        <w:t xml:space="preserve"> (d and f)</w:t>
      </w:r>
      <w:r w:rsidRPr="00491BBE">
        <w:rPr>
          <w:szCs w:val="22"/>
        </w:rPr>
        <w:t xml:space="preserve">. For each group the GO term bar plots indicate the -log10P value for each term, and the associated </w:t>
      </w:r>
      <w:r>
        <w:rPr>
          <w:szCs w:val="22"/>
        </w:rPr>
        <w:t xml:space="preserve">center </w:t>
      </w:r>
      <w:r w:rsidRPr="00491BBE">
        <w:rPr>
          <w:szCs w:val="22"/>
        </w:rPr>
        <w:t>point of each bar represents the percent of submitted genes found in each GO term.</w:t>
      </w:r>
      <w:r>
        <w:rPr>
          <w:szCs w:val="22"/>
        </w:rPr>
        <w:t xml:space="preserve"> </w:t>
      </w:r>
      <w:r w:rsidRPr="00491BBE">
        <w:rPr>
          <w:szCs w:val="22"/>
        </w:rPr>
        <w:t>Line-patterning graphs show example</w:t>
      </w:r>
      <w:r>
        <w:rPr>
          <w:szCs w:val="22"/>
        </w:rPr>
        <w:t>s</w:t>
      </w:r>
      <w:r w:rsidRPr="00491BBE">
        <w:rPr>
          <w:szCs w:val="22"/>
        </w:rPr>
        <w:t xml:space="preserve"> of genes from each category.</w:t>
      </w:r>
      <w:r>
        <w:rPr>
          <w:szCs w:val="22"/>
        </w:rPr>
        <w:t xml:space="preserve"> </w:t>
      </w:r>
    </w:p>
    <w:p w14:paraId="382E8FB3" w14:textId="77777777" w:rsidR="00F9272F" w:rsidRDefault="00F9272F" w:rsidP="00F9272F">
      <w:pPr>
        <w:widowControl/>
        <w:spacing w:before="0" w:line="240" w:lineRule="auto"/>
        <w:ind w:firstLine="0"/>
        <w:jc w:val="left"/>
        <w:rPr>
          <w:rFonts w:ascii="Myriad Pro Light" w:eastAsia="Times New Roman" w:hAnsi="Myriad Pro Light"/>
          <w:b/>
          <w:bCs/>
          <w:color w:val="2F5496" w:themeColor="accent1" w:themeShade="BF"/>
          <w:sz w:val="26"/>
          <w:szCs w:val="26"/>
        </w:rPr>
      </w:pPr>
      <w:r>
        <w:br w:type="page"/>
      </w:r>
    </w:p>
    <w:p w14:paraId="6D4BAA94" w14:textId="77777777" w:rsidR="00F9272F" w:rsidRDefault="00F9272F" w:rsidP="00F9272F">
      <w:pPr>
        <w:pStyle w:val="Heading2"/>
      </w:pPr>
      <w:r>
        <w:rPr>
          <w:noProof/>
        </w:rPr>
        <w:lastRenderedPageBreak/>
        <w:drawing>
          <wp:inline distT="0" distB="0" distL="0" distR="0" wp14:anchorId="29816F9D" wp14:editId="65A3AE1A">
            <wp:extent cx="6489700" cy="5003800"/>
            <wp:effectExtent l="0" t="0" r="0" b="0"/>
            <wp:docPr id="16" name="Picture 16" descr="Diagra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Picture 16" descr="Diagram&#10;&#10;Description automatically generated"/>
                    <pic:cNvPicPr>
                      <a:picLocks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89700" cy="5003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Supplemental Figure 5. </w:t>
      </w:r>
      <w:proofErr w:type="spellStart"/>
      <w:r>
        <w:t>scRNA</w:t>
      </w:r>
      <w:proofErr w:type="spellEnd"/>
      <w:r>
        <w:t xml:space="preserve">-seq cell type specific cluster identification. </w:t>
      </w:r>
      <w:r>
        <w:rPr>
          <w:rFonts w:ascii="Times New Roman" w:hAnsi="Times New Roman" w:cs="Times New Roman"/>
          <w:sz w:val="24"/>
        </w:rPr>
        <w:t>(supplemental to Figure 5)</w:t>
      </w:r>
    </w:p>
    <w:p w14:paraId="0ADBE6D5" w14:textId="77777777" w:rsidR="00F9272F" w:rsidRDefault="00F9272F" w:rsidP="00F9272F">
      <w:pPr>
        <w:ind w:firstLine="0"/>
      </w:pPr>
      <w:r>
        <w:t xml:space="preserve">Feature plots showing expression of established cell-type specific genes. </w:t>
      </w:r>
    </w:p>
    <w:p w14:paraId="31331E9F" w14:textId="77777777" w:rsidR="00F9272F" w:rsidRDefault="00F9272F" w:rsidP="00F9272F">
      <w:pPr>
        <w:widowControl/>
        <w:spacing w:before="0" w:line="240" w:lineRule="auto"/>
        <w:ind w:firstLine="0"/>
        <w:jc w:val="left"/>
        <w:rPr>
          <w:rFonts w:ascii="Myriad Pro Light" w:eastAsia="Times New Roman" w:hAnsi="Myriad Pro Light"/>
          <w:b/>
          <w:bCs/>
          <w:color w:val="2F5496" w:themeColor="accent1" w:themeShade="BF"/>
          <w:sz w:val="26"/>
          <w:szCs w:val="26"/>
        </w:rPr>
      </w:pPr>
      <w:r>
        <w:br w:type="page"/>
      </w:r>
    </w:p>
    <w:p w14:paraId="112A77CE" w14:textId="77777777" w:rsidR="00F9272F" w:rsidRDefault="00F9272F" w:rsidP="00F9272F">
      <w:pPr>
        <w:pStyle w:val="Heading2"/>
      </w:pPr>
      <w:r>
        <w:rPr>
          <w:noProof/>
        </w:rPr>
        <w:lastRenderedPageBreak/>
        <w:drawing>
          <wp:inline distT="0" distB="0" distL="0" distR="0" wp14:anchorId="535B1401" wp14:editId="681B4E2A">
            <wp:extent cx="5867400" cy="7848600"/>
            <wp:effectExtent l="0" t="0" r="0" b="0"/>
            <wp:docPr id="15" name="Picture 15" descr="A picture containing display, room&#10;&#10;Description automatically generated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Picture 15" descr="A picture containing display, room&#10;&#10;Description automatically generated"/>
                    <pic:cNvPicPr>
                      <a:picLocks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67400" cy="7848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t xml:space="preserve">Supplemental Figure 6. </w:t>
      </w:r>
      <w:proofErr w:type="spellStart"/>
      <w:r>
        <w:t>scRNA</w:t>
      </w:r>
      <w:proofErr w:type="spellEnd"/>
      <w:r>
        <w:t xml:space="preserve">-seq Microglia specific sub-clustering. </w:t>
      </w:r>
      <w:r>
        <w:rPr>
          <w:rFonts w:ascii="Times New Roman" w:hAnsi="Times New Roman" w:cs="Times New Roman"/>
          <w:sz w:val="24"/>
        </w:rPr>
        <w:t xml:space="preserve">(supplemental to </w:t>
      </w:r>
      <w:r>
        <w:rPr>
          <w:rFonts w:ascii="Times New Roman" w:hAnsi="Times New Roman" w:cs="Times New Roman"/>
          <w:sz w:val="24"/>
        </w:rPr>
        <w:lastRenderedPageBreak/>
        <w:t>Figure 5-6)</w:t>
      </w:r>
    </w:p>
    <w:p w14:paraId="2542DC99" w14:textId="77777777" w:rsidR="00F9272F" w:rsidRPr="00860825" w:rsidRDefault="00F9272F" w:rsidP="00F9272F">
      <w:pPr>
        <w:ind w:firstLine="0"/>
      </w:pPr>
      <w:r>
        <w:t>(a</w:t>
      </w:r>
      <w:r w:rsidRPr="006C7F25">
        <w:t>) t-SNE plo</w:t>
      </w:r>
      <w:r>
        <w:t>ts of microglia from each experimental condition</w:t>
      </w:r>
      <w:r w:rsidRPr="006C7F25">
        <w:t>.</w:t>
      </w:r>
      <w:r>
        <w:t xml:space="preserve"> (b) Feature plots of representative genes in each cluster. </w:t>
      </w:r>
    </w:p>
    <w:p w14:paraId="69F60C6A" w14:textId="77777777" w:rsidR="00A340D3" w:rsidRDefault="00A340D3"/>
    <w:sectPr w:rsidR="00A340D3" w:rsidSect="002B53F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yriad Pro Light">
    <w:altName w:val="Segoe UI Light"/>
    <w:panose1 w:val="020B0604020202020204"/>
    <w:charset w:val="00"/>
    <w:family w:val="swiss"/>
    <w:pitch w:val="variable"/>
    <w:sig w:usb0="20000287" w:usb1="00000001" w:usb2="00000000" w:usb3="00000000" w:csb0="0000019F" w:csb1="00000000"/>
  </w:font>
  <w:font w:name="MicrosoftSansSerif">
    <w:altName w:val="MS Gothic"/>
    <w:panose1 w:val="020B0604020202020204"/>
    <w:charset w:val="00"/>
    <w:family w:val="auto"/>
    <w:pitch w:val="variable"/>
    <w:sig w:usb0="E1002AFF" w:usb1="C0000002" w:usb2="00000008" w:usb3="00000000" w:csb0="000101FF" w:csb1="00000000"/>
  </w:font>
  <w:font w:name="ヒラギノ角ゴ Pro W3">
    <w:altName w:val="MS Gothic"/>
    <w:panose1 w:val="020B0300000000000000"/>
    <w:charset w:val="4E"/>
    <w:family w:val="auto"/>
    <w:pitch w:val="variable"/>
    <w:sig w:usb0="00000001" w:usb1="08070000" w:usb2="00000010" w:usb3="00000000" w:csb0="00020000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272F"/>
    <w:rsid w:val="00114675"/>
    <w:rsid w:val="002B53FA"/>
    <w:rsid w:val="00A340D3"/>
    <w:rsid w:val="00CB39D0"/>
    <w:rsid w:val="00F9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A2E74E"/>
  <w15:chartTrackingRefBased/>
  <w15:docId w15:val="{80F7CB7A-7777-7640-98F0-1ED03FF33F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72F"/>
    <w:pPr>
      <w:widowControl w:val="0"/>
      <w:spacing w:before="60" w:line="360" w:lineRule="exact"/>
      <w:ind w:firstLine="720"/>
      <w:jc w:val="both"/>
    </w:pPr>
    <w:rPr>
      <w:rFonts w:ascii="Arial" w:eastAsiaTheme="minorEastAsia" w:hAnsi="Arial" w:cs="Arial"/>
      <w:szCs w:val="23"/>
    </w:rPr>
  </w:style>
  <w:style w:type="paragraph" w:styleId="Heading1">
    <w:name w:val="heading 1"/>
    <w:basedOn w:val="Normal"/>
    <w:next w:val="Normal"/>
    <w:link w:val="Heading1Char"/>
    <w:uiPriority w:val="9"/>
    <w:qFormat/>
    <w:rsid w:val="00F9272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F9272F"/>
    <w:pPr>
      <w:keepLines w:val="0"/>
      <w:spacing w:before="60" w:line="240" w:lineRule="auto"/>
      <w:ind w:firstLine="0"/>
      <w:outlineLvl w:val="1"/>
    </w:pPr>
    <w:rPr>
      <w:rFonts w:ascii="Myriad Pro Light" w:eastAsia="Times New Roman" w:hAnsi="Myriad Pro Light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F9272F"/>
    <w:rPr>
      <w:rFonts w:ascii="Myriad Pro Light" w:eastAsia="Times New Roman" w:hAnsi="Myriad Pro Light" w:cs="Arial"/>
      <w:b/>
      <w:bCs/>
      <w:color w:val="2F5496" w:themeColor="accent1" w:themeShade="BF"/>
      <w:sz w:val="26"/>
      <w:szCs w:val="26"/>
    </w:rPr>
  </w:style>
  <w:style w:type="character" w:customStyle="1" w:styleId="Heading1Char">
    <w:name w:val="Heading 1 Char"/>
    <w:basedOn w:val="DefaultParagraphFont"/>
    <w:link w:val="Heading1"/>
    <w:uiPriority w:val="9"/>
    <w:rsid w:val="00F9272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11</Pages>
  <Words>891</Words>
  <Characters>5079</Characters>
  <Application>Microsoft Office Word</Application>
  <DocSecurity>0</DocSecurity>
  <Lines>42</Lines>
  <Paragraphs>11</Paragraphs>
  <ScaleCrop>false</ScaleCrop>
  <Company/>
  <LinksUpToDate>false</LinksUpToDate>
  <CharactersWithSpaces>5959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2020-10-16T20:13:00Z</dcterms:created>
  <dcterms:modified xsi:type="dcterms:W3CDTF">2020-10-16T20:14:00Z</dcterms:modified>
</cp:coreProperties>
</file>