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6E712B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Figure 1: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Identification of molecular immune subtypes of (A) GSE14095, (B) GSE64256, and (C) GSE83889 datasets. (D) Typical molecular and clinical characteristics of five immune subtypes.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*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&lt; 0.05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>.</w:t>
      </w:r>
    </w:p>
    <w:p w14:paraId="20F8547E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Figure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2: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  <w:vertAlign w:val="superscript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Concurrent and mutually exclusive genes mutations in (A) subcluster A1, (B) subcluster A2, (C) subcluster B1, (D) subcluster B2A and (E) subcluster B2B.</w:t>
      </w:r>
    </w:p>
    <w:p w14:paraId="71CE1F64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Figure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3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Construction of prognosis prediction model related to immunophenotypes. (A) Difference of immunotherapeutic response between subcluster A2 and subcluster B2 subtypes in TCGA-COADREAD. (B) Kaplan–Meier analysis of the prognosis between the high-risk group and low-risk group in GSE17538. (C) Forest plot of multivariable Cox regression analysis demonstrated risk score as an independent risk factor in GSE17538.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*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P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&lt; 0.05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>.</w:t>
      </w:r>
    </w:p>
    <w:p w14:paraId="0B973352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4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Correlations of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FUT9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stromal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score at the pan-cancer level.</w:t>
      </w:r>
    </w:p>
    <w:p w14:paraId="42988B29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Correlations of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FUT9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and 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immune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score at the pan-cancer level.</w:t>
      </w:r>
    </w:p>
    <w:p w14:paraId="711F6A79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Figure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 xml:space="preserve"> 6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Correlations of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MS4A3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and immune infiltration score at the pan-cancer level.</w:t>
      </w:r>
    </w:p>
    <w:p w14:paraId="5D44A834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Figure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7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MS4A3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mutation in CRC. (A) Somatic mutation of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MS4A3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. (B) Expression of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MS4A3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transcript variant 1 (uc001nom.3) in normal tissues and cancer tissues. (C) Expression of </w:t>
      </w:r>
      <w:r>
        <w:rPr>
          <w:rFonts w:ascii="Times New Roman" w:hAnsi="Times New Roman" w:cs="Times New Roman"/>
          <w:bCs/>
          <w:i/>
          <w:color w:val="000000" w:themeColor="text1"/>
          <w:sz w:val="20"/>
          <w:szCs w:val="20"/>
        </w:rPr>
        <w:t>MS4A3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transcript variant 2 (uc001non.3) in normal tissues and cancer tissues.</w:t>
      </w:r>
    </w:p>
    <w:p w14:paraId="2DF5C3A9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Table 1: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Identification of DEGs between subcluster A2 and subcluster B2.</w:t>
      </w:r>
    </w:p>
    <w:p w14:paraId="485FEC08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Table 2: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Identification of differential CNVs between subcluster A2 and subcluster B2 through CoNVaQ.</w:t>
      </w:r>
    </w:p>
    <w:p w14:paraId="22EECD3E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Cs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Supplementary Table 3: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Gene annotation of differential CNV regions through bedtools.</w:t>
      </w:r>
    </w:p>
    <w:p w14:paraId="3E44914D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Table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4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>Gene a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nnotation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of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all methylation sites.</w:t>
      </w:r>
    </w:p>
    <w:p w14:paraId="6786FF47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Supplementary Table </w:t>
      </w:r>
      <w:r>
        <w:rPr>
          <w:rFonts w:ascii="Times New Roman" w:hAnsi="Times New Roman" w:cs="Times New Roman" w:hint="eastAsia"/>
          <w:b/>
          <w:color w:val="000000" w:themeColor="text1"/>
          <w:sz w:val="20"/>
          <w:szCs w:val="20"/>
        </w:rPr>
        <w:t>5</w:t>
      </w:r>
      <w:r>
        <w:rPr>
          <w:rFonts w:ascii="Times New Roman" w:hAnsi="Times New Roman" w:cs="Times New Roman"/>
          <w:b/>
          <w:color w:val="000000" w:themeColor="text1"/>
          <w:sz w:val="20"/>
          <w:szCs w:val="20"/>
        </w:rPr>
        <w:t>:</w:t>
      </w:r>
      <w:r>
        <w:rPr>
          <w:rFonts w:ascii="Times New Roman" w:hAnsi="Times New Roman" w:cs="Times New Roman" w:hint="eastAsia"/>
          <w:bCs/>
          <w:color w:val="000000" w:themeColor="text1"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0"/>
          <w:szCs w:val="20"/>
        </w:rPr>
        <w:t>Immunotherapeutic response prediction of subcluster A2 and subcluster B2 through TIDE.</w:t>
      </w:r>
    </w:p>
    <w:p w14:paraId="40FC2B7F" w14:textId="77777777" w:rsidR="00785616" w:rsidRDefault="00785616" w:rsidP="00785616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509681BB" w14:textId="77777777" w:rsidR="00E023F9" w:rsidRDefault="00E023F9"/>
    <w:sectPr w:rsidR="00E023F9" w:rsidSect="00785616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616"/>
    <w:rsid w:val="000C4033"/>
    <w:rsid w:val="00454B75"/>
    <w:rsid w:val="004B42CB"/>
    <w:rsid w:val="00785616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08EEFD"/>
  <w15:chartTrackingRefBased/>
  <w15:docId w15:val="{63F73F94-7439-47A8-AA39-8811E9B2C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5616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85616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5616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5616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5616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5616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5616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5616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5616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5616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8561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561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561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561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561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561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561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561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561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85616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856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5616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856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85616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8561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85616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8561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5616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561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8561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263</Words>
  <Characters>1585</Characters>
  <Application>Microsoft Office Word</Application>
  <DocSecurity>0</DocSecurity>
  <Lines>20</Lines>
  <Paragraphs>6</Paragraphs>
  <ScaleCrop>false</ScaleCrop>
  <Company/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2025-12-09T08:12:00Z</dcterms:created>
  <dcterms:modified xsi:type="dcterms:W3CDTF">2025-12-09T08:13:00Z</dcterms:modified>
</cp:coreProperties>
</file>