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9126" w14:textId="77777777" w:rsidR="00982AFD" w:rsidRDefault="00982AFD" w:rsidP="00982AFD">
      <w:pPr>
        <w:spacing w:before="120" w:line="360" w:lineRule="auto"/>
        <w:jc w:val="center"/>
        <w:rPr>
          <w:b/>
          <w:bCs/>
          <w:color w:val="000000" w:themeColor="text1"/>
        </w:rPr>
      </w:pPr>
      <w:r w:rsidRPr="0014721D">
        <w:rPr>
          <w:b/>
          <w:bCs/>
          <w:color w:val="000000" w:themeColor="text1"/>
        </w:rPr>
        <w:t>Integrated Mineralogical, Metabolomic, and Gene Expression Analysis of the Phosphate-Solubilizing Mechanism of</w:t>
      </w:r>
      <w:r>
        <w:rPr>
          <w:rFonts w:hint="eastAsia"/>
          <w:b/>
          <w:bCs/>
          <w:color w:val="000000" w:themeColor="text1"/>
        </w:rPr>
        <w:t xml:space="preserve"> </w:t>
      </w:r>
      <w:r w:rsidRPr="0014721D">
        <w:rPr>
          <w:b/>
          <w:bCs/>
          <w:i/>
          <w:iCs/>
          <w:color w:val="000000" w:themeColor="text1"/>
        </w:rPr>
        <w:t>Pseudomonas</w:t>
      </w:r>
      <w:r>
        <w:rPr>
          <w:rFonts w:hint="eastAsia"/>
          <w:b/>
          <w:bCs/>
          <w:color w:val="000000" w:themeColor="text1"/>
        </w:rPr>
        <w:t xml:space="preserve"> </w:t>
      </w:r>
      <w:r w:rsidRPr="0014721D">
        <w:rPr>
          <w:b/>
          <w:bCs/>
          <w:color w:val="000000" w:themeColor="text1"/>
        </w:rPr>
        <w:t>sp. PSB-13</w:t>
      </w:r>
    </w:p>
    <w:p w14:paraId="779E3E1C" w14:textId="77777777" w:rsidR="00982AFD" w:rsidRPr="00786A48" w:rsidRDefault="00982AFD" w:rsidP="00982AFD">
      <w:pPr>
        <w:spacing w:before="120" w:line="360" w:lineRule="auto"/>
        <w:rPr>
          <w:color w:val="000000" w:themeColor="text1"/>
        </w:rPr>
      </w:pPr>
      <w:r w:rsidRPr="00786A48">
        <w:rPr>
          <w:color w:val="000000" w:themeColor="text1"/>
        </w:rPr>
        <w:t>Qingyun Xu</w:t>
      </w:r>
      <w:r w:rsidRPr="00786A48">
        <w:rPr>
          <w:color w:val="000000" w:themeColor="text1"/>
          <w:vertAlign w:val="superscript"/>
        </w:rPr>
        <w:t>1</w:t>
      </w:r>
      <w:r w:rsidRPr="00786A48">
        <w:rPr>
          <w:color w:val="000000" w:themeColor="text1"/>
        </w:rPr>
        <w:t>,</w:t>
      </w:r>
      <w:r>
        <w:rPr>
          <w:rFonts w:hint="eastAsia"/>
          <w:color w:val="000000" w:themeColor="text1"/>
        </w:rPr>
        <w:t xml:space="preserve"> Youyou Zhao</w:t>
      </w:r>
      <w:r w:rsidRPr="00786A48">
        <w:rPr>
          <w:color w:val="000000" w:themeColor="text1"/>
          <w:vertAlign w:val="superscript"/>
        </w:rPr>
        <w:t>1</w:t>
      </w:r>
      <w:r w:rsidRPr="00786A48">
        <w:rPr>
          <w:color w:val="000000" w:themeColor="text1"/>
        </w:rPr>
        <w:t xml:space="preserve"> </w:t>
      </w:r>
      <w:proofErr w:type="spellStart"/>
      <w:r w:rsidRPr="00786A48">
        <w:rPr>
          <w:color w:val="000000" w:themeColor="text1"/>
        </w:rPr>
        <w:t>Chengxiao</w:t>
      </w:r>
      <w:proofErr w:type="spellEnd"/>
      <w:r w:rsidRPr="00786A48">
        <w:rPr>
          <w:color w:val="000000" w:themeColor="text1"/>
        </w:rPr>
        <w:t xml:space="preserve"> Hu</w:t>
      </w:r>
      <w:r w:rsidRPr="00786A48">
        <w:rPr>
          <w:color w:val="000000" w:themeColor="text1"/>
          <w:vertAlign w:val="superscript"/>
        </w:rPr>
        <w:t>1</w:t>
      </w:r>
      <w:r w:rsidRPr="00786A48">
        <w:rPr>
          <w:color w:val="000000" w:themeColor="text1"/>
        </w:rPr>
        <w:t xml:space="preserve">, </w:t>
      </w:r>
      <w:proofErr w:type="spellStart"/>
      <w:r w:rsidRPr="00786A48">
        <w:rPr>
          <w:color w:val="000000" w:themeColor="text1"/>
        </w:rPr>
        <w:t>Songwei</w:t>
      </w:r>
      <w:proofErr w:type="spellEnd"/>
      <w:r w:rsidRPr="00786A48">
        <w:rPr>
          <w:color w:val="000000" w:themeColor="text1"/>
        </w:rPr>
        <w:t xml:space="preserve"> Wu</w:t>
      </w:r>
      <w:r w:rsidRPr="00786A48">
        <w:rPr>
          <w:color w:val="000000" w:themeColor="text1"/>
          <w:vertAlign w:val="superscript"/>
        </w:rPr>
        <w:t>1</w:t>
      </w:r>
      <w:r w:rsidRPr="00786A48">
        <w:rPr>
          <w:color w:val="000000" w:themeColor="text1"/>
        </w:rPr>
        <w:t xml:space="preserve">, </w:t>
      </w:r>
      <w:proofErr w:type="spellStart"/>
      <w:r w:rsidRPr="00786A48">
        <w:rPr>
          <w:color w:val="000000" w:themeColor="text1"/>
        </w:rPr>
        <w:t>Qiling</w:t>
      </w:r>
      <w:proofErr w:type="spellEnd"/>
      <w:r w:rsidRPr="00786A48">
        <w:rPr>
          <w:color w:val="000000" w:themeColor="text1"/>
        </w:rPr>
        <w:t xml:space="preserve"> Tan</w:t>
      </w:r>
      <w:r w:rsidRPr="00786A48">
        <w:rPr>
          <w:color w:val="000000" w:themeColor="text1"/>
          <w:vertAlign w:val="superscript"/>
        </w:rPr>
        <w:t>1</w:t>
      </w:r>
      <w:r>
        <w:rPr>
          <w:rFonts w:hint="eastAsia"/>
          <w:color w:val="000000" w:themeColor="text1"/>
        </w:rPr>
        <w:t>,</w:t>
      </w:r>
      <w:r w:rsidRPr="00786A48">
        <w:rPr>
          <w:color w:val="000000" w:themeColor="text1"/>
        </w:rPr>
        <w:t xml:space="preserve"> </w:t>
      </w:r>
      <w:proofErr w:type="spellStart"/>
      <w:r w:rsidRPr="00786A48">
        <w:rPr>
          <w:color w:val="000000" w:themeColor="text1"/>
        </w:rPr>
        <w:t>Xuecheng</w:t>
      </w:r>
      <w:proofErr w:type="spellEnd"/>
      <w:r w:rsidRPr="00786A48">
        <w:rPr>
          <w:color w:val="000000" w:themeColor="text1"/>
        </w:rPr>
        <w:t xml:space="preserve"> Sun</w:t>
      </w:r>
      <w:r w:rsidRPr="00786A48">
        <w:rPr>
          <w:color w:val="000000" w:themeColor="text1"/>
          <w:vertAlign w:val="superscript"/>
        </w:rPr>
        <w:t>1,</w:t>
      </w:r>
      <w:r w:rsidRPr="00786A48">
        <w:rPr>
          <w:rFonts w:hint="eastAsia"/>
          <w:color w:val="000000" w:themeColor="text1"/>
          <w:vertAlign w:val="superscript"/>
        </w:rPr>
        <w:t>2</w:t>
      </w:r>
      <w:r w:rsidRPr="00786A48">
        <w:rPr>
          <w:color w:val="000000" w:themeColor="text1"/>
          <w:vertAlign w:val="superscript"/>
        </w:rPr>
        <w:t>,</w:t>
      </w:r>
      <w:r w:rsidRPr="00786A48">
        <w:rPr>
          <w:rFonts w:hint="eastAsia"/>
          <w:color w:val="000000" w:themeColor="text1"/>
          <w:vertAlign w:val="superscript"/>
        </w:rPr>
        <w:t>3</w:t>
      </w:r>
      <w:r w:rsidRPr="00786A48">
        <w:rPr>
          <w:color w:val="000000" w:themeColor="text1"/>
          <w:vertAlign w:val="superscript"/>
        </w:rPr>
        <w:t>*</w:t>
      </w:r>
    </w:p>
    <w:p w14:paraId="0CC1BA2D" w14:textId="77777777" w:rsidR="00982AFD" w:rsidRPr="00786A48" w:rsidRDefault="00982AFD" w:rsidP="00982AFD">
      <w:pPr>
        <w:spacing w:before="120" w:line="360" w:lineRule="auto"/>
        <w:rPr>
          <w:color w:val="000000" w:themeColor="text1"/>
        </w:rPr>
      </w:pPr>
      <w:r w:rsidRPr="00D47A68">
        <w:rPr>
          <w:color w:val="000000" w:themeColor="text1"/>
          <w:vertAlign w:val="superscript"/>
        </w:rPr>
        <w:t>1</w:t>
      </w:r>
      <w:r w:rsidRPr="00786A48">
        <w:rPr>
          <w:color w:val="000000" w:themeColor="text1"/>
        </w:rPr>
        <w:t xml:space="preserve"> Key Laboratory of Arable Land Conservation (Middle and Lower Reaches of Yangtze River), Ministry of Agriculture, Micro-elements Research Center, College of Resource and Environment, Huazhong Agricultural University, Wuhan, 430070, China</w:t>
      </w:r>
    </w:p>
    <w:p w14:paraId="7F100984" w14:textId="77777777" w:rsidR="00982AFD" w:rsidRPr="00786A48" w:rsidRDefault="00982AFD" w:rsidP="00982AFD">
      <w:pPr>
        <w:spacing w:before="120" w:line="360" w:lineRule="auto"/>
        <w:rPr>
          <w:color w:val="000000" w:themeColor="text1"/>
        </w:rPr>
      </w:pPr>
      <w:r w:rsidRPr="00D47A68">
        <w:rPr>
          <w:rFonts w:hint="eastAsia"/>
          <w:color w:val="000000" w:themeColor="text1"/>
          <w:vertAlign w:val="superscript"/>
        </w:rPr>
        <w:t>2</w:t>
      </w:r>
      <w:r w:rsidRPr="00786A48">
        <w:rPr>
          <w:color w:val="000000" w:themeColor="text1"/>
        </w:rPr>
        <w:t xml:space="preserve"> Shenzhen Institute of Nutrition and Health, Huazhong Agricultural University, Wuhan 430070, China</w:t>
      </w:r>
    </w:p>
    <w:p w14:paraId="2549FD7F" w14:textId="77777777" w:rsidR="00982AFD" w:rsidRPr="00786A48" w:rsidRDefault="00982AFD" w:rsidP="00982AFD">
      <w:pPr>
        <w:spacing w:before="120" w:line="360" w:lineRule="auto"/>
        <w:rPr>
          <w:color w:val="000000" w:themeColor="text1"/>
        </w:rPr>
      </w:pPr>
      <w:r w:rsidRPr="00D47A68">
        <w:rPr>
          <w:rFonts w:hint="eastAsia"/>
          <w:color w:val="000000" w:themeColor="text1"/>
          <w:vertAlign w:val="superscript"/>
        </w:rPr>
        <w:t>3</w:t>
      </w:r>
      <w:r w:rsidRPr="00786A48">
        <w:rPr>
          <w:color w:val="000000" w:themeColor="text1"/>
        </w:rPr>
        <w:t xml:space="preserve"> Shenzhen Branch, Guangdong Laboratory for Lingnan Modern Agriculture, Genome Analysis Laboratory of the Ministry of Agriculture, Agricultural Genomics Institute at Shenzhen, Chinese Academy of Agricultural Sciences, Shenzhen 518000, China</w:t>
      </w:r>
    </w:p>
    <w:p w14:paraId="228EC462" w14:textId="77777777" w:rsidR="00982AFD" w:rsidRDefault="00982AFD" w:rsidP="00982AFD">
      <w:pPr>
        <w:spacing w:before="120" w:line="360" w:lineRule="auto"/>
        <w:rPr>
          <w:color w:val="000000" w:themeColor="text1"/>
        </w:rPr>
      </w:pPr>
      <w:r w:rsidRPr="00786A48">
        <w:rPr>
          <w:color w:val="000000" w:themeColor="text1"/>
        </w:rPr>
        <w:t xml:space="preserve">* </w:t>
      </w:r>
      <w:bookmarkStart w:id="0" w:name="_Hlk215235298"/>
      <w:r w:rsidRPr="00786A48">
        <w:rPr>
          <w:color w:val="000000" w:themeColor="text1"/>
        </w:rPr>
        <w:t xml:space="preserve">Corresponding author. </w:t>
      </w:r>
      <w:proofErr w:type="spellStart"/>
      <w:r w:rsidRPr="00786A48">
        <w:rPr>
          <w:color w:val="000000" w:themeColor="text1"/>
        </w:rPr>
        <w:t>Xuecheng</w:t>
      </w:r>
      <w:proofErr w:type="spellEnd"/>
      <w:r w:rsidRPr="00786A48">
        <w:rPr>
          <w:color w:val="000000" w:themeColor="text1"/>
        </w:rPr>
        <w:t xml:space="preserve"> Sun, E-mail</w:t>
      </w:r>
      <w:bookmarkEnd w:id="0"/>
      <w:r w:rsidRPr="00786A48">
        <w:rPr>
          <w:color w:val="000000" w:themeColor="text1"/>
        </w:rPr>
        <w:t>:</w:t>
      </w:r>
      <w:r w:rsidRPr="00BC4A96">
        <w:t xml:space="preserve"> </w:t>
      </w:r>
      <w:hyperlink r:id="rId6" w:history="1">
        <w:r w:rsidRPr="00ED7554">
          <w:rPr>
            <w:rStyle w:val="af2"/>
            <w:rFonts w:cs="Times New Roman"/>
            <w:szCs w:val="24"/>
          </w:rPr>
          <w:t>sxccn@mail.hzau.edu.cn</w:t>
        </w:r>
      </w:hyperlink>
    </w:p>
    <w:p w14:paraId="6086EB81" w14:textId="456276C2" w:rsidR="00982AFD" w:rsidRDefault="00982AFD" w:rsidP="00982AFD">
      <w:pPr>
        <w:widowControl/>
        <w:spacing w:line="360" w:lineRule="auto"/>
        <w:jc w:val="left"/>
      </w:pPr>
      <w:r>
        <w:br w:type="page"/>
      </w:r>
    </w:p>
    <w:p w14:paraId="0991CE44" w14:textId="77777777" w:rsidR="00982AFD" w:rsidRPr="0014721D" w:rsidRDefault="00982AFD" w:rsidP="00982AFD">
      <w:pPr>
        <w:spacing w:line="360" w:lineRule="auto"/>
        <w:rPr>
          <w:b/>
          <w:bCs/>
          <w:color w:val="000000" w:themeColor="text1"/>
        </w:rPr>
      </w:pPr>
      <w:r w:rsidRPr="0014721D">
        <w:rPr>
          <w:b/>
          <w:bCs/>
          <w:color w:val="000000" w:themeColor="text1"/>
        </w:rPr>
        <w:lastRenderedPageBreak/>
        <w:t>Materials and methods</w:t>
      </w:r>
    </w:p>
    <w:p w14:paraId="35898A47" w14:textId="03633864" w:rsidR="00982AFD" w:rsidRPr="00982AFD" w:rsidRDefault="00982AFD" w:rsidP="00982AFD">
      <w:pPr>
        <w:spacing w:line="360" w:lineRule="auto"/>
        <w:rPr>
          <w:rFonts w:hint="eastAsia"/>
          <w:b/>
          <w:bCs/>
          <w:color w:val="000000" w:themeColor="text1"/>
        </w:rPr>
      </w:pPr>
      <w:r w:rsidRPr="0014721D">
        <w:rPr>
          <w:rFonts w:hint="eastAsia"/>
          <w:b/>
          <w:bCs/>
          <w:color w:val="000000" w:themeColor="text1"/>
        </w:rPr>
        <w:t>U</w:t>
      </w:r>
      <w:r w:rsidRPr="0014721D">
        <w:rPr>
          <w:b/>
          <w:bCs/>
          <w:color w:val="000000" w:themeColor="text1"/>
        </w:rPr>
        <w:t>ntargeted LC–MS metabolomic analysis</w:t>
      </w:r>
    </w:p>
    <w:p w14:paraId="4DAFBDC3" w14:textId="28CE00D6" w:rsidR="00BF7A91" w:rsidRDefault="00BF7A91" w:rsidP="00982AFD">
      <w:pPr>
        <w:spacing w:line="360" w:lineRule="auto"/>
        <w:ind w:firstLine="240"/>
      </w:pPr>
      <w:r w:rsidRPr="00BF7A91">
        <w:t>The mobile phases consisted of 0.1% formic acid in water:</w:t>
      </w:r>
      <w:r w:rsidR="00982AFD">
        <w:rPr>
          <w:rFonts w:hint="eastAsia"/>
        </w:rPr>
        <w:t xml:space="preserve"> </w:t>
      </w:r>
      <w:r w:rsidRPr="00BF7A91">
        <w:t>acetonitrile (95:5, v/v) (solvent A) and 0.1% formic acid in acetonitrile:</w:t>
      </w:r>
      <w:r w:rsidR="00982AFD">
        <w:rPr>
          <w:rFonts w:hint="eastAsia"/>
        </w:rPr>
        <w:t xml:space="preserve"> </w:t>
      </w:r>
      <w:r w:rsidRPr="00BF7A91">
        <w:t>isopropanol:</w:t>
      </w:r>
      <w:r w:rsidR="00982AFD">
        <w:rPr>
          <w:rFonts w:hint="eastAsia"/>
        </w:rPr>
        <w:t xml:space="preserve"> </w:t>
      </w:r>
      <w:r w:rsidRPr="00BF7A91">
        <w:t xml:space="preserve">water (47.5:47.5, v/v) (solvent B). Positive ion mode separation gradient: 0-3 min, mobile phase B was increased from 0% to 20%; 3-4.5 min, mobile phase B was increased from 20% to 35%; 4.5-5 min, mobile phase B was increased from 35% to 100%; 5-6.3 min, mobile phase B was maintained at 100%; 6.3-6.4 min, mobile phase B was decreased from 100% to 0%; 6.4-8 min, mobile phase B was maintained at 0%. Separation gradient in negative ion mode: 0-1.5 min, mobile phase B rises from 0 to 5%; 1.5-2 min, mobile phase B rises from 5% to 10%; 2-4.5 min, mobile phase B rises from 10% to 30%; 4.5-5 min, mobile phase B rises from 30% to 100%; 5-6.3 min, mobile phase B linearly maintains 100%; 6.3-6.4 min, the mobile phase </w:t>
      </w:r>
      <w:proofErr w:type="spellStart"/>
      <w:r w:rsidRPr="00BF7A91">
        <w:t>Bdecreased</w:t>
      </w:r>
      <w:proofErr w:type="spellEnd"/>
      <w:r w:rsidRPr="00BF7A91">
        <w:t xml:space="preserve"> from 100% to 0%; 6.4-8 min, the mobile phase B was linearly maintained at 0%. The flow rate was 0.40 mL/min and the column temperature was 40℃. </w:t>
      </w:r>
    </w:p>
    <w:p w14:paraId="18842990" w14:textId="56E40261" w:rsidR="00BF7A91" w:rsidRDefault="00BF7A91" w:rsidP="00982AFD">
      <w:pPr>
        <w:spacing w:line="360" w:lineRule="auto"/>
        <w:ind w:firstLine="240"/>
      </w:pPr>
      <w:r w:rsidRPr="00BF7A91">
        <w:t>MS</w:t>
      </w:r>
      <w:r>
        <w:rPr>
          <w:rFonts w:hint="eastAsia"/>
        </w:rPr>
        <w:t xml:space="preserve"> </w:t>
      </w:r>
      <w:r w:rsidRPr="00BF7A91">
        <w:t xml:space="preserve">conditions: The mass spectrometric data were collected using a </w:t>
      </w:r>
      <w:proofErr w:type="spellStart"/>
      <w:r w:rsidRPr="00BF7A91">
        <w:t>Thermo</w:t>
      </w:r>
      <w:proofErr w:type="spellEnd"/>
      <w:r w:rsidRPr="00BF7A91">
        <w:t xml:space="preserve"> UHPLC-Q </w:t>
      </w:r>
      <w:proofErr w:type="spellStart"/>
      <w:r w:rsidRPr="00BF7A91">
        <w:t>Exactive</w:t>
      </w:r>
      <w:proofErr w:type="spellEnd"/>
      <w:r w:rsidRPr="00BF7A91">
        <w:t xml:space="preserve"> HF-X Mass Spectrometer equipped with an electrospray ionization (ESI) source operating in positive mode and negative mode. The optimal conditions were set as followed: source temperature at 425</w:t>
      </w:r>
      <w:proofErr w:type="gramStart"/>
      <w:r w:rsidRPr="00BF7A91">
        <w:t>℃ ;</w:t>
      </w:r>
      <w:proofErr w:type="gramEnd"/>
      <w:r w:rsidR="00982AFD">
        <w:rPr>
          <w:rFonts w:hint="eastAsia"/>
        </w:rPr>
        <w:t xml:space="preserve"> </w:t>
      </w:r>
      <w:r w:rsidRPr="00BF7A91">
        <w:t xml:space="preserve">sheath gas flow rate at 50 </w:t>
      </w:r>
      <w:proofErr w:type="spellStart"/>
      <w:proofErr w:type="gramStart"/>
      <w:r w:rsidRPr="00BF7A91">
        <w:t>arb;Aux</w:t>
      </w:r>
      <w:proofErr w:type="spellEnd"/>
      <w:proofErr w:type="gramEnd"/>
      <w:r w:rsidRPr="00BF7A91">
        <w:t xml:space="preserve"> gas flow rate at 13 </w:t>
      </w:r>
      <w:proofErr w:type="gramStart"/>
      <w:r w:rsidRPr="00BF7A91">
        <w:t>arb</w:t>
      </w:r>
      <w:proofErr w:type="gramEnd"/>
      <w:r w:rsidRPr="00BF7A91">
        <w:t xml:space="preserve">; ion-spray voltage floating (ISVF) at-3500V in negative mode and 3500V in positive mode, respectively; Normalized 4. Data </w:t>
      </w:r>
      <w:proofErr w:type="spellStart"/>
      <w:r w:rsidRPr="00BF7A91">
        <w:t>anlaysis</w:t>
      </w:r>
      <w:proofErr w:type="spellEnd"/>
      <w:r w:rsidRPr="00BF7A91">
        <w:t xml:space="preserve"> collision energy, 20-40-60V rolling for MS/MS. Full MS resolution was 60000, and MS/MS resolution was 7500. Data acquisition was performed with the Data Dependent</w:t>
      </w:r>
      <w:r w:rsidR="00982AFD">
        <w:rPr>
          <w:rFonts w:hint="eastAsia"/>
        </w:rPr>
        <w:t xml:space="preserve"> </w:t>
      </w:r>
      <w:r w:rsidRPr="00BF7A91">
        <w:t>Acquisition (DDA) mode. The detection was carried out over a mass range of 70-1050 m/z</w:t>
      </w:r>
      <w:r>
        <w:rPr>
          <w:rFonts w:hint="eastAsia"/>
        </w:rPr>
        <w:t>.</w:t>
      </w:r>
    </w:p>
    <w:p w14:paraId="3C34F982" w14:textId="77777777" w:rsidR="00BF7A91" w:rsidRDefault="00BF7A91" w:rsidP="00982AFD">
      <w:pPr>
        <w:widowControl/>
        <w:spacing w:line="360" w:lineRule="auto"/>
        <w:jc w:val="left"/>
      </w:pPr>
      <w:r>
        <w:br w:type="page"/>
      </w:r>
    </w:p>
    <w:p w14:paraId="56BAD8BB" w14:textId="77777777" w:rsidR="00BF7A91" w:rsidRDefault="00BF7A91" w:rsidP="00982AFD">
      <w:pPr>
        <w:spacing w:line="360" w:lineRule="auto"/>
      </w:pPr>
    </w:p>
    <w:p w14:paraId="535B647F" w14:textId="4395047E" w:rsidR="001C05CA" w:rsidRDefault="00E4687D" w:rsidP="00982AFD">
      <w:pPr>
        <w:spacing w:line="360" w:lineRule="auto"/>
      </w:pPr>
      <w:r w:rsidRPr="00E4687D">
        <w:t>Supplementary Table 1</w:t>
      </w:r>
      <w:r>
        <w:rPr>
          <w:rFonts w:hint="eastAsia"/>
        </w:rPr>
        <w:t xml:space="preserve"> </w:t>
      </w:r>
      <w:r w:rsidRPr="00E4687D">
        <w:rPr>
          <w:rFonts w:hint="eastAsia"/>
        </w:rPr>
        <w:t>Primer</w:t>
      </w:r>
      <w:r w:rsidR="00982AFD">
        <w:t>’</w:t>
      </w:r>
      <w:r w:rsidRPr="00E4687D">
        <w:rPr>
          <w:rFonts w:hint="eastAsia"/>
        </w:rPr>
        <w:t>s information of selected functional genes for RT-qPCR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1040"/>
        <w:gridCol w:w="3835"/>
        <w:gridCol w:w="3871"/>
      </w:tblGrid>
      <w:tr w:rsidR="0021632A" w:rsidRPr="0021632A" w14:paraId="34EF5601" w14:textId="77777777" w:rsidTr="0021632A">
        <w:trPr>
          <w:trHeight w:val="280"/>
        </w:trPr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C022E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FC56B0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FORWARD (5' to 3')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96455A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 xml:space="preserve">REVERSE (5' to 3') </w:t>
            </w:r>
          </w:p>
        </w:tc>
      </w:tr>
      <w:tr w:rsidR="0021632A" w:rsidRPr="0021632A" w14:paraId="290B1834" w14:textId="77777777" w:rsidTr="0021632A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22B4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1632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mdcA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73206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CTGATGGCGATGATGGCGATCC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F9D5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CGATGGCGGCGGTGTTGAAG</w:t>
            </w:r>
          </w:p>
        </w:tc>
      </w:tr>
      <w:tr w:rsidR="0021632A" w:rsidRPr="0021632A" w14:paraId="08AD6CE5" w14:textId="77777777" w:rsidTr="0021632A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42BB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1632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pyrE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D07B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CGGTGAGTTGTCGGCAATCCAG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E2A4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GCTTGAGCTGCGGATCGTCAG</w:t>
            </w:r>
          </w:p>
        </w:tc>
      </w:tr>
      <w:tr w:rsidR="0021632A" w:rsidRPr="0021632A" w14:paraId="07F227D2" w14:textId="77777777" w:rsidTr="0021632A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5354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gal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7197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GCACACCGCCGCAAGGAC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90EA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TTCACCAACGCCATCGCTTCG</w:t>
            </w:r>
          </w:p>
        </w:tc>
      </w:tr>
      <w:tr w:rsidR="0021632A" w:rsidRPr="0021632A" w14:paraId="1ED0D902" w14:textId="77777777" w:rsidTr="0021632A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495A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1632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ndpA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E607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CGGGTGGTGGCGTTGGTTTC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566A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TGTAGGTCATTGGCGTGGTTTGC</w:t>
            </w:r>
          </w:p>
        </w:tc>
      </w:tr>
      <w:tr w:rsidR="0021632A" w:rsidRPr="0021632A" w14:paraId="27B42128" w14:textId="77777777" w:rsidTr="0021632A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D38E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1632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hutH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C069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AACACCTTGCTCAGTCACGCTTG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3D1B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CGACCACCCGACGATGAATGC</w:t>
            </w:r>
          </w:p>
        </w:tc>
      </w:tr>
      <w:tr w:rsidR="0021632A" w:rsidRPr="0021632A" w14:paraId="1FC17AC6" w14:textId="77777777" w:rsidTr="0021632A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C82F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1632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cysE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85F3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CGAGGATGATGTGGTGATCTACGC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36AB5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CAGACGTTGCCGCCGATGG</w:t>
            </w:r>
          </w:p>
        </w:tc>
      </w:tr>
      <w:tr w:rsidR="0021632A" w:rsidRPr="0021632A" w14:paraId="109F4AFC" w14:textId="77777777" w:rsidTr="0021632A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C051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1632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gst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BAB8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GAGCGGACTTCCTCGTCATCAAC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EFC6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GGCCTTCGGTCAGCACTTCAC</w:t>
            </w:r>
          </w:p>
        </w:tc>
      </w:tr>
      <w:tr w:rsidR="0021632A" w:rsidRPr="0021632A" w14:paraId="7EA83EA2" w14:textId="77777777" w:rsidTr="0021632A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6709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1632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gdhA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994AB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CGAAACCTTCCTTGCCCGACTG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3A24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CGGAGGTCAGATAATGCGGATTGG</w:t>
            </w:r>
          </w:p>
        </w:tc>
      </w:tr>
      <w:tr w:rsidR="0021632A" w:rsidRPr="0021632A" w14:paraId="666C794C" w14:textId="77777777" w:rsidTr="0021632A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B89A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1632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hidD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A736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CGCCGACTCAACGCTGCTG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B674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CCGCATCGCCACGCTCAC</w:t>
            </w:r>
          </w:p>
        </w:tc>
      </w:tr>
      <w:tr w:rsidR="0021632A" w:rsidRPr="0021632A" w14:paraId="6E7D69DA" w14:textId="77777777" w:rsidTr="0021632A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4DCC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1632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phoB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683E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GCACCTCCGGCATCGAATTGG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0A42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CTTGTTGTCCTCTTCGCCCTTGG</w:t>
            </w:r>
          </w:p>
        </w:tc>
      </w:tr>
      <w:tr w:rsidR="0021632A" w:rsidRPr="0021632A" w14:paraId="390D5AEC" w14:textId="77777777" w:rsidTr="0021632A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D544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1632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clsC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8251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GCTGATGACCTACACCACAAACCC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5DDA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TCGCCGTCTGACAGGACCTTG</w:t>
            </w:r>
          </w:p>
        </w:tc>
      </w:tr>
      <w:tr w:rsidR="0021632A" w:rsidRPr="0021632A" w14:paraId="2393A6CB" w14:textId="77777777" w:rsidTr="0021632A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EAC6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1632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pyrB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7C01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GCGAACTGTTGACGGAGATCCTC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E168B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GTCGTGCGGGTGCGTGTG</w:t>
            </w:r>
          </w:p>
        </w:tc>
      </w:tr>
      <w:tr w:rsidR="0021632A" w:rsidRPr="0021632A" w14:paraId="717F3979" w14:textId="77777777" w:rsidTr="0021632A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7A7B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16S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BE7D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ACTCCTACGGGAGGCAGCA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9A5B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GGACTACHVGGGTWTCTAAT</w:t>
            </w:r>
          </w:p>
        </w:tc>
      </w:tr>
      <w:tr w:rsidR="0021632A" w:rsidRPr="0021632A" w14:paraId="670AF644" w14:textId="77777777" w:rsidTr="0021632A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CBB70" w14:textId="41A4C5A5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21632A">
              <w:rPr>
                <w:rFonts w:eastAsia="等线" w:cs="Times New Roman"/>
                <w:i/>
                <w:iCs/>
                <w:color w:val="000000"/>
                <w:kern w:val="0"/>
                <w:sz w:val="22"/>
              </w:rPr>
              <w:t>rpo</w:t>
            </w:r>
            <w:r w:rsidR="00316E88">
              <w:rPr>
                <w:rFonts w:eastAsia="等线" w:cs="Times New Roman" w:hint="eastAsia"/>
                <w:i/>
                <w:iCs/>
                <w:color w:val="000000"/>
                <w:kern w:val="0"/>
                <w:sz w:val="22"/>
              </w:rPr>
              <w:t>D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3F817E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ATGTCCGGAAAAGCGCAACA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579565" w14:textId="77777777" w:rsidR="0021632A" w:rsidRPr="0021632A" w:rsidRDefault="0021632A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21632A">
              <w:rPr>
                <w:rFonts w:eastAsia="等线" w:cs="Times New Roman"/>
                <w:color w:val="000000"/>
                <w:kern w:val="0"/>
                <w:sz w:val="22"/>
              </w:rPr>
              <w:t>TCACTCGTCGAGGAAGGAGC</w:t>
            </w:r>
          </w:p>
        </w:tc>
      </w:tr>
    </w:tbl>
    <w:p w14:paraId="4FFA8BC4" w14:textId="426706EA" w:rsidR="00D22315" w:rsidRDefault="00D22315" w:rsidP="00982AFD">
      <w:pPr>
        <w:spacing w:line="360" w:lineRule="auto"/>
      </w:pPr>
    </w:p>
    <w:p w14:paraId="05810CF0" w14:textId="77777777" w:rsidR="00D22315" w:rsidRDefault="00D22315" w:rsidP="00982AFD">
      <w:pPr>
        <w:widowControl/>
        <w:spacing w:line="360" w:lineRule="auto"/>
        <w:jc w:val="left"/>
      </w:pPr>
      <w:r>
        <w:br w:type="page"/>
      </w:r>
    </w:p>
    <w:p w14:paraId="6AB87B81" w14:textId="77777777" w:rsidR="0021632A" w:rsidRDefault="0021632A" w:rsidP="00982AFD">
      <w:pPr>
        <w:spacing w:line="360" w:lineRule="auto"/>
      </w:pPr>
    </w:p>
    <w:p w14:paraId="3ABDA6CD" w14:textId="5BBFE855" w:rsidR="0021632A" w:rsidRDefault="00E4687D" w:rsidP="00982AFD">
      <w:pPr>
        <w:spacing w:line="360" w:lineRule="auto"/>
        <w:jc w:val="center"/>
      </w:pPr>
      <w:r w:rsidRPr="00E4687D">
        <w:t xml:space="preserve">Supplementary Table </w:t>
      </w:r>
      <w:r>
        <w:rPr>
          <w:rFonts w:hint="eastAsia"/>
        </w:rPr>
        <w:t xml:space="preserve">2 </w:t>
      </w:r>
      <w:r w:rsidRPr="00E4687D">
        <w:t xml:space="preserve">EDS analysis of </w:t>
      </w:r>
      <w:r>
        <w:rPr>
          <w:rFonts w:hint="eastAsia"/>
        </w:rPr>
        <w:t>Ca</w:t>
      </w:r>
      <w:r w:rsidRPr="00E4687D">
        <w:t>-P surface at different times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11"/>
        <w:gridCol w:w="1599"/>
        <w:gridCol w:w="1599"/>
        <w:gridCol w:w="1599"/>
        <w:gridCol w:w="1598"/>
      </w:tblGrid>
      <w:tr w:rsidR="00E4687D" w:rsidRPr="003F7954" w14:paraId="68FD81B1" w14:textId="77777777" w:rsidTr="00982AFD">
        <w:trPr>
          <w:trHeight w:val="290"/>
          <w:jc w:val="center"/>
        </w:trPr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45D48" w14:textId="46DA38AE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宋体" w:cs="Times New Roman"/>
                <w:color w:val="000000"/>
                <w:kern w:val="0"/>
                <w:sz w:val="22"/>
              </w:rPr>
              <w:t>Content</w:t>
            </w:r>
            <w:r w:rsidR="00982AFD">
              <w:rPr>
                <w:rFonts w:eastAsia="宋体" w:cs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eastAsia="宋体" w:cs="Times New Roman" w:hint="eastAsia"/>
                <w:color w:val="000000"/>
                <w:kern w:val="0"/>
                <w:sz w:val="22"/>
              </w:rPr>
              <w:t>(%)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C75B12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12h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D977A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24h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930A3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48h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BA6DE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72h</w:t>
            </w:r>
          </w:p>
        </w:tc>
      </w:tr>
      <w:tr w:rsidR="00E4687D" w:rsidRPr="003F7954" w14:paraId="5F325035" w14:textId="77777777" w:rsidTr="00982AFD">
        <w:trPr>
          <w:trHeight w:val="350"/>
          <w:jc w:val="center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44A2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P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7F35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15.66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E195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15.16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D5FD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18.31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621F9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18.86</w:t>
            </w:r>
          </w:p>
        </w:tc>
      </w:tr>
      <w:tr w:rsidR="00E4687D" w:rsidRPr="003F7954" w14:paraId="07B16AD0" w14:textId="77777777" w:rsidTr="00982AFD">
        <w:trPr>
          <w:trHeight w:val="280"/>
          <w:jc w:val="center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D9BF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Ca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D8AF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28.98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9F6B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26.11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B0A6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38.9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B5E7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30.96</w:t>
            </w:r>
          </w:p>
        </w:tc>
      </w:tr>
      <w:tr w:rsidR="00E4687D" w:rsidRPr="003F7954" w14:paraId="76F9AC1B" w14:textId="77777777" w:rsidTr="00982AFD">
        <w:trPr>
          <w:trHeight w:val="280"/>
          <w:jc w:val="center"/>
        </w:trPr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B65D6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O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898BA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55.36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7FDC6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58.73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F657A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42.79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4DD46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50.18</w:t>
            </w:r>
          </w:p>
        </w:tc>
      </w:tr>
    </w:tbl>
    <w:p w14:paraId="41410353" w14:textId="77777777" w:rsidR="003F7954" w:rsidRDefault="003F7954" w:rsidP="00982AFD">
      <w:pPr>
        <w:spacing w:line="360" w:lineRule="auto"/>
      </w:pPr>
    </w:p>
    <w:p w14:paraId="1C274C6A" w14:textId="42DA0311" w:rsidR="00D22315" w:rsidRDefault="00D22315" w:rsidP="00982AFD">
      <w:pPr>
        <w:widowControl/>
        <w:spacing w:line="360" w:lineRule="auto"/>
        <w:jc w:val="left"/>
      </w:pPr>
      <w:r>
        <w:br w:type="page"/>
      </w:r>
    </w:p>
    <w:p w14:paraId="40B47FA3" w14:textId="77777777" w:rsidR="00E4687D" w:rsidRDefault="00E4687D" w:rsidP="00982AFD">
      <w:pPr>
        <w:spacing w:line="360" w:lineRule="auto"/>
      </w:pPr>
    </w:p>
    <w:p w14:paraId="09524C8D" w14:textId="4897D3B2" w:rsidR="00E4687D" w:rsidRPr="00E4687D" w:rsidRDefault="00E4687D" w:rsidP="00982AFD">
      <w:pPr>
        <w:spacing w:line="360" w:lineRule="auto"/>
        <w:jc w:val="center"/>
      </w:pPr>
      <w:r w:rsidRPr="00E4687D">
        <w:t xml:space="preserve">Supplementary Table </w:t>
      </w:r>
      <w:r>
        <w:rPr>
          <w:rFonts w:hint="eastAsia"/>
        </w:rPr>
        <w:t xml:space="preserve">3 </w:t>
      </w:r>
      <w:r w:rsidRPr="00E4687D">
        <w:t xml:space="preserve">EDS analysis of </w:t>
      </w:r>
      <w:r>
        <w:rPr>
          <w:rFonts w:hint="eastAsia"/>
        </w:rPr>
        <w:t>Al</w:t>
      </w:r>
      <w:r w:rsidRPr="00E4687D">
        <w:t>-P surface at different times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11"/>
        <w:gridCol w:w="1599"/>
        <w:gridCol w:w="1599"/>
        <w:gridCol w:w="1599"/>
        <w:gridCol w:w="1598"/>
      </w:tblGrid>
      <w:tr w:rsidR="00E4687D" w:rsidRPr="003F7954" w14:paraId="21E3A7F9" w14:textId="77777777" w:rsidTr="00982AFD">
        <w:trPr>
          <w:trHeight w:val="280"/>
          <w:jc w:val="center"/>
        </w:trPr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72D6E" w14:textId="3CBD3C0F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Content</w:t>
            </w:r>
            <w:r w:rsidR="00982AFD">
              <w:rPr>
                <w:rFonts w:eastAsia="等线" w:cs="Times New Roman" w:hint="eastAsia"/>
                <w:color w:val="000000"/>
                <w:kern w:val="0"/>
                <w:sz w:val="22"/>
              </w:rPr>
              <w:t xml:space="preserve"> </w:t>
            </w: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(%)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509D2D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12h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A91D4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24h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93AA0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48h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ABFFB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72h</w:t>
            </w:r>
          </w:p>
        </w:tc>
      </w:tr>
      <w:tr w:rsidR="00E4687D" w:rsidRPr="003F7954" w14:paraId="0E01BFA8" w14:textId="77777777" w:rsidTr="00982AFD">
        <w:trPr>
          <w:trHeight w:val="280"/>
          <w:jc w:val="center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C03E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Al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E645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16.23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BD1D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17.37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9F0E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16.54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CBA7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16.16</w:t>
            </w:r>
          </w:p>
        </w:tc>
      </w:tr>
      <w:tr w:rsidR="00E4687D" w:rsidRPr="003F7954" w14:paraId="465EAB9A" w14:textId="77777777" w:rsidTr="00982AFD">
        <w:trPr>
          <w:trHeight w:val="280"/>
          <w:jc w:val="center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386A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P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5046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32.93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7EDF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0B27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25.25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9E5A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24.87</w:t>
            </w:r>
          </w:p>
        </w:tc>
      </w:tr>
      <w:tr w:rsidR="00E4687D" w:rsidRPr="003F7954" w14:paraId="4D8D4306" w14:textId="77777777" w:rsidTr="00982AFD">
        <w:trPr>
          <w:trHeight w:val="280"/>
          <w:jc w:val="center"/>
        </w:trPr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A02AB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O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E2474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50.84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93828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50.56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C0AFC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58.21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E1EB7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58.97</w:t>
            </w:r>
          </w:p>
        </w:tc>
      </w:tr>
    </w:tbl>
    <w:p w14:paraId="76259A01" w14:textId="77777777" w:rsidR="003F7954" w:rsidRDefault="003F7954" w:rsidP="00982AFD">
      <w:pPr>
        <w:spacing w:line="360" w:lineRule="auto"/>
      </w:pPr>
    </w:p>
    <w:p w14:paraId="7FA204DA" w14:textId="67916F99" w:rsidR="00D22315" w:rsidRDefault="00D22315" w:rsidP="00982AFD">
      <w:pPr>
        <w:widowControl/>
        <w:spacing w:line="360" w:lineRule="auto"/>
        <w:jc w:val="left"/>
      </w:pPr>
      <w:r>
        <w:br w:type="page"/>
      </w:r>
    </w:p>
    <w:p w14:paraId="51732330" w14:textId="77777777" w:rsidR="003F7954" w:rsidRDefault="003F7954" w:rsidP="00982AFD">
      <w:pPr>
        <w:spacing w:line="360" w:lineRule="auto"/>
      </w:pPr>
    </w:p>
    <w:p w14:paraId="7371A390" w14:textId="4A0907B3" w:rsidR="00E4687D" w:rsidRPr="00E4687D" w:rsidRDefault="00E4687D" w:rsidP="00982AFD">
      <w:pPr>
        <w:spacing w:line="360" w:lineRule="auto"/>
        <w:jc w:val="center"/>
      </w:pPr>
      <w:r w:rsidRPr="00E4687D">
        <w:t xml:space="preserve">Supplementary Table </w:t>
      </w:r>
      <w:r>
        <w:rPr>
          <w:rFonts w:hint="eastAsia"/>
        </w:rPr>
        <w:t xml:space="preserve">4 </w:t>
      </w:r>
      <w:r w:rsidRPr="00E4687D">
        <w:t>EDS analysis of F</w:t>
      </w:r>
      <w:r>
        <w:rPr>
          <w:rFonts w:hint="eastAsia"/>
        </w:rPr>
        <w:t>e</w:t>
      </w:r>
      <w:r w:rsidRPr="00E4687D">
        <w:t>-P surface at different times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62"/>
        <w:gridCol w:w="1661"/>
        <w:gridCol w:w="1661"/>
        <w:gridCol w:w="1661"/>
        <w:gridCol w:w="1661"/>
      </w:tblGrid>
      <w:tr w:rsidR="00E4687D" w:rsidRPr="003F7954" w14:paraId="08052BF0" w14:textId="77777777" w:rsidTr="00982AFD">
        <w:trPr>
          <w:trHeight w:val="300"/>
          <w:jc w:val="center"/>
        </w:trPr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26801E" w14:textId="5DC32485" w:rsidR="00E4687D" w:rsidRPr="003F7954" w:rsidRDefault="00982AF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Content</w:t>
            </w: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 xml:space="preserve"> </w:t>
            </w: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D12F6B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12h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14DF75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24h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CD5F34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48h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C9FD3F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72h</w:t>
            </w:r>
          </w:p>
        </w:tc>
      </w:tr>
      <w:tr w:rsidR="00E4687D" w:rsidRPr="003F7954" w14:paraId="45F591A9" w14:textId="77777777" w:rsidTr="00982AFD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345B1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C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DF926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12.43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BE12C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14.63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A41EF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11.38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02559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9.08</w:t>
            </w:r>
          </w:p>
        </w:tc>
      </w:tr>
      <w:tr w:rsidR="00E4687D" w:rsidRPr="003F7954" w14:paraId="6167D5AB" w14:textId="77777777" w:rsidTr="00982AFD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1E16C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O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2E7A3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41.58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D31FB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38.58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334E4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41.23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0C5F9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41.31</w:t>
            </w:r>
          </w:p>
        </w:tc>
      </w:tr>
      <w:tr w:rsidR="00E4687D" w:rsidRPr="003F7954" w14:paraId="61CCC392" w14:textId="77777777" w:rsidTr="00982AFD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CF6C2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P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98B75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14.79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7EDA2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13.73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4296E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13.8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6490A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14.57</w:t>
            </w:r>
          </w:p>
        </w:tc>
      </w:tr>
      <w:tr w:rsidR="00E4687D" w:rsidRPr="003F7954" w14:paraId="72ED24CE" w14:textId="77777777" w:rsidTr="00982AFD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77A810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Fe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B2A32C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31.2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2A9903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33.06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3CF39D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33.59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5A9AB1" w14:textId="77777777" w:rsidR="00E4687D" w:rsidRPr="003F7954" w:rsidRDefault="00E4687D" w:rsidP="00982AFD">
            <w:pPr>
              <w:widowControl/>
              <w:spacing w:line="36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3F7954">
              <w:rPr>
                <w:rFonts w:eastAsia="等线" w:cs="Times New Roman"/>
                <w:color w:val="000000"/>
                <w:kern w:val="0"/>
                <w:sz w:val="22"/>
              </w:rPr>
              <w:t>35.05</w:t>
            </w:r>
          </w:p>
        </w:tc>
      </w:tr>
    </w:tbl>
    <w:p w14:paraId="0F94F0F2" w14:textId="0EFA54DD" w:rsidR="00E4687D" w:rsidRDefault="00E4687D" w:rsidP="00982AFD">
      <w:pPr>
        <w:spacing w:line="360" w:lineRule="auto"/>
      </w:pPr>
    </w:p>
    <w:p w14:paraId="34966B6B" w14:textId="77777777" w:rsidR="00E4687D" w:rsidRDefault="00E4687D" w:rsidP="00982AFD">
      <w:pPr>
        <w:widowControl/>
        <w:spacing w:line="360" w:lineRule="auto"/>
        <w:jc w:val="left"/>
      </w:pPr>
      <w:r>
        <w:br w:type="page"/>
      </w:r>
    </w:p>
    <w:p w14:paraId="51D8A48E" w14:textId="7608E521" w:rsidR="00BA4EFA" w:rsidRDefault="00861080" w:rsidP="00982AFD">
      <w:pPr>
        <w:spacing w:line="360" w:lineRule="auto"/>
        <w:rPr>
          <w:noProof/>
        </w:rPr>
      </w:pPr>
      <w:r>
        <w:rPr>
          <w:noProof/>
        </w:rPr>
        <w:lastRenderedPageBreak/>
        <w:drawing>
          <wp:inline distT="0" distB="0" distL="0" distR="0" wp14:anchorId="68D66481" wp14:editId="7FCEC5FB">
            <wp:extent cx="5271770" cy="4225925"/>
            <wp:effectExtent l="0" t="0" r="5080" b="3175"/>
            <wp:docPr id="129158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422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94486" w14:textId="6C7043FA" w:rsidR="00D22315" w:rsidRDefault="00D22315" w:rsidP="00982AFD">
      <w:pPr>
        <w:spacing w:line="360" w:lineRule="auto"/>
        <w:rPr>
          <w:noProof/>
        </w:rPr>
      </w:pPr>
      <w:r w:rsidRPr="00982AFD">
        <w:rPr>
          <w:b/>
          <w:bCs/>
        </w:rPr>
        <w:t>Supplementary</w:t>
      </w:r>
      <w:r w:rsidRPr="00982AFD">
        <w:rPr>
          <w:b/>
          <w:bCs/>
          <w:noProof/>
        </w:rPr>
        <w:t xml:space="preserve"> </w:t>
      </w:r>
      <w:r w:rsidR="00BA4EFA" w:rsidRPr="00982AFD">
        <w:rPr>
          <w:b/>
          <w:bCs/>
          <w:noProof/>
        </w:rPr>
        <w:t>Fig</w:t>
      </w:r>
      <w:r w:rsidR="00982AFD" w:rsidRPr="00982AFD">
        <w:rPr>
          <w:rFonts w:hint="eastAsia"/>
          <w:b/>
          <w:bCs/>
          <w:noProof/>
        </w:rPr>
        <w:t xml:space="preserve">. </w:t>
      </w:r>
      <w:r w:rsidRPr="00982AFD">
        <w:rPr>
          <w:rFonts w:hint="eastAsia"/>
          <w:b/>
          <w:bCs/>
          <w:noProof/>
        </w:rPr>
        <w:t>1</w:t>
      </w:r>
      <w:r w:rsidR="00BA4EFA" w:rsidRPr="00BA4EFA">
        <w:rPr>
          <w:noProof/>
        </w:rPr>
        <w:t xml:space="preserve"> Metabolite composition in different </w:t>
      </w:r>
      <w:r w:rsidR="00BA4EFA">
        <w:rPr>
          <w:rFonts w:hint="eastAsia"/>
          <w:noProof/>
        </w:rPr>
        <w:t>treatment</w:t>
      </w:r>
      <w:r w:rsidR="00BA4EFA" w:rsidRPr="00BA4EFA">
        <w:rPr>
          <w:noProof/>
        </w:rPr>
        <w:t xml:space="preserve"> (</w:t>
      </w:r>
      <w:r w:rsidR="00BA4EFA">
        <w:rPr>
          <w:rFonts w:hint="eastAsia"/>
          <w:noProof/>
        </w:rPr>
        <w:t>a</w:t>
      </w:r>
      <w:r w:rsidR="00BA4EFA" w:rsidRPr="00BA4EFA">
        <w:rPr>
          <w:noProof/>
        </w:rPr>
        <w:t>) KEGG compound classification statistical chart, (</w:t>
      </w:r>
      <w:r w:rsidR="00BA4EFA">
        <w:rPr>
          <w:rFonts w:hint="eastAsia"/>
          <w:noProof/>
        </w:rPr>
        <w:t>b</w:t>
      </w:r>
      <w:r w:rsidR="00BA4EFA" w:rsidRPr="00BA4EFA">
        <w:rPr>
          <w:noProof/>
        </w:rPr>
        <w:t>) top 20 KEGG pathway statistics, (</w:t>
      </w:r>
      <w:r w:rsidR="00BA4EFA">
        <w:rPr>
          <w:rFonts w:hint="eastAsia"/>
          <w:noProof/>
        </w:rPr>
        <w:t>c</w:t>
      </w:r>
      <w:r w:rsidR="00BA4EFA" w:rsidRPr="00BA4EFA">
        <w:rPr>
          <w:noProof/>
        </w:rPr>
        <w:t>) Venn analysis of metabolites in different culture media, (</w:t>
      </w:r>
      <w:r w:rsidR="00BA4EFA">
        <w:rPr>
          <w:rFonts w:hint="eastAsia"/>
          <w:noProof/>
        </w:rPr>
        <w:t>d</w:t>
      </w:r>
      <w:r w:rsidR="00BA4EFA" w:rsidRPr="00BA4EFA">
        <w:rPr>
          <w:noProof/>
        </w:rPr>
        <w:t>) PCA analysis of metabolites in different culture media.</w:t>
      </w:r>
    </w:p>
    <w:p w14:paraId="0D3AC8B6" w14:textId="77777777" w:rsidR="00D22315" w:rsidRDefault="00D22315" w:rsidP="00982AFD">
      <w:pPr>
        <w:widowControl/>
        <w:spacing w:line="360" w:lineRule="auto"/>
        <w:jc w:val="left"/>
        <w:rPr>
          <w:noProof/>
        </w:rPr>
      </w:pPr>
      <w:r>
        <w:rPr>
          <w:noProof/>
        </w:rPr>
        <w:br w:type="page"/>
      </w:r>
    </w:p>
    <w:p w14:paraId="5F13A052" w14:textId="5E42AC04" w:rsidR="003F7954" w:rsidRDefault="00861080" w:rsidP="00982AFD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6D213014" wp14:editId="3ECDFF7A">
            <wp:extent cx="5263515" cy="3585845"/>
            <wp:effectExtent l="0" t="0" r="0" b="0"/>
            <wp:docPr id="207004524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358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4EFA" w:rsidRPr="00BA4EFA">
        <w:rPr>
          <w:noProof/>
        </w:rPr>
        <w:t xml:space="preserve"> </w:t>
      </w:r>
    </w:p>
    <w:p w14:paraId="63BF7CDD" w14:textId="0ECFEAFA" w:rsidR="00D22315" w:rsidRDefault="00D22315" w:rsidP="00982AFD">
      <w:pPr>
        <w:spacing w:line="360" w:lineRule="auto"/>
      </w:pPr>
      <w:r w:rsidRPr="00982AFD">
        <w:rPr>
          <w:b/>
          <w:bCs/>
        </w:rPr>
        <w:t>Supplementary</w:t>
      </w:r>
      <w:r w:rsidRPr="00982AFD">
        <w:rPr>
          <w:b/>
          <w:bCs/>
          <w:noProof/>
        </w:rPr>
        <w:t xml:space="preserve"> Fig</w:t>
      </w:r>
      <w:r w:rsidR="00982AFD">
        <w:rPr>
          <w:rFonts w:hint="eastAsia"/>
          <w:b/>
          <w:bCs/>
          <w:noProof/>
        </w:rPr>
        <w:t xml:space="preserve">. </w:t>
      </w:r>
      <w:r w:rsidRPr="00982AFD">
        <w:rPr>
          <w:rFonts w:hint="eastAsia"/>
          <w:b/>
          <w:bCs/>
          <w:noProof/>
        </w:rPr>
        <w:t>2</w:t>
      </w:r>
      <w:r>
        <w:rPr>
          <w:rFonts w:hint="eastAsia"/>
          <w:noProof/>
        </w:rPr>
        <w:t xml:space="preserve"> </w:t>
      </w:r>
      <w:r w:rsidRPr="00D22315">
        <w:t>The abundance of key organic acids under different insoluble phosph</w:t>
      </w:r>
      <w:r>
        <w:rPr>
          <w:rFonts w:hint="eastAsia"/>
        </w:rPr>
        <w:t>ate</w:t>
      </w:r>
      <w:r w:rsidRPr="00D22315">
        <w:t xml:space="preserve"> treatments.</w:t>
      </w:r>
    </w:p>
    <w:sectPr w:rsidR="00D22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4447" w14:textId="77777777" w:rsidR="00604ACA" w:rsidRDefault="00604ACA" w:rsidP="00BF7A91">
      <w:r>
        <w:separator/>
      </w:r>
    </w:p>
  </w:endnote>
  <w:endnote w:type="continuationSeparator" w:id="0">
    <w:p w14:paraId="473B4B16" w14:textId="77777777" w:rsidR="00604ACA" w:rsidRDefault="00604ACA" w:rsidP="00BF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FDEFA" w14:textId="77777777" w:rsidR="00604ACA" w:rsidRDefault="00604ACA" w:rsidP="00BF7A91">
      <w:r>
        <w:separator/>
      </w:r>
    </w:p>
  </w:footnote>
  <w:footnote w:type="continuationSeparator" w:id="0">
    <w:p w14:paraId="1832876A" w14:textId="77777777" w:rsidR="00604ACA" w:rsidRDefault="00604ACA" w:rsidP="00BF7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2A"/>
    <w:rsid w:val="000332ED"/>
    <w:rsid w:val="000610D0"/>
    <w:rsid w:val="001C05CA"/>
    <w:rsid w:val="0021632A"/>
    <w:rsid w:val="00230176"/>
    <w:rsid w:val="00236158"/>
    <w:rsid w:val="00316E88"/>
    <w:rsid w:val="003F7954"/>
    <w:rsid w:val="00455A7E"/>
    <w:rsid w:val="004D66FE"/>
    <w:rsid w:val="005C7C94"/>
    <w:rsid w:val="00604ACA"/>
    <w:rsid w:val="00606304"/>
    <w:rsid w:val="00614F19"/>
    <w:rsid w:val="00617CCE"/>
    <w:rsid w:val="00717B3F"/>
    <w:rsid w:val="00766F63"/>
    <w:rsid w:val="00861080"/>
    <w:rsid w:val="008639AA"/>
    <w:rsid w:val="00867A32"/>
    <w:rsid w:val="008802E1"/>
    <w:rsid w:val="009572AB"/>
    <w:rsid w:val="00982AFD"/>
    <w:rsid w:val="00994055"/>
    <w:rsid w:val="00A27117"/>
    <w:rsid w:val="00B660CC"/>
    <w:rsid w:val="00BA4EFA"/>
    <w:rsid w:val="00BF7A91"/>
    <w:rsid w:val="00CF158C"/>
    <w:rsid w:val="00D22315"/>
    <w:rsid w:val="00D31603"/>
    <w:rsid w:val="00D326DD"/>
    <w:rsid w:val="00DE029B"/>
    <w:rsid w:val="00E4687D"/>
    <w:rsid w:val="00E6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7B858"/>
  <w15:chartTrackingRefBased/>
  <w15:docId w15:val="{DCF68695-424D-4D20-9609-5F7ACA91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华文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32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32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32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32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32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32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32A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32A"/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1632A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32A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32A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32A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3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3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3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32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F7A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F7A9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F7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F7A91"/>
    <w:rPr>
      <w:sz w:val="18"/>
      <w:szCs w:val="18"/>
    </w:rPr>
  </w:style>
  <w:style w:type="character" w:styleId="af2">
    <w:name w:val="Hyperlink"/>
    <w:basedOn w:val="a0"/>
    <w:uiPriority w:val="99"/>
    <w:unhideWhenUsed/>
    <w:rsid w:val="00982A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xccn@mail.hza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8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青云 徐</dc:creator>
  <cp:keywords/>
  <dc:description/>
  <cp:lastModifiedBy>青云 徐</cp:lastModifiedBy>
  <cp:revision>6</cp:revision>
  <dcterms:created xsi:type="dcterms:W3CDTF">2025-11-05T15:06:00Z</dcterms:created>
  <dcterms:modified xsi:type="dcterms:W3CDTF">2025-11-28T07:30:00Z</dcterms:modified>
</cp:coreProperties>
</file>