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8A3FE" w14:textId="77777777" w:rsidR="004E16B2" w:rsidRDefault="00000000">
      <w:pPr>
        <w:spacing w:line="48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93912605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Supplementary Files</w:t>
      </w:r>
    </w:p>
    <w:p w14:paraId="5327FA60" w14:textId="77777777" w:rsidR="004E16B2" w:rsidRDefault="0000000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07EEBE" wp14:editId="325EA44C">
            <wp:extent cx="5271135" cy="1892935"/>
            <wp:effectExtent l="0" t="0" r="5715" b="0"/>
            <wp:docPr id="10516648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64874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0FA2F" w14:textId="4FFF7A5F" w:rsidR="004E16B2" w:rsidRPr="007246D7" w:rsidRDefault="00000000">
      <w:pPr>
        <w:spacing w:line="480" w:lineRule="auto"/>
        <w:rPr>
          <w:rFonts w:ascii="Times New Roman" w:eastAsia="微软雅黑" w:hAnsi="Times New Roman" w:cs="Times New Roman"/>
          <w:b/>
          <w:bCs/>
          <w:sz w:val="24"/>
          <w:szCs w:val="24"/>
        </w:rPr>
      </w:pPr>
      <w:bookmarkStart w:id="1" w:name="OLE_LINK9"/>
      <w:r w:rsidRPr="007246D7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bookmarkEnd w:id="1"/>
      <w:r w:rsidR="007246D7" w:rsidRPr="007246D7">
        <w:rPr>
          <w:rFonts w:ascii="Times New Roman" w:eastAsia="微软雅黑" w:hAnsi="Times New Roman" w:cs="Times New Roman"/>
          <w:b/>
          <w:bCs/>
          <w:sz w:val="24"/>
          <w:szCs w:val="24"/>
        </w:rPr>
        <w:t xml:space="preserve"> Fig</w:t>
      </w:r>
      <w:r w:rsidR="007246D7" w:rsidRPr="007246D7"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 xml:space="preserve">. 1 </w:t>
      </w:r>
      <w:r w:rsidRPr="007246D7">
        <w:rPr>
          <w:rFonts w:ascii="Times New Roman" w:eastAsia="微软雅黑" w:hAnsi="Times New Roman" w:cs="Times New Roman"/>
          <w:b/>
          <w:bCs/>
          <w:sz w:val="24"/>
          <w:szCs w:val="24"/>
        </w:rPr>
        <w:t xml:space="preserve">HUA leads to morphological changes of retinal blood vessels. </w:t>
      </w:r>
      <w:r w:rsidRPr="00A720B1">
        <w:rPr>
          <w:rFonts w:ascii="Times New Roman" w:eastAsia="微软雅黑" w:hAnsi="Times New Roman" w:cs="Times New Roman"/>
          <w:sz w:val="24"/>
          <w:szCs w:val="24"/>
        </w:rPr>
        <w:t>Representative</w:t>
      </w:r>
      <w:r w:rsidRPr="00A720B1">
        <w:rPr>
          <w:rFonts w:ascii="Times New Roman" w:eastAsia="微软雅黑" w:hAnsi="Times New Roman" w:cs="Times New Roman"/>
          <w:color w:val="000000" w:themeColor="text1"/>
          <w:sz w:val="24"/>
          <w:szCs w:val="24"/>
        </w:rPr>
        <w:t xml:space="preserve"> fundus photography of the mice</w:t>
      </w:r>
      <w:r w:rsidRPr="00A720B1">
        <w:rPr>
          <w:rFonts w:ascii="Times New Roman" w:eastAsia="微软雅黑" w:hAnsi="Times New Roman" w:cs="Times New Roman"/>
          <w:sz w:val="24"/>
          <w:szCs w:val="24"/>
        </w:rPr>
        <w:t>. Black arrow: suspicious UA crystals deposition in the vitreous body and retina.</w:t>
      </w:r>
    </w:p>
    <w:p w14:paraId="16FF52E9" w14:textId="77777777" w:rsidR="00993546" w:rsidRDefault="00993546">
      <w:pPr>
        <w:spacing w:line="480" w:lineRule="auto"/>
        <w:rPr>
          <w:rFonts w:ascii="Times New Roman" w:eastAsia="微软雅黑" w:hAnsi="Times New Roman" w:cs="Times New Roman"/>
          <w:sz w:val="24"/>
          <w:szCs w:val="24"/>
        </w:rPr>
      </w:pPr>
    </w:p>
    <w:p w14:paraId="4AB06977" w14:textId="3ED9945A" w:rsidR="00993546" w:rsidRDefault="0010220C" w:rsidP="007246D7">
      <w:pPr>
        <w:spacing w:line="480" w:lineRule="auto"/>
        <w:jc w:val="center"/>
        <w:rPr>
          <w:rFonts w:ascii="Times New Roman" w:eastAsia="微软雅黑" w:hAnsi="Times New Roman" w:cs="Times New Roman"/>
          <w:sz w:val="24"/>
          <w:szCs w:val="24"/>
        </w:rPr>
      </w:pPr>
      <w:r>
        <w:rPr>
          <w:rFonts w:ascii="Times New Roman" w:eastAsia="微软雅黑" w:hAnsi="Times New Roman" w:cs="Times New Roman"/>
          <w:noProof/>
          <w:sz w:val="24"/>
          <w:szCs w:val="24"/>
        </w:rPr>
        <w:drawing>
          <wp:inline distT="0" distB="0" distL="0" distR="0" wp14:anchorId="4E915F0B" wp14:editId="0D830E2A">
            <wp:extent cx="5272405" cy="3009900"/>
            <wp:effectExtent l="0" t="0" r="0" b="0"/>
            <wp:docPr id="637747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8CFE3" w14:textId="1A9735E9" w:rsidR="00993546" w:rsidRPr="007246D7" w:rsidRDefault="007246D7" w:rsidP="00993546">
      <w:pPr>
        <w:spacing w:line="480" w:lineRule="auto"/>
        <w:rPr>
          <w:rFonts w:ascii="Times New Roman" w:eastAsia="微软雅黑" w:hAnsi="Times New Roman" w:cs="Times New Roman"/>
          <w:b/>
          <w:bCs/>
          <w:sz w:val="24"/>
          <w:szCs w:val="24"/>
        </w:rPr>
      </w:pPr>
      <w:bookmarkStart w:id="2" w:name="_Hlk216046823"/>
      <w:r w:rsidRPr="007246D7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7246D7">
        <w:rPr>
          <w:rFonts w:ascii="Times New Roman" w:eastAsia="微软雅黑" w:hAnsi="Times New Roman" w:cs="Times New Roman"/>
          <w:b/>
          <w:bCs/>
          <w:sz w:val="24"/>
          <w:szCs w:val="24"/>
        </w:rPr>
        <w:t xml:space="preserve"> Fig</w:t>
      </w:r>
      <w:r w:rsidRPr="007246D7"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>. 2</w:t>
      </w:r>
      <w:r w:rsidR="00993546" w:rsidRPr="007246D7"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 xml:space="preserve"> HUA promote</w:t>
      </w:r>
      <w:r w:rsidR="00BA3218" w:rsidRPr="007246D7"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>s</w:t>
      </w:r>
      <w:r w:rsidR="00993546" w:rsidRPr="007246D7"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 xml:space="preserve"> retinal inflammation. </w:t>
      </w:r>
      <w:r w:rsidR="00993546" w:rsidRPr="00A720B1">
        <w:rPr>
          <w:rFonts w:ascii="Times New Roman" w:eastAsia="微软雅黑" w:hAnsi="Times New Roman" w:cs="Times New Roman"/>
          <w:sz w:val="24"/>
          <w:szCs w:val="24"/>
        </w:rPr>
        <w:t>The gene expression levels of IL-1α (</w:t>
      </w:r>
      <w:r w:rsidRPr="00A720B1">
        <w:rPr>
          <w:rFonts w:ascii="Times New Roman" w:eastAsia="微软雅黑" w:hAnsi="Times New Roman" w:cs="Times New Roman"/>
          <w:sz w:val="24"/>
          <w:szCs w:val="24"/>
        </w:rPr>
        <w:t>a</w:t>
      </w:r>
      <w:r w:rsidR="00993546" w:rsidRPr="00A720B1">
        <w:rPr>
          <w:rFonts w:ascii="Times New Roman" w:eastAsia="微软雅黑" w:hAnsi="Times New Roman" w:cs="Times New Roman"/>
          <w:sz w:val="24"/>
          <w:szCs w:val="24"/>
        </w:rPr>
        <w:t>), IL-1β (</w:t>
      </w:r>
      <w:r w:rsidRPr="00A720B1">
        <w:rPr>
          <w:rFonts w:ascii="Times New Roman" w:eastAsia="微软雅黑" w:hAnsi="Times New Roman" w:cs="Times New Roman"/>
          <w:sz w:val="24"/>
          <w:szCs w:val="24"/>
        </w:rPr>
        <w:t>b</w:t>
      </w:r>
      <w:r w:rsidR="00993546" w:rsidRPr="00A720B1">
        <w:rPr>
          <w:rFonts w:ascii="Times New Roman" w:eastAsia="微软雅黑" w:hAnsi="Times New Roman" w:cs="Times New Roman"/>
          <w:sz w:val="24"/>
          <w:szCs w:val="24"/>
        </w:rPr>
        <w:t>) in retinas of modeling mice (n=</w:t>
      </w:r>
      <w:r w:rsidR="003E53A2" w:rsidRPr="00A720B1">
        <w:rPr>
          <w:rFonts w:ascii="Times New Roman" w:eastAsia="微软雅黑" w:hAnsi="Times New Roman" w:cs="Times New Roman" w:hint="eastAsia"/>
          <w:sz w:val="24"/>
          <w:szCs w:val="24"/>
        </w:rPr>
        <w:t>5</w:t>
      </w:r>
      <w:r w:rsidR="00993546" w:rsidRPr="00A720B1">
        <w:rPr>
          <w:rFonts w:ascii="Times New Roman" w:eastAsia="微软雅黑" w:hAnsi="Times New Roman" w:cs="Times New Roman"/>
          <w:sz w:val="24"/>
          <w:szCs w:val="24"/>
        </w:rPr>
        <w:t>). Data are presented as mean ± SD; *p &lt; 0.05; **p &lt; 0.01, ***p &lt; 0.0001 (one-way analysis of variance followed by Tukey’s post hoc tests).</w:t>
      </w:r>
    </w:p>
    <w:bookmarkEnd w:id="2"/>
    <w:p w14:paraId="72D0F79E" w14:textId="77777777" w:rsidR="008F01C0" w:rsidRDefault="008F01C0" w:rsidP="00993546">
      <w:pPr>
        <w:spacing w:line="480" w:lineRule="auto"/>
        <w:rPr>
          <w:rFonts w:ascii="Times New Roman" w:eastAsia="微软雅黑" w:hAnsi="Times New Roman" w:cs="Times New Roman"/>
          <w:sz w:val="24"/>
          <w:szCs w:val="24"/>
        </w:rPr>
      </w:pPr>
    </w:p>
    <w:p w14:paraId="1B97F00A" w14:textId="71C02DB8" w:rsidR="008F01C0" w:rsidRDefault="008F01C0" w:rsidP="008F01C0">
      <w:pPr>
        <w:spacing w:line="480" w:lineRule="auto"/>
        <w:jc w:val="center"/>
        <w:rPr>
          <w:rFonts w:ascii="Times New Roman" w:eastAsia="微软雅黑" w:hAnsi="Times New Roman" w:cs="Times New Roman"/>
          <w:b/>
          <w:bCs/>
          <w:sz w:val="24"/>
          <w:szCs w:val="24"/>
        </w:rPr>
      </w:pPr>
      <w:r>
        <w:rPr>
          <w:rFonts w:ascii="Times New Roman" w:eastAsia="微软雅黑" w:hAnsi="Times New Roman" w:cs="Times New Roman"/>
          <w:noProof/>
          <w:sz w:val="24"/>
          <w:szCs w:val="24"/>
        </w:rPr>
        <w:drawing>
          <wp:inline distT="0" distB="0" distL="0" distR="0" wp14:anchorId="3222CD44" wp14:editId="4856428D">
            <wp:extent cx="4320000" cy="1884399"/>
            <wp:effectExtent l="0" t="0" r="0" b="1905"/>
            <wp:docPr id="6374924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8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C7DDE" w14:textId="7AA955AC" w:rsidR="00993546" w:rsidRPr="007246D7" w:rsidRDefault="007246D7" w:rsidP="007246D7">
      <w:pPr>
        <w:spacing w:line="480" w:lineRule="auto"/>
        <w:rPr>
          <w:rFonts w:ascii="Times New Roman" w:eastAsia="微软雅黑" w:hAnsi="Times New Roman" w:cs="Times New Roman"/>
          <w:b/>
          <w:bCs/>
          <w:sz w:val="24"/>
          <w:szCs w:val="24"/>
        </w:rPr>
      </w:pPr>
      <w:bookmarkStart w:id="3" w:name="_Hlk208833325"/>
      <w:r w:rsidRPr="007246D7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7246D7">
        <w:rPr>
          <w:rFonts w:ascii="Times New Roman" w:eastAsia="微软雅黑" w:hAnsi="Times New Roman" w:cs="Times New Roman"/>
          <w:b/>
          <w:bCs/>
          <w:sz w:val="24"/>
          <w:szCs w:val="24"/>
        </w:rPr>
        <w:t xml:space="preserve"> Fig</w:t>
      </w:r>
      <w:r w:rsidRPr="007246D7"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>. 3</w:t>
      </w:r>
      <w:r w:rsidR="008F01C0" w:rsidRPr="007246D7">
        <w:rPr>
          <w:rFonts w:ascii="Times New Roman" w:eastAsia="微软雅黑" w:hAnsi="Times New Roman" w:cs="Times New Roman"/>
          <w:b/>
          <w:bCs/>
          <w:sz w:val="24"/>
          <w:szCs w:val="24"/>
        </w:rPr>
        <w:t xml:space="preserve"> </w:t>
      </w:r>
      <w:r w:rsidR="008F01C0" w:rsidRPr="007246D7">
        <w:rPr>
          <w:rFonts w:ascii="Times New Roman" w:hAnsi="Times New Roman" w:cs="Times New Roman" w:hint="eastAsia"/>
          <w:b/>
          <w:bCs/>
          <w:sz w:val="24"/>
          <w:szCs w:val="24"/>
        </w:rPr>
        <w:t>PRNs labeled with specific markers for neurons and RGCs</w:t>
      </w:r>
      <w:r w:rsidR="008F01C0" w:rsidRPr="007246D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7125A" w:rsidRPr="00A720B1">
        <w:rPr>
          <w:rFonts w:ascii="Times New Roman" w:eastAsia="微软雅黑" w:hAnsi="Times New Roman" w:cs="Times New Roman" w:hint="eastAsia"/>
          <w:sz w:val="24"/>
          <w:szCs w:val="24"/>
        </w:rPr>
        <w:t xml:space="preserve">Representative co-staining images of MAP-2 and Tuj-1, PAX-6 and Brn-3a on the PRNs. Scale bar: 25 </w:t>
      </w:r>
      <w:r w:rsidR="00CD6350" w:rsidRPr="00A720B1">
        <w:rPr>
          <w:rFonts w:ascii="Times New Roman" w:hAnsi="Times New Roman" w:cs="Times New Roman" w:hint="eastAsia"/>
          <w:sz w:val="24"/>
          <w:szCs w:val="24"/>
        </w:rPr>
        <w:t>µ</w:t>
      </w:r>
      <w:r w:rsidR="00C7125A" w:rsidRPr="00A720B1">
        <w:rPr>
          <w:rFonts w:ascii="Times New Roman" w:eastAsia="微软雅黑" w:hAnsi="Times New Roman" w:cs="Times New Roman" w:hint="eastAsia"/>
          <w:sz w:val="24"/>
          <w:szCs w:val="24"/>
        </w:rPr>
        <w:t>m.</w:t>
      </w:r>
    </w:p>
    <w:bookmarkEnd w:id="3"/>
    <w:p w14:paraId="190E1E01" w14:textId="77777777" w:rsidR="00C7125A" w:rsidRPr="00993546" w:rsidRDefault="00C7125A" w:rsidP="00C7125A">
      <w:pPr>
        <w:spacing w:line="480" w:lineRule="auto"/>
        <w:jc w:val="left"/>
        <w:rPr>
          <w:rFonts w:ascii="Times New Roman" w:eastAsia="微软雅黑" w:hAnsi="Times New Roman" w:cs="Times New Roman"/>
          <w:sz w:val="24"/>
          <w:szCs w:val="24"/>
        </w:rPr>
      </w:pPr>
    </w:p>
    <w:p w14:paraId="6D5A7959" w14:textId="61F66B81" w:rsidR="008F01C0" w:rsidRDefault="0010220C" w:rsidP="00E2452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F4D49A" wp14:editId="3BFA545B">
            <wp:extent cx="5272405" cy="3891280"/>
            <wp:effectExtent l="0" t="0" r="0" b="0"/>
            <wp:docPr id="16970150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CA68E" w14:textId="1C662605" w:rsidR="004E16B2" w:rsidRPr="007246D7" w:rsidRDefault="007246D7">
      <w:pPr>
        <w:spacing w:line="480" w:lineRule="auto"/>
        <w:rPr>
          <w:rFonts w:ascii="Times New Roman" w:eastAsia="微软雅黑" w:hAnsi="Times New Roman" w:cs="Times New Roman"/>
          <w:b/>
          <w:bCs/>
          <w:sz w:val="24"/>
          <w:szCs w:val="24"/>
        </w:rPr>
      </w:pPr>
      <w:bookmarkStart w:id="4" w:name="_Hlk208833330"/>
      <w:r w:rsidRPr="007246D7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7246D7">
        <w:rPr>
          <w:rFonts w:ascii="Times New Roman" w:eastAsia="微软雅黑" w:hAnsi="Times New Roman" w:cs="Times New Roman"/>
          <w:b/>
          <w:bCs/>
          <w:sz w:val="24"/>
          <w:szCs w:val="24"/>
        </w:rPr>
        <w:t xml:space="preserve"> Fig</w:t>
      </w:r>
      <w:r w:rsidRPr="007246D7"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>. 4</w:t>
      </w:r>
      <w:r w:rsidRPr="007246D7">
        <w:rPr>
          <w:rFonts w:ascii="Times New Roman" w:eastAsia="微软雅黑" w:hAnsi="Times New Roman" w:cs="Times New Roman"/>
          <w:b/>
          <w:bCs/>
          <w:sz w:val="24"/>
          <w:szCs w:val="24"/>
        </w:rPr>
        <w:t xml:space="preserve"> </w:t>
      </w:r>
      <w:r w:rsidRPr="007246D7">
        <w:rPr>
          <w:rFonts w:ascii="Times New Roman" w:hAnsi="Times New Roman" w:cs="Times New Roman"/>
          <w:b/>
          <w:bCs/>
          <w:sz w:val="24"/>
          <w:szCs w:val="24"/>
        </w:rPr>
        <w:t xml:space="preserve">UA reduces the viability of R28 cells. </w:t>
      </w:r>
      <w:r w:rsidRPr="00A720B1">
        <w:rPr>
          <w:rFonts w:ascii="Times New Roman" w:hAnsi="Times New Roman" w:cs="Times New Roman"/>
          <w:sz w:val="24"/>
          <w:szCs w:val="24"/>
        </w:rPr>
        <w:t xml:space="preserve">The cell viability of R28 cells with treatment </w:t>
      </w:r>
      <w:r w:rsidRPr="00A720B1">
        <w:rPr>
          <w:rFonts w:ascii="Times New Roman" w:hAnsi="Times New Roman" w:cs="Times New Roman" w:hint="eastAsia"/>
          <w:sz w:val="24"/>
          <w:szCs w:val="24"/>
        </w:rPr>
        <w:t>of</w:t>
      </w:r>
      <w:r w:rsidRPr="00A720B1">
        <w:rPr>
          <w:rFonts w:ascii="Times New Roman" w:hAnsi="Times New Roman" w:cs="Times New Roman"/>
          <w:sz w:val="24"/>
          <w:szCs w:val="24"/>
        </w:rPr>
        <w:t xml:space="preserve"> different UA concentrations for 24 (a) and 48 (b) hours</w:t>
      </w:r>
      <w:r w:rsidRPr="00A720B1">
        <w:rPr>
          <w:rFonts w:ascii="Times New Roman" w:hAnsi="Times New Roman" w:cs="Times New Roman" w:hint="eastAsia"/>
          <w:sz w:val="24"/>
          <w:szCs w:val="24"/>
        </w:rPr>
        <w:t xml:space="preserve"> (n=</w:t>
      </w:r>
      <w:r w:rsidR="003E53A2" w:rsidRPr="00A720B1">
        <w:rPr>
          <w:rFonts w:ascii="Times New Roman" w:hAnsi="Times New Roman" w:cs="Times New Roman" w:hint="eastAsia"/>
          <w:sz w:val="24"/>
          <w:szCs w:val="24"/>
        </w:rPr>
        <w:t>5</w:t>
      </w:r>
      <w:r w:rsidRPr="00A720B1">
        <w:rPr>
          <w:rFonts w:ascii="Times New Roman" w:hAnsi="Times New Roman" w:cs="Times New Roman" w:hint="eastAsia"/>
          <w:sz w:val="24"/>
          <w:szCs w:val="24"/>
        </w:rPr>
        <w:t>)</w:t>
      </w:r>
      <w:r w:rsidRPr="00A720B1">
        <w:rPr>
          <w:rFonts w:ascii="Times New Roman" w:hAnsi="Times New Roman" w:cs="Times New Roman"/>
          <w:sz w:val="24"/>
          <w:szCs w:val="24"/>
        </w:rPr>
        <w:t xml:space="preserve">. </w:t>
      </w:r>
      <w:r w:rsidRPr="00A720B1">
        <w:rPr>
          <w:rFonts w:ascii="Times New Roman" w:hAnsi="Times New Roman" w:cs="Times New Roman"/>
          <w:sz w:val="24"/>
          <w:szCs w:val="24"/>
        </w:rPr>
        <w:lastRenderedPageBreak/>
        <w:t xml:space="preserve">Data are presented as mean ± SD; ****p &lt; 0.0001 </w:t>
      </w:r>
      <w:r w:rsidRPr="00A720B1">
        <w:rPr>
          <w:rFonts w:ascii="Times New Roman" w:eastAsia="微软雅黑" w:hAnsi="Times New Roman" w:cs="Times New Roman"/>
          <w:sz w:val="24"/>
          <w:szCs w:val="24"/>
        </w:rPr>
        <w:t>(one-way analysis of variance followed by Tukey’s post hoc tests)</w:t>
      </w:r>
      <w:r w:rsidRPr="00A720B1">
        <w:rPr>
          <w:rFonts w:ascii="Times New Roman" w:hAnsi="Times New Roman" w:cs="Times New Roman"/>
          <w:sz w:val="24"/>
          <w:szCs w:val="24"/>
        </w:rPr>
        <w:t>.</w:t>
      </w:r>
    </w:p>
    <w:bookmarkEnd w:id="4"/>
    <w:p w14:paraId="055E7A85" w14:textId="77777777" w:rsidR="004E16B2" w:rsidRDefault="004E16B2">
      <w:pPr>
        <w:spacing w:line="480" w:lineRule="auto"/>
        <w:rPr>
          <w:rFonts w:ascii="Times New Roman" w:hAnsi="Times New Roman" w:cs="Times New Roman"/>
        </w:rPr>
      </w:pPr>
    </w:p>
    <w:p w14:paraId="148EE722" w14:textId="1C5A227A" w:rsidR="004E16B2" w:rsidRDefault="0010220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778A4226" wp14:editId="48E95F50">
            <wp:extent cx="5262880" cy="2847975"/>
            <wp:effectExtent l="0" t="0" r="0" b="9525"/>
            <wp:docPr id="1782368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5BA46" w14:textId="3E384DDF" w:rsidR="004E16B2" w:rsidRPr="007246D7" w:rsidRDefault="007246D7">
      <w:pPr>
        <w:spacing w:line="480" w:lineRule="auto"/>
        <w:rPr>
          <w:rFonts w:ascii="Times New Roman" w:eastAsia="微软雅黑" w:hAnsi="Times New Roman" w:cs="Times New Roman"/>
          <w:b/>
          <w:bCs/>
          <w:sz w:val="24"/>
          <w:szCs w:val="24"/>
        </w:rPr>
      </w:pPr>
      <w:bookmarkStart w:id="5" w:name="_Hlk208833335"/>
      <w:r w:rsidRPr="007246D7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7246D7">
        <w:rPr>
          <w:rFonts w:ascii="Times New Roman" w:eastAsia="微软雅黑" w:hAnsi="Times New Roman" w:cs="Times New Roman"/>
          <w:b/>
          <w:bCs/>
          <w:sz w:val="24"/>
          <w:szCs w:val="24"/>
        </w:rPr>
        <w:t xml:space="preserve"> Fig</w:t>
      </w:r>
      <w:r w:rsidRPr="007246D7"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 xml:space="preserve">. 5 </w:t>
      </w:r>
      <w:r w:rsidRPr="007246D7">
        <w:rPr>
          <w:rFonts w:ascii="Times New Roman" w:hAnsi="Times New Roman" w:cs="Times New Roman"/>
          <w:b/>
          <w:bCs/>
          <w:sz w:val="24"/>
          <w:szCs w:val="24"/>
        </w:rPr>
        <w:t xml:space="preserve">UA </w:t>
      </w:r>
      <w:r w:rsidRPr="007246D7">
        <w:rPr>
          <w:rFonts w:ascii="Times New Roman" w:hAnsi="Times New Roman" w:cs="Times New Roman" w:hint="eastAsia"/>
          <w:b/>
          <w:bCs/>
          <w:sz w:val="24"/>
          <w:szCs w:val="24"/>
        </w:rPr>
        <w:t>increases the early apoptosis</w:t>
      </w:r>
      <w:r w:rsidR="00795E07" w:rsidRPr="007246D7">
        <w:rPr>
          <w:rFonts w:ascii="Times New Roman" w:hAnsi="Times New Roman" w:cs="Times New Roman" w:hint="eastAsia"/>
          <w:b/>
          <w:bCs/>
          <w:sz w:val="24"/>
          <w:szCs w:val="24"/>
        </w:rPr>
        <w:t>. 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795E07" w:rsidRPr="007246D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) </w:t>
      </w:r>
      <w:r w:rsidRPr="007246D7">
        <w:rPr>
          <w:rFonts w:ascii="Times New Roman" w:eastAsia="微软雅黑" w:hAnsi="Times New Roman" w:cs="Times New Roman"/>
          <w:b/>
          <w:bCs/>
          <w:sz w:val="24"/>
          <w:szCs w:val="24"/>
        </w:rPr>
        <w:t>Representative</w:t>
      </w:r>
      <w:r w:rsidRPr="007246D7">
        <w:rPr>
          <w:rFonts w:ascii="Times New Roman" w:eastAsia="微软雅黑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7246D7">
        <w:rPr>
          <w:rFonts w:ascii="Times New Roman" w:eastAsia="微软雅黑" w:hAnsi="Times New Roman" w:cs="Times New Roman" w:hint="eastAsia"/>
          <w:b/>
          <w:bCs/>
          <w:color w:val="000000" w:themeColor="text1"/>
          <w:sz w:val="24"/>
          <w:szCs w:val="24"/>
        </w:rPr>
        <w:t xml:space="preserve">flow cytometry images of PRNs </w:t>
      </w:r>
      <w:r w:rsidRPr="007246D7">
        <w:rPr>
          <w:rFonts w:ascii="Times New Roman" w:hAnsi="Times New Roman" w:cs="Times New Roman"/>
          <w:b/>
          <w:bCs/>
          <w:sz w:val="24"/>
          <w:szCs w:val="24"/>
        </w:rPr>
        <w:t xml:space="preserve">with treatment </w:t>
      </w:r>
      <w:r w:rsidRPr="007246D7">
        <w:rPr>
          <w:rFonts w:ascii="Times New Roman" w:hAnsi="Times New Roman" w:cs="Times New Roman" w:hint="eastAsia"/>
          <w:b/>
          <w:bCs/>
          <w:sz w:val="24"/>
          <w:szCs w:val="24"/>
        </w:rPr>
        <w:t>of</w:t>
      </w:r>
      <w:r w:rsidRPr="007246D7">
        <w:rPr>
          <w:rFonts w:ascii="Times New Roman" w:hAnsi="Times New Roman" w:cs="Times New Roman"/>
          <w:b/>
          <w:bCs/>
          <w:sz w:val="24"/>
          <w:szCs w:val="24"/>
        </w:rPr>
        <w:t xml:space="preserve"> different UA concentrations</w:t>
      </w:r>
      <w:r w:rsidRPr="007246D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for 12</w:t>
      </w:r>
      <w:r w:rsidR="00FC3563" w:rsidRPr="007246D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7246D7">
        <w:rPr>
          <w:rFonts w:ascii="Times New Roman" w:hAnsi="Times New Roman" w:cs="Times New Roman" w:hint="eastAsia"/>
          <w:b/>
          <w:bCs/>
          <w:sz w:val="24"/>
          <w:szCs w:val="24"/>
        </w:rPr>
        <w:t>h</w:t>
      </w:r>
      <w:r w:rsidR="00FC3563" w:rsidRPr="007246D7">
        <w:rPr>
          <w:rFonts w:ascii="Times New Roman" w:hAnsi="Times New Roman" w:cs="Times New Roman" w:hint="eastAsia"/>
          <w:b/>
          <w:bCs/>
          <w:sz w:val="24"/>
          <w:szCs w:val="24"/>
        </w:rPr>
        <w:t>ours</w:t>
      </w:r>
      <w:r w:rsidRPr="007246D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(apoptosis rate from 0 to 1000 µmol/L: 6.44, 12.4, 12.5, 16.1, 17.8 and 18.9%).</w:t>
      </w:r>
      <w:r w:rsidR="00795E07" w:rsidRPr="007246D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795E07" w:rsidRPr="007246D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) </w:t>
      </w:r>
      <w:r w:rsidR="00795E07" w:rsidRPr="007246D7">
        <w:rPr>
          <w:rFonts w:ascii="Times New Roman" w:eastAsia="微软雅黑" w:hAnsi="Times New Roman" w:cs="Times New Roman"/>
          <w:b/>
          <w:bCs/>
          <w:sz w:val="24"/>
          <w:szCs w:val="24"/>
        </w:rPr>
        <w:t>Representative</w:t>
      </w:r>
      <w:r w:rsidR="00795E07" w:rsidRPr="007246D7"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 xml:space="preserve"> DNA ladder images of R28 cells </w:t>
      </w:r>
      <w:r w:rsidR="00795E07" w:rsidRPr="007246D7">
        <w:rPr>
          <w:rFonts w:ascii="Times New Roman" w:hAnsi="Times New Roman" w:cs="Times New Roman"/>
          <w:b/>
          <w:bCs/>
          <w:sz w:val="24"/>
          <w:szCs w:val="24"/>
        </w:rPr>
        <w:t xml:space="preserve">with treatment </w:t>
      </w:r>
      <w:r w:rsidR="00795E07" w:rsidRPr="007246D7">
        <w:rPr>
          <w:rFonts w:ascii="Times New Roman" w:hAnsi="Times New Roman" w:cs="Times New Roman" w:hint="eastAsia"/>
          <w:b/>
          <w:bCs/>
          <w:sz w:val="24"/>
          <w:szCs w:val="24"/>
        </w:rPr>
        <w:t>of</w:t>
      </w:r>
      <w:r w:rsidR="00795E07" w:rsidRPr="007246D7">
        <w:rPr>
          <w:rFonts w:ascii="Times New Roman" w:hAnsi="Times New Roman" w:cs="Times New Roman"/>
          <w:b/>
          <w:bCs/>
          <w:sz w:val="24"/>
          <w:szCs w:val="24"/>
        </w:rPr>
        <w:t xml:space="preserve"> different UA concentrations</w:t>
      </w:r>
      <w:r w:rsidR="00795E07" w:rsidRPr="007246D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for 24</w:t>
      </w:r>
      <w:r w:rsidR="00FC3563" w:rsidRPr="007246D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795E07" w:rsidRPr="007246D7">
        <w:rPr>
          <w:rFonts w:ascii="Times New Roman" w:hAnsi="Times New Roman" w:cs="Times New Roman" w:hint="eastAsia"/>
          <w:b/>
          <w:bCs/>
          <w:sz w:val="24"/>
          <w:szCs w:val="24"/>
        </w:rPr>
        <w:t>h</w:t>
      </w:r>
      <w:r w:rsidR="00FC3563" w:rsidRPr="007246D7">
        <w:rPr>
          <w:rFonts w:ascii="Times New Roman" w:hAnsi="Times New Roman" w:cs="Times New Roman" w:hint="eastAsia"/>
          <w:b/>
          <w:bCs/>
          <w:sz w:val="24"/>
          <w:szCs w:val="24"/>
        </w:rPr>
        <w:t>ours</w:t>
      </w:r>
      <w:r w:rsidR="00795E07" w:rsidRPr="007246D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bookmarkEnd w:id="5"/>
    </w:p>
    <w:sectPr w:rsidR="004E16B2" w:rsidRPr="007246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E0698" w14:textId="77777777" w:rsidR="001B75FD" w:rsidRDefault="001B75FD">
      <w:pPr>
        <w:rPr>
          <w:rFonts w:hint="eastAsia"/>
        </w:rPr>
      </w:pPr>
      <w:r>
        <w:separator/>
      </w:r>
    </w:p>
  </w:endnote>
  <w:endnote w:type="continuationSeparator" w:id="0">
    <w:p w14:paraId="0B167D07" w14:textId="77777777" w:rsidR="001B75FD" w:rsidRDefault="001B75F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980E5" w14:textId="77777777" w:rsidR="001B75FD" w:rsidRDefault="001B75FD">
      <w:pPr>
        <w:rPr>
          <w:rFonts w:hint="eastAsia"/>
        </w:rPr>
      </w:pPr>
      <w:r>
        <w:separator/>
      </w:r>
    </w:p>
  </w:footnote>
  <w:footnote w:type="continuationSeparator" w:id="0">
    <w:p w14:paraId="3FEBAB57" w14:textId="77777777" w:rsidR="001B75FD" w:rsidRDefault="001B75F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539"/>
    <w:rsid w:val="00001129"/>
    <w:rsid w:val="00076B3F"/>
    <w:rsid w:val="000E092D"/>
    <w:rsid w:val="000E33F9"/>
    <w:rsid w:val="0010220C"/>
    <w:rsid w:val="001144A6"/>
    <w:rsid w:val="001432E9"/>
    <w:rsid w:val="001542D2"/>
    <w:rsid w:val="00184D0B"/>
    <w:rsid w:val="00195F16"/>
    <w:rsid w:val="001B5DD7"/>
    <w:rsid w:val="001B75FD"/>
    <w:rsid w:val="001C22D4"/>
    <w:rsid w:val="001D4F84"/>
    <w:rsid w:val="001E127B"/>
    <w:rsid w:val="001F761E"/>
    <w:rsid w:val="0025408E"/>
    <w:rsid w:val="002A2566"/>
    <w:rsid w:val="002B7E4C"/>
    <w:rsid w:val="002E2142"/>
    <w:rsid w:val="003931E0"/>
    <w:rsid w:val="003A4BAA"/>
    <w:rsid w:val="003D5393"/>
    <w:rsid w:val="003E53A2"/>
    <w:rsid w:val="003F6E56"/>
    <w:rsid w:val="004238DD"/>
    <w:rsid w:val="00424839"/>
    <w:rsid w:val="00456ED0"/>
    <w:rsid w:val="00462849"/>
    <w:rsid w:val="004E16B2"/>
    <w:rsid w:val="00504014"/>
    <w:rsid w:val="00525456"/>
    <w:rsid w:val="005D55DA"/>
    <w:rsid w:val="00620539"/>
    <w:rsid w:val="00661BF7"/>
    <w:rsid w:val="00672DFA"/>
    <w:rsid w:val="00684455"/>
    <w:rsid w:val="0068602E"/>
    <w:rsid w:val="00692C14"/>
    <w:rsid w:val="006E1667"/>
    <w:rsid w:val="00706357"/>
    <w:rsid w:val="00707AEF"/>
    <w:rsid w:val="007246D7"/>
    <w:rsid w:val="007275FD"/>
    <w:rsid w:val="00795E07"/>
    <w:rsid w:val="008977C8"/>
    <w:rsid w:val="008F01C0"/>
    <w:rsid w:val="008F6AFA"/>
    <w:rsid w:val="0094353A"/>
    <w:rsid w:val="00944275"/>
    <w:rsid w:val="00946325"/>
    <w:rsid w:val="00993546"/>
    <w:rsid w:val="00993702"/>
    <w:rsid w:val="009E1D15"/>
    <w:rsid w:val="00A33EA8"/>
    <w:rsid w:val="00A720B1"/>
    <w:rsid w:val="00AA663C"/>
    <w:rsid w:val="00AB6BE0"/>
    <w:rsid w:val="00AC2E23"/>
    <w:rsid w:val="00AD1E24"/>
    <w:rsid w:val="00B10218"/>
    <w:rsid w:val="00B20654"/>
    <w:rsid w:val="00BA3218"/>
    <w:rsid w:val="00BE4762"/>
    <w:rsid w:val="00C012D7"/>
    <w:rsid w:val="00C06696"/>
    <w:rsid w:val="00C07EEE"/>
    <w:rsid w:val="00C7125A"/>
    <w:rsid w:val="00CD6350"/>
    <w:rsid w:val="00D01B8C"/>
    <w:rsid w:val="00D46124"/>
    <w:rsid w:val="00DF733D"/>
    <w:rsid w:val="00E03BDD"/>
    <w:rsid w:val="00E2452D"/>
    <w:rsid w:val="00E960DC"/>
    <w:rsid w:val="00EA72AD"/>
    <w:rsid w:val="00EB6D36"/>
    <w:rsid w:val="00F004D2"/>
    <w:rsid w:val="00FA6547"/>
    <w:rsid w:val="00FB1FB9"/>
    <w:rsid w:val="00FC3563"/>
    <w:rsid w:val="00FE32C0"/>
    <w:rsid w:val="7AB13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D5870D"/>
  <w15:docId w15:val="{88CCAB00-CCAE-4BBC-AF7F-B685628FC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 w:line="278" w:lineRule="auto"/>
      <w:jc w:val="left"/>
      <w:outlineLvl w:val="3"/>
    </w:pPr>
    <w:rPr>
      <w:rFonts w:cstheme="majorBidi"/>
      <w:color w:val="2F5496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 w:line="278" w:lineRule="auto"/>
      <w:jc w:val="left"/>
      <w:outlineLvl w:val="4"/>
    </w:pPr>
    <w:rPr>
      <w:rFonts w:cstheme="majorBidi"/>
      <w:color w:val="2F5496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2F5496" w:themeColor="accent1" w:themeShade="BF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after="160"/>
      <w:jc w:val="left"/>
    </w:pPr>
    <w:rPr>
      <w:sz w:val="18"/>
      <w:szCs w:val="18"/>
      <w14:ligatures w14:val="standardContextual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after="160"/>
      <w:jc w:val="center"/>
    </w:pPr>
    <w:rPr>
      <w:sz w:val="18"/>
      <w:szCs w:val="18"/>
      <w14:ligatures w14:val="standardContextual"/>
    </w:rPr>
  </w:style>
  <w:style w:type="paragraph" w:styleId="a7">
    <w:name w:val="Subtitle"/>
    <w:basedOn w:val="a"/>
    <w:next w:val="a"/>
    <w:link w:val="a8"/>
    <w:uiPriority w:val="11"/>
    <w:qFormat/>
    <w:p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pPr>
      <w:spacing w:before="160" w:after="160" w:line="278" w:lineRule="auto"/>
      <w:jc w:val="center"/>
    </w:pPr>
    <w:rPr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ac">
    <w:name w:val="引用 字符"/>
    <w:basedOn w:val="a0"/>
    <w:link w:val="ab"/>
    <w:uiPriority w:val="29"/>
    <w:qFormat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pPr>
      <w:spacing w:after="160" w:line="278" w:lineRule="auto"/>
      <w:ind w:left="720"/>
      <w:contextualSpacing/>
      <w:jc w:val="left"/>
    </w:pPr>
    <w:rPr>
      <w:sz w:val="22"/>
      <w:szCs w:val="24"/>
      <w14:ligatures w14:val="standardContextual"/>
    </w:r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e">
    <w:name w:val="Intense Quote"/>
    <w:basedOn w:val="a"/>
    <w:next w:val="a"/>
    <w:link w:val="af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2"/>
      <w:szCs w:val="24"/>
      <w14:ligatures w14:val="standardContextual"/>
    </w:rPr>
  </w:style>
  <w:style w:type="character" w:customStyle="1" w:styleId="af">
    <w:name w:val="明显引用 字符"/>
    <w:basedOn w:val="a0"/>
    <w:link w:val="ae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216</Words>
  <Characters>1127</Characters>
  <Application>Microsoft Office Word</Application>
  <DocSecurity>0</DocSecurity>
  <Lines>29</Lines>
  <Paragraphs>7</Paragraphs>
  <ScaleCrop>false</ScaleCrop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Danyi Qin</dc:creator>
  <cp:lastModifiedBy>Danyi Qin</cp:lastModifiedBy>
  <cp:revision>16</cp:revision>
  <dcterms:created xsi:type="dcterms:W3CDTF">2025-09-09T05:09:00Z</dcterms:created>
  <dcterms:modified xsi:type="dcterms:W3CDTF">2025-12-07T16:40:00Z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eyJoZGlkIjoiNjA0ZjhhZmE5MzlhYTM4NWU0MzQ4ZWU0ODlkMmE0NWYiLCJ1c2VySWQiOiIyNTMxNzgwNTkifQ==</vt:lpwstr>
  </property>
  <property fmtid="{D5CDD505-2E9C-101B-9397-08002B2CF9AE}" pid="3" name="KSOProductBuildVer">
    <vt:lpwstr>2052-12.1.0.20305</vt:lpwstr>
  </property>
  <property fmtid="{D5CDD505-2E9C-101B-9397-08002B2CF9AE}" pid="4" name="ICV">
    <vt:lpwstr>B8B32F2827F342249392083167C7473E_12</vt:lpwstr>
  </property>
</Properties>
</file>