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4FB4" w14:textId="5F1D3892" w:rsidR="004B5B57" w:rsidRDefault="004B5B57" w:rsidP="00FD6B0F">
      <w:pPr>
        <w:pStyle w:val="Title"/>
        <w:rPr>
          <w:b/>
          <w:bCs/>
          <w:lang w:val="en-GB"/>
        </w:rPr>
      </w:pPr>
      <w:r>
        <w:rPr>
          <w:b/>
          <w:bCs/>
          <w:lang w:val="en-GB"/>
        </w:rPr>
        <w:t>Supplementary Information</w:t>
      </w:r>
    </w:p>
    <w:p w14:paraId="5706D6EE" w14:textId="77777777" w:rsidR="0003670A" w:rsidRPr="0003670A" w:rsidRDefault="0003670A" w:rsidP="0003670A">
      <w:pPr>
        <w:rPr>
          <w:lang w:val="en-GB"/>
        </w:rPr>
      </w:pPr>
    </w:p>
    <w:p w14:paraId="75BB2918" w14:textId="77777777" w:rsidR="0003670A" w:rsidRPr="0003670A" w:rsidRDefault="0003670A" w:rsidP="0003670A">
      <w:pPr>
        <w:pStyle w:val="Title"/>
        <w:rPr>
          <w:b/>
          <w:bCs/>
          <w:sz w:val="40"/>
          <w:szCs w:val="40"/>
        </w:rPr>
      </w:pPr>
      <w:r w:rsidRPr="0003670A">
        <w:rPr>
          <w:sz w:val="40"/>
          <w:szCs w:val="40"/>
        </w:rPr>
        <w:t>High wellbeing with lower energy consumption: scenarios for India’s residential sector</w:t>
      </w:r>
    </w:p>
    <w:p w14:paraId="282481F6" w14:textId="77777777" w:rsidR="0003670A" w:rsidRPr="000D33AC" w:rsidRDefault="0003670A" w:rsidP="0003670A">
      <w:pPr>
        <w:rPr>
          <w:b/>
          <w:bCs/>
        </w:rPr>
      </w:pPr>
    </w:p>
    <w:p w14:paraId="1B9A757D" w14:textId="77777777" w:rsidR="0003670A" w:rsidRDefault="0003670A" w:rsidP="0003670A">
      <w:pPr>
        <w:rPr>
          <w:vertAlign w:val="superscript"/>
        </w:rPr>
      </w:pPr>
      <w:r>
        <w:t>Alessio Mastrucci</w:t>
      </w:r>
      <w:r>
        <w:rPr>
          <w:vertAlign w:val="superscript"/>
        </w:rPr>
        <w:t>1</w:t>
      </w:r>
      <w:r>
        <w:t>, Souran Chatterjee</w:t>
      </w:r>
      <w:r w:rsidRPr="00947D04">
        <w:rPr>
          <w:vertAlign w:val="superscript"/>
        </w:rPr>
        <w:t>2</w:t>
      </w:r>
      <w:r>
        <w:t>, Kaveri Ashok</w:t>
      </w:r>
      <w:r w:rsidRPr="00947D04">
        <w:rPr>
          <w:vertAlign w:val="superscript"/>
        </w:rPr>
        <w:t>3</w:t>
      </w:r>
      <w:r>
        <w:t>, Vassilis Daioglou</w:t>
      </w:r>
      <w:r w:rsidRPr="000E60A6">
        <w:rPr>
          <w:vertAlign w:val="superscript"/>
        </w:rPr>
        <w:t>4</w:t>
      </w:r>
      <w:r>
        <w:rPr>
          <w:vertAlign w:val="superscript"/>
        </w:rPr>
        <w:t>,5</w:t>
      </w:r>
      <w:r>
        <w:t>, Srihari Dukkipati</w:t>
      </w:r>
      <w:r w:rsidRPr="00137132">
        <w:rPr>
          <w:vertAlign w:val="superscript"/>
        </w:rPr>
        <w:t>6</w:t>
      </w:r>
      <w:r>
        <w:t>, Ashok Sreenivas</w:t>
      </w:r>
      <w:r w:rsidRPr="00F11328">
        <w:rPr>
          <w:vertAlign w:val="superscript"/>
        </w:rPr>
        <w:t>6</w:t>
      </w:r>
      <w:r>
        <w:t>, Oreane Edelenbosch</w:t>
      </w:r>
      <w:r w:rsidRPr="00445231">
        <w:rPr>
          <w:vertAlign w:val="superscript"/>
        </w:rPr>
        <w:t>5</w:t>
      </w:r>
      <w:r>
        <w:t>,</w:t>
      </w:r>
      <w:r w:rsidRPr="0084610D">
        <w:t xml:space="preserve"> </w:t>
      </w:r>
      <w:r>
        <w:t>Poornima Kumar</w:t>
      </w:r>
      <w:r w:rsidRPr="00445231">
        <w:rPr>
          <w:vertAlign w:val="superscript"/>
        </w:rPr>
        <w:t>7</w:t>
      </w:r>
      <w:r>
        <w:t>, Diana Ürge-Vorsatz</w:t>
      </w:r>
      <w:r w:rsidRPr="00452B01">
        <w:rPr>
          <w:vertAlign w:val="superscript"/>
        </w:rPr>
        <w:t>8</w:t>
      </w:r>
      <w:r>
        <w:t>, Sarah Khan</w:t>
      </w:r>
      <w:r w:rsidRPr="00445231">
        <w:rPr>
          <w:vertAlign w:val="superscript"/>
        </w:rPr>
        <w:t>3</w:t>
      </w:r>
      <w:r>
        <w:t xml:space="preserve">, </w:t>
      </w:r>
      <w:r w:rsidRPr="00005A83">
        <w:t>Ramya Natarajan</w:t>
      </w:r>
      <w:r w:rsidRPr="00947D04">
        <w:rPr>
          <w:vertAlign w:val="superscript"/>
        </w:rPr>
        <w:t>3</w:t>
      </w:r>
      <w:r>
        <w:t>, Victhalia Zapata</w:t>
      </w:r>
      <w:r w:rsidRPr="00445231">
        <w:rPr>
          <w:vertAlign w:val="superscript"/>
        </w:rPr>
        <w:t>5</w:t>
      </w:r>
      <w:r>
        <w:t>, Shonali Pachauri</w:t>
      </w:r>
      <w:r w:rsidRPr="00995392">
        <w:rPr>
          <w:vertAlign w:val="superscript"/>
        </w:rPr>
        <w:t>1</w:t>
      </w:r>
    </w:p>
    <w:p w14:paraId="3ADA3388" w14:textId="77777777" w:rsidR="0003670A" w:rsidRPr="007F6829" w:rsidRDefault="0003670A" w:rsidP="0003670A"/>
    <w:p w14:paraId="0F99FBF4" w14:textId="77777777" w:rsidR="0003670A" w:rsidRPr="001F2420" w:rsidRDefault="0003670A" w:rsidP="0003670A">
      <w:pPr>
        <w:rPr>
          <w:sz w:val="18"/>
          <w:szCs w:val="18"/>
        </w:rPr>
      </w:pPr>
      <w:r w:rsidRPr="001F2420">
        <w:rPr>
          <w:sz w:val="18"/>
          <w:szCs w:val="18"/>
          <w:vertAlign w:val="superscript"/>
        </w:rPr>
        <w:t>1</w:t>
      </w:r>
      <w:r w:rsidRPr="001F2420">
        <w:rPr>
          <w:sz w:val="18"/>
          <w:szCs w:val="18"/>
        </w:rPr>
        <w:t>Energy, Climate, and Environment (ECE) Program, International Institute for Applied Systems Analysis (IIASA), Laxenburg, Austria</w:t>
      </w:r>
    </w:p>
    <w:p w14:paraId="21637451" w14:textId="77777777" w:rsidR="0003670A" w:rsidRPr="001F2420" w:rsidRDefault="0003670A" w:rsidP="0003670A">
      <w:pPr>
        <w:rPr>
          <w:sz w:val="18"/>
          <w:szCs w:val="18"/>
        </w:rPr>
      </w:pPr>
      <w:r w:rsidRPr="001F2420">
        <w:rPr>
          <w:sz w:val="18"/>
          <w:szCs w:val="18"/>
          <w:vertAlign w:val="superscript"/>
        </w:rPr>
        <w:t>2</w:t>
      </w:r>
      <w:r w:rsidRPr="001F2420">
        <w:rPr>
          <w:sz w:val="18"/>
          <w:szCs w:val="18"/>
        </w:rPr>
        <w:t>School of Geography, Earth and Environmental Sciences, University of Plymouth, Plymouth, United Kingdom</w:t>
      </w:r>
    </w:p>
    <w:p w14:paraId="7F72157F" w14:textId="77777777" w:rsidR="0003670A" w:rsidRPr="001F2420" w:rsidRDefault="0003670A" w:rsidP="0003670A">
      <w:pPr>
        <w:rPr>
          <w:sz w:val="18"/>
          <w:szCs w:val="18"/>
        </w:rPr>
      </w:pPr>
      <w:r w:rsidRPr="001F2420">
        <w:rPr>
          <w:sz w:val="18"/>
          <w:szCs w:val="18"/>
          <w:vertAlign w:val="superscript"/>
        </w:rPr>
        <w:t>3</w:t>
      </w:r>
      <w:r w:rsidRPr="001F2420">
        <w:rPr>
          <w:sz w:val="18"/>
          <w:szCs w:val="18"/>
        </w:rPr>
        <w:t>Center for Study of Science, Technology and Policy (CSTEP), Bangalore, India</w:t>
      </w:r>
    </w:p>
    <w:p w14:paraId="56AFB3AE" w14:textId="77777777" w:rsidR="0003670A" w:rsidRPr="001F2420" w:rsidRDefault="0003670A" w:rsidP="0003670A">
      <w:pPr>
        <w:rPr>
          <w:sz w:val="18"/>
          <w:szCs w:val="18"/>
        </w:rPr>
      </w:pPr>
      <w:r w:rsidRPr="001F2420">
        <w:rPr>
          <w:sz w:val="18"/>
          <w:szCs w:val="18"/>
          <w:vertAlign w:val="superscript"/>
        </w:rPr>
        <w:t>4</w:t>
      </w:r>
      <w:r w:rsidRPr="001F2420">
        <w:rPr>
          <w:sz w:val="18"/>
          <w:szCs w:val="18"/>
        </w:rPr>
        <w:t>PBL Netherlands Environmental Assessment Agency, The Hague, the Netherlands</w:t>
      </w:r>
    </w:p>
    <w:p w14:paraId="2D8CEE82" w14:textId="77777777" w:rsidR="0003670A" w:rsidRPr="001F2420" w:rsidRDefault="0003670A" w:rsidP="0003670A">
      <w:pPr>
        <w:rPr>
          <w:sz w:val="18"/>
          <w:szCs w:val="18"/>
        </w:rPr>
      </w:pPr>
      <w:r w:rsidRPr="001F2420">
        <w:rPr>
          <w:sz w:val="18"/>
          <w:szCs w:val="18"/>
          <w:vertAlign w:val="superscript"/>
        </w:rPr>
        <w:t>5</w:t>
      </w:r>
      <w:r w:rsidRPr="001F2420">
        <w:rPr>
          <w:sz w:val="18"/>
          <w:szCs w:val="18"/>
        </w:rPr>
        <w:t>Copernicus Institute of Sustainable Development, Utrecht University, Utrecht, the Netherlands</w:t>
      </w:r>
    </w:p>
    <w:p w14:paraId="12A6B1F8" w14:textId="77777777" w:rsidR="0003670A" w:rsidRPr="001F2420" w:rsidRDefault="0003670A" w:rsidP="0003670A">
      <w:pPr>
        <w:rPr>
          <w:sz w:val="18"/>
          <w:szCs w:val="18"/>
        </w:rPr>
      </w:pPr>
      <w:r w:rsidRPr="001F2420">
        <w:rPr>
          <w:sz w:val="18"/>
          <w:szCs w:val="18"/>
          <w:vertAlign w:val="superscript"/>
        </w:rPr>
        <w:t>6</w:t>
      </w:r>
      <w:r w:rsidRPr="001F2420">
        <w:rPr>
          <w:sz w:val="18"/>
          <w:szCs w:val="18"/>
        </w:rPr>
        <w:t>Prayas (Energy Group), Pune, India</w:t>
      </w:r>
    </w:p>
    <w:p w14:paraId="2006282D" w14:textId="77777777" w:rsidR="0003670A" w:rsidRPr="001F2420" w:rsidRDefault="0003670A" w:rsidP="0003670A">
      <w:pPr>
        <w:rPr>
          <w:sz w:val="18"/>
          <w:szCs w:val="18"/>
        </w:rPr>
      </w:pPr>
      <w:r w:rsidRPr="001F2420">
        <w:rPr>
          <w:sz w:val="18"/>
          <w:szCs w:val="18"/>
          <w:vertAlign w:val="superscript"/>
        </w:rPr>
        <w:t>7</w:t>
      </w:r>
      <w:r w:rsidRPr="001F2420">
        <w:rPr>
          <w:sz w:val="18"/>
          <w:szCs w:val="18"/>
        </w:rPr>
        <w:t>Environmental Change Institute (ECI), Oxford University, Oxford, United Kingdom</w:t>
      </w:r>
    </w:p>
    <w:p w14:paraId="273FF8DA" w14:textId="77777777" w:rsidR="0003670A" w:rsidRDefault="0003670A" w:rsidP="0003670A">
      <w:pPr>
        <w:rPr>
          <w:sz w:val="18"/>
          <w:szCs w:val="18"/>
        </w:rPr>
      </w:pPr>
      <w:r w:rsidRPr="001F2420">
        <w:rPr>
          <w:sz w:val="18"/>
          <w:szCs w:val="18"/>
          <w:vertAlign w:val="superscript"/>
        </w:rPr>
        <w:t>8</w:t>
      </w:r>
      <w:r w:rsidRPr="001F2420">
        <w:rPr>
          <w:sz w:val="18"/>
          <w:szCs w:val="18"/>
        </w:rPr>
        <w:t>Department of Environmental Sciences and Policy, Central European University, Vienna, Austria</w:t>
      </w:r>
    </w:p>
    <w:p w14:paraId="0AA84DBE" w14:textId="77777777" w:rsidR="0003670A" w:rsidRPr="0003670A" w:rsidRDefault="0003670A" w:rsidP="0003670A">
      <w:pPr>
        <w:rPr>
          <w:lang w:val="en-GB"/>
        </w:rPr>
      </w:pPr>
    </w:p>
    <w:p w14:paraId="28BC3BE0" w14:textId="77777777" w:rsidR="004B5B57" w:rsidRPr="004B5B57" w:rsidRDefault="004B5B57" w:rsidP="004B5B57">
      <w:pPr>
        <w:rPr>
          <w:lang w:val="en-GB"/>
        </w:rPr>
      </w:pPr>
    </w:p>
    <w:sdt>
      <w:sdtPr>
        <w:id w:val="-2134006717"/>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3762A621" w14:textId="2B5A4073" w:rsidR="0003670A" w:rsidRDefault="0003670A">
          <w:pPr>
            <w:pStyle w:val="TOCHeading"/>
            <w:rPr>
              <w:color w:val="auto"/>
            </w:rPr>
          </w:pPr>
          <w:r w:rsidRPr="0003670A">
            <w:rPr>
              <w:color w:val="auto"/>
            </w:rPr>
            <w:t>Contents</w:t>
          </w:r>
        </w:p>
        <w:p w14:paraId="444CB6AA" w14:textId="77777777" w:rsidR="0003670A" w:rsidRPr="0003670A" w:rsidRDefault="0003670A" w:rsidP="0003670A"/>
        <w:p w14:paraId="660B9FE3" w14:textId="574D952C" w:rsidR="0003670A" w:rsidRDefault="0003670A">
          <w:pPr>
            <w:pStyle w:val="TOC1"/>
            <w:tabs>
              <w:tab w:val="right" w:leader="dot" w:pos="9204"/>
            </w:tabs>
            <w:rPr>
              <w:noProof/>
            </w:rPr>
          </w:pPr>
          <w:r>
            <w:fldChar w:fldCharType="begin"/>
          </w:r>
          <w:r>
            <w:instrText xml:space="preserve"> TOC \o "1-3" \h \z \u </w:instrText>
          </w:r>
          <w:r>
            <w:fldChar w:fldCharType="separate"/>
          </w:r>
          <w:hyperlink w:anchor="_Toc210201879" w:history="1">
            <w:r w:rsidRPr="00FF710B">
              <w:rPr>
                <w:rStyle w:val="Hyperlink"/>
                <w:noProof/>
                <w:lang w:val="en-GB"/>
              </w:rPr>
              <w:t>Supplementary Methods</w:t>
            </w:r>
            <w:r>
              <w:rPr>
                <w:noProof/>
                <w:webHidden/>
              </w:rPr>
              <w:tab/>
            </w:r>
            <w:r>
              <w:rPr>
                <w:noProof/>
                <w:webHidden/>
              </w:rPr>
              <w:fldChar w:fldCharType="begin"/>
            </w:r>
            <w:r>
              <w:rPr>
                <w:noProof/>
                <w:webHidden/>
              </w:rPr>
              <w:instrText xml:space="preserve"> PAGEREF _Toc210201879 \h </w:instrText>
            </w:r>
            <w:r>
              <w:rPr>
                <w:noProof/>
                <w:webHidden/>
              </w:rPr>
            </w:r>
            <w:r>
              <w:rPr>
                <w:noProof/>
                <w:webHidden/>
              </w:rPr>
              <w:fldChar w:fldCharType="separate"/>
            </w:r>
            <w:r>
              <w:rPr>
                <w:noProof/>
                <w:webHidden/>
              </w:rPr>
              <w:t>2</w:t>
            </w:r>
            <w:r>
              <w:rPr>
                <w:noProof/>
                <w:webHidden/>
              </w:rPr>
              <w:fldChar w:fldCharType="end"/>
            </w:r>
          </w:hyperlink>
        </w:p>
        <w:p w14:paraId="6701B04A" w14:textId="5201996B" w:rsidR="0003670A" w:rsidRDefault="0003670A">
          <w:pPr>
            <w:pStyle w:val="TOC2"/>
            <w:tabs>
              <w:tab w:val="right" w:leader="dot" w:pos="9204"/>
            </w:tabs>
            <w:rPr>
              <w:noProof/>
            </w:rPr>
          </w:pPr>
          <w:hyperlink w:anchor="_Toc210201880" w:history="1">
            <w:r w:rsidRPr="00FF710B">
              <w:rPr>
                <w:rStyle w:val="Hyperlink"/>
                <w:noProof/>
              </w:rPr>
              <w:t>Models documentation</w:t>
            </w:r>
            <w:r>
              <w:rPr>
                <w:noProof/>
                <w:webHidden/>
              </w:rPr>
              <w:tab/>
            </w:r>
            <w:r>
              <w:rPr>
                <w:noProof/>
                <w:webHidden/>
              </w:rPr>
              <w:fldChar w:fldCharType="begin"/>
            </w:r>
            <w:r>
              <w:rPr>
                <w:noProof/>
                <w:webHidden/>
              </w:rPr>
              <w:instrText xml:space="preserve"> PAGEREF _Toc210201880 \h </w:instrText>
            </w:r>
            <w:r>
              <w:rPr>
                <w:noProof/>
                <w:webHidden/>
              </w:rPr>
            </w:r>
            <w:r>
              <w:rPr>
                <w:noProof/>
                <w:webHidden/>
              </w:rPr>
              <w:fldChar w:fldCharType="separate"/>
            </w:r>
            <w:r>
              <w:rPr>
                <w:noProof/>
                <w:webHidden/>
              </w:rPr>
              <w:t>2</w:t>
            </w:r>
            <w:r>
              <w:rPr>
                <w:noProof/>
                <w:webHidden/>
              </w:rPr>
              <w:fldChar w:fldCharType="end"/>
            </w:r>
          </w:hyperlink>
        </w:p>
        <w:p w14:paraId="46D4E524" w14:textId="77C42323" w:rsidR="0003670A" w:rsidRDefault="0003670A">
          <w:pPr>
            <w:pStyle w:val="TOC2"/>
            <w:tabs>
              <w:tab w:val="right" w:leader="dot" w:pos="9204"/>
            </w:tabs>
            <w:rPr>
              <w:noProof/>
            </w:rPr>
          </w:pPr>
          <w:hyperlink w:anchor="_Toc210201881" w:history="1">
            <w:r w:rsidRPr="00FF710B">
              <w:rPr>
                <w:rStyle w:val="Hyperlink"/>
                <w:noProof/>
              </w:rPr>
              <w:t>Modelling protocol</w:t>
            </w:r>
            <w:r>
              <w:rPr>
                <w:noProof/>
                <w:webHidden/>
              </w:rPr>
              <w:tab/>
            </w:r>
            <w:r>
              <w:rPr>
                <w:noProof/>
                <w:webHidden/>
              </w:rPr>
              <w:fldChar w:fldCharType="begin"/>
            </w:r>
            <w:r>
              <w:rPr>
                <w:noProof/>
                <w:webHidden/>
              </w:rPr>
              <w:instrText xml:space="preserve"> PAGEREF _Toc210201881 \h </w:instrText>
            </w:r>
            <w:r>
              <w:rPr>
                <w:noProof/>
                <w:webHidden/>
              </w:rPr>
            </w:r>
            <w:r>
              <w:rPr>
                <w:noProof/>
                <w:webHidden/>
              </w:rPr>
              <w:fldChar w:fldCharType="separate"/>
            </w:r>
            <w:r>
              <w:rPr>
                <w:noProof/>
                <w:webHidden/>
              </w:rPr>
              <w:t>6</w:t>
            </w:r>
            <w:r>
              <w:rPr>
                <w:noProof/>
                <w:webHidden/>
              </w:rPr>
              <w:fldChar w:fldCharType="end"/>
            </w:r>
          </w:hyperlink>
        </w:p>
        <w:p w14:paraId="7067833F" w14:textId="19CCAAD8" w:rsidR="0003670A" w:rsidRDefault="0003670A">
          <w:pPr>
            <w:pStyle w:val="TOC3"/>
            <w:tabs>
              <w:tab w:val="right" w:leader="dot" w:pos="9204"/>
            </w:tabs>
            <w:rPr>
              <w:noProof/>
            </w:rPr>
          </w:pPr>
          <w:hyperlink w:anchor="_Toc210201882" w:history="1">
            <w:r w:rsidRPr="00FF710B">
              <w:rPr>
                <w:rStyle w:val="Hyperlink"/>
                <w:noProof/>
              </w:rPr>
              <w:t>Research goals</w:t>
            </w:r>
            <w:r>
              <w:rPr>
                <w:noProof/>
                <w:webHidden/>
              </w:rPr>
              <w:tab/>
            </w:r>
            <w:r>
              <w:rPr>
                <w:noProof/>
                <w:webHidden/>
              </w:rPr>
              <w:fldChar w:fldCharType="begin"/>
            </w:r>
            <w:r>
              <w:rPr>
                <w:noProof/>
                <w:webHidden/>
              </w:rPr>
              <w:instrText xml:space="preserve"> PAGEREF _Toc210201882 \h </w:instrText>
            </w:r>
            <w:r>
              <w:rPr>
                <w:noProof/>
                <w:webHidden/>
              </w:rPr>
            </w:r>
            <w:r>
              <w:rPr>
                <w:noProof/>
                <w:webHidden/>
              </w:rPr>
              <w:fldChar w:fldCharType="separate"/>
            </w:r>
            <w:r>
              <w:rPr>
                <w:noProof/>
                <w:webHidden/>
              </w:rPr>
              <w:t>6</w:t>
            </w:r>
            <w:r>
              <w:rPr>
                <w:noProof/>
                <w:webHidden/>
              </w:rPr>
              <w:fldChar w:fldCharType="end"/>
            </w:r>
          </w:hyperlink>
        </w:p>
        <w:p w14:paraId="4E22FAAD" w14:textId="5BA5E3F5" w:rsidR="0003670A" w:rsidRDefault="0003670A">
          <w:pPr>
            <w:pStyle w:val="TOC3"/>
            <w:tabs>
              <w:tab w:val="right" w:leader="dot" w:pos="9204"/>
            </w:tabs>
            <w:rPr>
              <w:noProof/>
            </w:rPr>
          </w:pPr>
          <w:hyperlink w:anchor="_Toc210201883" w:history="1">
            <w:r w:rsidRPr="00FF710B">
              <w:rPr>
                <w:rStyle w:val="Hyperlink"/>
                <w:noProof/>
              </w:rPr>
              <w:t>Scenario runs</w:t>
            </w:r>
            <w:r>
              <w:rPr>
                <w:noProof/>
                <w:webHidden/>
              </w:rPr>
              <w:tab/>
            </w:r>
            <w:r>
              <w:rPr>
                <w:noProof/>
                <w:webHidden/>
              </w:rPr>
              <w:fldChar w:fldCharType="begin"/>
            </w:r>
            <w:r>
              <w:rPr>
                <w:noProof/>
                <w:webHidden/>
              </w:rPr>
              <w:instrText xml:space="preserve"> PAGEREF _Toc210201883 \h </w:instrText>
            </w:r>
            <w:r>
              <w:rPr>
                <w:noProof/>
                <w:webHidden/>
              </w:rPr>
            </w:r>
            <w:r>
              <w:rPr>
                <w:noProof/>
                <w:webHidden/>
              </w:rPr>
              <w:fldChar w:fldCharType="separate"/>
            </w:r>
            <w:r>
              <w:rPr>
                <w:noProof/>
                <w:webHidden/>
              </w:rPr>
              <w:t>6</w:t>
            </w:r>
            <w:r>
              <w:rPr>
                <w:noProof/>
                <w:webHidden/>
              </w:rPr>
              <w:fldChar w:fldCharType="end"/>
            </w:r>
          </w:hyperlink>
        </w:p>
        <w:p w14:paraId="2EF7A32E" w14:textId="230893C5" w:rsidR="0003670A" w:rsidRDefault="0003670A">
          <w:pPr>
            <w:pStyle w:val="TOC3"/>
            <w:tabs>
              <w:tab w:val="right" w:leader="dot" w:pos="9204"/>
            </w:tabs>
            <w:rPr>
              <w:noProof/>
            </w:rPr>
          </w:pPr>
          <w:hyperlink w:anchor="_Toc210201884" w:history="1">
            <w:r w:rsidRPr="00FF710B">
              <w:rPr>
                <w:rStyle w:val="Hyperlink"/>
                <w:noProof/>
              </w:rPr>
              <w:t>Scenario setup</w:t>
            </w:r>
            <w:r>
              <w:rPr>
                <w:noProof/>
                <w:webHidden/>
              </w:rPr>
              <w:tab/>
            </w:r>
            <w:r>
              <w:rPr>
                <w:noProof/>
                <w:webHidden/>
              </w:rPr>
              <w:fldChar w:fldCharType="begin"/>
            </w:r>
            <w:r>
              <w:rPr>
                <w:noProof/>
                <w:webHidden/>
              </w:rPr>
              <w:instrText xml:space="preserve"> PAGEREF _Toc210201884 \h </w:instrText>
            </w:r>
            <w:r>
              <w:rPr>
                <w:noProof/>
                <w:webHidden/>
              </w:rPr>
            </w:r>
            <w:r>
              <w:rPr>
                <w:noProof/>
                <w:webHidden/>
              </w:rPr>
              <w:fldChar w:fldCharType="separate"/>
            </w:r>
            <w:r>
              <w:rPr>
                <w:noProof/>
                <w:webHidden/>
              </w:rPr>
              <w:t>6</w:t>
            </w:r>
            <w:r>
              <w:rPr>
                <w:noProof/>
                <w:webHidden/>
              </w:rPr>
              <w:fldChar w:fldCharType="end"/>
            </w:r>
          </w:hyperlink>
        </w:p>
        <w:p w14:paraId="6D3BD780" w14:textId="4616FE60" w:rsidR="0003670A" w:rsidRDefault="0003670A">
          <w:pPr>
            <w:pStyle w:val="TOC3"/>
            <w:tabs>
              <w:tab w:val="right" w:leader="dot" w:pos="9204"/>
            </w:tabs>
            <w:rPr>
              <w:noProof/>
            </w:rPr>
          </w:pPr>
          <w:hyperlink w:anchor="_Toc210201885" w:history="1">
            <w:r w:rsidRPr="00FF710B">
              <w:rPr>
                <w:rStyle w:val="Hyperlink"/>
                <w:noProof/>
              </w:rPr>
              <w:t>Variable template</w:t>
            </w:r>
            <w:r>
              <w:rPr>
                <w:noProof/>
                <w:webHidden/>
              </w:rPr>
              <w:tab/>
            </w:r>
            <w:r>
              <w:rPr>
                <w:noProof/>
                <w:webHidden/>
              </w:rPr>
              <w:fldChar w:fldCharType="begin"/>
            </w:r>
            <w:r>
              <w:rPr>
                <w:noProof/>
                <w:webHidden/>
              </w:rPr>
              <w:instrText xml:space="preserve"> PAGEREF _Toc210201885 \h </w:instrText>
            </w:r>
            <w:r>
              <w:rPr>
                <w:noProof/>
                <w:webHidden/>
              </w:rPr>
            </w:r>
            <w:r>
              <w:rPr>
                <w:noProof/>
                <w:webHidden/>
              </w:rPr>
              <w:fldChar w:fldCharType="separate"/>
            </w:r>
            <w:r>
              <w:rPr>
                <w:noProof/>
                <w:webHidden/>
              </w:rPr>
              <w:t>7</w:t>
            </w:r>
            <w:r>
              <w:rPr>
                <w:noProof/>
                <w:webHidden/>
              </w:rPr>
              <w:fldChar w:fldCharType="end"/>
            </w:r>
          </w:hyperlink>
        </w:p>
        <w:p w14:paraId="2BC747C1" w14:textId="04D5BDA5" w:rsidR="0003670A" w:rsidRDefault="0003670A">
          <w:pPr>
            <w:pStyle w:val="TOC1"/>
            <w:tabs>
              <w:tab w:val="right" w:leader="dot" w:pos="9204"/>
            </w:tabs>
            <w:rPr>
              <w:noProof/>
            </w:rPr>
          </w:pPr>
          <w:hyperlink w:anchor="_Toc210201886" w:history="1">
            <w:r w:rsidRPr="00FF710B">
              <w:rPr>
                <w:rStyle w:val="Hyperlink"/>
                <w:noProof/>
                <w:lang w:val="en-GB"/>
              </w:rPr>
              <w:t>Supplementary Note</w:t>
            </w:r>
            <w:r>
              <w:rPr>
                <w:noProof/>
                <w:webHidden/>
              </w:rPr>
              <w:tab/>
            </w:r>
            <w:r>
              <w:rPr>
                <w:noProof/>
                <w:webHidden/>
              </w:rPr>
              <w:fldChar w:fldCharType="begin"/>
            </w:r>
            <w:r>
              <w:rPr>
                <w:noProof/>
                <w:webHidden/>
              </w:rPr>
              <w:instrText xml:space="preserve"> PAGEREF _Toc210201886 \h </w:instrText>
            </w:r>
            <w:r>
              <w:rPr>
                <w:noProof/>
                <w:webHidden/>
              </w:rPr>
            </w:r>
            <w:r>
              <w:rPr>
                <w:noProof/>
                <w:webHidden/>
              </w:rPr>
              <w:fldChar w:fldCharType="separate"/>
            </w:r>
            <w:r>
              <w:rPr>
                <w:noProof/>
                <w:webHidden/>
              </w:rPr>
              <w:t>9</w:t>
            </w:r>
            <w:r>
              <w:rPr>
                <w:noProof/>
                <w:webHidden/>
              </w:rPr>
              <w:fldChar w:fldCharType="end"/>
            </w:r>
          </w:hyperlink>
        </w:p>
        <w:p w14:paraId="17189381" w14:textId="210FDA9D" w:rsidR="0003670A" w:rsidRDefault="0003670A">
          <w:pPr>
            <w:pStyle w:val="TOC1"/>
            <w:tabs>
              <w:tab w:val="right" w:leader="dot" w:pos="9204"/>
            </w:tabs>
            <w:rPr>
              <w:noProof/>
            </w:rPr>
          </w:pPr>
          <w:hyperlink w:anchor="_Toc210201887" w:history="1">
            <w:r w:rsidRPr="00FF710B">
              <w:rPr>
                <w:rStyle w:val="Hyperlink"/>
                <w:noProof/>
                <w:lang w:val="en-GB"/>
              </w:rPr>
              <w:t>References</w:t>
            </w:r>
            <w:r>
              <w:rPr>
                <w:noProof/>
                <w:webHidden/>
              </w:rPr>
              <w:tab/>
            </w:r>
            <w:r>
              <w:rPr>
                <w:noProof/>
                <w:webHidden/>
              </w:rPr>
              <w:fldChar w:fldCharType="begin"/>
            </w:r>
            <w:r>
              <w:rPr>
                <w:noProof/>
                <w:webHidden/>
              </w:rPr>
              <w:instrText xml:space="preserve"> PAGEREF _Toc210201887 \h </w:instrText>
            </w:r>
            <w:r>
              <w:rPr>
                <w:noProof/>
                <w:webHidden/>
              </w:rPr>
            </w:r>
            <w:r>
              <w:rPr>
                <w:noProof/>
                <w:webHidden/>
              </w:rPr>
              <w:fldChar w:fldCharType="separate"/>
            </w:r>
            <w:r>
              <w:rPr>
                <w:noProof/>
                <w:webHidden/>
              </w:rPr>
              <w:t>12</w:t>
            </w:r>
            <w:r>
              <w:rPr>
                <w:noProof/>
                <w:webHidden/>
              </w:rPr>
              <w:fldChar w:fldCharType="end"/>
            </w:r>
          </w:hyperlink>
        </w:p>
        <w:p w14:paraId="5E8C14E1" w14:textId="784287A2" w:rsidR="0003670A" w:rsidRDefault="0003670A">
          <w:r>
            <w:rPr>
              <w:b/>
              <w:bCs/>
              <w:noProof/>
            </w:rPr>
            <w:fldChar w:fldCharType="end"/>
          </w:r>
        </w:p>
      </w:sdtContent>
    </w:sdt>
    <w:p w14:paraId="103BDEA1" w14:textId="77777777" w:rsidR="00DA273F" w:rsidRDefault="00DA273F">
      <w:pPr>
        <w:rPr>
          <w:rFonts w:asciiTheme="majorHAnsi" w:eastAsiaTheme="majorEastAsia" w:hAnsiTheme="majorHAnsi" w:cstheme="majorBidi"/>
          <w:b/>
          <w:bCs/>
          <w:spacing w:val="-10"/>
          <w:kern w:val="28"/>
          <w:sz w:val="56"/>
          <w:szCs w:val="56"/>
          <w:lang w:val="en-GB"/>
        </w:rPr>
      </w:pPr>
      <w:r>
        <w:rPr>
          <w:b/>
          <w:bCs/>
          <w:lang w:val="en-GB"/>
        </w:rPr>
        <w:br w:type="page"/>
      </w:r>
    </w:p>
    <w:p w14:paraId="04BD1408" w14:textId="60CE99CD" w:rsidR="00DA273F" w:rsidRPr="00BE12E6" w:rsidRDefault="00DA273F" w:rsidP="00D71269">
      <w:pPr>
        <w:pStyle w:val="Heading1"/>
        <w:rPr>
          <w:color w:val="auto"/>
          <w:lang w:val="en-GB"/>
        </w:rPr>
      </w:pPr>
      <w:bookmarkStart w:id="0" w:name="_Toc210201879"/>
      <w:r w:rsidRPr="00BE12E6">
        <w:rPr>
          <w:color w:val="auto"/>
          <w:lang w:val="en-GB"/>
        </w:rPr>
        <w:lastRenderedPageBreak/>
        <w:t>Supplementary Methods</w:t>
      </w:r>
      <w:bookmarkEnd w:id="0"/>
    </w:p>
    <w:p w14:paraId="0CD79F46" w14:textId="5F4DC52E" w:rsidR="00523F18" w:rsidRPr="00DE603B" w:rsidRDefault="00523F18" w:rsidP="00D71269">
      <w:pPr>
        <w:pStyle w:val="Heading2"/>
      </w:pPr>
      <w:bookmarkStart w:id="1" w:name="_Toc210201880"/>
      <w:proofErr w:type="gramStart"/>
      <w:r w:rsidRPr="00DA273F">
        <w:t>Mo</w:t>
      </w:r>
      <w:r>
        <w:t>del</w:t>
      </w:r>
      <w:r w:rsidR="00F75A0D">
        <w:t>s</w:t>
      </w:r>
      <w:proofErr w:type="gramEnd"/>
      <w:r>
        <w:t xml:space="preserve"> documentation</w:t>
      </w:r>
      <w:bookmarkEnd w:id="1"/>
    </w:p>
    <w:p w14:paraId="4BD7EC87" w14:textId="09121791" w:rsidR="00523F18" w:rsidRDefault="00523F18" w:rsidP="00785CBB">
      <w:pPr>
        <w:spacing w:after="120"/>
        <w:rPr>
          <w:lang w:val="en-GB"/>
        </w:rPr>
      </w:pPr>
      <w:r>
        <w:rPr>
          <w:lang w:val="en-GB"/>
        </w:rPr>
        <w:t xml:space="preserve">This section provides additional documentation on the models in this study and scenarios implementation. </w:t>
      </w:r>
      <w:r w:rsidR="00C1603C">
        <w:rPr>
          <w:lang w:val="en-GB"/>
        </w:rPr>
        <w:t xml:space="preserve">Supplementary Table </w:t>
      </w:r>
      <w:r w:rsidR="00525765">
        <w:rPr>
          <w:lang w:val="en-GB"/>
        </w:rPr>
        <w:t>1</w:t>
      </w:r>
      <w:r w:rsidR="00755F71">
        <w:rPr>
          <w:lang w:val="en-GB"/>
        </w:rPr>
        <w:t xml:space="preserve"> reports </w:t>
      </w:r>
      <w:r w:rsidR="002E057B">
        <w:rPr>
          <w:lang w:val="en-GB"/>
        </w:rPr>
        <w:t xml:space="preserve">detailed information on the model identity, scope, and modelling approaches. Supplementary Table </w:t>
      </w:r>
      <w:r w:rsidR="00525765">
        <w:rPr>
          <w:lang w:val="en-GB"/>
        </w:rPr>
        <w:t>2</w:t>
      </w:r>
      <w:r w:rsidR="00402950">
        <w:rPr>
          <w:lang w:val="en-GB"/>
        </w:rPr>
        <w:t xml:space="preserve"> describes the model granularity in geographical context, </w:t>
      </w:r>
      <w:proofErr w:type="gramStart"/>
      <w:r w:rsidR="00402950">
        <w:rPr>
          <w:lang w:val="en-GB"/>
        </w:rPr>
        <w:t>socio-economics</w:t>
      </w:r>
      <w:proofErr w:type="gramEnd"/>
      <w:r w:rsidR="00402950">
        <w:rPr>
          <w:lang w:val="en-GB"/>
        </w:rPr>
        <w:t xml:space="preserve">, and housing characteristics. Supplementary Table </w:t>
      </w:r>
      <w:r w:rsidR="00525765">
        <w:rPr>
          <w:lang w:val="en-GB"/>
        </w:rPr>
        <w:t>3</w:t>
      </w:r>
      <w:r w:rsidR="00402950">
        <w:rPr>
          <w:lang w:val="en-GB"/>
        </w:rPr>
        <w:t xml:space="preserve"> </w:t>
      </w:r>
      <w:r w:rsidR="00440246">
        <w:rPr>
          <w:lang w:val="en-GB"/>
        </w:rPr>
        <w:t xml:space="preserve">provides description of the implementation </w:t>
      </w:r>
      <w:r w:rsidR="00440246" w:rsidRPr="00440246">
        <w:rPr>
          <w:lang w:val="en-GB"/>
        </w:rPr>
        <w:t>of aspects related to DLS provision</w:t>
      </w:r>
      <w:r w:rsidR="00440246">
        <w:rPr>
          <w:lang w:val="en-GB"/>
        </w:rPr>
        <w:t>, including</w:t>
      </w:r>
      <w:r w:rsidR="00440246" w:rsidRPr="00440246">
        <w:rPr>
          <w:lang w:val="en-GB"/>
        </w:rPr>
        <w:t xml:space="preserve"> model dynamics</w:t>
      </w:r>
      <w:r w:rsidR="00DC6A64">
        <w:rPr>
          <w:lang w:val="en-GB"/>
        </w:rPr>
        <w:t xml:space="preserve"> </w:t>
      </w:r>
      <w:r w:rsidR="00440246" w:rsidRPr="00440246">
        <w:rPr>
          <w:lang w:val="en-GB"/>
        </w:rPr>
        <w:t>and relevant model parameters and units defining service levels.</w:t>
      </w:r>
      <w:r w:rsidR="00440246">
        <w:rPr>
          <w:lang w:val="en-GB"/>
        </w:rPr>
        <w:t xml:space="preserve"> </w:t>
      </w:r>
      <w:r w:rsidR="00785CBB">
        <w:rPr>
          <w:lang w:val="en-GB"/>
        </w:rPr>
        <w:t>We provide an overview of the five models here below</w:t>
      </w:r>
      <w:r w:rsidR="00DE603B">
        <w:rPr>
          <w:lang w:val="en-GB"/>
        </w:rPr>
        <w:t>.</w:t>
      </w:r>
    </w:p>
    <w:p w14:paraId="3599DE25" w14:textId="7A46831B" w:rsidR="00523F18" w:rsidRPr="007C5C1C" w:rsidRDefault="00523F18" w:rsidP="00785CBB">
      <w:pPr>
        <w:spacing w:after="120"/>
        <w:rPr>
          <w:lang w:val="en-GB"/>
        </w:rPr>
      </w:pPr>
      <w:r w:rsidRPr="007C5C1C">
        <w:rPr>
          <w:b/>
          <w:bCs/>
          <w:lang w:val="en-GB"/>
        </w:rPr>
        <w:t>HEB</w:t>
      </w:r>
      <w:r w:rsidR="00782142">
        <w:fldChar w:fldCharType="begin"/>
      </w:r>
      <w:r w:rsidR="00AD4028">
        <w:instrText xml:space="preserve"> ADDIN ZOTERO_ITEM CSL_CITATION {"citationID":"F73PZziU","properties":{"formattedCitation":"\\super 1\\nosupersub{}","plainCitation":"1","noteIndex":0},"citationItems":[{"id":973,"uris":["http://zotero.org/groups/4530821/items/QRFKRQM4"],"itemData":{"id":973,"type":"chapter","abstract":"Abstract\n            \n              This section documents the development of four different energy demand pathways on the basis of the high-efficiency buildings (HEB) model of the Central European University. The assumptions and the scenario narratives are derived and the results provided in numerous graphs and tables. Of the four derived scenarios, two are selected for the OECM and the selection criteria are justified. The results in terms of the global energy demand and energy-related CO\n              2\n              emissions are provided in tables.","container-title":"Achieving the Paris Climate Agreement Goals","event-place":"Cham","ISBN":"978-3-030-99176-0","language":"en","note":"DOI: 10.1007/978-3-030-99177-7_7","page":"161-185","publisher":"Springer International Publishing","publisher-place":"Cham","source":"DOI.org (Crossref)","title":"Decarbonisation Pathways for Buildings","URL":"https://link.springer.com/10.1007/978-3-030-99177-7_7","editor":[{"family":"Teske","given":"Sven"}],"author":[{"family":"Chatterjee","given":"Souran"},{"family":"Kiss","given":"Benedek"},{"family":"Ürge-Vorsatz","given":"Diana"},{"family":"Teske","given":"Sven"}],"accessed":{"date-parts":[["2022",11,10]]},"issued":{"date-parts":[["2022"]]}}}],"schema":"https://github.com/citation-style-language/schema/raw/master/csl-citation.json"} </w:instrText>
      </w:r>
      <w:r w:rsidR="00782142">
        <w:fldChar w:fldCharType="separate"/>
      </w:r>
      <w:r w:rsidR="00AD4028" w:rsidRPr="00AD4028">
        <w:rPr>
          <w:rFonts w:ascii="Calibri" w:hAnsi="Calibri" w:cs="Calibri"/>
          <w:vertAlign w:val="superscript"/>
        </w:rPr>
        <w:t>1</w:t>
      </w:r>
      <w:r w:rsidR="00782142">
        <w:fldChar w:fldCharType="end"/>
      </w:r>
      <w:r w:rsidRPr="007C5C1C">
        <w:rPr>
          <w:b/>
          <w:bCs/>
          <w:lang w:val="en-GB"/>
        </w:rPr>
        <w:t xml:space="preserve"> </w:t>
      </w:r>
      <w:r w:rsidR="008E798D">
        <w:rPr>
          <w:lang w:val="en-GB"/>
        </w:rPr>
        <w:t>is a global m</w:t>
      </w:r>
      <w:r w:rsidR="00CB0439">
        <w:rPr>
          <w:lang w:val="en-GB"/>
        </w:rPr>
        <w:t xml:space="preserve">odel </w:t>
      </w:r>
      <w:r w:rsidR="008E798D">
        <w:rPr>
          <w:lang w:val="en-GB"/>
        </w:rPr>
        <w:t xml:space="preserve">to </w:t>
      </w:r>
      <w:r w:rsidRPr="007C5C1C">
        <w:rPr>
          <w:lang w:val="en-GB"/>
        </w:rPr>
        <w:t>analyse building energy use and CO</w:t>
      </w:r>
      <w:r w:rsidRPr="00CB0439">
        <w:rPr>
          <w:vertAlign w:val="subscript"/>
          <w:lang w:val="en-GB"/>
        </w:rPr>
        <w:t>2</w:t>
      </w:r>
      <w:r w:rsidRPr="007C5C1C">
        <w:rPr>
          <w:lang w:val="en-GB"/>
        </w:rPr>
        <w:t xml:space="preserve"> emissions. This model calculates with the overall energy performance levels of buildings regardless of the measures applied to achieve it. Moreover, this model also captures the diversity of solutions required in each region by having region-specific assumptions about advanced and sub-optimal technology mixes. The elaborated model is in the framework of the bottom-up approach, as it includes rather detailed technological information for one sector of economy, however, it also benefits from certain macroeconomic (GDP) and sociodemographic data (population, urbanization rate, floor area per capita, etc.). </w:t>
      </w:r>
      <w:r w:rsidRPr="007C5C1C">
        <w:rPr>
          <w:lang w:val="en-GB"/>
        </w:rPr>
        <w:tab/>
      </w:r>
    </w:p>
    <w:p w14:paraId="6AEC08E1" w14:textId="716BC42F" w:rsidR="00523F18" w:rsidRPr="00785CBB" w:rsidRDefault="00523F18" w:rsidP="00785CBB">
      <w:pPr>
        <w:spacing w:after="120"/>
        <w:rPr>
          <w:lang w:val="en-GB"/>
        </w:rPr>
      </w:pPr>
      <w:r w:rsidRPr="00785CBB">
        <w:rPr>
          <w:b/>
          <w:bCs/>
          <w:lang w:val="en-GB"/>
        </w:rPr>
        <w:t>IMAGE</w:t>
      </w:r>
      <w:r w:rsidR="00FE4A1D" w:rsidRPr="00DA2EA9">
        <w:fldChar w:fldCharType="begin"/>
      </w:r>
      <w:r w:rsidR="00AD4028">
        <w:instrText xml:space="preserve"> ADDIN ZOTERO_ITEM CSL_CITATION {"citationID":"iPuUwmCY","properties":{"formattedCitation":"\\super 2,3\\nosupersub{}","plainCitation":"2,3","noteIndex":0},"citationItems":[{"id":2769,"uris":["http://zotero.org/groups/4530821/items/JTAS2P2K"],"itemData":{"id":2769,"type":"article-journal","container-title":"Energy","DOI":"10.1016/j.energy.2011.10.044","ISSN":"03605442","issue":"1","journalAbbreviation":"Energy","language":"en","page":"601-615","source":"DOI.org (Crossref)","title":"Model projections for household energy use in developing countries","volume":"37","author":[{"family":"Daioglou","given":"Vassilis"},{"family":"Van Ruijven","given":"Bas J."},{"family":"Van Vuuren","given":"Detlef P."}],"issued":{"date-parts":[["2012",1]]}}},{"id":610,"uris":["http://zotero.org/groups/4530821/items/BQ4HWYLR"],"itemData":{"id":610,"type":"article-journal","container-title":"Energy","DOI":"10.1016/j.energy.2021.122994","ISSN":"03605442","journalAbbreviation":"Energy","language":"en","page":"122994","source":"DOI.org (Crossref)","title":"Efficiency improvement and technology choice for energy and emission reductions of the residential sector","volume":"243","author":[{"family":"Daioglou","given":"Vassilis"},{"family":"Mikropoulos","given":"Efstratios"},{"family":"Gernaat","given":"David"},{"family":"Vuuren","given":"Detlef P.","non-dropping-particle":"van"}],"issued":{"date-parts":[["2022",3]]}}}],"schema":"https://github.com/citation-style-language/schema/raw/master/csl-citation.json"} </w:instrText>
      </w:r>
      <w:r w:rsidR="00FE4A1D" w:rsidRPr="00DA2EA9">
        <w:fldChar w:fldCharType="separate"/>
      </w:r>
      <w:r w:rsidR="00AD4028" w:rsidRPr="00AD4028">
        <w:rPr>
          <w:rFonts w:ascii="Calibri" w:hAnsi="Calibri" w:cs="Calibri"/>
          <w:vertAlign w:val="superscript"/>
        </w:rPr>
        <w:t>2,3</w:t>
      </w:r>
      <w:r w:rsidR="00FE4A1D" w:rsidRPr="00DA2EA9">
        <w:fldChar w:fldCharType="end"/>
      </w:r>
      <w:r w:rsidR="006477C7" w:rsidRPr="006477C7">
        <w:rPr>
          <w:lang w:val="en-GB"/>
        </w:rPr>
        <w:t xml:space="preserve"> is an integrated assessment model</w:t>
      </w:r>
      <w:r w:rsidR="006477C7">
        <w:rPr>
          <w:lang w:val="en-GB"/>
        </w:rPr>
        <w:t xml:space="preserve"> (IAM)</w:t>
      </w:r>
      <w:r w:rsidR="006477C7" w:rsidRPr="006477C7">
        <w:rPr>
          <w:lang w:val="en-GB"/>
        </w:rPr>
        <w:t xml:space="preserve"> </w:t>
      </w:r>
      <w:r w:rsidR="003634E5">
        <w:rPr>
          <w:lang w:val="en-GB"/>
        </w:rPr>
        <w:t>describing</w:t>
      </w:r>
      <w:r w:rsidR="006477C7" w:rsidRPr="006477C7">
        <w:rPr>
          <w:lang w:val="en-GB"/>
        </w:rPr>
        <w:t xml:space="preserve"> the relationships between humans and natural systems, including energy use, land use, and greenhouse gas emissions. </w:t>
      </w:r>
      <w:r w:rsidR="003634E5" w:rsidRPr="003634E5">
        <w:rPr>
          <w:lang w:val="en-GB"/>
        </w:rPr>
        <w:t>The energy module of IMAGE</w:t>
      </w:r>
      <w:r w:rsidR="003634E5">
        <w:rPr>
          <w:lang w:val="en-GB"/>
        </w:rPr>
        <w:t xml:space="preserve"> </w:t>
      </w:r>
      <w:r w:rsidR="00AE0072">
        <w:rPr>
          <w:lang w:val="en-GB"/>
        </w:rPr>
        <w:t xml:space="preserve">uses recursive dynamics to </w:t>
      </w:r>
      <w:r w:rsidR="00AE0072" w:rsidRPr="003634E5">
        <w:rPr>
          <w:lang w:val="en-GB"/>
        </w:rPr>
        <w:t>project supply and demand of primary and secondary energy carriers needed to provide energy services for different end-use sectors.</w:t>
      </w:r>
      <w:r w:rsidR="00D41D3D">
        <w:rPr>
          <w:lang w:val="en-GB"/>
        </w:rPr>
        <w:t xml:space="preserve"> The model </w:t>
      </w:r>
      <w:r w:rsidR="003634E5" w:rsidRPr="003634E5">
        <w:rPr>
          <w:lang w:val="en-GB"/>
        </w:rPr>
        <w:t>represents the global energy system disaggregated across 26 global regions</w:t>
      </w:r>
      <w:r w:rsidR="00D41D3D">
        <w:rPr>
          <w:lang w:val="en-GB"/>
        </w:rPr>
        <w:t xml:space="preserve">. </w:t>
      </w:r>
      <w:r w:rsidR="0035095C">
        <w:rPr>
          <w:lang w:val="en-GB"/>
        </w:rPr>
        <w:t>R</w:t>
      </w:r>
      <w:r w:rsidRPr="00785CBB">
        <w:rPr>
          <w:lang w:val="en-GB"/>
        </w:rPr>
        <w:t xml:space="preserve">esidential energy </w:t>
      </w:r>
      <w:r w:rsidR="00591BF7">
        <w:rPr>
          <w:lang w:val="en-GB"/>
        </w:rPr>
        <w:t xml:space="preserve">demand is projected </w:t>
      </w:r>
      <w:r w:rsidRPr="00785CBB">
        <w:rPr>
          <w:lang w:val="en-GB"/>
        </w:rPr>
        <w:t xml:space="preserve">as a result building stock turnover, insulation and efficiency levels, renovation rates, investment in rooftop PV, end use demand and shifts, technological progress, technology, fuel choices, and emergence of prosumers. </w:t>
      </w:r>
      <w:r w:rsidR="00591BF7">
        <w:rPr>
          <w:lang w:val="en-GB"/>
        </w:rPr>
        <w:t>T</w:t>
      </w:r>
      <w:r w:rsidRPr="00785CBB">
        <w:rPr>
          <w:lang w:val="en-GB"/>
        </w:rPr>
        <w:t>he model makes a distinction between urban and rural energy demand and across income quintiles.</w:t>
      </w:r>
      <w:r w:rsidRPr="00785CBB">
        <w:rPr>
          <w:lang w:val="en-GB"/>
        </w:rPr>
        <w:tab/>
      </w:r>
    </w:p>
    <w:p w14:paraId="7C1D9EF7" w14:textId="2DB349F1" w:rsidR="00523F18" w:rsidRPr="00785CBB" w:rsidRDefault="00523F18" w:rsidP="00785CBB">
      <w:pPr>
        <w:spacing w:after="120"/>
        <w:rPr>
          <w:lang w:val="en-GB"/>
        </w:rPr>
      </w:pPr>
      <w:proofErr w:type="spellStart"/>
      <w:r w:rsidRPr="00785CBB">
        <w:rPr>
          <w:b/>
          <w:bCs/>
          <w:lang w:val="en-GB"/>
        </w:rPr>
        <w:t>MESSAGEix</w:t>
      </w:r>
      <w:proofErr w:type="spellEnd"/>
      <w:r w:rsidRPr="00785CBB">
        <w:rPr>
          <w:b/>
          <w:bCs/>
          <w:lang w:val="en-GB"/>
        </w:rPr>
        <w:t>-Buildings</w:t>
      </w:r>
      <w:r w:rsidR="0021283E">
        <w:fldChar w:fldCharType="begin"/>
      </w:r>
      <w:r w:rsidR="00AD4028">
        <w:instrText xml:space="preserve"> ADDIN ZOTERO_ITEM CSL_CITATION {"citationID":"jid4fFTu","properties":{"formattedCitation":"\\super 4\\nosupersub{}","plainCitation":"4","noteIndex":0},"citationItems":[{"id":593,"uris":["http://zotero.org/groups/4530821/items/K598XMHI"],"itemData":{"id":593,"type":"article-journal","abstract":"Abstract\n            \n              Buildings account for 36% of global final energy demand and are key to mitigating climate change. Assessing the evolution of the global building stock and its energy demand is critical to support mitigation strategies. However, most global studies lack granularity and overlook heterogeneity in the building sector, limiting the evaluation of demand transformation scenarios. We develop global residential building scenarios along the shared socio-economic pathways (SSPs) 1–3 and assess the evolution of building stock, energy demand, and CO\n              2\n              emissions for space heating and cooling with MESSAGEix-Buildings, a modelling framework soft-linked to an integrated assessment framework. MESSAGEix-Buildings combines bottom-up modelling of energy demand, stock turnover, and discrete choice modelling for energy efficiency decisions, and accounts for heterogeneity in geographical contexts, socio-economics, and buildings characteristics.\n            \n            \n              Global CO\n              2\n              emissions for space heating are projected to decrease between 34.4 (SSP3) and 52.5% (SSP1) by 2050 under energy efficiency improvements and electrification. Space cooling demand starkly rises in developing countries, with CO\n              2\n              emissions increasing globally by 58.2 (SSP1) to 85.2% (SSP3) by 2050. Scenarios substantially differ in the uptake of energy efficient new construction and renovations, generally higher for single-family homes, and in space cooling patterns across income levels and locations, with most of the demand in the global south driven by medium- and high-income urban households. This study contributes an advancement in the granularity of building sector knowledge to be assessed in integration with other sources of emissions in the context of global climate change mitigation and sustainable development.","container-title":"Climatic Change","DOI":"10.1007/s10584-021-03229-3","ISSN":"0165-0009, 1573-1480","issue":"3-4","journalAbbreviation":"Climatic Change","language":"en","page":"14","source":"DOI.org (Crossref)","title":"Global scenarios of residential heating and cooling energy demand and CO2 emissions","volume":"168","author":[{"family":"Mastrucci","given":"Alessio"},{"family":"Ruijven","given":"Bas","non-dropping-particle":"van"},{"family":"Byers","given":"Edward"},{"family":"Poblete-Cazenave","given":"Miguel"},{"family":"Pachauri","given":"Shonali"}],"issued":{"date-parts":[["2021",10]]}}}],"schema":"https://github.com/citation-style-language/schema/raw/master/csl-citation.json"} </w:instrText>
      </w:r>
      <w:r w:rsidR="0021283E">
        <w:fldChar w:fldCharType="separate"/>
      </w:r>
      <w:r w:rsidR="00AD4028" w:rsidRPr="00AD4028">
        <w:rPr>
          <w:rFonts w:ascii="Calibri" w:hAnsi="Calibri" w:cs="Calibri"/>
          <w:vertAlign w:val="superscript"/>
        </w:rPr>
        <w:t>4</w:t>
      </w:r>
      <w:r w:rsidR="0021283E">
        <w:fldChar w:fldCharType="end"/>
      </w:r>
      <w:r w:rsidRPr="00785CBB">
        <w:rPr>
          <w:lang w:val="en-GB"/>
        </w:rPr>
        <w:t xml:space="preserve"> is a </w:t>
      </w:r>
      <w:r w:rsidR="0083724F" w:rsidRPr="00785CBB">
        <w:rPr>
          <w:lang w:val="en-GB"/>
        </w:rPr>
        <w:t>b</w:t>
      </w:r>
      <w:r w:rsidRPr="00785CBB">
        <w:rPr>
          <w:lang w:val="en-GB"/>
        </w:rPr>
        <w:t>uilding s</w:t>
      </w:r>
      <w:r w:rsidR="006A2DE4" w:rsidRPr="00785CBB">
        <w:rPr>
          <w:lang w:val="en-GB"/>
        </w:rPr>
        <w:t>ector</w:t>
      </w:r>
      <w:r w:rsidRPr="00785CBB">
        <w:rPr>
          <w:lang w:val="en-GB"/>
        </w:rPr>
        <w:t xml:space="preserve"> model</w:t>
      </w:r>
      <w:r w:rsidR="006A2DE4" w:rsidRPr="00785CBB">
        <w:rPr>
          <w:lang w:val="en-GB"/>
        </w:rPr>
        <w:t>ling framework</w:t>
      </w:r>
      <w:r w:rsidRPr="00785CBB">
        <w:rPr>
          <w:lang w:val="en-GB"/>
        </w:rPr>
        <w:t xml:space="preserve"> to assess the</w:t>
      </w:r>
      <w:r w:rsidR="00CB0439">
        <w:rPr>
          <w:lang w:val="en-GB"/>
        </w:rPr>
        <w:t xml:space="preserve"> stock</w:t>
      </w:r>
      <w:r w:rsidRPr="00785CBB">
        <w:rPr>
          <w:lang w:val="en-GB"/>
        </w:rPr>
        <w:t xml:space="preserve"> turnover, energy </w:t>
      </w:r>
      <w:r w:rsidR="00CB0439">
        <w:rPr>
          <w:lang w:val="en-GB"/>
        </w:rPr>
        <w:t xml:space="preserve">and material </w:t>
      </w:r>
      <w:r w:rsidRPr="00785CBB">
        <w:rPr>
          <w:lang w:val="en-GB"/>
        </w:rPr>
        <w:t>demand</w:t>
      </w:r>
      <w:r w:rsidR="00CB0439">
        <w:rPr>
          <w:lang w:val="en-GB"/>
        </w:rPr>
        <w:t>s</w:t>
      </w:r>
      <w:r w:rsidRPr="00785CBB">
        <w:rPr>
          <w:lang w:val="en-GB"/>
        </w:rPr>
        <w:t xml:space="preserve">, and </w:t>
      </w:r>
      <w:r w:rsidR="00B101AE">
        <w:rPr>
          <w:lang w:val="en-GB"/>
        </w:rPr>
        <w:t>greenhouse gas (GHG) emissions</w:t>
      </w:r>
      <w:r w:rsidRPr="00785CBB">
        <w:rPr>
          <w:lang w:val="en-GB"/>
        </w:rPr>
        <w:t xml:space="preserve"> of buildings</w:t>
      </w:r>
      <w:r w:rsidR="00D4020A" w:rsidRPr="00785CBB">
        <w:rPr>
          <w:lang w:val="en-GB"/>
        </w:rPr>
        <w:t xml:space="preserve"> at national, regional, and global scales</w:t>
      </w:r>
      <w:r w:rsidRPr="00785CBB">
        <w:rPr>
          <w:lang w:val="en-GB"/>
        </w:rPr>
        <w:t>.</w:t>
      </w:r>
      <w:r w:rsidR="00F00E4C">
        <w:rPr>
          <w:lang w:val="en-GB"/>
        </w:rPr>
        <w:t xml:space="preserve"> </w:t>
      </w:r>
      <w:r w:rsidR="00B101AE">
        <w:rPr>
          <w:lang w:val="en-GB"/>
        </w:rPr>
        <w:t>Specific modules within this framework use different b</w:t>
      </w:r>
      <w:r w:rsidR="00F00E4C" w:rsidRPr="00F00E4C">
        <w:rPr>
          <w:lang w:val="en-GB"/>
        </w:rPr>
        <w:t>ottom-up methods</w:t>
      </w:r>
      <w:r w:rsidR="00F00E4C">
        <w:rPr>
          <w:lang w:val="en-GB"/>
        </w:rPr>
        <w:t xml:space="preserve"> </w:t>
      </w:r>
      <w:r w:rsidR="00F00E4C" w:rsidRPr="00F00E4C">
        <w:rPr>
          <w:lang w:val="en-GB"/>
        </w:rPr>
        <w:t>to estimate heating and cooling demands (CHILLED</w:t>
      </w:r>
      <w:r w:rsidR="00F00E4C">
        <w:rPr>
          <w:lang w:val="en-GB"/>
        </w:rPr>
        <w:t xml:space="preserve"> module</w:t>
      </w:r>
      <w:r w:rsidR="00F00E4C" w:rsidRPr="00F00E4C">
        <w:rPr>
          <w:lang w:val="en-GB"/>
        </w:rPr>
        <w:t>) and building stock turnover and energy efficiency investment</w:t>
      </w:r>
      <w:r w:rsidR="00035675">
        <w:rPr>
          <w:lang w:val="en-GB"/>
        </w:rPr>
        <w:t xml:space="preserve"> decisions</w:t>
      </w:r>
      <w:r w:rsidR="00F00E4C" w:rsidRPr="00F00E4C">
        <w:rPr>
          <w:lang w:val="en-GB"/>
        </w:rPr>
        <w:t xml:space="preserve"> (STURM</w:t>
      </w:r>
      <w:r w:rsidR="00035675">
        <w:rPr>
          <w:lang w:val="en-GB"/>
        </w:rPr>
        <w:t xml:space="preserve"> module</w:t>
      </w:r>
      <w:r w:rsidR="00F00E4C" w:rsidRPr="00F00E4C">
        <w:rPr>
          <w:lang w:val="en-GB"/>
        </w:rPr>
        <w:t>)</w:t>
      </w:r>
      <w:r w:rsidR="00B101AE">
        <w:rPr>
          <w:lang w:val="en-GB"/>
        </w:rPr>
        <w:t xml:space="preserve"> in future scenarios</w:t>
      </w:r>
      <w:r w:rsidR="00F00E4C" w:rsidRPr="00F00E4C">
        <w:rPr>
          <w:lang w:val="en-GB"/>
        </w:rPr>
        <w:t xml:space="preserve">. The </w:t>
      </w:r>
      <w:r w:rsidR="00035675">
        <w:rPr>
          <w:lang w:val="en-GB"/>
        </w:rPr>
        <w:t>framework is</w:t>
      </w:r>
      <w:r w:rsidR="00F00E4C" w:rsidRPr="00F00E4C">
        <w:rPr>
          <w:lang w:val="en-GB"/>
        </w:rPr>
        <w:t xml:space="preserve"> linked to the </w:t>
      </w:r>
      <w:proofErr w:type="spellStart"/>
      <w:r w:rsidR="00F00E4C" w:rsidRPr="00F00E4C">
        <w:rPr>
          <w:lang w:val="en-GB"/>
        </w:rPr>
        <w:t>MESSAGEix</w:t>
      </w:r>
      <w:proofErr w:type="spellEnd"/>
      <w:r w:rsidR="00F00E4C" w:rsidRPr="00F00E4C">
        <w:rPr>
          <w:lang w:val="en-GB"/>
        </w:rPr>
        <w:t>-GLOBIOM</w:t>
      </w:r>
      <w:r w:rsidR="004C1579">
        <w:rPr>
          <w:lang w:val="en-GB"/>
        </w:rPr>
        <w:t xml:space="preserve"> IAM</w:t>
      </w:r>
      <w:r w:rsidR="00F00E4C" w:rsidRPr="00F00E4C">
        <w:rPr>
          <w:lang w:val="en-GB"/>
        </w:rPr>
        <w:t xml:space="preserve"> (</w:t>
      </w:r>
      <w:proofErr w:type="spellStart"/>
      <w:r w:rsidR="00F00E4C" w:rsidRPr="00F00E4C">
        <w:rPr>
          <w:lang w:val="en-GB"/>
        </w:rPr>
        <w:t>Huppmann</w:t>
      </w:r>
      <w:proofErr w:type="spellEnd"/>
      <w:r w:rsidR="00F00E4C" w:rsidRPr="00F00E4C">
        <w:rPr>
          <w:lang w:val="en-GB"/>
        </w:rPr>
        <w:t xml:space="preserve"> et al. 2019)</w:t>
      </w:r>
      <w:r w:rsidR="004C1579">
        <w:rPr>
          <w:lang w:val="en-GB"/>
        </w:rPr>
        <w:t xml:space="preserve"> </w:t>
      </w:r>
      <w:r w:rsidR="00DC3657">
        <w:rPr>
          <w:lang w:val="en-GB"/>
        </w:rPr>
        <w:t>to</w:t>
      </w:r>
      <w:r w:rsidR="00F00E4C" w:rsidRPr="00F00E4C">
        <w:rPr>
          <w:lang w:val="en-GB"/>
        </w:rPr>
        <w:t xml:space="preserve"> account for </w:t>
      </w:r>
      <w:r w:rsidR="00DC3657">
        <w:rPr>
          <w:lang w:val="en-GB"/>
        </w:rPr>
        <w:t xml:space="preserve">linkages between the </w:t>
      </w:r>
      <w:r w:rsidR="00F00E4C" w:rsidRPr="00F00E4C">
        <w:rPr>
          <w:lang w:val="en-GB"/>
        </w:rPr>
        <w:t>demand- and supply-side systems</w:t>
      </w:r>
      <w:r w:rsidR="00521201">
        <w:rPr>
          <w:lang w:val="en-GB"/>
        </w:rPr>
        <w:t xml:space="preserve"> under different policy scenarios</w:t>
      </w:r>
      <w:r w:rsidR="00F00E4C" w:rsidRPr="00F00E4C">
        <w:rPr>
          <w:lang w:val="en-GB"/>
        </w:rPr>
        <w:t xml:space="preserve">. </w:t>
      </w:r>
      <w:r w:rsidR="000517F4">
        <w:rPr>
          <w:lang w:val="en-GB"/>
        </w:rPr>
        <w:t xml:space="preserve">The model is highly granular, including detailed representation of </w:t>
      </w:r>
      <w:r w:rsidR="00C4270C">
        <w:rPr>
          <w:lang w:val="en-GB"/>
        </w:rPr>
        <w:t xml:space="preserve">geographical, </w:t>
      </w:r>
      <w:proofErr w:type="gramStart"/>
      <w:r w:rsidR="00C4270C">
        <w:rPr>
          <w:lang w:val="en-GB"/>
        </w:rPr>
        <w:t>socio-economics</w:t>
      </w:r>
      <w:proofErr w:type="gramEnd"/>
      <w:r w:rsidR="00C4270C">
        <w:rPr>
          <w:lang w:val="en-GB"/>
        </w:rPr>
        <w:t>, and building heterogeneities.</w:t>
      </w:r>
    </w:p>
    <w:p w14:paraId="1768540E" w14:textId="481F89DB" w:rsidR="00523F18" w:rsidRPr="00785CBB" w:rsidRDefault="00523F18" w:rsidP="00785CBB">
      <w:pPr>
        <w:spacing w:after="120"/>
        <w:rPr>
          <w:lang w:val="en-GB"/>
        </w:rPr>
      </w:pPr>
      <w:r w:rsidRPr="00785CBB">
        <w:rPr>
          <w:b/>
          <w:bCs/>
          <w:lang w:val="en-GB"/>
        </w:rPr>
        <w:t>PIER</w:t>
      </w:r>
      <w:r w:rsidR="000A5BDE" w:rsidRPr="00DA2EA9">
        <w:fldChar w:fldCharType="begin"/>
      </w:r>
      <w:r w:rsidR="00AD4028">
        <w:instrText xml:space="preserve"> ADDIN ZOTERO_ITEM CSL_CITATION {"citationID":"go5Hfn6s","properties":{"formattedCitation":"\\super 5,6\\nosupersub{}","plainCitation":"5,6","noteIndex":0},"citationItems":[{"id":828,"uris":["http://zotero.org/groups/4530821/items/9Q9FVKS9"],"itemData":{"id":828,"type":"document","publisher":"Prayas (Energy Group)","title":"PIER: Modelling the Indian energy system through the 2020s","URL":"https://www.prayaspune.org/peg/publications/item/512","author":[{"family":"Prayas (Energy Group)","given":""}],"issued":{"date-parts":[["2021"]]}}},{"id":4012,"uris":["http://zotero.org/users/8450109/items/Z5H4EQRM"],"itemData":{"id":4012,"type":"report","title":"More with less: Insights from residential energy demand assessment using PIER","URL":"https://energy.prayaspune.org/our-work/research-report/more-with-less","author":[{"family":"Prayas (Energy Group)","given":""}],"issued":{"date-parts":[["2023"]]}}}],"schema":"https://github.com/citation-style-language/schema/raw/master/csl-citation.json"} </w:instrText>
      </w:r>
      <w:r w:rsidR="000A5BDE" w:rsidRPr="00DA2EA9">
        <w:fldChar w:fldCharType="separate"/>
      </w:r>
      <w:r w:rsidR="00AD4028" w:rsidRPr="00AD4028">
        <w:rPr>
          <w:rFonts w:ascii="Calibri" w:hAnsi="Calibri" w:cs="Calibri"/>
          <w:vertAlign w:val="superscript"/>
        </w:rPr>
        <w:t>5,6</w:t>
      </w:r>
      <w:r w:rsidR="000A5BDE" w:rsidRPr="00DA2EA9">
        <w:fldChar w:fldCharType="end"/>
      </w:r>
      <w:r w:rsidR="00550F36" w:rsidRPr="00785CBB">
        <w:rPr>
          <w:lang w:val="en-GB"/>
        </w:rPr>
        <w:t xml:space="preserve"> is an open-data, demand-oriented model built upon Rumi, an open-source energy systems modelling platform.</w:t>
      </w:r>
      <w:r w:rsidR="00AB13F6" w:rsidRPr="00785CBB">
        <w:rPr>
          <w:lang w:val="en-GB"/>
        </w:rPr>
        <w:t xml:space="preserve"> This </w:t>
      </w:r>
      <w:r w:rsidR="00643765" w:rsidRPr="00785CBB">
        <w:rPr>
          <w:lang w:val="en-GB"/>
        </w:rPr>
        <w:t>national model</w:t>
      </w:r>
      <w:r w:rsidR="00AB13F6" w:rsidRPr="00785CBB">
        <w:rPr>
          <w:lang w:val="en-GB"/>
        </w:rPr>
        <w:t xml:space="preserve"> is used</w:t>
      </w:r>
      <w:r w:rsidR="00643765" w:rsidRPr="00785CBB">
        <w:rPr>
          <w:lang w:val="en-GB"/>
        </w:rPr>
        <w:t xml:space="preserve"> to u</w:t>
      </w:r>
      <w:r w:rsidRPr="00785CBB">
        <w:rPr>
          <w:lang w:val="en-GB"/>
        </w:rPr>
        <w:t xml:space="preserve">nderstand future trajectories of the Indian energy sector through </w:t>
      </w:r>
      <w:proofErr w:type="gramStart"/>
      <w:r w:rsidRPr="00785CBB">
        <w:rPr>
          <w:lang w:val="en-GB"/>
        </w:rPr>
        <w:t>bottom up</w:t>
      </w:r>
      <w:proofErr w:type="gramEnd"/>
      <w:r w:rsidRPr="00785CBB">
        <w:rPr>
          <w:lang w:val="en-GB"/>
        </w:rPr>
        <w:t xml:space="preserve"> estimation of energy service demand and technologies and optimising the energy supply technologies to meet the estimated demand</w:t>
      </w:r>
      <w:r w:rsidR="00643765" w:rsidRPr="00785CBB">
        <w:rPr>
          <w:lang w:val="en-GB"/>
        </w:rPr>
        <w:t>.</w:t>
      </w:r>
      <w:r w:rsidR="00E2526A" w:rsidRPr="00E2526A">
        <w:t xml:space="preserve"> </w:t>
      </w:r>
      <w:r w:rsidR="00E2526A" w:rsidRPr="00E2526A">
        <w:rPr>
          <w:lang w:val="en-GB"/>
        </w:rPr>
        <w:t xml:space="preserve">PIER models the </w:t>
      </w:r>
      <w:r w:rsidR="0014116B">
        <w:rPr>
          <w:lang w:val="en-GB"/>
        </w:rPr>
        <w:t>residential</w:t>
      </w:r>
      <w:r w:rsidR="00E2526A" w:rsidRPr="00E2526A">
        <w:rPr>
          <w:lang w:val="en-GB"/>
        </w:rPr>
        <w:t xml:space="preserve"> energy demand, based on bottom-up modelling of </w:t>
      </w:r>
      <w:r w:rsidR="0014116B">
        <w:rPr>
          <w:lang w:val="en-GB"/>
        </w:rPr>
        <w:t>different energy services</w:t>
      </w:r>
      <w:r w:rsidR="006772A6">
        <w:rPr>
          <w:lang w:val="en-GB"/>
        </w:rPr>
        <w:t xml:space="preserve"> at state-level</w:t>
      </w:r>
      <w:r w:rsidR="000B7725">
        <w:rPr>
          <w:lang w:val="en-GB"/>
        </w:rPr>
        <w:t xml:space="preserve"> by urban and </w:t>
      </w:r>
      <w:proofErr w:type="gramStart"/>
      <w:r w:rsidR="000B7725">
        <w:rPr>
          <w:lang w:val="en-GB"/>
        </w:rPr>
        <w:t xml:space="preserve">rural </w:t>
      </w:r>
      <w:r w:rsidR="00E2526A" w:rsidRPr="00E2526A">
        <w:rPr>
          <w:lang w:val="en-GB"/>
        </w:rPr>
        <w:t xml:space="preserve"> areas</w:t>
      </w:r>
      <w:proofErr w:type="gramEnd"/>
      <w:r w:rsidR="00E2526A" w:rsidRPr="00E2526A">
        <w:rPr>
          <w:lang w:val="en-GB"/>
        </w:rPr>
        <w:t xml:space="preserve">, based on </w:t>
      </w:r>
      <w:r w:rsidR="000B7725">
        <w:rPr>
          <w:lang w:val="en-GB"/>
        </w:rPr>
        <w:t>drivers</w:t>
      </w:r>
      <w:r w:rsidR="00622625">
        <w:rPr>
          <w:lang w:val="en-GB"/>
        </w:rPr>
        <w:t xml:space="preserve"> such as</w:t>
      </w:r>
      <w:r w:rsidR="000B7725">
        <w:rPr>
          <w:lang w:val="en-GB"/>
        </w:rPr>
        <w:t xml:space="preserve"> </w:t>
      </w:r>
      <w:r w:rsidR="00E2526A" w:rsidRPr="00E2526A">
        <w:rPr>
          <w:lang w:val="en-GB"/>
        </w:rPr>
        <w:t xml:space="preserve">appliance penetrations, per-capita GDP growth and temperature.  </w:t>
      </w:r>
    </w:p>
    <w:p w14:paraId="39084453" w14:textId="5EAC7FA8" w:rsidR="00523F18" w:rsidRDefault="221F59E3" w:rsidP="06DCFACD">
      <w:r w:rsidRPr="00DE7D89">
        <w:rPr>
          <w:rFonts w:ascii="Calibri" w:eastAsia="Calibri" w:hAnsi="Calibri" w:cs="Calibri"/>
          <w:b/>
          <w:bCs/>
          <w:lang w:val="en-GB"/>
        </w:rPr>
        <w:t>SAFARI</w:t>
      </w:r>
      <w:r w:rsidR="00AD4028" w:rsidRPr="00DA2EA9">
        <w:fldChar w:fldCharType="begin"/>
      </w:r>
      <w:r w:rsidR="00AD4028">
        <w:instrText xml:space="preserve"> ADDIN ZOTERO_ITEM CSL_CITATION {"citationID":"JfKJQ746","properties":{"formattedCitation":"\\super 7\\nosupersub{}","plainCitation":"7","noteIndex":0},"citationItems":[{"id":820,"uris":["http://zotero.org/groups/4530821/items/HR6J7F2X"],"itemData":{"id":820,"type":"article-journal","abstract":"Abstract\n            India’s rapid urbanisation underscores the need to balance growing consumption patterns, development goals, and climate commitments. The scenarios presented in this paper were created using our Sustainable Alternative Futures for India (SAFARI) model, a system dynamics model that simulates interlinkages between sectors in India and their competition for resources and energy at the national scale. This study presents insights from scenarios based on SAFARI’s housing and transport modules, as well as synergies and trade-offs with the industries, water, land, and agriculture modules. It focuses on urban form scenarios and their implications for energy, emissions, and resources. Using a vertically compact residential built form and less energy-intensive materials (such as aerated autoclaved concrete blocks), coupled with greater uptake of public transport and shorter trip lengths, was found to be most beneficial overall. This scenario could reduce residential land consumption by 85%, particulate emissions three-fold, embodied emissions of construction by 11%–13%, and total space cooling energy by 31%–46%, compared to the business as usual scenario. Overall, this scenario could offer a 9.1%–9.6% reduction in cumulative economy-wide greenhouse gas emissions between 2020 and 2050. An urban sprawl scenario (with longer trip lengths) could have the opposite effect, impinging on agricultural land and furthermore, exacerbating food security concerns by 2050. The paper concludes with future research directions, which include exploring the combined potential effects of urban heat islands, alternative materials, and compact urban form on space cooling energy in India.","container-title":"Environmental Research: Infrastructure and Sustainability","DOI":"10.1088/2634-4505/ac048e","ISSN":"2634-4505","issue":"1","journalAbbreviation":"Environ. Res.: Infrastruct. Sustain.","page":"011004","source":"DOI.org (Crossref)","title":"Sustainable alternative futures for urban India: the resource, energy, and emissions implications of urban form scenarios","title-short":"Sustainable alternative futures for urban India","volume":"1","author":[{"family":"Kumar","given":"Poornima"},{"family":"Natarajan","given":"Ramya"},{"family":"Ashok","given":"Kaveri"}],"issued":{"date-parts":[["2021",6,1]]}}}],"schema":"https://github.com/citation-style-language/schema/raw/master/csl-citation.json"} </w:instrText>
      </w:r>
      <w:r w:rsidR="00AD4028" w:rsidRPr="00DA2EA9">
        <w:fldChar w:fldCharType="separate"/>
      </w:r>
      <w:r w:rsidR="00AD4028" w:rsidRPr="00AD4028">
        <w:rPr>
          <w:rFonts w:ascii="Calibri" w:hAnsi="Calibri" w:cs="Calibri"/>
          <w:vertAlign w:val="superscript"/>
        </w:rPr>
        <w:t>7</w:t>
      </w:r>
      <w:r w:rsidR="00AD4028" w:rsidRPr="00DA2EA9">
        <w:fldChar w:fldCharType="end"/>
      </w:r>
      <w:r w:rsidR="00AD4028">
        <w:t xml:space="preserve"> </w:t>
      </w:r>
      <w:r w:rsidRPr="06DCFACD">
        <w:rPr>
          <w:rFonts w:ascii="Calibri" w:eastAsia="Calibri" w:hAnsi="Calibri" w:cs="Calibri"/>
          <w:lang w:val="en-GB"/>
        </w:rPr>
        <w:t>is a national system dynamics model designed to explore pathways for India to reduce emissions while maintaining developmental progress. The model specifically aims to assess how to provide a basic quality of life for all citizens, especially those who currently lack access to essential needs such as food, shelter, and inclusive mobility. By having development goals drive demand growth across various sectors, SAFARI evaluates alternative, low-carbon strategies to achieve these objectives. This approach balances developmental and environmental priorities, examining trade-offs related to resource constraints and identifying potential synergies to capitalise on.</w:t>
      </w:r>
    </w:p>
    <w:p w14:paraId="70CFD036" w14:textId="77777777" w:rsidR="00523F18" w:rsidRDefault="00523F18" w:rsidP="008F2E67">
      <w:pPr>
        <w:pStyle w:val="Heading1"/>
        <w:rPr>
          <w:color w:val="auto"/>
          <w:lang w:val="en-GB"/>
        </w:rPr>
        <w:sectPr w:rsidR="00523F18" w:rsidSect="00523F18">
          <w:footerReference w:type="default" r:id="rId11"/>
          <w:pgSz w:w="11906" w:h="16838" w:code="9"/>
          <w:pgMar w:top="1440" w:right="1274" w:bottom="1440" w:left="1418" w:header="720" w:footer="720" w:gutter="0"/>
          <w:cols w:space="720"/>
          <w:docGrid w:linePitch="360"/>
        </w:sectPr>
      </w:pPr>
    </w:p>
    <w:p w14:paraId="32558BD5" w14:textId="200A997D" w:rsidR="007806CB" w:rsidRDefault="007806CB" w:rsidP="007806CB">
      <w:pPr>
        <w:pStyle w:val="Caption"/>
        <w:keepNext/>
      </w:pPr>
      <w:r>
        <w:lastRenderedPageBreak/>
        <w:t xml:space="preserve">Supplementary Table </w:t>
      </w:r>
      <w:r w:rsidR="00525765">
        <w:t>1</w:t>
      </w:r>
      <w:r>
        <w:t xml:space="preserve"> </w:t>
      </w:r>
      <w:r w:rsidR="00DA14EB">
        <w:t>Detailed model</w:t>
      </w:r>
      <w:r w:rsidR="001D2365">
        <w:t>s</w:t>
      </w:r>
      <w:r w:rsidR="00DA14EB">
        <w:t xml:space="preserve"> documentation</w:t>
      </w:r>
      <w:r>
        <w:t>.</w:t>
      </w:r>
    </w:p>
    <w:p w14:paraId="4CE075FE" w14:textId="77777777" w:rsidR="00CE0096" w:rsidRPr="00CE0096" w:rsidRDefault="00CE0096" w:rsidP="00CE0096">
      <w:pPr>
        <w:rPr>
          <w:lang w:val="en-GB"/>
        </w:rPr>
      </w:pPr>
    </w:p>
    <w:tbl>
      <w:tblPr>
        <w:tblW w:w="14170" w:type="dxa"/>
        <w:tblLayout w:type="fixed"/>
        <w:tblLook w:val="04A0" w:firstRow="1" w:lastRow="0" w:firstColumn="1" w:lastColumn="0" w:noHBand="0" w:noVBand="1"/>
      </w:tblPr>
      <w:tblGrid>
        <w:gridCol w:w="2127"/>
        <w:gridCol w:w="2408"/>
        <w:gridCol w:w="2409"/>
        <w:gridCol w:w="2408"/>
        <w:gridCol w:w="2409"/>
        <w:gridCol w:w="2409"/>
      </w:tblGrid>
      <w:tr w:rsidR="005C07FD" w:rsidRPr="00E418A4" w14:paraId="485FB76E" w14:textId="77777777" w:rsidTr="230A8660">
        <w:trPr>
          <w:trHeight w:val="387"/>
        </w:trPr>
        <w:tc>
          <w:tcPr>
            <w:tcW w:w="2127" w:type="dxa"/>
            <w:tcBorders>
              <w:top w:val="single" w:sz="4" w:space="0" w:color="auto"/>
              <w:bottom w:val="single" w:sz="4" w:space="0" w:color="auto"/>
            </w:tcBorders>
            <w:hideMark/>
          </w:tcPr>
          <w:p w14:paraId="52343056" w14:textId="39ACF27B" w:rsidR="00E418A4" w:rsidRPr="00E418A4" w:rsidRDefault="00E418A4" w:rsidP="00E418A4">
            <w:pPr>
              <w:rPr>
                <w:rFonts w:eastAsia="Times New Roman" w:cstheme="minorHAnsi"/>
                <w:b/>
                <w:bCs/>
                <w:sz w:val="18"/>
                <w:szCs w:val="18"/>
              </w:rPr>
            </w:pPr>
          </w:p>
        </w:tc>
        <w:tc>
          <w:tcPr>
            <w:tcW w:w="2408" w:type="dxa"/>
            <w:tcBorders>
              <w:top w:val="single" w:sz="4" w:space="0" w:color="auto"/>
              <w:bottom w:val="single" w:sz="4" w:space="0" w:color="auto"/>
            </w:tcBorders>
            <w:hideMark/>
          </w:tcPr>
          <w:p w14:paraId="372F32B4" w14:textId="77777777" w:rsidR="00E418A4" w:rsidRPr="00E418A4" w:rsidRDefault="00E418A4" w:rsidP="00E418A4">
            <w:pPr>
              <w:rPr>
                <w:rFonts w:eastAsia="Times New Roman" w:cstheme="minorHAnsi"/>
                <w:b/>
                <w:bCs/>
                <w:sz w:val="18"/>
                <w:szCs w:val="18"/>
              </w:rPr>
            </w:pPr>
            <w:r w:rsidRPr="00E418A4">
              <w:rPr>
                <w:rFonts w:eastAsia="Times New Roman" w:cstheme="minorHAnsi"/>
                <w:b/>
                <w:bCs/>
                <w:sz w:val="18"/>
                <w:szCs w:val="18"/>
              </w:rPr>
              <w:t>HEB</w:t>
            </w:r>
          </w:p>
        </w:tc>
        <w:tc>
          <w:tcPr>
            <w:tcW w:w="2409" w:type="dxa"/>
            <w:tcBorders>
              <w:top w:val="single" w:sz="4" w:space="0" w:color="auto"/>
              <w:bottom w:val="single" w:sz="4" w:space="0" w:color="auto"/>
            </w:tcBorders>
            <w:hideMark/>
          </w:tcPr>
          <w:p w14:paraId="28B8E69A" w14:textId="77777777" w:rsidR="00E418A4" w:rsidRPr="00E418A4" w:rsidRDefault="00E418A4" w:rsidP="00E418A4">
            <w:pPr>
              <w:rPr>
                <w:rFonts w:eastAsia="Times New Roman" w:cstheme="minorHAnsi"/>
                <w:b/>
                <w:bCs/>
                <w:sz w:val="18"/>
                <w:szCs w:val="18"/>
              </w:rPr>
            </w:pPr>
            <w:r w:rsidRPr="00E418A4">
              <w:rPr>
                <w:rFonts w:eastAsia="Times New Roman" w:cstheme="minorHAnsi"/>
                <w:b/>
                <w:bCs/>
                <w:sz w:val="18"/>
                <w:szCs w:val="18"/>
              </w:rPr>
              <w:t>IMAGE</w:t>
            </w:r>
          </w:p>
        </w:tc>
        <w:tc>
          <w:tcPr>
            <w:tcW w:w="2408" w:type="dxa"/>
            <w:tcBorders>
              <w:top w:val="single" w:sz="4" w:space="0" w:color="auto"/>
              <w:bottom w:val="single" w:sz="4" w:space="0" w:color="auto"/>
            </w:tcBorders>
            <w:hideMark/>
          </w:tcPr>
          <w:p w14:paraId="58737929" w14:textId="77777777" w:rsidR="00E418A4" w:rsidRPr="00E418A4" w:rsidRDefault="00E418A4" w:rsidP="00E418A4">
            <w:pPr>
              <w:rPr>
                <w:rFonts w:eastAsia="Times New Roman" w:cstheme="minorHAnsi"/>
                <w:b/>
                <w:bCs/>
                <w:sz w:val="18"/>
                <w:szCs w:val="18"/>
              </w:rPr>
            </w:pPr>
            <w:proofErr w:type="spellStart"/>
            <w:r w:rsidRPr="00E418A4">
              <w:rPr>
                <w:rFonts w:eastAsia="Times New Roman" w:cstheme="minorHAnsi"/>
                <w:b/>
                <w:bCs/>
                <w:sz w:val="18"/>
                <w:szCs w:val="18"/>
              </w:rPr>
              <w:t>MESSAGEix</w:t>
            </w:r>
            <w:proofErr w:type="spellEnd"/>
            <w:r w:rsidRPr="00E418A4">
              <w:rPr>
                <w:rFonts w:eastAsia="Times New Roman" w:cstheme="minorHAnsi"/>
                <w:b/>
                <w:bCs/>
                <w:sz w:val="18"/>
                <w:szCs w:val="18"/>
              </w:rPr>
              <w:t xml:space="preserve">-Buildings </w:t>
            </w:r>
          </w:p>
        </w:tc>
        <w:tc>
          <w:tcPr>
            <w:tcW w:w="2409" w:type="dxa"/>
            <w:tcBorders>
              <w:top w:val="single" w:sz="4" w:space="0" w:color="auto"/>
              <w:bottom w:val="single" w:sz="4" w:space="0" w:color="auto"/>
            </w:tcBorders>
            <w:hideMark/>
          </w:tcPr>
          <w:p w14:paraId="60FC0437" w14:textId="77777777" w:rsidR="00E418A4" w:rsidRPr="00E418A4" w:rsidRDefault="00E418A4" w:rsidP="00E418A4">
            <w:pPr>
              <w:rPr>
                <w:rFonts w:eastAsia="Times New Roman" w:cstheme="minorHAnsi"/>
                <w:b/>
                <w:bCs/>
                <w:sz w:val="18"/>
                <w:szCs w:val="18"/>
              </w:rPr>
            </w:pPr>
            <w:r w:rsidRPr="00E418A4">
              <w:rPr>
                <w:rFonts w:eastAsia="Times New Roman" w:cstheme="minorHAnsi"/>
                <w:b/>
                <w:bCs/>
                <w:sz w:val="18"/>
                <w:szCs w:val="18"/>
              </w:rPr>
              <w:t>PIER</w:t>
            </w:r>
          </w:p>
        </w:tc>
        <w:tc>
          <w:tcPr>
            <w:tcW w:w="2409" w:type="dxa"/>
            <w:tcBorders>
              <w:top w:val="single" w:sz="4" w:space="0" w:color="auto"/>
              <w:bottom w:val="single" w:sz="4" w:space="0" w:color="auto"/>
            </w:tcBorders>
            <w:hideMark/>
          </w:tcPr>
          <w:p w14:paraId="3F3AA884" w14:textId="77777777" w:rsidR="00E418A4" w:rsidRPr="00E418A4" w:rsidRDefault="00E418A4" w:rsidP="00E418A4">
            <w:pPr>
              <w:rPr>
                <w:rFonts w:eastAsia="Times New Roman" w:cstheme="minorHAnsi"/>
                <w:b/>
                <w:bCs/>
                <w:sz w:val="18"/>
                <w:szCs w:val="18"/>
              </w:rPr>
            </w:pPr>
            <w:r w:rsidRPr="00E418A4">
              <w:rPr>
                <w:rFonts w:eastAsia="Times New Roman" w:cstheme="minorHAnsi"/>
                <w:b/>
                <w:bCs/>
                <w:sz w:val="18"/>
                <w:szCs w:val="18"/>
              </w:rPr>
              <w:t>SAFARI</w:t>
            </w:r>
          </w:p>
        </w:tc>
      </w:tr>
      <w:tr w:rsidR="00E418A4" w:rsidRPr="00E418A4" w14:paraId="14D3B011" w14:textId="77777777" w:rsidTr="230A8660">
        <w:trPr>
          <w:trHeight w:val="295"/>
        </w:trPr>
        <w:tc>
          <w:tcPr>
            <w:tcW w:w="2127" w:type="dxa"/>
            <w:tcBorders>
              <w:top w:val="single" w:sz="4" w:space="0" w:color="auto"/>
            </w:tcBorders>
            <w:hideMark/>
          </w:tcPr>
          <w:p w14:paraId="1B0CCAE2" w14:textId="646D6863" w:rsidR="00E418A4" w:rsidRPr="00E418A4" w:rsidRDefault="00E418A4" w:rsidP="00E418A4">
            <w:pPr>
              <w:rPr>
                <w:rFonts w:eastAsia="Times New Roman" w:cstheme="minorHAnsi"/>
                <w:b/>
                <w:bCs/>
                <w:sz w:val="18"/>
                <w:szCs w:val="18"/>
              </w:rPr>
            </w:pPr>
            <w:r w:rsidRPr="00E418A4">
              <w:rPr>
                <w:rFonts w:eastAsia="Times New Roman" w:cstheme="minorHAnsi"/>
                <w:b/>
                <w:bCs/>
                <w:sz w:val="18"/>
                <w:szCs w:val="18"/>
              </w:rPr>
              <w:t xml:space="preserve">Identity </w:t>
            </w:r>
          </w:p>
        </w:tc>
        <w:tc>
          <w:tcPr>
            <w:tcW w:w="2408" w:type="dxa"/>
            <w:tcBorders>
              <w:top w:val="single" w:sz="4" w:space="0" w:color="auto"/>
            </w:tcBorders>
            <w:hideMark/>
          </w:tcPr>
          <w:p w14:paraId="54D0045C"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 </w:t>
            </w:r>
          </w:p>
        </w:tc>
        <w:tc>
          <w:tcPr>
            <w:tcW w:w="2409" w:type="dxa"/>
            <w:tcBorders>
              <w:top w:val="single" w:sz="4" w:space="0" w:color="auto"/>
            </w:tcBorders>
            <w:hideMark/>
          </w:tcPr>
          <w:p w14:paraId="4B442978"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 </w:t>
            </w:r>
          </w:p>
        </w:tc>
        <w:tc>
          <w:tcPr>
            <w:tcW w:w="2408" w:type="dxa"/>
            <w:tcBorders>
              <w:top w:val="single" w:sz="4" w:space="0" w:color="auto"/>
            </w:tcBorders>
            <w:hideMark/>
          </w:tcPr>
          <w:p w14:paraId="10F7B797"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 </w:t>
            </w:r>
          </w:p>
        </w:tc>
        <w:tc>
          <w:tcPr>
            <w:tcW w:w="2409" w:type="dxa"/>
            <w:tcBorders>
              <w:top w:val="single" w:sz="4" w:space="0" w:color="auto"/>
            </w:tcBorders>
            <w:hideMark/>
          </w:tcPr>
          <w:p w14:paraId="0A4ACAEA"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 </w:t>
            </w:r>
          </w:p>
        </w:tc>
        <w:tc>
          <w:tcPr>
            <w:tcW w:w="2409" w:type="dxa"/>
            <w:tcBorders>
              <w:top w:val="single" w:sz="4" w:space="0" w:color="auto"/>
            </w:tcBorders>
            <w:hideMark/>
          </w:tcPr>
          <w:p w14:paraId="7257292E"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 </w:t>
            </w:r>
          </w:p>
        </w:tc>
      </w:tr>
      <w:tr w:rsidR="00E418A4" w:rsidRPr="00E418A4" w14:paraId="2B1AE1BD" w14:textId="77777777" w:rsidTr="230A8660">
        <w:trPr>
          <w:trHeight w:val="1180"/>
        </w:trPr>
        <w:tc>
          <w:tcPr>
            <w:tcW w:w="2127" w:type="dxa"/>
            <w:hideMark/>
          </w:tcPr>
          <w:p w14:paraId="18163473"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Full name and version</w:t>
            </w:r>
          </w:p>
        </w:tc>
        <w:tc>
          <w:tcPr>
            <w:tcW w:w="2408" w:type="dxa"/>
            <w:hideMark/>
          </w:tcPr>
          <w:p w14:paraId="26E6E311"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High-efficiency Building model (HEB)-2.0</w:t>
            </w:r>
          </w:p>
        </w:tc>
        <w:tc>
          <w:tcPr>
            <w:tcW w:w="2409" w:type="dxa"/>
            <w:hideMark/>
          </w:tcPr>
          <w:p w14:paraId="02A1BB00" w14:textId="1C79A6E9" w:rsidR="00E418A4" w:rsidRPr="00E418A4" w:rsidRDefault="00833F02" w:rsidP="00E418A4">
            <w:pPr>
              <w:rPr>
                <w:rFonts w:eastAsia="Times New Roman" w:cstheme="minorHAnsi"/>
                <w:sz w:val="18"/>
                <w:szCs w:val="18"/>
              </w:rPr>
            </w:pPr>
            <w:r w:rsidRPr="002210B3">
              <w:rPr>
                <w:rFonts w:ascii="Calibri" w:eastAsia="Times New Roman" w:hAnsi="Calibri" w:cs="Calibri"/>
                <w:color w:val="000000"/>
                <w:sz w:val="18"/>
                <w:szCs w:val="18"/>
              </w:rPr>
              <w:t>IMAGE 3.</w:t>
            </w:r>
            <w:r>
              <w:rPr>
                <w:rFonts w:ascii="Calibri" w:eastAsia="Times New Roman" w:hAnsi="Calibri" w:cs="Calibri"/>
                <w:color w:val="000000"/>
                <w:sz w:val="18"/>
                <w:szCs w:val="18"/>
              </w:rPr>
              <w:t>4</w:t>
            </w:r>
            <w:r w:rsidRPr="002210B3">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w:t>
            </w:r>
            <w:r w:rsidRPr="002210B3">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Integrated Assessment Model</w:t>
            </w:r>
          </w:p>
        </w:tc>
        <w:tc>
          <w:tcPr>
            <w:tcW w:w="2408" w:type="dxa"/>
            <w:hideMark/>
          </w:tcPr>
          <w:p w14:paraId="118FAED8" w14:textId="77777777" w:rsidR="00E418A4" w:rsidRPr="00E418A4" w:rsidRDefault="00E418A4" w:rsidP="00E418A4">
            <w:pPr>
              <w:rPr>
                <w:rFonts w:eastAsia="Times New Roman" w:cstheme="minorHAnsi"/>
                <w:sz w:val="18"/>
                <w:szCs w:val="18"/>
              </w:rPr>
            </w:pPr>
            <w:proofErr w:type="spellStart"/>
            <w:r w:rsidRPr="00E418A4">
              <w:rPr>
                <w:rFonts w:eastAsia="Times New Roman" w:cstheme="minorHAnsi"/>
                <w:sz w:val="18"/>
                <w:szCs w:val="18"/>
              </w:rPr>
              <w:t>MESSAGEix</w:t>
            </w:r>
            <w:proofErr w:type="spellEnd"/>
            <w:r w:rsidRPr="00E418A4">
              <w:rPr>
                <w:rFonts w:eastAsia="Times New Roman" w:cstheme="minorHAnsi"/>
                <w:sz w:val="18"/>
                <w:szCs w:val="18"/>
              </w:rPr>
              <w:t xml:space="preserve">-Buildings </w:t>
            </w:r>
            <w:r w:rsidRPr="00E418A4">
              <w:rPr>
                <w:rFonts w:eastAsia="Times New Roman" w:cstheme="minorHAnsi"/>
                <w:sz w:val="18"/>
                <w:szCs w:val="18"/>
              </w:rPr>
              <w:br/>
              <w:t>(CHILLED and STURM modules)</w:t>
            </w:r>
          </w:p>
        </w:tc>
        <w:tc>
          <w:tcPr>
            <w:tcW w:w="2409" w:type="dxa"/>
            <w:hideMark/>
          </w:tcPr>
          <w:p w14:paraId="50333EA8" w14:textId="3F9ADA13" w:rsidR="00E418A4" w:rsidRPr="00E418A4" w:rsidRDefault="00E418A4" w:rsidP="00E418A4">
            <w:pPr>
              <w:rPr>
                <w:rFonts w:eastAsia="Times New Roman" w:cstheme="minorHAnsi"/>
                <w:sz w:val="18"/>
                <w:szCs w:val="18"/>
              </w:rPr>
            </w:pPr>
            <w:r w:rsidRPr="00E418A4">
              <w:rPr>
                <w:rFonts w:eastAsia="Times New Roman" w:cstheme="minorHAnsi"/>
                <w:sz w:val="18"/>
                <w:szCs w:val="18"/>
              </w:rPr>
              <w:t>Perspectives on Indian Energy based on Rumi. Residential demand estimation from PIER 1.5 used for this paper</w:t>
            </w:r>
          </w:p>
        </w:tc>
        <w:tc>
          <w:tcPr>
            <w:tcW w:w="2409" w:type="dxa"/>
            <w:hideMark/>
          </w:tcPr>
          <w:p w14:paraId="58F787A0"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 xml:space="preserve">Sustainable Alternative Futures for India </w:t>
            </w:r>
          </w:p>
        </w:tc>
      </w:tr>
      <w:tr w:rsidR="00E418A4" w:rsidRPr="00E418A4" w14:paraId="11B6AED3" w14:textId="77777777" w:rsidTr="230A8660">
        <w:trPr>
          <w:trHeight w:val="295"/>
        </w:trPr>
        <w:tc>
          <w:tcPr>
            <w:tcW w:w="2127" w:type="dxa"/>
            <w:hideMark/>
          </w:tcPr>
          <w:p w14:paraId="4152D69E"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Abbreviation</w:t>
            </w:r>
          </w:p>
        </w:tc>
        <w:tc>
          <w:tcPr>
            <w:tcW w:w="2408" w:type="dxa"/>
            <w:hideMark/>
          </w:tcPr>
          <w:p w14:paraId="220045C4"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HEB</w:t>
            </w:r>
          </w:p>
        </w:tc>
        <w:tc>
          <w:tcPr>
            <w:tcW w:w="2409" w:type="dxa"/>
            <w:hideMark/>
          </w:tcPr>
          <w:p w14:paraId="7F8125EC" w14:textId="5769120C" w:rsidR="00E418A4" w:rsidRPr="00E418A4" w:rsidRDefault="00E418A4" w:rsidP="00E418A4">
            <w:pPr>
              <w:rPr>
                <w:rFonts w:eastAsia="Times New Roman" w:cstheme="minorHAnsi"/>
                <w:sz w:val="18"/>
                <w:szCs w:val="18"/>
              </w:rPr>
            </w:pPr>
            <w:r w:rsidRPr="00E418A4">
              <w:rPr>
                <w:rFonts w:eastAsia="Times New Roman" w:cstheme="minorHAnsi"/>
                <w:sz w:val="18"/>
                <w:szCs w:val="18"/>
              </w:rPr>
              <w:t>IMAGE</w:t>
            </w:r>
          </w:p>
        </w:tc>
        <w:tc>
          <w:tcPr>
            <w:tcW w:w="2408" w:type="dxa"/>
            <w:hideMark/>
          </w:tcPr>
          <w:p w14:paraId="1898D801" w14:textId="77777777" w:rsidR="00E418A4" w:rsidRPr="00E418A4" w:rsidRDefault="00E418A4" w:rsidP="00E418A4">
            <w:pPr>
              <w:rPr>
                <w:rFonts w:eastAsia="Times New Roman" w:cstheme="minorHAnsi"/>
                <w:sz w:val="18"/>
                <w:szCs w:val="18"/>
              </w:rPr>
            </w:pPr>
            <w:proofErr w:type="spellStart"/>
            <w:r w:rsidRPr="00E418A4">
              <w:rPr>
                <w:rFonts w:eastAsia="Times New Roman" w:cstheme="minorHAnsi"/>
                <w:sz w:val="18"/>
                <w:szCs w:val="18"/>
              </w:rPr>
              <w:t>MESSAGEix</w:t>
            </w:r>
            <w:proofErr w:type="spellEnd"/>
            <w:r w:rsidRPr="00E418A4">
              <w:rPr>
                <w:rFonts w:eastAsia="Times New Roman" w:cstheme="minorHAnsi"/>
                <w:sz w:val="18"/>
                <w:szCs w:val="18"/>
              </w:rPr>
              <w:t>-Buildings</w:t>
            </w:r>
          </w:p>
        </w:tc>
        <w:tc>
          <w:tcPr>
            <w:tcW w:w="2409" w:type="dxa"/>
            <w:hideMark/>
          </w:tcPr>
          <w:p w14:paraId="3AA36F36"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PIER</w:t>
            </w:r>
          </w:p>
        </w:tc>
        <w:tc>
          <w:tcPr>
            <w:tcW w:w="2409" w:type="dxa"/>
            <w:hideMark/>
          </w:tcPr>
          <w:p w14:paraId="2AEE4415"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SAFARI</w:t>
            </w:r>
          </w:p>
        </w:tc>
      </w:tr>
      <w:tr w:rsidR="00E418A4" w:rsidRPr="00E418A4" w14:paraId="75830D04" w14:textId="77777777" w:rsidTr="230A8660">
        <w:trPr>
          <w:trHeight w:val="590"/>
        </w:trPr>
        <w:tc>
          <w:tcPr>
            <w:tcW w:w="2127" w:type="dxa"/>
            <w:hideMark/>
          </w:tcPr>
          <w:p w14:paraId="285D9C49"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Institution</w:t>
            </w:r>
          </w:p>
        </w:tc>
        <w:tc>
          <w:tcPr>
            <w:tcW w:w="2408" w:type="dxa"/>
            <w:hideMark/>
          </w:tcPr>
          <w:p w14:paraId="2A4168E0" w14:textId="3B206F80" w:rsidR="00E418A4" w:rsidRPr="00E418A4" w:rsidRDefault="009A3A31" w:rsidP="00E418A4">
            <w:pPr>
              <w:rPr>
                <w:rFonts w:eastAsia="Times New Roman" w:cstheme="minorHAnsi"/>
                <w:sz w:val="18"/>
                <w:szCs w:val="18"/>
              </w:rPr>
            </w:pPr>
            <w:r>
              <w:rPr>
                <w:rFonts w:eastAsia="Times New Roman" w:cstheme="minorHAnsi"/>
                <w:sz w:val="18"/>
                <w:szCs w:val="18"/>
              </w:rPr>
              <w:t>Central European University (</w:t>
            </w:r>
            <w:r w:rsidR="00E418A4" w:rsidRPr="00E418A4">
              <w:rPr>
                <w:rFonts w:eastAsia="Times New Roman" w:cstheme="minorHAnsi"/>
                <w:sz w:val="18"/>
                <w:szCs w:val="18"/>
              </w:rPr>
              <w:t>CEU</w:t>
            </w:r>
            <w:r>
              <w:rPr>
                <w:rFonts w:eastAsia="Times New Roman" w:cstheme="minorHAnsi"/>
                <w:sz w:val="18"/>
                <w:szCs w:val="18"/>
              </w:rPr>
              <w:t>)</w:t>
            </w:r>
            <w:r w:rsidR="00E418A4" w:rsidRPr="00E418A4">
              <w:rPr>
                <w:rFonts w:eastAsia="Times New Roman" w:cstheme="minorHAnsi"/>
                <w:sz w:val="18"/>
                <w:szCs w:val="18"/>
              </w:rPr>
              <w:t xml:space="preserve">, </w:t>
            </w:r>
            <w:r>
              <w:rPr>
                <w:rFonts w:eastAsia="Times New Roman" w:cstheme="minorHAnsi"/>
                <w:sz w:val="18"/>
                <w:szCs w:val="18"/>
              </w:rPr>
              <w:t>U</w:t>
            </w:r>
            <w:r w:rsidRPr="00E418A4">
              <w:rPr>
                <w:rFonts w:eastAsia="Times New Roman" w:cstheme="minorHAnsi"/>
                <w:sz w:val="18"/>
                <w:szCs w:val="18"/>
              </w:rPr>
              <w:t xml:space="preserve">niversity of </w:t>
            </w:r>
            <w:r>
              <w:rPr>
                <w:rFonts w:eastAsia="Times New Roman" w:cstheme="minorHAnsi"/>
                <w:sz w:val="18"/>
                <w:szCs w:val="18"/>
              </w:rPr>
              <w:t>P</w:t>
            </w:r>
            <w:r w:rsidRPr="00E418A4">
              <w:rPr>
                <w:rFonts w:eastAsia="Times New Roman" w:cstheme="minorHAnsi"/>
                <w:sz w:val="18"/>
                <w:szCs w:val="18"/>
              </w:rPr>
              <w:t>lymouth</w:t>
            </w:r>
          </w:p>
        </w:tc>
        <w:tc>
          <w:tcPr>
            <w:tcW w:w="2409" w:type="dxa"/>
            <w:hideMark/>
          </w:tcPr>
          <w:p w14:paraId="2A611060"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PBL, The Netherlands Environmental Assessment Agency</w:t>
            </w:r>
          </w:p>
        </w:tc>
        <w:tc>
          <w:tcPr>
            <w:tcW w:w="2408" w:type="dxa"/>
            <w:hideMark/>
          </w:tcPr>
          <w:p w14:paraId="68BDF2C9"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IIASA</w:t>
            </w:r>
          </w:p>
        </w:tc>
        <w:tc>
          <w:tcPr>
            <w:tcW w:w="2409" w:type="dxa"/>
            <w:hideMark/>
          </w:tcPr>
          <w:p w14:paraId="5A1806E6"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Prayas (Energy Group)</w:t>
            </w:r>
          </w:p>
        </w:tc>
        <w:tc>
          <w:tcPr>
            <w:tcW w:w="2409" w:type="dxa"/>
            <w:hideMark/>
          </w:tcPr>
          <w:p w14:paraId="66CD8563"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Center for Study of Science, Technology, and Policy, India</w:t>
            </w:r>
          </w:p>
        </w:tc>
      </w:tr>
      <w:tr w:rsidR="00E418A4" w:rsidRPr="00E418A4" w14:paraId="63502DAD" w14:textId="77777777" w:rsidTr="230A8660">
        <w:trPr>
          <w:trHeight w:val="596"/>
        </w:trPr>
        <w:tc>
          <w:tcPr>
            <w:tcW w:w="2127" w:type="dxa"/>
            <w:tcBorders>
              <w:bottom w:val="single" w:sz="4" w:space="0" w:color="auto"/>
            </w:tcBorders>
            <w:hideMark/>
          </w:tcPr>
          <w:p w14:paraId="3F973B6E"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Model documentation</w:t>
            </w:r>
          </w:p>
        </w:tc>
        <w:tc>
          <w:tcPr>
            <w:tcW w:w="2408" w:type="dxa"/>
            <w:tcBorders>
              <w:bottom w:val="single" w:sz="4" w:space="0" w:color="auto"/>
            </w:tcBorders>
            <w:noWrap/>
            <w:hideMark/>
          </w:tcPr>
          <w:p w14:paraId="27CFB0DF" w14:textId="38C2C80A" w:rsidR="00E418A4" w:rsidRPr="00E418A4" w:rsidRDefault="00B532A6" w:rsidP="00E418A4">
            <w:pPr>
              <w:rPr>
                <w:rFonts w:eastAsia="Times New Roman" w:cstheme="minorHAnsi"/>
                <w:sz w:val="18"/>
                <w:szCs w:val="18"/>
              </w:rPr>
            </w:pPr>
            <w:r>
              <w:rPr>
                <w:rFonts w:ascii="Calibri" w:eastAsia="Times New Roman" w:hAnsi="Calibri" w:cs="Calibri"/>
                <w:color w:val="000000"/>
                <w:sz w:val="18"/>
                <w:szCs w:val="18"/>
              </w:rPr>
              <w:fldChar w:fldCharType="begin"/>
            </w:r>
            <w:r w:rsidR="00AD4028">
              <w:rPr>
                <w:rFonts w:ascii="Calibri" w:eastAsia="Times New Roman" w:hAnsi="Calibri" w:cs="Calibri"/>
                <w:color w:val="000000"/>
                <w:sz w:val="18"/>
                <w:szCs w:val="18"/>
              </w:rPr>
              <w:instrText xml:space="preserve"> ADDIN ZOTERO_ITEM CSL_CITATION {"citationID":"0WFAz8NH","properties":{"formattedCitation":"\\super 1\\nosupersub{}","plainCitation":"1","noteIndex":0},"citationItems":[{"id":973,"uris":["http://zotero.org/groups/4530821/items/QRFKRQM4"],"itemData":{"id":973,"type":"chapter","abstract":"Abstract\n            \n              This section documents the development of four different energy demand pathways on the basis of the high-efficiency buildings (HEB) model of the Central European University. The assumptions and the scenario narratives are derived and the results provided in numerous graphs and tables. Of the four derived scenarios, two are selected for the OECM and the selection criteria are justified. The results in terms of the global energy demand and energy-related CO\n              2\n              emissions are provided in tables.","container-title":"Achieving the Paris Climate Agreement Goals","event-place":"Cham","ISBN":"978-3-030-99176-0","language":"en","note":"DOI: 10.1007/978-3-030-99177-7_7","page":"161-185","publisher":"Springer International Publishing","publisher-place":"Cham","source":"DOI.org (Crossref)","title":"Decarbonisation Pathways for Buildings","URL":"https://link.springer.com/10.1007/978-3-030-99177-7_7","editor":[{"family":"Teske","given":"Sven"}],"author":[{"family":"Chatterjee","given":"Souran"},{"family":"Kiss","given":"Benedek"},{"family":"Ürge-Vorsatz","given":"Diana"},{"family":"Teske","given":"Sven"}],"accessed":{"date-parts":[["2022",11,10]]},"issued":{"date-parts":[["2022"]]}}}],"schema":"https://github.com/citation-style-language/schema/raw/master/csl-citation.json"} </w:instrText>
            </w:r>
            <w:r>
              <w:rPr>
                <w:rFonts w:ascii="Calibri" w:eastAsia="Times New Roman" w:hAnsi="Calibri" w:cs="Calibri"/>
                <w:color w:val="000000"/>
                <w:sz w:val="18"/>
                <w:szCs w:val="18"/>
              </w:rPr>
              <w:fldChar w:fldCharType="separate"/>
            </w:r>
            <w:r w:rsidR="00AD4028" w:rsidRPr="00AD4028">
              <w:rPr>
                <w:rFonts w:ascii="Calibri" w:hAnsi="Calibri" w:cs="Calibri"/>
                <w:sz w:val="18"/>
                <w:vertAlign w:val="superscript"/>
              </w:rPr>
              <w:t>1</w:t>
            </w:r>
            <w:r>
              <w:rPr>
                <w:rFonts w:ascii="Calibri" w:eastAsia="Times New Roman" w:hAnsi="Calibri" w:cs="Calibri"/>
                <w:color w:val="000000"/>
                <w:sz w:val="18"/>
                <w:szCs w:val="18"/>
              </w:rPr>
              <w:fldChar w:fldCharType="end"/>
            </w:r>
          </w:p>
        </w:tc>
        <w:tc>
          <w:tcPr>
            <w:tcW w:w="2409" w:type="dxa"/>
            <w:tcBorders>
              <w:bottom w:val="single" w:sz="4" w:space="0" w:color="auto"/>
            </w:tcBorders>
            <w:hideMark/>
          </w:tcPr>
          <w:p w14:paraId="65C1208B" w14:textId="6BA00504" w:rsidR="00E418A4" w:rsidRPr="00E418A4" w:rsidRDefault="00B9678C" w:rsidP="00E418A4">
            <w:pPr>
              <w:rPr>
                <w:rFonts w:eastAsia="Times New Roman" w:cstheme="minorHAnsi"/>
                <w:sz w:val="18"/>
                <w:szCs w:val="18"/>
              </w:rPr>
            </w:pPr>
            <w:r>
              <w:rPr>
                <w:rFonts w:ascii="Calibri" w:eastAsia="Times New Roman" w:hAnsi="Calibri" w:cs="Calibri"/>
                <w:color w:val="000000"/>
                <w:sz w:val="18"/>
                <w:szCs w:val="18"/>
              </w:rPr>
              <w:fldChar w:fldCharType="begin"/>
            </w:r>
            <w:r w:rsidR="00AD4028">
              <w:rPr>
                <w:rFonts w:ascii="Calibri" w:eastAsia="Times New Roman" w:hAnsi="Calibri" w:cs="Calibri"/>
                <w:color w:val="000000"/>
                <w:sz w:val="18"/>
                <w:szCs w:val="18"/>
              </w:rPr>
              <w:instrText xml:space="preserve"> ADDIN ZOTERO_ITEM CSL_CITATION {"citationID":"HbXgqNeA","properties":{"formattedCitation":"\\super 2,3\\nosupersub{}","plainCitation":"2,3","noteIndex":0},"citationItems":[{"id":2769,"uris":["http://zotero.org/groups/4530821/items/JTAS2P2K"],"itemData":{"id":2769,"type":"article-journal","container-title":"Energy","DOI":"10.1016/j.energy.2011.10.044","ISSN":"03605442","issue":"1","journalAbbreviation":"Energy","language":"en","page":"601-615","source":"DOI.org (Crossref)","title":"Model projections for household energy use in developing countries","volume":"37","author":[{"family":"Daioglou","given":"Vassilis"},{"family":"Van Ruijven","given":"Bas J."},{"family":"Van Vuuren","given":"Detlef P."}],"issued":{"date-parts":[["2012",1]]}}},{"id":610,"uris":["http://zotero.org/groups/4530821/items/BQ4HWYLR"],"itemData":{"id":610,"type":"article-journal","container-title":"Energy","DOI":"10.1016/j.energy.2021.122994","ISSN":"03605442","journalAbbreviation":"Energy","language":"en","page":"122994","source":"DOI.org (Crossref)","title":"Efficiency improvement and technology choice for energy and emission reductions of the residential sector","volume":"243","author":[{"family":"Daioglou","given":"Vassilis"},{"family":"Mikropoulos","given":"Efstratios"},{"family":"Gernaat","given":"David"},{"family":"Vuuren","given":"Detlef P.","non-dropping-particle":"van"}],"issued":{"date-parts":[["2022",3]]}}}],"schema":"https://github.com/citation-style-language/schema/raw/master/csl-citation.json"} </w:instrText>
            </w:r>
            <w:r>
              <w:rPr>
                <w:rFonts w:ascii="Calibri" w:eastAsia="Times New Roman" w:hAnsi="Calibri" w:cs="Calibri"/>
                <w:color w:val="000000"/>
                <w:sz w:val="18"/>
                <w:szCs w:val="18"/>
              </w:rPr>
              <w:fldChar w:fldCharType="separate"/>
            </w:r>
            <w:r w:rsidR="00AD4028" w:rsidRPr="00AD4028">
              <w:rPr>
                <w:rFonts w:ascii="Calibri" w:hAnsi="Calibri" w:cs="Calibri"/>
                <w:sz w:val="18"/>
                <w:vertAlign w:val="superscript"/>
              </w:rPr>
              <w:t>2,3</w:t>
            </w:r>
            <w:r>
              <w:rPr>
                <w:rFonts w:ascii="Calibri" w:eastAsia="Times New Roman" w:hAnsi="Calibri" w:cs="Calibri"/>
                <w:color w:val="000000"/>
                <w:sz w:val="18"/>
                <w:szCs w:val="18"/>
              </w:rPr>
              <w:fldChar w:fldCharType="end"/>
            </w:r>
          </w:p>
        </w:tc>
        <w:tc>
          <w:tcPr>
            <w:tcW w:w="2408" w:type="dxa"/>
            <w:tcBorders>
              <w:bottom w:val="single" w:sz="4" w:space="0" w:color="auto"/>
            </w:tcBorders>
            <w:hideMark/>
          </w:tcPr>
          <w:p w14:paraId="3D0A63EA" w14:textId="43CCAC16" w:rsidR="00E418A4" w:rsidRPr="00E418A4" w:rsidRDefault="00A34CCA" w:rsidP="00E418A4">
            <w:pPr>
              <w:rPr>
                <w:rFonts w:eastAsia="Times New Roman" w:cstheme="minorHAnsi"/>
                <w:sz w:val="18"/>
                <w:szCs w:val="18"/>
              </w:rPr>
            </w:pPr>
            <w:r>
              <w:rPr>
                <w:rFonts w:ascii="Calibri" w:eastAsia="Times New Roman" w:hAnsi="Calibri" w:cs="Calibri"/>
                <w:color w:val="000000"/>
                <w:sz w:val="18"/>
                <w:szCs w:val="18"/>
              </w:rPr>
              <w:fldChar w:fldCharType="begin"/>
            </w:r>
            <w:r w:rsidR="00AD4028">
              <w:rPr>
                <w:rFonts w:ascii="Calibri" w:eastAsia="Times New Roman" w:hAnsi="Calibri" w:cs="Calibri"/>
                <w:color w:val="000000"/>
                <w:sz w:val="18"/>
                <w:szCs w:val="18"/>
              </w:rPr>
              <w:instrText xml:space="preserve"> ADDIN ZOTERO_ITEM CSL_CITATION {"citationID":"tcEANEtJ","properties":{"formattedCitation":"\\super 4\\nosupersub{}","plainCitation":"4","noteIndex":0},"citationItems":[{"id":593,"uris":["http://zotero.org/groups/4530821/items/K598XMHI"],"itemData":{"id":593,"type":"article-journal","abstract":"Abstract\n            \n              Buildings account for 36% of global final energy demand and are key to mitigating climate change. Assessing the evolution of the global building stock and its energy demand is critical to support mitigation strategies. However, most global studies lack granularity and overlook heterogeneity in the building sector, limiting the evaluation of demand transformation scenarios. We develop global residential building scenarios along the shared socio-economic pathways (SSPs) 1–3 and assess the evolution of building stock, energy demand, and CO\n              2\n              emissions for space heating and cooling with MESSAGEix-Buildings, a modelling framework soft-linked to an integrated assessment framework. MESSAGEix-Buildings combines bottom-up modelling of energy demand, stock turnover, and discrete choice modelling for energy efficiency decisions, and accounts for heterogeneity in geographical contexts, socio-economics, and buildings characteristics.\n            \n            \n              Global CO\n              2\n              emissions for space heating are projected to decrease between 34.4 (SSP3) and 52.5% (SSP1) by 2050 under energy efficiency improvements and electrification. Space cooling demand starkly rises in developing countries, with CO\n              2\n              emissions increasing globally by 58.2 (SSP1) to 85.2% (SSP3) by 2050. Scenarios substantially differ in the uptake of energy efficient new construction and renovations, generally higher for single-family homes, and in space cooling patterns across income levels and locations, with most of the demand in the global south driven by medium- and high-income urban households. This study contributes an advancement in the granularity of building sector knowledge to be assessed in integration with other sources of emissions in the context of global climate change mitigation and sustainable development.","container-title":"Climatic Change","DOI":"10.1007/s10584-021-03229-3","ISSN":"0165-0009, 1573-1480","issue":"3-4","journalAbbreviation":"Climatic Change","language":"en","page":"14","source":"DOI.org (Crossref)","title":"Global scenarios of residential heating and cooling energy demand and CO2 emissions","volume":"168","author":[{"family":"Mastrucci","given":"Alessio"},{"family":"Ruijven","given":"Bas","non-dropping-particle":"van"},{"family":"Byers","given":"Edward"},{"family":"Poblete-Cazenave","given":"Miguel"},{"family":"Pachauri","given":"Shonali"}],"issued":{"date-parts":[["2021",10]]}}}],"schema":"https://github.com/citation-style-language/schema/raw/master/csl-citation.json"} </w:instrText>
            </w:r>
            <w:r>
              <w:rPr>
                <w:rFonts w:ascii="Calibri" w:eastAsia="Times New Roman" w:hAnsi="Calibri" w:cs="Calibri"/>
                <w:color w:val="000000"/>
                <w:sz w:val="18"/>
                <w:szCs w:val="18"/>
              </w:rPr>
              <w:fldChar w:fldCharType="separate"/>
            </w:r>
            <w:r w:rsidR="00AD4028" w:rsidRPr="00AD4028">
              <w:rPr>
                <w:rFonts w:ascii="Calibri" w:hAnsi="Calibri" w:cs="Calibri"/>
                <w:sz w:val="18"/>
                <w:vertAlign w:val="superscript"/>
              </w:rPr>
              <w:t>4</w:t>
            </w:r>
            <w:r>
              <w:rPr>
                <w:rFonts w:ascii="Calibri" w:eastAsia="Times New Roman" w:hAnsi="Calibri" w:cs="Calibri"/>
                <w:color w:val="000000"/>
                <w:sz w:val="18"/>
                <w:szCs w:val="18"/>
              </w:rPr>
              <w:fldChar w:fldCharType="end"/>
            </w:r>
          </w:p>
        </w:tc>
        <w:tc>
          <w:tcPr>
            <w:tcW w:w="2409" w:type="dxa"/>
            <w:tcBorders>
              <w:bottom w:val="single" w:sz="4" w:space="0" w:color="auto"/>
            </w:tcBorders>
            <w:hideMark/>
          </w:tcPr>
          <w:p w14:paraId="52A7E5AB" w14:textId="3E94213D" w:rsidR="00E418A4" w:rsidRPr="00E418A4" w:rsidRDefault="003D6497" w:rsidP="00E418A4">
            <w:pPr>
              <w:rPr>
                <w:rFonts w:eastAsia="Times New Roman" w:cstheme="minorHAnsi"/>
                <w:sz w:val="18"/>
                <w:szCs w:val="18"/>
              </w:rPr>
            </w:pPr>
            <w:r>
              <w:rPr>
                <w:rFonts w:ascii="Calibri" w:eastAsia="Times New Roman" w:hAnsi="Calibri" w:cs="Calibri"/>
                <w:color w:val="000000"/>
                <w:sz w:val="18"/>
                <w:szCs w:val="18"/>
              </w:rPr>
              <w:fldChar w:fldCharType="begin"/>
            </w:r>
            <w:r w:rsidR="00AD4028">
              <w:rPr>
                <w:rFonts w:ascii="Calibri" w:eastAsia="Times New Roman" w:hAnsi="Calibri" w:cs="Calibri"/>
                <w:color w:val="000000"/>
                <w:sz w:val="18"/>
                <w:szCs w:val="18"/>
              </w:rPr>
              <w:instrText xml:space="preserve"> ADDIN ZOTERO_ITEM CSL_CITATION {"citationID":"bTnpJe5j","properties":{"formattedCitation":"\\super 5,6\\nosupersub{}","plainCitation":"5,6","noteIndex":0},"citationItems":[{"id":828,"uris":["http://zotero.org/groups/4530821/items/9Q9FVKS9"],"itemData":{"id":828,"type":"document","publisher":"Prayas (Energy Group)","title":"PIER: Modelling the Indian energy system through the 2020s","URL":"https://www.prayaspune.org/peg/publications/item/512","author":[{"family":"Prayas (Energy Group)","given":""}],"issued":{"date-parts":[["2021"]]}}},{"id":4012,"uris":["http://zotero.org/users/8450109/items/Z5H4EQRM"],"itemData":{"id":4012,"type":"report","title":"More with less: Insights from residential energy demand assessment using PIER","URL":"https://energy.prayaspune.org/our-work/research-report/more-with-less","author":[{"family":"Prayas (Energy Group)","given":""}],"issued":{"date-parts":[["2023"]]}}}],"schema":"https://github.com/citation-style-language/schema/raw/master/csl-citation.json"} </w:instrText>
            </w:r>
            <w:r>
              <w:rPr>
                <w:rFonts w:ascii="Calibri" w:eastAsia="Times New Roman" w:hAnsi="Calibri" w:cs="Calibri"/>
                <w:color w:val="000000"/>
                <w:sz w:val="18"/>
                <w:szCs w:val="18"/>
              </w:rPr>
              <w:fldChar w:fldCharType="separate"/>
            </w:r>
            <w:r w:rsidR="00AD4028" w:rsidRPr="00AD4028">
              <w:rPr>
                <w:rFonts w:ascii="Calibri" w:hAnsi="Calibri" w:cs="Calibri"/>
                <w:sz w:val="18"/>
                <w:vertAlign w:val="superscript"/>
              </w:rPr>
              <w:t>5,6</w:t>
            </w:r>
            <w:r>
              <w:rPr>
                <w:rFonts w:ascii="Calibri" w:eastAsia="Times New Roman" w:hAnsi="Calibri" w:cs="Calibri"/>
                <w:color w:val="000000"/>
                <w:sz w:val="18"/>
                <w:szCs w:val="18"/>
              </w:rPr>
              <w:fldChar w:fldCharType="end"/>
            </w:r>
          </w:p>
        </w:tc>
        <w:tc>
          <w:tcPr>
            <w:tcW w:w="2409" w:type="dxa"/>
            <w:tcBorders>
              <w:bottom w:val="single" w:sz="4" w:space="0" w:color="auto"/>
            </w:tcBorders>
            <w:hideMark/>
          </w:tcPr>
          <w:p w14:paraId="0E22ACE9" w14:textId="4C0EC798" w:rsidR="00E418A4" w:rsidRPr="00E418A4" w:rsidRDefault="00C633F4" w:rsidP="00E418A4">
            <w:pPr>
              <w:rPr>
                <w:rFonts w:eastAsia="Times New Roman" w:cstheme="minorHAnsi"/>
                <w:sz w:val="18"/>
                <w:szCs w:val="18"/>
              </w:rPr>
            </w:pPr>
            <w:r>
              <w:rPr>
                <w:rFonts w:ascii="Calibri" w:eastAsia="Times New Roman" w:hAnsi="Calibri" w:cs="Calibri"/>
                <w:color w:val="000000"/>
                <w:sz w:val="18"/>
                <w:szCs w:val="18"/>
              </w:rPr>
              <w:fldChar w:fldCharType="begin"/>
            </w:r>
            <w:r w:rsidR="00AD4028">
              <w:rPr>
                <w:rFonts w:ascii="Calibri" w:eastAsia="Times New Roman" w:hAnsi="Calibri" w:cs="Calibri"/>
                <w:color w:val="000000"/>
                <w:sz w:val="18"/>
                <w:szCs w:val="18"/>
              </w:rPr>
              <w:instrText xml:space="preserve"> ADDIN ZOTERO_ITEM CSL_CITATION {"citationID":"G7WL2Aio","properties":{"formattedCitation":"\\super 7\\nosupersub{}","plainCitation":"7","noteIndex":0},"citationItems":[{"id":820,"uris":["http://zotero.org/groups/4530821/items/HR6J7F2X"],"itemData":{"id":820,"type":"article-journal","abstract":"Abstract\n            India’s rapid urbanisation underscores the need to balance growing consumption patterns, development goals, and climate commitments. The scenarios presented in this paper were created using our Sustainable Alternative Futures for India (SAFARI) model, a system dynamics model that simulates interlinkages between sectors in India and their competition for resources and energy at the national scale. This study presents insights from scenarios based on SAFARI’s housing and transport modules, as well as synergies and trade-offs with the industries, water, land, and agriculture modules. It focuses on urban form scenarios and their implications for energy, emissions, and resources. Using a vertically compact residential built form and less energy-intensive materials (such as aerated autoclaved concrete blocks), coupled with greater uptake of public transport and shorter trip lengths, was found to be most beneficial overall. This scenario could reduce residential land consumption by 85%, particulate emissions three-fold, embodied emissions of construction by 11%–13%, and total space cooling energy by 31%–46%, compared to the business as usual scenario. Overall, this scenario could offer a 9.1%–9.6% reduction in cumulative economy-wide greenhouse gas emissions between 2020 and 2050. An urban sprawl scenario (with longer trip lengths) could have the opposite effect, impinging on agricultural land and furthermore, exacerbating food security concerns by 2050. The paper concludes with future research directions, which include exploring the combined potential effects of urban heat islands, alternative materials, and compact urban form on space cooling energy in India.","container-title":"Environmental Research: Infrastructure and Sustainability","DOI":"10.1088/2634-4505/ac048e","ISSN":"2634-4505","issue":"1","journalAbbreviation":"Environ. Res.: Infrastruct. Sustain.","page":"011004","source":"DOI.org (Crossref)","title":"Sustainable alternative futures for urban India: the resource, energy, and emissions implications of urban form scenarios","title-short":"Sustainable alternative futures for urban India","volume":"1","author":[{"family":"Kumar","given":"Poornima"},{"family":"Natarajan","given":"Ramya"},{"family":"Ashok","given":"Kaveri"}],"issued":{"date-parts":[["2021",6,1]]}}}],"schema":"https://github.com/citation-style-language/schema/raw/master/csl-citation.json"} </w:instrText>
            </w:r>
            <w:r>
              <w:rPr>
                <w:rFonts w:ascii="Calibri" w:eastAsia="Times New Roman" w:hAnsi="Calibri" w:cs="Calibri"/>
                <w:color w:val="000000"/>
                <w:sz w:val="18"/>
                <w:szCs w:val="18"/>
              </w:rPr>
              <w:fldChar w:fldCharType="separate"/>
            </w:r>
            <w:r w:rsidR="00AD4028" w:rsidRPr="00AD4028">
              <w:rPr>
                <w:rFonts w:ascii="Calibri" w:hAnsi="Calibri" w:cs="Calibri"/>
                <w:sz w:val="18"/>
                <w:vertAlign w:val="superscript"/>
              </w:rPr>
              <w:t>7</w:t>
            </w:r>
            <w:r>
              <w:rPr>
                <w:rFonts w:ascii="Calibri" w:eastAsia="Times New Roman" w:hAnsi="Calibri" w:cs="Calibri"/>
                <w:color w:val="000000"/>
                <w:sz w:val="18"/>
                <w:szCs w:val="18"/>
              </w:rPr>
              <w:fldChar w:fldCharType="end"/>
            </w:r>
          </w:p>
        </w:tc>
      </w:tr>
      <w:tr w:rsidR="00E418A4" w:rsidRPr="00E418A4" w14:paraId="48598015" w14:textId="77777777" w:rsidTr="230A8660">
        <w:trPr>
          <w:trHeight w:val="295"/>
        </w:trPr>
        <w:tc>
          <w:tcPr>
            <w:tcW w:w="2127" w:type="dxa"/>
            <w:tcBorders>
              <w:top w:val="single" w:sz="4" w:space="0" w:color="auto"/>
            </w:tcBorders>
            <w:hideMark/>
          </w:tcPr>
          <w:p w14:paraId="15F5272F" w14:textId="77777777" w:rsidR="00E418A4" w:rsidRPr="00E418A4" w:rsidRDefault="00E418A4" w:rsidP="00E418A4">
            <w:pPr>
              <w:rPr>
                <w:rFonts w:eastAsia="Times New Roman" w:cstheme="minorHAnsi"/>
                <w:b/>
                <w:bCs/>
                <w:sz w:val="18"/>
                <w:szCs w:val="18"/>
              </w:rPr>
            </w:pPr>
            <w:r w:rsidRPr="00E418A4">
              <w:rPr>
                <w:rFonts w:eastAsia="Times New Roman" w:cstheme="minorHAnsi"/>
                <w:b/>
                <w:bCs/>
                <w:sz w:val="18"/>
                <w:szCs w:val="18"/>
              </w:rPr>
              <w:t>Scope</w:t>
            </w:r>
          </w:p>
        </w:tc>
        <w:tc>
          <w:tcPr>
            <w:tcW w:w="2408" w:type="dxa"/>
            <w:tcBorders>
              <w:top w:val="single" w:sz="4" w:space="0" w:color="auto"/>
            </w:tcBorders>
            <w:hideMark/>
          </w:tcPr>
          <w:p w14:paraId="78ECE7AC"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 </w:t>
            </w:r>
          </w:p>
        </w:tc>
        <w:tc>
          <w:tcPr>
            <w:tcW w:w="2409" w:type="dxa"/>
            <w:tcBorders>
              <w:top w:val="single" w:sz="4" w:space="0" w:color="auto"/>
            </w:tcBorders>
            <w:hideMark/>
          </w:tcPr>
          <w:p w14:paraId="3380BB21"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 </w:t>
            </w:r>
          </w:p>
        </w:tc>
        <w:tc>
          <w:tcPr>
            <w:tcW w:w="2408" w:type="dxa"/>
            <w:tcBorders>
              <w:top w:val="single" w:sz="4" w:space="0" w:color="auto"/>
            </w:tcBorders>
            <w:hideMark/>
          </w:tcPr>
          <w:p w14:paraId="6C97AE63"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 </w:t>
            </w:r>
          </w:p>
        </w:tc>
        <w:tc>
          <w:tcPr>
            <w:tcW w:w="2409" w:type="dxa"/>
            <w:tcBorders>
              <w:top w:val="single" w:sz="4" w:space="0" w:color="auto"/>
            </w:tcBorders>
            <w:hideMark/>
          </w:tcPr>
          <w:p w14:paraId="1209FE29"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 </w:t>
            </w:r>
          </w:p>
        </w:tc>
        <w:tc>
          <w:tcPr>
            <w:tcW w:w="2409" w:type="dxa"/>
            <w:tcBorders>
              <w:top w:val="single" w:sz="4" w:space="0" w:color="auto"/>
            </w:tcBorders>
            <w:hideMark/>
          </w:tcPr>
          <w:p w14:paraId="2468177B"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 </w:t>
            </w:r>
          </w:p>
        </w:tc>
      </w:tr>
      <w:tr w:rsidR="00E418A4" w:rsidRPr="00E418A4" w14:paraId="7BCA70C4" w14:textId="77777777" w:rsidTr="230A8660">
        <w:trPr>
          <w:trHeight w:val="295"/>
        </w:trPr>
        <w:tc>
          <w:tcPr>
            <w:tcW w:w="2127" w:type="dxa"/>
            <w:hideMark/>
          </w:tcPr>
          <w:p w14:paraId="2C937A86" w14:textId="078C5871" w:rsidR="00E418A4" w:rsidRPr="00E418A4" w:rsidRDefault="00E418A4" w:rsidP="00E418A4">
            <w:pPr>
              <w:rPr>
                <w:rFonts w:eastAsia="Times New Roman" w:cstheme="minorHAnsi"/>
                <w:sz w:val="18"/>
                <w:szCs w:val="18"/>
              </w:rPr>
            </w:pPr>
            <w:r w:rsidRPr="00E418A4">
              <w:rPr>
                <w:rFonts w:eastAsia="Times New Roman" w:cstheme="minorHAnsi"/>
                <w:sz w:val="18"/>
                <w:szCs w:val="18"/>
              </w:rPr>
              <w:t xml:space="preserve">Sector </w:t>
            </w:r>
          </w:p>
        </w:tc>
        <w:tc>
          <w:tcPr>
            <w:tcW w:w="2408" w:type="dxa"/>
            <w:hideMark/>
          </w:tcPr>
          <w:p w14:paraId="30D038CD"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Buildings</w:t>
            </w:r>
          </w:p>
        </w:tc>
        <w:tc>
          <w:tcPr>
            <w:tcW w:w="2409" w:type="dxa"/>
            <w:hideMark/>
          </w:tcPr>
          <w:p w14:paraId="3F1FED4F"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Buildings</w:t>
            </w:r>
          </w:p>
        </w:tc>
        <w:tc>
          <w:tcPr>
            <w:tcW w:w="2408" w:type="dxa"/>
            <w:hideMark/>
          </w:tcPr>
          <w:p w14:paraId="46DFCB90"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Buildings</w:t>
            </w:r>
          </w:p>
        </w:tc>
        <w:tc>
          <w:tcPr>
            <w:tcW w:w="2409" w:type="dxa"/>
            <w:hideMark/>
          </w:tcPr>
          <w:p w14:paraId="12912151"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Multi-Sectoral</w:t>
            </w:r>
          </w:p>
        </w:tc>
        <w:tc>
          <w:tcPr>
            <w:tcW w:w="2409" w:type="dxa"/>
            <w:hideMark/>
          </w:tcPr>
          <w:p w14:paraId="64B7D745"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Buildings</w:t>
            </w:r>
          </w:p>
        </w:tc>
      </w:tr>
      <w:tr w:rsidR="00E418A4" w:rsidRPr="00E418A4" w14:paraId="647A7BD2" w14:textId="77777777" w:rsidTr="230A8660">
        <w:trPr>
          <w:trHeight w:val="295"/>
        </w:trPr>
        <w:tc>
          <w:tcPr>
            <w:tcW w:w="2127" w:type="dxa"/>
            <w:hideMark/>
          </w:tcPr>
          <w:p w14:paraId="20551554" w14:textId="11871DBB" w:rsidR="00E418A4" w:rsidRPr="00E418A4" w:rsidRDefault="00E418A4" w:rsidP="00E418A4">
            <w:pPr>
              <w:rPr>
                <w:rFonts w:eastAsia="Times New Roman" w:cstheme="minorHAnsi"/>
                <w:sz w:val="18"/>
                <w:szCs w:val="18"/>
              </w:rPr>
            </w:pPr>
            <w:r w:rsidRPr="00E418A4">
              <w:rPr>
                <w:rFonts w:eastAsia="Times New Roman" w:cstheme="minorHAnsi"/>
                <w:sz w:val="18"/>
                <w:szCs w:val="18"/>
              </w:rPr>
              <w:t xml:space="preserve">Subsector </w:t>
            </w:r>
          </w:p>
        </w:tc>
        <w:tc>
          <w:tcPr>
            <w:tcW w:w="2408" w:type="dxa"/>
            <w:hideMark/>
          </w:tcPr>
          <w:p w14:paraId="7B1FF062"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Residential/Commercial</w:t>
            </w:r>
          </w:p>
        </w:tc>
        <w:tc>
          <w:tcPr>
            <w:tcW w:w="2409" w:type="dxa"/>
            <w:hideMark/>
          </w:tcPr>
          <w:p w14:paraId="1355DAA3"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Residential/Commercial</w:t>
            </w:r>
          </w:p>
        </w:tc>
        <w:tc>
          <w:tcPr>
            <w:tcW w:w="2408" w:type="dxa"/>
            <w:hideMark/>
          </w:tcPr>
          <w:p w14:paraId="5FB15C94"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Residential/Commercial</w:t>
            </w:r>
          </w:p>
        </w:tc>
        <w:tc>
          <w:tcPr>
            <w:tcW w:w="2409" w:type="dxa"/>
            <w:hideMark/>
          </w:tcPr>
          <w:p w14:paraId="323990E7"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Residential</w:t>
            </w:r>
          </w:p>
        </w:tc>
        <w:tc>
          <w:tcPr>
            <w:tcW w:w="2409" w:type="dxa"/>
            <w:hideMark/>
          </w:tcPr>
          <w:p w14:paraId="6578C069"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Residential/Commercial</w:t>
            </w:r>
          </w:p>
        </w:tc>
      </w:tr>
      <w:tr w:rsidR="00E418A4" w:rsidRPr="00E418A4" w14:paraId="446E1D65" w14:textId="77777777" w:rsidTr="230A8660">
        <w:trPr>
          <w:trHeight w:val="295"/>
        </w:trPr>
        <w:tc>
          <w:tcPr>
            <w:tcW w:w="2127" w:type="dxa"/>
            <w:hideMark/>
          </w:tcPr>
          <w:p w14:paraId="49ED14E9"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Geographical scope</w:t>
            </w:r>
          </w:p>
        </w:tc>
        <w:tc>
          <w:tcPr>
            <w:tcW w:w="2408" w:type="dxa"/>
            <w:hideMark/>
          </w:tcPr>
          <w:p w14:paraId="2747FE85"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Global</w:t>
            </w:r>
          </w:p>
        </w:tc>
        <w:tc>
          <w:tcPr>
            <w:tcW w:w="2409" w:type="dxa"/>
            <w:hideMark/>
          </w:tcPr>
          <w:p w14:paraId="0FFBFFEC"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Global</w:t>
            </w:r>
          </w:p>
        </w:tc>
        <w:tc>
          <w:tcPr>
            <w:tcW w:w="2408" w:type="dxa"/>
            <w:hideMark/>
          </w:tcPr>
          <w:p w14:paraId="5195BEC6"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Global</w:t>
            </w:r>
          </w:p>
        </w:tc>
        <w:tc>
          <w:tcPr>
            <w:tcW w:w="2409" w:type="dxa"/>
            <w:hideMark/>
          </w:tcPr>
          <w:p w14:paraId="78C49B0D"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India</w:t>
            </w:r>
          </w:p>
        </w:tc>
        <w:tc>
          <w:tcPr>
            <w:tcW w:w="2409" w:type="dxa"/>
            <w:hideMark/>
          </w:tcPr>
          <w:p w14:paraId="297D3BDC"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India</w:t>
            </w:r>
          </w:p>
        </w:tc>
      </w:tr>
      <w:tr w:rsidR="00E418A4" w:rsidRPr="00E418A4" w14:paraId="3490D6B3" w14:textId="77777777" w:rsidTr="230A8660">
        <w:trPr>
          <w:trHeight w:val="295"/>
        </w:trPr>
        <w:tc>
          <w:tcPr>
            <w:tcW w:w="2127" w:type="dxa"/>
            <w:hideMark/>
          </w:tcPr>
          <w:p w14:paraId="4F6A878E"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Geographical resolution</w:t>
            </w:r>
          </w:p>
        </w:tc>
        <w:tc>
          <w:tcPr>
            <w:tcW w:w="2408" w:type="dxa"/>
            <w:hideMark/>
          </w:tcPr>
          <w:p w14:paraId="44DF2096"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12 Regions</w:t>
            </w:r>
          </w:p>
        </w:tc>
        <w:tc>
          <w:tcPr>
            <w:tcW w:w="2409" w:type="dxa"/>
            <w:hideMark/>
          </w:tcPr>
          <w:p w14:paraId="3EF1F7B4"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26 regions</w:t>
            </w:r>
          </w:p>
        </w:tc>
        <w:tc>
          <w:tcPr>
            <w:tcW w:w="2408" w:type="dxa"/>
            <w:hideMark/>
          </w:tcPr>
          <w:p w14:paraId="63B88CBB"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60 regions</w:t>
            </w:r>
          </w:p>
        </w:tc>
        <w:tc>
          <w:tcPr>
            <w:tcW w:w="2409" w:type="dxa"/>
            <w:hideMark/>
          </w:tcPr>
          <w:p w14:paraId="39FBC1B1"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National, Sub-national or local</w:t>
            </w:r>
          </w:p>
        </w:tc>
        <w:tc>
          <w:tcPr>
            <w:tcW w:w="2409" w:type="dxa"/>
            <w:hideMark/>
          </w:tcPr>
          <w:p w14:paraId="0A428263"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National</w:t>
            </w:r>
          </w:p>
        </w:tc>
      </w:tr>
      <w:tr w:rsidR="00E418A4" w:rsidRPr="00E418A4" w14:paraId="025CADEB" w14:textId="77777777" w:rsidTr="230A8660">
        <w:trPr>
          <w:trHeight w:val="295"/>
        </w:trPr>
        <w:tc>
          <w:tcPr>
            <w:tcW w:w="2127" w:type="dxa"/>
            <w:hideMark/>
          </w:tcPr>
          <w:p w14:paraId="3389567D"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Temporal resolution</w:t>
            </w:r>
          </w:p>
        </w:tc>
        <w:tc>
          <w:tcPr>
            <w:tcW w:w="2408" w:type="dxa"/>
            <w:hideMark/>
          </w:tcPr>
          <w:p w14:paraId="36C7BB7F"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Annual/hourly</w:t>
            </w:r>
          </w:p>
        </w:tc>
        <w:tc>
          <w:tcPr>
            <w:tcW w:w="2409" w:type="dxa"/>
            <w:hideMark/>
          </w:tcPr>
          <w:p w14:paraId="2770D8EC"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Annual</w:t>
            </w:r>
          </w:p>
        </w:tc>
        <w:tc>
          <w:tcPr>
            <w:tcW w:w="2408" w:type="dxa"/>
            <w:hideMark/>
          </w:tcPr>
          <w:p w14:paraId="2F3E8AC9"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Five-year</w:t>
            </w:r>
          </w:p>
        </w:tc>
        <w:tc>
          <w:tcPr>
            <w:tcW w:w="2409" w:type="dxa"/>
            <w:hideMark/>
          </w:tcPr>
          <w:p w14:paraId="0D5F0B94"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Annual</w:t>
            </w:r>
          </w:p>
        </w:tc>
        <w:tc>
          <w:tcPr>
            <w:tcW w:w="2409" w:type="dxa"/>
            <w:hideMark/>
          </w:tcPr>
          <w:p w14:paraId="124BD5FB"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Annual</w:t>
            </w:r>
          </w:p>
        </w:tc>
      </w:tr>
      <w:tr w:rsidR="00E418A4" w:rsidRPr="00E418A4" w14:paraId="5C720FC4" w14:textId="77777777" w:rsidTr="230A8660">
        <w:trPr>
          <w:trHeight w:val="295"/>
        </w:trPr>
        <w:tc>
          <w:tcPr>
            <w:tcW w:w="2127" w:type="dxa"/>
            <w:hideMark/>
          </w:tcPr>
          <w:p w14:paraId="3888B889"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Base year</w:t>
            </w:r>
          </w:p>
        </w:tc>
        <w:tc>
          <w:tcPr>
            <w:tcW w:w="2408" w:type="dxa"/>
            <w:hideMark/>
          </w:tcPr>
          <w:p w14:paraId="701C2108"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2022</w:t>
            </w:r>
          </w:p>
        </w:tc>
        <w:tc>
          <w:tcPr>
            <w:tcW w:w="2409" w:type="dxa"/>
            <w:hideMark/>
          </w:tcPr>
          <w:p w14:paraId="022C28C5" w14:textId="66A61CF7" w:rsidR="00E418A4" w:rsidRPr="00E418A4" w:rsidRDefault="00E418A4" w:rsidP="230A8660">
            <w:pPr>
              <w:rPr>
                <w:rFonts w:eastAsia="Times New Roman"/>
                <w:sz w:val="18"/>
                <w:szCs w:val="18"/>
              </w:rPr>
            </w:pPr>
            <w:r w:rsidRPr="230A8660">
              <w:rPr>
                <w:rFonts w:eastAsia="Times New Roman"/>
                <w:sz w:val="18"/>
                <w:szCs w:val="18"/>
              </w:rPr>
              <w:t>202</w:t>
            </w:r>
            <w:r w:rsidR="47A2E361" w:rsidRPr="230A8660">
              <w:rPr>
                <w:rFonts w:eastAsia="Times New Roman"/>
                <w:sz w:val="18"/>
                <w:szCs w:val="18"/>
              </w:rPr>
              <w:t>5</w:t>
            </w:r>
          </w:p>
        </w:tc>
        <w:tc>
          <w:tcPr>
            <w:tcW w:w="2408" w:type="dxa"/>
            <w:hideMark/>
          </w:tcPr>
          <w:p w14:paraId="7324C097"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2015</w:t>
            </w:r>
          </w:p>
        </w:tc>
        <w:tc>
          <w:tcPr>
            <w:tcW w:w="2409" w:type="dxa"/>
            <w:hideMark/>
          </w:tcPr>
          <w:p w14:paraId="63FD5572"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2020-21</w:t>
            </w:r>
          </w:p>
        </w:tc>
        <w:tc>
          <w:tcPr>
            <w:tcW w:w="2409" w:type="dxa"/>
            <w:hideMark/>
          </w:tcPr>
          <w:p w14:paraId="08C3D940"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2011</w:t>
            </w:r>
          </w:p>
        </w:tc>
      </w:tr>
      <w:tr w:rsidR="00E418A4" w:rsidRPr="00E418A4" w14:paraId="369920D3" w14:textId="77777777" w:rsidTr="230A8660">
        <w:trPr>
          <w:trHeight w:val="295"/>
        </w:trPr>
        <w:tc>
          <w:tcPr>
            <w:tcW w:w="2127" w:type="dxa"/>
            <w:tcBorders>
              <w:bottom w:val="single" w:sz="4" w:space="0" w:color="auto"/>
            </w:tcBorders>
            <w:hideMark/>
          </w:tcPr>
          <w:p w14:paraId="1ED3AFCA"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End year</w:t>
            </w:r>
          </w:p>
        </w:tc>
        <w:tc>
          <w:tcPr>
            <w:tcW w:w="2408" w:type="dxa"/>
            <w:tcBorders>
              <w:bottom w:val="single" w:sz="4" w:space="0" w:color="auto"/>
            </w:tcBorders>
            <w:hideMark/>
          </w:tcPr>
          <w:p w14:paraId="3A0BAD34"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2060</w:t>
            </w:r>
          </w:p>
        </w:tc>
        <w:tc>
          <w:tcPr>
            <w:tcW w:w="2409" w:type="dxa"/>
            <w:tcBorders>
              <w:bottom w:val="single" w:sz="4" w:space="0" w:color="auto"/>
            </w:tcBorders>
            <w:hideMark/>
          </w:tcPr>
          <w:p w14:paraId="6D006F0B"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2100</w:t>
            </w:r>
          </w:p>
        </w:tc>
        <w:tc>
          <w:tcPr>
            <w:tcW w:w="2408" w:type="dxa"/>
            <w:tcBorders>
              <w:bottom w:val="single" w:sz="4" w:space="0" w:color="auto"/>
            </w:tcBorders>
            <w:hideMark/>
          </w:tcPr>
          <w:p w14:paraId="44B0D9F4"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2100</w:t>
            </w:r>
          </w:p>
        </w:tc>
        <w:tc>
          <w:tcPr>
            <w:tcW w:w="2409" w:type="dxa"/>
            <w:tcBorders>
              <w:bottom w:val="single" w:sz="4" w:space="0" w:color="auto"/>
            </w:tcBorders>
            <w:hideMark/>
          </w:tcPr>
          <w:p w14:paraId="4FA64147"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2040-41</w:t>
            </w:r>
          </w:p>
        </w:tc>
        <w:tc>
          <w:tcPr>
            <w:tcW w:w="2409" w:type="dxa"/>
            <w:tcBorders>
              <w:bottom w:val="single" w:sz="4" w:space="0" w:color="auto"/>
            </w:tcBorders>
            <w:hideMark/>
          </w:tcPr>
          <w:p w14:paraId="38232041" w14:textId="77777777" w:rsidR="00E418A4" w:rsidRPr="00E418A4" w:rsidRDefault="00E418A4" w:rsidP="00E418A4">
            <w:pPr>
              <w:rPr>
                <w:rFonts w:eastAsia="Times New Roman" w:cstheme="minorHAnsi"/>
                <w:sz w:val="18"/>
                <w:szCs w:val="18"/>
              </w:rPr>
            </w:pPr>
            <w:r w:rsidRPr="00E418A4">
              <w:rPr>
                <w:rFonts w:eastAsia="Times New Roman" w:cstheme="minorHAnsi"/>
                <w:sz w:val="18"/>
                <w:szCs w:val="18"/>
              </w:rPr>
              <w:t>2051</w:t>
            </w:r>
          </w:p>
        </w:tc>
      </w:tr>
      <w:tr w:rsidR="00563A40" w:rsidRPr="00E418A4" w14:paraId="612CCD4B" w14:textId="77777777" w:rsidTr="230A8660">
        <w:trPr>
          <w:trHeight w:val="295"/>
        </w:trPr>
        <w:tc>
          <w:tcPr>
            <w:tcW w:w="2127" w:type="dxa"/>
            <w:hideMark/>
          </w:tcPr>
          <w:p w14:paraId="158830C7" w14:textId="77777777" w:rsidR="00563A40" w:rsidRPr="00563A40" w:rsidRDefault="00563A40" w:rsidP="00147C5C">
            <w:pPr>
              <w:rPr>
                <w:rFonts w:eastAsia="Times New Roman" w:cstheme="minorHAnsi"/>
                <w:sz w:val="18"/>
                <w:szCs w:val="18"/>
              </w:rPr>
            </w:pPr>
            <w:r w:rsidRPr="00563A40">
              <w:rPr>
                <w:rFonts w:eastAsia="Times New Roman" w:cstheme="minorHAnsi"/>
                <w:b/>
                <w:bCs/>
                <w:sz w:val="18"/>
                <w:szCs w:val="18"/>
              </w:rPr>
              <w:t>Modelling approach</w:t>
            </w:r>
          </w:p>
        </w:tc>
        <w:tc>
          <w:tcPr>
            <w:tcW w:w="2408" w:type="dxa"/>
            <w:hideMark/>
          </w:tcPr>
          <w:p w14:paraId="24C40F79" w14:textId="77777777" w:rsidR="00563A40" w:rsidRPr="00E418A4" w:rsidRDefault="00563A40" w:rsidP="00147C5C">
            <w:pPr>
              <w:rPr>
                <w:rFonts w:eastAsia="Times New Roman" w:cstheme="minorHAnsi"/>
                <w:sz w:val="18"/>
                <w:szCs w:val="18"/>
              </w:rPr>
            </w:pPr>
          </w:p>
        </w:tc>
        <w:tc>
          <w:tcPr>
            <w:tcW w:w="2409" w:type="dxa"/>
            <w:hideMark/>
          </w:tcPr>
          <w:p w14:paraId="10924BE2" w14:textId="77777777" w:rsidR="00563A40" w:rsidRPr="00E418A4" w:rsidRDefault="00563A40" w:rsidP="00147C5C">
            <w:pPr>
              <w:rPr>
                <w:rFonts w:eastAsia="Times New Roman" w:cstheme="minorHAnsi"/>
                <w:sz w:val="18"/>
                <w:szCs w:val="18"/>
              </w:rPr>
            </w:pPr>
          </w:p>
        </w:tc>
        <w:tc>
          <w:tcPr>
            <w:tcW w:w="2408" w:type="dxa"/>
            <w:hideMark/>
          </w:tcPr>
          <w:p w14:paraId="5775D60C" w14:textId="77777777" w:rsidR="00563A40" w:rsidRPr="00E418A4" w:rsidRDefault="00563A40" w:rsidP="00147C5C">
            <w:pPr>
              <w:rPr>
                <w:rFonts w:eastAsia="Times New Roman" w:cstheme="minorHAnsi"/>
                <w:sz w:val="18"/>
                <w:szCs w:val="18"/>
              </w:rPr>
            </w:pPr>
          </w:p>
        </w:tc>
        <w:tc>
          <w:tcPr>
            <w:tcW w:w="2409" w:type="dxa"/>
            <w:hideMark/>
          </w:tcPr>
          <w:p w14:paraId="5EA165FF" w14:textId="77777777" w:rsidR="00563A40" w:rsidRPr="00E418A4" w:rsidRDefault="00563A40" w:rsidP="00147C5C">
            <w:pPr>
              <w:rPr>
                <w:rFonts w:eastAsia="Times New Roman" w:cstheme="minorHAnsi"/>
                <w:sz w:val="18"/>
                <w:szCs w:val="18"/>
              </w:rPr>
            </w:pPr>
          </w:p>
        </w:tc>
        <w:tc>
          <w:tcPr>
            <w:tcW w:w="2409" w:type="dxa"/>
            <w:hideMark/>
          </w:tcPr>
          <w:p w14:paraId="70D2C718" w14:textId="77777777" w:rsidR="00563A40" w:rsidRPr="00E418A4" w:rsidRDefault="00563A40" w:rsidP="00147C5C">
            <w:pPr>
              <w:rPr>
                <w:rFonts w:eastAsia="Times New Roman" w:cstheme="minorHAnsi"/>
                <w:sz w:val="18"/>
                <w:szCs w:val="18"/>
              </w:rPr>
            </w:pPr>
          </w:p>
        </w:tc>
      </w:tr>
      <w:tr w:rsidR="00563A40" w:rsidRPr="00E418A4" w14:paraId="5D8B7524" w14:textId="77777777" w:rsidTr="230A8660">
        <w:trPr>
          <w:trHeight w:val="295"/>
        </w:trPr>
        <w:tc>
          <w:tcPr>
            <w:tcW w:w="2127" w:type="dxa"/>
            <w:hideMark/>
          </w:tcPr>
          <w:p w14:paraId="0ECC8D8A" w14:textId="1721AFF8" w:rsidR="00563A40" w:rsidRPr="00E418A4" w:rsidRDefault="00563A40" w:rsidP="00147C5C">
            <w:pPr>
              <w:rPr>
                <w:rFonts w:eastAsia="Times New Roman" w:cstheme="minorHAnsi"/>
                <w:sz w:val="18"/>
                <w:szCs w:val="18"/>
              </w:rPr>
            </w:pPr>
            <w:r w:rsidRPr="00E418A4">
              <w:rPr>
                <w:rFonts w:eastAsia="Times New Roman" w:cstheme="minorHAnsi"/>
                <w:sz w:val="18"/>
                <w:szCs w:val="18"/>
              </w:rPr>
              <w:t>Overall approach</w:t>
            </w:r>
          </w:p>
        </w:tc>
        <w:tc>
          <w:tcPr>
            <w:tcW w:w="2408" w:type="dxa"/>
            <w:hideMark/>
          </w:tcPr>
          <w:p w14:paraId="585EB20F"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Bottom-up (engineering approach)</w:t>
            </w:r>
          </w:p>
        </w:tc>
        <w:tc>
          <w:tcPr>
            <w:tcW w:w="2409" w:type="dxa"/>
            <w:hideMark/>
          </w:tcPr>
          <w:p w14:paraId="43E1DBDD" w14:textId="77777777" w:rsidR="00563A40" w:rsidRPr="00E418A4" w:rsidRDefault="00563A40" w:rsidP="00147C5C">
            <w:pPr>
              <w:rPr>
                <w:rFonts w:eastAsia="Times New Roman" w:cstheme="minorHAnsi"/>
                <w:sz w:val="18"/>
                <w:szCs w:val="18"/>
              </w:rPr>
            </w:pPr>
            <w:r>
              <w:rPr>
                <w:rFonts w:eastAsia="Times New Roman" w:cstheme="minorHAnsi"/>
                <w:sz w:val="18"/>
                <w:szCs w:val="18"/>
              </w:rPr>
              <w:t>H</w:t>
            </w:r>
            <w:r w:rsidRPr="00E418A4">
              <w:rPr>
                <w:rFonts w:eastAsia="Times New Roman" w:cstheme="minorHAnsi"/>
                <w:sz w:val="18"/>
                <w:szCs w:val="18"/>
              </w:rPr>
              <w:t>ybrid</w:t>
            </w:r>
          </w:p>
        </w:tc>
        <w:tc>
          <w:tcPr>
            <w:tcW w:w="2408" w:type="dxa"/>
            <w:hideMark/>
          </w:tcPr>
          <w:p w14:paraId="4ABC9523"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Bottom-up (engineering approach)</w:t>
            </w:r>
          </w:p>
        </w:tc>
        <w:tc>
          <w:tcPr>
            <w:tcW w:w="2409" w:type="dxa"/>
            <w:hideMark/>
          </w:tcPr>
          <w:p w14:paraId="3FB2301D"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Bottom-up (engineering approach)</w:t>
            </w:r>
          </w:p>
        </w:tc>
        <w:tc>
          <w:tcPr>
            <w:tcW w:w="2409" w:type="dxa"/>
            <w:hideMark/>
          </w:tcPr>
          <w:p w14:paraId="31EC9E8E"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Hybrid</w:t>
            </w:r>
          </w:p>
        </w:tc>
      </w:tr>
      <w:tr w:rsidR="00563A40" w:rsidRPr="00E418A4" w14:paraId="35BC1B1C" w14:textId="77777777" w:rsidTr="230A8660">
        <w:trPr>
          <w:trHeight w:val="295"/>
        </w:trPr>
        <w:tc>
          <w:tcPr>
            <w:tcW w:w="2127" w:type="dxa"/>
            <w:hideMark/>
          </w:tcPr>
          <w:p w14:paraId="4A19D1D3" w14:textId="4F196009" w:rsidR="00563A40" w:rsidRPr="00E418A4" w:rsidRDefault="00563A40" w:rsidP="00147C5C">
            <w:pPr>
              <w:rPr>
                <w:rFonts w:eastAsia="Times New Roman" w:cstheme="minorHAnsi"/>
                <w:sz w:val="18"/>
                <w:szCs w:val="18"/>
              </w:rPr>
            </w:pPr>
            <w:r w:rsidRPr="00E418A4">
              <w:rPr>
                <w:rFonts w:eastAsia="Times New Roman" w:cstheme="minorHAnsi"/>
                <w:sz w:val="18"/>
                <w:szCs w:val="18"/>
              </w:rPr>
              <w:t>Methods</w:t>
            </w:r>
          </w:p>
        </w:tc>
        <w:tc>
          <w:tcPr>
            <w:tcW w:w="2408" w:type="dxa"/>
            <w:hideMark/>
          </w:tcPr>
          <w:p w14:paraId="5B936D22" w14:textId="77777777" w:rsidR="00563A40" w:rsidRPr="00E418A4" w:rsidRDefault="00563A40" w:rsidP="00147C5C">
            <w:pPr>
              <w:rPr>
                <w:rFonts w:eastAsia="Times New Roman" w:cstheme="minorHAnsi"/>
                <w:sz w:val="18"/>
                <w:szCs w:val="18"/>
              </w:rPr>
            </w:pPr>
            <w:r>
              <w:rPr>
                <w:rFonts w:eastAsia="Times New Roman" w:cstheme="minorHAnsi"/>
                <w:sz w:val="18"/>
                <w:szCs w:val="18"/>
              </w:rPr>
              <w:t>Accounting</w:t>
            </w:r>
          </w:p>
        </w:tc>
        <w:tc>
          <w:tcPr>
            <w:tcW w:w="2409" w:type="dxa"/>
            <w:hideMark/>
          </w:tcPr>
          <w:p w14:paraId="41CE9741" w14:textId="77777777" w:rsidR="00563A40" w:rsidRPr="00E418A4" w:rsidRDefault="00563A40" w:rsidP="00147C5C">
            <w:pPr>
              <w:rPr>
                <w:rFonts w:eastAsia="Times New Roman" w:cstheme="minorHAnsi"/>
                <w:sz w:val="18"/>
                <w:szCs w:val="18"/>
              </w:rPr>
            </w:pPr>
            <w:r>
              <w:rPr>
                <w:rFonts w:eastAsia="Times New Roman" w:cstheme="minorHAnsi"/>
                <w:sz w:val="18"/>
                <w:szCs w:val="18"/>
              </w:rPr>
              <w:t>S</w:t>
            </w:r>
            <w:r w:rsidRPr="00E418A4">
              <w:rPr>
                <w:rFonts w:eastAsia="Times New Roman" w:cstheme="minorHAnsi"/>
                <w:sz w:val="18"/>
                <w:szCs w:val="18"/>
              </w:rPr>
              <w:t>imulation</w:t>
            </w:r>
          </w:p>
        </w:tc>
        <w:tc>
          <w:tcPr>
            <w:tcW w:w="2408" w:type="dxa"/>
            <w:hideMark/>
          </w:tcPr>
          <w:p w14:paraId="2D8D73A7"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Simulation</w:t>
            </w:r>
          </w:p>
        </w:tc>
        <w:tc>
          <w:tcPr>
            <w:tcW w:w="2409" w:type="dxa"/>
            <w:hideMark/>
          </w:tcPr>
          <w:p w14:paraId="269A9BBF"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Accounting</w:t>
            </w:r>
          </w:p>
        </w:tc>
        <w:tc>
          <w:tcPr>
            <w:tcW w:w="2409" w:type="dxa"/>
            <w:hideMark/>
          </w:tcPr>
          <w:p w14:paraId="1455AC35"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Simulation, System dynamics</w:t>
            </w:r>
          </w:p>
        </w:tc>
      </w:tr>
      <w:tr w:rsidR="00563A40" w:rsidRPr="00E418A4" w14:paraId="2360E884" w14:textId="77777777" w:rsidTr="230A8660">
        <w:trPr>
          <w:trHeight w:val="295"/>
        </w:trPr>
        <w:tc>
          <w:tcPr>
            <w:tcW w:w="2127" w:type="dxa"/>
            <w:hideMark/>
          </w:tcPr>
          <w:p w14:paraId="0C68E14F" w14:textId="34C207B9" w:rsidR="00563A40" w:rsidRPr="00E418A4" w:rsidRDefault="00563A40" w:rsidP="00147C5C">
            <w:pPr>
              <w:rPr>
                <w:rFonts w:eastAsia="Times New Roman" w:cstheme="minorHAnsi"/>
                <w:sz w:val="18"/>
                <w:szCs w:val="18"/>
              </w:rPr>
            </w:pPr>
            <w:r w:rsidRPr="00E418A4">
              <w:rPr>
                <w:rFonts w:eastAsia="Times New Roman" w:cstheme="minorHAnsi"/>
                <w:sz w:val="18"/>
                <w:szCs w:val="18"/>
              </w:rPr>
              <w:t>Linkages to other models</w:t>
            </w:r>
          </w:p>
        </w:tc>
        <w:tc>
          <w:tcPr>
            <w:tcW w:w="2408" w:type="dxa"/>
            <w:hideMark/>
          </w:tcPr>
          <w:p w14:paraId="2E9848E6"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BISE model (energy supply-side model)</w:t>
            </w:r>
          </w:p>
        </w:tc>
        <w:tc>
          <w:tcPr>
            <w:tcW w:w="2409" w:type="dxa"/>
            <w:hideMark/>
          </w:tcPr>
          <w:p w14:paraId="2331780C"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Runs within the energy model of the IMAGE framework (TIMER), links to energy prices calculated by the supply modules, which are affected by demand choices</w:t>
            </w:r>
          </w:p>
        </w:tc>
        <w:tc>
          <w:tcPr>
            <w:tcW w:w="2408" w:type="dxa"/>
            <w:hideMark/>
          </w:tcPr>
          <w:p w14:paraId="3BD72BB1" w14:textId="77777777" w:rsidR="00563A40" w:rsidRPr="00E418A4" w:rsidRDefault="00563A40" w:rsidP="00147C5C">
            <w:pPr>
              <w:rPr>
                <w:rFonts w:eastAsia="Times New Roman" w:cstheme="minorHAnsi"/>
                <w:sz w:val="18"/>
                <w:szCs w:val="18"/>
              </w:rPr>
            </w:pPr>
            <w:proofErr w:type="spellStart"/>
            <w:r w:rsidRPr="00E418A4">
              <w:rPr>
                <w:rFonts w:eastAsia="Times New Roman" w:cstheme="minorHAnsi"/>
                <w:sz w:val="18"/>
                <w:szCs w:val="18"/>
              </w:rPr>
              <w:t>MESSAGEix</w:t>
            </w:r>
            <w:proofErr w:type="spellEnd"/>
            <w:r w:rsidRPr="00E418A4">
              <w:rPr>
                <w:rFonts w:eastAsia="Times New Roman" w:cstheme="minorHAnsi"/>
                <w:sz w:val="18"/>
                <w:szCs w:val="18"/>
              </w:rPr>
              <w:t>-GLOBIOM (Integrated Assessment Model - energy supply)</w:t>
            </w:r>
          </w:p>
        </w:tc>
        <w:tc>
          <w:tcPr>
            <w:tcW w:w="2409" w:type="dxa"/>
            <w:hideMark/>
          </w:tcPr>
          <w:p w14:paraId="48B3FC24"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Stand</w:t>
            </w:r>
            <w:r>
              <w:rPr>
                <w:rFonts w:eastAsia="Times New Roman" w:cstheme="minorHAnsi"/>
                <w:sz w:val="18"/>
                <w:szCs w:val="18"/>
              </w:rPr>
              <w:t>-</w:t>
            </w:r>
            <w:r w:rsidRPr="00E418A4">
              <w:rPr>
                <w:rFonts w:eastAsia="Times New Roman" w:cstheme="minorHAnsi"/>
                <w:sz w:val="18"/>
                <w:szCs w:val="18"/>
              </w:rPr>
              <w:t>alone model</w:t>
            </w:r>
          </w:p>
        </w:tc>
        <w:tc>
          <w:tcPr>
            <w:tcW w:w="2409" w:type="dxa"/>
            <w:hideMark/>
          </w:tcPr>
          <w:p w14:paraId="3BDCDEEC"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Soft-linked with a CGE model</w:t>
            </w:r>
          </w:p>
        </w:tc>
      </w:tr>
      <w:tr w:rsidR="00563A40" w:rsidRPr="00E418A4" w14:paraId="48B35650" w14:textId="77777777" w:rsidTr="230A8660">
        <w:trPr>
          <w:trHeight w:val="295"/>
        </w:trPr>
        <w:tc>
          <w:tcPr>
            <w:tcW w:w="2127" w:type="dxa"/>
            <w:hideMark/>
          </w:tcPr>
          <w:p w14:paraId="57C4CF31"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lastRenderedPageBreak/>
              <w:t xml:space="preserve">Methods: energy demand calculation </w:t>
            </w:r>
            <w:r>
              <w:rPr>
                <w:rFonts w:eastAsia="Times New Roman" w:cstheme="minorHAnsi"/>
                <w:sz w:val="18"/>
                <w:szCs w:val="18"/>
              </w:rPr>
              <w:t xml:space="preserve">for </w:t>
            </w:r>
            <w:r w:rsidRPr="00E418A4">
              <w:rPr>
                <w:rFonts w:eastAsia="Times New Roman" w:cstheme="minorHAnsi"/>
                <w:sz w:val="18"/>
                <w:szCs w:val="18"/>
              </w:rPr>
              <w:t>space cooling</w:t>
            </w:r>
            <w:r>
              <w:rPr>
                <w:rFonts w:eastAsia="Times New Roman" w:cstheme="minorHAnsi"/>
                <w:sz w:val="18"/>
                <w:szCs w:val="18"/>
              </w:rPr>
              <w:t xml:space="preserve"> and heating</w:t>
            </w:r>
          </w:p>
        </w:tc>
        <w:tc>
          <w:tcPr>
            <w:tcW w:w="2408" w:type="dxa"/>
            <w:hideMark/>
          </w:tcPr>
          <w:p w14:paraId="344D7054"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Engineering energy demand model based on floor area, socio-economic data, energy intensity, variable degree days</w:t>
            </w:r>
          </w:p>
        </w:tc>
        <w:tc>
          <w:tcPr>
            <w:tcW w:w="2409" w:type="dxa"/>
            <w:hideMark/>
          </w:tcPr>
          <w:p w14:paraId="19DB2514"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Floorspace, HDD, CDD, GDP, Population, technology choice, energy price, technology development, household size, electrification</w:t>
            </w:r>
          </w:p>
        </w:tc>
        <w:tc>
          <w:tcPr>
            <w:tcW w:w="2408" w:type="dxa"/>
            <w:hideMark/>
          </w:tcPr>
          <w:p w14:paraId="072A2C96"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Engineering energy demand model based on variable degree days</w:t>
            </w:r>
          </w:p>
        </w:tc>
        <w:tc>
          <w:tcPr>
            <w:tcW w:w="2409" w:type="dxa"/>
            <w:hideMark/>
          </w:tcPr>
          <w:p w14:paraId="77FD326F" w14:textId="77777777" w:rsidR="00563A40" w:rsidRPr="00563A40" w:rsidRDefault="00563A40" w:rsidP="00147C5C">
            <w:pPr>
              <w:rPr>
                <w:rFonts w:eastAsia="Times New Roman" w:cstheme="minorHAnsi"/>
                <w:sz w:val="18"/>
                <w:szCs w:val="18"/>
              </w:rPr>
            </w:pPr>
            <w:r w:rsidRPr="00563A40">
              <w:rPr>
                <w:rFonts w:eastAsia="Times New Roman" w:cstheme="minorHAnsi"/>
                <w:sz w:val="18"/>
                <w:szCs w:val="18"/>
              </w:rPr>
              <w:t>Engineering energy demand model projecting penetration of cooling appliances and cooling degree hours based on temperature projections</w:t>
            </w:r>
          </w:p>
        </w:tc>
        <w:tc>
          <w:tcPr>
            <w:tcW w:w="2409" w:type="dxa"/>
            <w:hideMark/>
          </w:tcPr>
          <w:p w14:paraId="4784B227" w14:textId="77777777" w:rsidR="00563A40" w:rsidRPr="00E418A4" w:rsidRDefault="00563A40" w:rsidP="00147C5C">
            <w:pPr>
              <w:rPr>
                <w:rFonts w:eastAsia="Times New Roman" w:cstheme="minorHAnsi"/>
                <w:sz w:val="18"/>
                <w:szCs w:val="18"/>
              </w:rPr>
            </w:pPr>
            <w:r w:rsidRPr="0046456C">
              <w:rPr>
                <w:rFonts w:eastAsia="Times New Roman" w:cstheme="minorHAnsi"/>
                <w:sz w:val="18"/>
                <w:szCs w:val="18"/>
              </w:rPr>
              <w:t xml:space="preserve">Based on fan and AC penetration rates and </w:t>
            </w:r>
            <w:proofErr w:type="gramStart"/>
            <w:r w:rsidRPr="0046456C">
              <w:rPr>
                <w:rFonts w:eastAsia="Times New Roman" w:cstheme="minorHAnsi"/>
                <w:sz w:val="18"/>
                <w:szCs w:val="18"/>
              </w:rPr>
              <w:t>weighted</w:t>
            </w:r>
            <w:proofErr w:type="gramEnd"/>
            <w:r w:rsidRPr="0046456C">
              <w:rPr>
                <w:rFonts w:eastAsia="Times New Roman" w:cstheme="minorHAnsi"/>
                <w:sz w:val="18"/>
                <w:szCs w:val="18"/>
              </w:rPr>
              <w:t xml:space="preserve"> usage hours and wattage. Cooling demand estimation via building envelope </w:t>
            </w:r>
            <w:proofErr w:type="spellStart"/>
            <w:r w:rsidRPr="0046456C">
              <w:rPr>
                <w:rFonts w:eastAsia="Times New Roman" w:cstheme="minorHAnsi"/>
                <w:sz w:val="18"/>
                <w:szCs w:val="18"/>
              </w:rPr>
              <w:t>charateristics</w:t>
            </w:r>
            <w:proofErr w:type="spellEnd"/>
            <w:r w:rsidRPr="0046456C">
              <w:rPr>
                <w:rFonts w:eastAsia="Times New Roman" w:cstheme="minorHAnsi"/>
                <w:sz w:val="18"/>
                <w:szCs w:val="18"/>
              </w:rPr>
              <w:t xml:space="preserve"> also included.</w:t>
            </w:r>
          </w:p>
        </w:tc>
      </w:tr>
      <w:tr w:rsidR="00563A40" w:rsidRPr="00E418A4" w14:paraId="3464017D" w14:textId="77777777" w:rsidTr="230A8660">
        <w:trPr>
          <w:trHeight w:val="295"/>
        </w:trPr>
        <w:tc>
          <w:tcPr>
            <w:tcW w:w="2127" w:type="dxa"/>
            <w:hideMark/>
          </w:tcPr>
          <w:p w14:paraId="2303143B"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 xml:space="preserve">Methods: energy demand calculation </w:t>
            </w:r>
            <w:r>
              <w:rPr>
                <w:rFonts w:eastAsia="Times New Roman" w:cstheme="minorHAnsi"/>
                <w:sz w:val="18"/>
                <w:szCs w:val="18"/>
              </w:rPr>
              <w:t xml:space="preserve">for </w:t>
            </w:r>
            <w:r w:rsidRPr="00E418A4">
              <w:rPr>
                <w:rFonts w:eastAsia="Times New Roman" w:cstheme="minorHAnsi"/>
                <w:sz w:val="18"/>
                <w:szCs w:val="18"/>
              </w:rPr>
              <w:t>cooking and appliances</w:t>
            </w:r>
          </w:p>
        </w:tc>
        <w:tc>
          <w:tcPr>
            <w:tcW w:w="2408" w:type="dxa"/>
            <w:hideMark/>
          </w:tcPr>
          <w:p w14:paraId="482BD4C1"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Not available</w:t>
            </w:r>
          </w:p>
        </w:tc>
        <w:tc>
          <w:tcPr>
            <w:tcW w:w="2409" w:type="dxa"/>
            <w:hideMark/>
          </w:tcPr>
          <w:p w14:paraId="548DC83A"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GDP, Population, technology choice, energy price, technology development</w:t>
            </w:r>
          </w:p>
        </w:tc>
        <w:tc>
          <w:tcPr>
            <w:tcW w:w="2408" w:type="dxa"/>
            <w:hideMark/>
          </w:tcPr>
          <w:p w14:paraId="5E474A49"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 xml:space="preserve">Engineering energy demand model </w:t>
            </w:r>
            <w:r>
              <w:rPr>
                <w:rFonts w:eastAsia="Times New Roman" w:cstheme="minorHAnsi"/>
                <w:sz w:val="18"/>
                <w:szCs w:val="18"/>
              </w:rPr>
              <w:t>based on</w:t>
            </w:r>
            <w:r w:rsidRPr="00E418A4">
              <w:rPr>
                <w:rFonts w:eastAsia="Times New Roman" w:cstheme="minorHAnsi"/>
                <w:sz w:val="18"/>
                <w:szCs w:val="18"/>
              </w:rPr>
              <w:t xml:space="preserve"> projected </w:t>
            </w:r>
            <w:r>
              <w:rPr>
                <w:rFonts w:eastAsia="Times New Roman" w:cstheme="minorHAnsi"/>
                <w:sz w:val="18"/>
                <w:szCs w:val="18"/>
              </w:rPr>
              <w:t xml:space="preserve">appliances </w:t>
            </w:r>
            <w:r w:rsidRPr="00E418A4">
              <w:rPr>
                <w:rFonts w:eastAsia="Times New Roman" w:cstheme="minorHAnsi"/>
                <w:sz w:val="18"/>
                <w:szCs w:val="18"/>
              </w:rPr>
              <w:t xml:space="preserve">penetration and energy </w:t>
            </w:r>
            <w:r>
              <w:rPr>
                <w:rFonts w:eastAsia="Times New Roman" w:cstheme="minorHAnsi"/>
                <w:sz w:val="18"/>
                <w:szCs w:val="18"/>
              </w:rPr>
              <w:t>intensity</w:t>
            </w:r>
            <w:r w:rsidRPr="00E418A4">
              <w:rPr>
                <w:rFonts w:eastAsia="Times New Roman" w:cstheme="minorHAnsi"/>
                <w:sz w:val="18"/>
                <w:szCs w:val="18"/>
              </w:rPr>
              <w:t xml:space="preserve"> coefficients</w:t>
            </w:r>
          </w:p>
        </w:tc>
        <w:tc>
          <w:tcPr>
            <w:tcW w:w="2409" w:type="dxa"/>
            <w:hideMark/>
          </w:tcPr>
          <w:p w14:paraId="6FF9BDF7"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Engineering energy demand model projecting penetration of different cooking fuels and appliances</w:t>
            </w:r>
          </w:p>
        </w:tc>
        <w:tc>
          <w:tcPr>
            <w:tcW w:w="2409" w:type="dxa"/>
            <w:hideMark/>
          </w:tcPr>
          <w:p w14:paraId="5AF998B3" w14:textId="77777777" w:rsidR="00563A40" w:rsidRPr="00E418A4" w:rsidRDefault="00563A40" w:rsidP="00147C5C">
            <w:pPr>
              <w:rPr>
                <w:rFonts w:eastAsia="Times New Roman" w:cstheme="minorHAnsi"/>
                <w:sz w:val="18"/>
                <w:szCs w:val="18"/>
              </w:rPr>
            </w:pPr>
            <w:r w:rsidRPr="00821FDB">
              <w:rPr>
                <w:rFonts w:eastAsia="Times New Roman" w:cstheme="minorHAnsi"/>
                <w:sz w:val="18"/>
                <w:szCs w:val="18"/>
              </w:rPr>
              <w:t>Based on urban and rural penetration rates of different cooking fuels and average cooking useful energy requirement for an Indian household</w:t>
            </w:r>
          </w:p>
        </w:tc>
      </w:tr>
      <w:tr w:rsidR="00563A40" w:rsidRPr="00E418A4" w14:paraId="7EC7559C" w14:textId="77777777" w:rsidTr="230A8660">
        <w:trPr>
          <w:trHeight w:val="295"/>
        </w:trPr>
        <w:tc>
          <w:tcPr>
            <w:tcW w:w="2127" w:type="dxa"/>
            <w:hideMark/>
          </w:tcPr>
          <w:p w14:paraId="7B99F8EA"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Methods: building stock turnover</w:t>
            </w:r>
          </w:p>
        </w:tc>
        <w:tc>
          <w:tcPr>
            <w:tcW w:w="2408" w:type="dxa"/>
            <w:hideMark/>
          </w:tcPr>
          <w:p w14:paraId="5CEF2769" w14:textId="77777777" w:rsidR="00563A40" w:rsidRPr="00E418A4" w:rsidRDefault="00563A40" w:rsidP="00147C5C">
            <w:pPr>
              <w:rPr>
                <w:rFonts w:eastAsia="Times New Roman" w:cstheme="minorHAnsi"/>
                <w:sz w:val="18"/>
                <w:szCs w:val="18"/>
              </w:rPr>
            </w:pPr>
            <w:r>
              <w:rPr>
                <w:rFonts w:eastAsia="Times New Roman" w:cstheme="minorHAnsi"/>
                <w:sz w:val="18"/>
                <w:szCs w:val="18"/>
              </w:rPr>
              <w:t>Not available</w:t>
            </w:r>
          </w:p>
        </w:tc>
        <w:tc>
          <w:tcPr>
            <w:tcW w:w="2409" w:type="dxa"/>
            <w:hideMark/>
          </w:tcPr>
          <w:p w14:paraId="5DC7D177"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stock turnover model</w:t>
            </w:r>
          </w:p>
        </w:tc>
        <w:tc>
          <w:tcPr>
            <w:tcW w:w="2408" w:type="dxa"/>
            <w:hideMark/>
          </w:tcPr>
          <w:p w14:paraId="55BBB8C4" w14:textId="77777777" w:rsidR="00563A40" w:rsidRPr="00E418A4" w:rsidRDefault="00563A40" w:rsidP="00147C5C">
            <w:pPr>
              <w:rPr>
                <w:rFonts w:eastAsia="Times New Roman" w:cstheme="minorHAnsi"/>
                <w:sz w:val="18"/>
                <w:szCs w:val="18"/>
              </w:rPr>
            </w:pPr>
            <w:r>
              <w:rPr>
                <w:rFonts w:eastAsia="Times New Roman" w:cstheme="minorHAnsi"/>
                <w:sz w:val="18"/>
                <w:szCs w:val="18"/>
              </w:rPr>
              <w:t>D</w:t>
            </w:r>
            <w:r w:rsidRPr="00E418A4">
              <w:rPr>
                <w:rFonts w:eastAsia="Times New Roman" w:cstheme="minorHAnsi"/>
                <w:sz w:val="18"/>
                <w:szCs w:val="18"/>
              </w:rPr>
              <w:t>ynamic material flow analysis (MFA)</w:t>
            </w:r>
          </w:p>
        </w:tc>
        <w:tc>
          <w:tcPr>
            <w:tcW w:w="2409" w:type="dxa"/>
            <w:hideMark/>
          </w:tcPr>
          <w:p w14:paraId="1DAC1EAE"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Not available</w:t>
            </w:r>
          </w:p>
        </w:tc>
        <w:tc>
          <w:tcPr>
            <w:tcW w:w="2409" w:type="dxa"/>
            <w:hideMark/>
          </w:tcPr>
          <w:p w14:paraId="6F21CD21" w14:textId="77777777" w:rsidR="00563A40" w:rsidRPr="00E418A4" w:rsidRDefault="00563A40" w:rsidP="00147C5C">
            <w:pPr>
              <w:rPr>
                <w:rFonts w:eastAsia="Times New Roman" w:cstheme="minorHAnsi"/>
                <w:sz w:val="18"/>
                <w:szCs w:val="18"/>
              </w:rPr>
            </w:pPr>
            <w:r w:rsidRPr="00821FDB">
              <w:rPr>
                <w:rFonts w:eastAsia="Times New Roman" w:cstheme="minorHAnsi"/>
                <w:sz w:val="18"/>
                <w:szCs w:val="18"/>
              </w:rPr>
              <w:t xml:space="preserve">Stock </w:t>
            </w:r>
            <w:proofErr w:type="gramStart"/>
            <w:r w:rsidRPr="00821FDB">
              <w:rPr>
                <w:rFonts w:eastAsia="Times New Roman" w:cstheme="minorHAnsi"/>
                <w:sz w:val="18"/>
                <w:szCs w:val="18"/>
              </w:rPr>
              <w:t>turn-over</w:t>
            </w:r>
            <w:proofErr w:type="gramEnd"/>
            <w:r w:rsidRPr="00821FDB">
              <w:rPr>
                <w:rFonts w:eastAsia="Times New Roman" w:cstheme="minorHAnsi"/>
                <w:sz w:val="18"/>
                <w:szCs w:val="18"/>
              </w:rPr>
              <w:t xml:space="preserve"> based on ageing chain and building condition</w:t>
            </w:r>
          </w:p>
        </w:tc>
      </w:tr>
      <w:tr w:rsidR="00563A40" w:rsidRPr="00E418A4" w14:paraId="029A7ACE" w14:textId="77777777" w:rsidTr="230A8660">
        <w:trPr>
          <w:trHeight w:val="295"/>
        </w:trPr>
        <w:tc>
          <w:tcPr>
            <w:tcW w:w="2127" w:type="dxa"/>
            <w:tcBorders>
              <w:bottom w:val="single" w:sz="4" w:space="0" w:color="auto"/>
            </w:tcBorders>
            <w:hideMark/>
          </w:tcPr>
          <w:p w14:paraId="402C2DCB"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Methods: building efficiency improvements</w:t>
            </w:r>
          </w:p>
        </w:tc>
        <w:tc>
          <w:tcPr>
            <w:tcW w:w="2408" w:type="dxa"/>
            <w:tcBorders>
              <w:bottom w:val="single" w:sz="4" w:space="0" w:color="auto"/>
            </w:tcBorders>
            <w:hideMark/>
          </w:tcPr>
          <w:p w14:paraId="79E5A2C7"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Mostly assumption based socio-economic data were used (linear projection)</w:t>
            </w:r>
          </w:p>
        </w:tc>
        <w:tc>
          <w:tcPr>
            <w:tcW w:w="2409" w:type="dxa"/>
            <w:tcBorders>
              <w:bottom w:val="single" w:sz="4" w:space="0" w:color="auto"/>
            </w:tcBorders>
            <w:hideMark/>
          </w:tcPr>
          <w:p w14:paraId="79A2AAEB"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 xml:space="preserve">Market </w:t>
            </w:r>
            <w:proofErr w:type="gramStart"/>
            <w:r w:rsidRPr="00E418A4">
              <w:rPr>
                <w:rFonts w:eastAsia="Times New Roman" w:cstheme="minorHAnsi"/>
                <w:sz w:val="18"/>
                <w:szCs w:val="18"/>
              </w:rPr>
              <w:t>shares of</w:t>
            </w:r>
            <w:proofErr w:type="gramEnd"/>
            <w:r w:rsidRPr="00E418A4">
              <w:rPr>
                <w:rFonts w:eastAsia="Times New Roman" w:cstheme="minorHAnsi"/>
                <w:sz w:val="18"/>
                <w:szCs w:val="18"/>
              </w:rPr>
              <w:t xml:space="preserve"> different insulation levels based on logit function. Choice depends on life cycle cost calculation accounting for investments and potential savings. Improvements can be made during construction or as "renovation" in existing stocks.</w:t>
            </w:r>
          </w:p>
        </w:tc>
        <w:tc>
          <w:tcPr>
            <w:tcW w:w="2408" w:type="dxa"/>
            <w:tcBorders>
              <w:bottom w:val="single" w:sz="4" w:space="0" w:color="auto"/>
            </w:tcBorders>
            <w:hideMark/>
          </w:tcPr>
          <w:p w14:paraId="7083F8AC"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Discrete choice models based on life cycle cost calculation for energy efficiency decisions of households. Exogenous assumptions on energy efficiency improvements of heating, cooling systems, and appliances.</w:t>
            </w:r>
          </w:p>
        </w:tc>
        <w:tc>
          <w:tcPr>
            <w:tcW w:w="2409" w:type="dxa"/>
            <w:tcBorders>
              <w:bottom w:val="single" w:sz="4" w:space="0" w:color="auto"/>
            </w:tcBorders>
            <w:hideMark/>
          </w:tcPr>
          <w:p w14:paraId="11E7CFB4" w14:textId="77777777" w:rsidR="00563A40" w:rsidRPr="00E418A4" w:rsidRDefault="00563A40" w:rsidP="00147C5C">
            <w:pPr>
              <w:rPr>
                <w:rFonts w:eastAsia="Times New Roman" w:cstheme="minorHAnsi"/>
                <w:sz w:val="18"/>
                <w:szCs w:val="18"/>
              </w:rPr>
            </w:pPr>
            <w:r w:rsidRPr="00E418A4">
              <w:rPr>
                <w:rFonts w:eastAsia="Times New Roman" w:cstheme="minorHAnsi"/>
                <w:sz w:val="18"/>
                <w:szCs w:val="18"/>
              </w:rPr>
              <w:t>Can be modelled with suitable assumptions/inputs</w:t>
            </w:r>
          </w:p>
        </w:tc>
        <w:tc>
          <w:tcPr>
            <w:tcW w:w="2409" w:type="dxa"/>
            <w:tcBorders>
              <w:bottom w:val="single" w:sz="4" w:space="0" w:color="auto"/>
            </w:tcBorders>
            <w:hideMark/>
          </w:tcPr>
          <w:p w14:paraId="0517F18E" w14:textId="77777777" w:rsidR="00563A40" w:rsidRPr="00E418A4" w:rsidRDefault="00563A40" w:rsidP="00147C5C">
            <w:pPr>
              <w:rPr>
                <w:rFonts w:eastAsia="Times New Roman" w:cstheme="minorHAnsi"/>
                <w:sz w:val="18"/>
                <w:szCs w:val="18"/>
              </w:rPr>
            </w:pPr>
          </w:p>
        </w:tc>
      </w:tr>
    </w:tbl>
    <w:p w14:paraId="4BA3034C" w14:textId="77777777" w:rsidR="00E418A4" w:rsidRDefault="00E418A4" w:rsidP="00E418A4">
      <w:pPr>
        <w:rPr>
          <w:lang w:val="en-GB"/>
        </w:rPr>
      </w:pPr>
    </w:p>
    <w:p w14:paraId="581613F2" w14:textId="56ED008F" w:rsidR="007806CB" w:rsidRPr="00F56D9B" w:rsidRDefault="007806CB" w:rsidP="00F56D9B">
      <w:pPr>
        <w:rPr>
          <w:i/>
          <w:iCs/>
          <w:color w:val="44546A" w:themeColor="text2"/>
          <w:kern w:val="2"/>
          <w:sz w:val="18"/>
          <w:szCs w:val="18"/>
          <w:lang w:val="en-GB"/>
          <w14:ligatures w14:val="standardContextual"/>
        </w:rPr>
      </w:pPr>
    </w:p>
    <w:p w14:paraId="60868382" w14:textId="77777777" w:rsidR="00523F18" w:rsidRDefault="00523F18" w:rsidP="00954236">
      <w:pPr>
        <w:rPr>
          <w:lang w:val="en-GB"/>
        </w:rPr>
        <w:sectPr w:rsidR="00523F18" w:rsidSect="00523F18">
          <w:type w:val="continuous"/>
          <w:pgSz w:w="16838" w:h="11906" w:orient="landscape" w:code="9"/>
          <w:pgMar w:top="1418" w:right="1440" w:bottom="1274" w:left="1440" w:header="720" w:footer="720" w:gutter="0"/>
          <w:cols w:space="720"/>
          <w:docGrid w:linePitch="360"/>
        </w:sectPr>
      </w:pPr>
    </w:p>
    <w:p w14:paraId="2370094A" w14:textId="5A7B6FF8" w:rsidR="00523F18" w:rsidRDefault="00523F18" w:rsidP="00523F18">
      <w:pPr>
        <w:pStyle w:val="Caption"/>
        <w:keepNext/>
      </w:pPr>
      <w:bookmarkStart w:id="2" w:name="_Ref158202612"/>
      <w:r>
        <w:lastRenderedPageBreak/>
        <w:t xml:space="preserve">Supplementary Table </w:t>
      </w:r>
      <w:bookmarkEnd w:id="2"/>
      <w:r w:rsidR="00525765">
        <w:t>2</w:t>
      </w:r>
      <w:r>
        <w:t xml:space="preserve"> Models granularity.</w:t>
      </w:r>
    </w:p>
    <w:tbl>
      <w:tblPr>
        <w:tblW w:w="8647" w:type="dxa"/>
        <w:tblLayout w:type="fixed"/>
        <w:tblLook w:val="04A0" w:firstRow="1" w:lastRow="0" w:firstColumn="1" w:lastColumn="0" w:noHBand="0" w:noVBand="1"/>
      </w:tblPr>
      <w:tblGrid>
        <w:gridCol w:w="1134"/>
        <w:gridCol w:w="908"/>
        <w:gridCol w:w="908"/>
        <w:gridCol w:w="908"/>
        <w:gridCol w:w="1056"/>
        <w:gridCol w:w="898"/>
        <w:gridCol w:w="919"/>
        <w:gridCol w:w="935"/>
        <w:gridCol w:w="981"/>
      </w:tblGrid>
      <w:tr w:rsidR="00523F18" w:rsidRPr="00205754" w14:paraId="6DADEA41" w14:textId="77777777" w:rsidTr="00E7600F">
        <w:trPr>
          <w:trHeight w:val="590"/>
        </w:trPr>
        <w:tc>
          <w:tcPr>
            <w:tcW w:w="1134" w:type="dxa"/>
            <w:tcBorders>
              <w:top w:val="single" w:sz="4" w:space="0" w:color="auto"/>
              <w:left w:val="nil"/>
              <w:right w:val="nil"/>
            </w:tcBorders>
          </w:tcPr>
          <w:p w14:paraId="1C21276A" w14:textId="77777777" w:rsidR="00523F18" w:rsidRPr="00205754" w:rsidRDefault="00523F18" w:rsidP="00E7600F">
            <w:pPr>
              <w:rPr>
                <w:rFonts w:eastAsia="Times New Roman" w:cstheme="minorHAnsi"/>
                <w:b/>
                <w:bCs/>
                <w:color w:val="000000"/>
                <w:sz w:val="18"/>
                <w:szCs w:val="18"/>
              </w:rPr>
            </w:pPr>
            <w:r w:rsidRPr="002210B3">
              <w:rPr>
                <w:rFonts w:eastAsia="Times New Roman" w:cstheme="minorHAnsi"/>
                <w:b/>
                <w:bCs/>
                <w:color w:val="000000"/>
                <w:sz w:val="18"/>
                <w:szCs w:val="18"/>
              </w:rPr>
              <w:t>Model</w:t>
            </w:r>
          </w:p>
        </w:tc>
        <w:tc>
          <w:tcPr>
            <w:tcW w:w="2724" w:type="dxa"/>
            <w:gridSpan w:val="3"/>
            <w:tcBorders>
              <w:top w:val="single" w:sz="4" w:space="0" w:color="auto"/>
              <w:left w:val="nil"/>
              <w:bottom w:val="single" w:sz="4" w:space="0" w:color="auto"/>
              <w:right w:val="nil"/>
            </w:tcBorders>
          </w:tcPr>
          <w:p w14:paraId="3EF1C495" w14:textId="77777777" w:rsidR="00523F18" w:rsidRPr="00205754" w:rsidRDefault="00523F18" w:rsidP="00E7600F">
            <w:pPr>
              <w:rPr>
                <w:rFonts w:cstheme="minorHAnsi"/>
                <w:b/>
                <w:bCs/>
                <w:sz w:val="18"/>
                <w:szCs w:val="18"/>
              </w:rPr>
            </w:pPr>
            <w:r w:rsidRPr="00205754">
              <w:rPr>
                <w:rFonts w:cstheme="minorHAnsi"/>
                <w:b/>
                <w:bCs/>
                <w:sz w:val="18"/>
                <w:szCs w:val="18"/>
              </w:rPr>
              <w:t>Geographical context</w:t>
            </w:r>
          </w:p>
        </w:tc>
        <w:tc>
          <w:tcPr>
            <w:tcW w:w="1954" w:type="dxa"/>
            <w:gridSpan w:val="2"/>
            <w:tcBorders>
              <w:top w:val="single" w:sz="4" w:space="0" w:color="auto"/>
              <w:left w:val="nil"/>
              <w:bottom w:val="single" w:sz="4" w:space="0" w:color="auto"/>
            </w:tcBorders>
          </w:tcPr>
          <w:p w14:paraId="5C0F4F02" w14:textId="77777777" w:rsidR="00523F18" w:rsidRPr="00205754" w:rsidRDefault="00523F18" w:rsidP="00E7600F">
            <w:pPr>
              <w:rPr>
                <w:rFonts w:cstheme="minorHAnsi"/>
                <w:b/>
                <w:bCs/>
                <w:sz w:val="18"/>
                <w:szCs w:val="18"/>
              </w:rPr>
            </w:pPr>
            <w:proofErr w:type="gramStart"/>
            <w:r w:rsidRPr="00205754">
              <w:rPr>
                <w:rFonts w:cstheme="minorHAnsi"/>
                <w:b/>
                <w:bCs/>
                <w:sz w:val="18"/>
                <w:szCs w:val="18"/>
              </w:rPr>
              <w:t>Socio-economics</w:t>
            </w:r>
            <w:proofErr w:type="gramEnd"/>
          </w:p>
        </w:tc>
        <w:tc>
          <w:tcPr>
            <w:tcW w:w="2835" w:type="dxa"/>
            <w:gridSpan w:val="3"/>
            <w:tcBorders>
              <w:top w:val="single" w:sz="4" w:space="0" w:color="auto"/>
              <w:bottom w:val="single" w:sz="4" w:space="0" w:color="auto"/>
            </w:tcBorders>
          </w:tcPr>
          <w:p w14:paraId="5256F97C" w14:textId="77777777" w:rsidR="00523F18" w:rsidRPr="00205754" w:rsidRDefault="00523F18" w:rsidP="00E7600F">
            <w:pPr>
              <w:rPr>
                <w:rFonts w:cstheme="minorHAnsi"/>
                <w:b/>
                <w:bCs/>
                <w:sz w:val="18"/>
                <w:szCs w:val="18"/>
              </w:rPr>
            </w:pPr>
            <w:r w:rsidRPr="00205754">
              <w:rPr>
                <w:rFonts w:cstheme="minorHAnsi"/>
                <w:b/>
                <w:bCs/>
                <w:sz w:val="18"/>
                <w:szCs w:val="18"/>
              </w:rPr>
              <w:t>Housing</w:t>
            </w:r>
            <w:r>
              <w:rPr>
                <w:rFonts w:cstheme="minorHAnsi"/>
                <w:b/>
                <w:bCs/>
                <w:sz w:val="18"/>
                <w:szCs w:val="18"/>
              </w:rPr>
              <w:t xml:space="preserve"> characteristics</w:t>
            </w:r>
          </w:p>
        </w:tc>
      </w:tr>
      <w:tr w:rsidR="00523F18" w:rsidRPr="00205754" w14:paraId="428B78AD" w14:textId="77777777" w:rsidTr="00E7600F">
        <w:trPr>
          <w:trHeight w:val="590"/>
        </w:trPr>
        <w:tc>
          <w:tcPr>
            <w:tcW w:w="1134" w:type="dxa"/>
            <w:tcBorders>
              <w:left w:val="nil"/>
              <w:bottom w:val="single" w:sz="4" w:space="0" w:color="auto"/>
              <w:right w:val="nil"/>
            </w:tcBorders>
            <w:hideMark/>
          </w:tcPr>
          <w:p w14:paraId="4400A225" w14:textId="77777777" w:rsidR="00523F18" w:rsidRPr="002210B3" w:rsidRDefault="00523F18" w:rsidP="00E7600F">
            <w:pPr>
              <w:rPr>
                <w:rFonts w:eastAsia="Times New Roman" w:cstheme="minorHAnsi"/>
                <w:b/>
                <w:bCs/>
                <w:color w:val="000000"/>
                <w:sz w:val="18"/>
                <w:szCs w:val="18"/>
              </w:rPr>
            </w:pPr>
          </w:p>
        </w:tc>
        <w:tc>
          <w:tcPr>
            <w:tcW w:w="908" w:type="dxa"/>
            <w:tcBorders>
              <w:top w:val="single" w:sz="4" w:space="0" w:color="auto"/>
              <w:left w:val="nil"/>
              <w:bottom w:val="single" w:sz="4" w:space="0" w:color="auto"/>
              <w:right w:val="nil"/>
            </w:tcBorders>
            <w:hideMark/>
          </w:tcPr>
          <w:p w14:paraId="675939E2" w14:textId="77777777" w:rsidR="00523F18" w:rsidRPr="002210B3" w:rsidRDefault="00523F18" w:rsidP="00E7600F">
            <w:pPr>
              <w:rPr>
                <w:rFonts w:eastAsia="Times New Roman" w:cstheme="minorHAnsi"/>
                <w:color w:val="000000"/>
                <w:sz w:val="18"/>
                <w:szCs w:val="18"/>
              </w:rPr>
            </w:pPr>
            <w:r w:rsidRPr="00205754">
              <w:rPr>
                <w:rFonts w:cstheme="minorHAnsi"/>
                <w:sz w:val="18"/>
                <w:szCs w:val="18"/>
              </w:rPr>
              <w:t>States</w:t>
            </w:r>
          </w:p>
        </w:tc>
        <w:tc>
          <w:tcPr>
            <w:tcW w:w="908" w:type="dxa"/>
            <w:tcBorders>
              <w:top w:val="single" w:sz="4" w:space="0" w:color="auto"/>
              <w:left w:val="nil"/>
              <w:bottom w:val="single" w:sz="4" w:space="0" w:color="auto"/>
              <w:right w:val="nil"/>
            </w:tcBorders>
            <w:hideMark/>
          </w:tcPr>
          <w:p w14:paraId="650E8823" w14:textId="77777777" w:rsidR="00523F18" w:rsidRDefault="00523F18" w:rsidP="00E7600F">
            <w:pPr>
              <w:rPr>
                <w:rFonts w:cstheme="minorHAnsi"/>
                <w:sz w:val="18"/>
                <w:szCs w:val="18"/>
              </w:rPr>
            </w:pPr>
            <w:r w:rsidRPr="00205754">
              <w:rPr>
                <w:rFonts w:cstheme="minorHAnsi"/>
                <w:sz w:val="18"/>
                <w:szCs w:val="18"/>
              </w:rPr>
              <w:t>Urban/</w:t>
            </w:r>
          </w:p>
          <w:p w14:paraId="79899C46" w14:textId="77777777" w:rsidR="00523F18" w:rsidRPr="002210B3" w:rsidRDefault="00523F18" w:rsidP="00E7600F">
            <w:pPr>
              <w:rPr>
                <w:rFonts w:eastAsia="Times New Roman" w:cstheme="minorHAnsi"/>
                <w:color w:val="000000"/>
                <w:sz w:val="18"/>
                <w:szCs w:val="18"/>
              </w:rPr>
            </w:pPr>
            <w:r w:rsidRPr="00205754">
              <w:rPr>
                <w:rFonts w:cstheme="minorHAnsi"/>
                <w:sz w:val="18"/>
                <w:szCs w:val="18"/>
              </w:rPr>
              <w:t>Rural</w:t>
            </w:r>
          </w:p>
        </w:tc>
        <w:tc>
          <w:tcPr>
            <w:tcW w:w="908" w:type="dxa"/>
            <w:tcBorders>
              <w:top w:val="single" w:sz="4" w:space="0" w:color="auto"/>
              <w:left w:val="nil"/>
              <w:bottom w:val="single" w:sz="4" w:space="0" w:color="auto"/>
              <w:right w:val="nil"/>
            </w:tcBorders>
            <w:hideMark/>
          </w:tcPr>
          <w:p w14:paraId="2F3D2969" w14:textId="77777777" w:rsidR="00523F18" w:rsidRPr="002210B3" w:rsidRDefault="00523F18" w:rsidP="00E7600F">
            <w:pPr>
              <w:rPr>
                <w:rFonts w:eastAsia="Times New Roman" w:cstheme="minorHAnsi"/>
                <w:color w:val="000000"/>
                <w:sz w:val="18"/>
                <w:szCs w:val="18"/>
              </w:rPr>
            </w:pPr>
            <w:r w:rsidRPr="00205754">
              <w:rPr>
                <w:rFonts w:cstheme="minorHAnsi"/>
                <w:sz w:val="18"/>
                <w:szCs w:val="18"/>
              </w:rPr>
              <w:t>Climatic zones</w:t>
            </w:r>
          </w:p>
        </w:tc>
        <w:tc>
          <w:tcPr>
            <w:tcW w:w="1056" w:type="dxa"/>
            <w:tcBorders>
              <w:top w:val="single" w:sz="4" w:space="0" w:color="auto"/>
              <w:left w:val="nil"/>
              <w:bottom w:val="single" w:sz="4" w:space="0" w:color="auto"/>
              <w:right w:val="nil"/>
            </w:tcBorders>
            <w:hideMark/>
          </w:tcPr>
          <w:p w14:paraId="586A5DE9" w14:textId="77777777" w:rsidR="00523F18" w:rsidRPr="002210B3" w:rsidRDefault="00523F18" w:rsidP="00E7600F">
            <w:pPr>
              <w:rPr>
                <w:rFonts w:eastAsia="Times New Roman" w:cstheme="minorHAnsi"/>
                <w:color w:val="000000"/>
                <w:sz w:val="18"/>
                <w:szCs w:val="18"/>
              </w:rPr>
            </w:pPr>
            <w:r w:rsidRPr="00205754">
              <w:rPr>
                <w:rFonts w:cstheme="minorHAnsi"/>
                <w:sz w:val="18"/>
                <w:szCs w:val="18"/>
              </w:rPr>
              <w:t>Household size</w:t>
            </w:r>
          </w:p>
        </w:tc>
        <w:tc>
          <w:tcPr>
            <w:tcW w:w="898" w:type="dxa"/>
            <w:tcBorders>
              <w:top w:val="single" w:sz="4" w:space="0" w:color="auto"/>
              <w:left w:val="nil"/>
              <w:bottom w:val="single" w:sz="4" w:space="0" w:color="auto"/>
            </w:tcBorders>
          </w:tcPr>
          <w:p w14:paraId="03A19967" w14:textId="77777777" w:rsidR="00523F18" w:rsidRPr="00205754" w:rsidRDefault="00523F18" w:rsidP="00E7600F">
            <w:pPr>
              <w:rPr>
                <w:rFonts w:eastAsia="Times New Roman" w:cstheme="minorHAnsi"/>
                <w:color w:val="000000"/>
                <w:sz w:val="18"/>
                <w:szCs w:val="18"/>
              </w:rPr>
            </w:pPr>
            <w:r w:rsidRPr="00205754">
              <w:rPr>
                <w:rFonts w:cstheme="minorHAnsi"/>
                <w:sz w:val="18"/>
                <w:szCs w:val="18"/>
              </w:rPr>
              <w:t>Income groups</w:t>
            </w:r>
          </w:p>
        </w:tc>
        <w:tc>
          <w:tcPr>
            <w:tcW w:w="919" w:type="dxa"/>
            <w:tcBorders>
              <w:top w:val="single" w:sz="4" w:space="0" w:color="auto"/>
              <w:bottom w:val="single" w:sz="4" w:space="0" w:color="auto"/>
            </w:tcBorders>
          </w:tcPr>
          <w:p w14:paraId="6986AB27" w14:textId="77777777" w:rsidR="00523F18" w:rsidRPr="00205754" w:rsidRDefault="00523F18" w:rsidP="00E7600F">
            <w:pPr>
              <w:rPr>
                <w:rFonts w:eastAsia="Times New Roman" w:cstheme="minorHAnsi"/>
                <w:color w:val="000000"/>
                <w:sz w:val="18"/>
                <w:szCs w:val="18"/>
              </w:rPr>
            </w:pPr>
            <w:r w:rsidRPr="00205754">
              <w:rPr>
                <w:rFonts w:cstheme="minorHAnsi"/>
                <w:sz w:val="18"/>
                <w:szCs w:val="18"/>
              </w:rPr>
              <w:t>Housing types</w:t>
            </w:r>
          </w:p>
        </w:tc>
        <w:tc>
          <w:tcPr>
            <w:tcW w:w="935" w:type="dxa"/>
            <w:tcBorders>
              <w:top w:val="single" w:sz="4" w:space="0" w:color="auto"/>
              <w:bottom w:val="single" w:sz="4" w:space="0" w:color="auto"/>
            </w:tcBorders>
          </w:tcPr>
          <w:p w14:paraId="6E60F3D9" w14:textId="77777777" w:rsidR="00523F18" w:rsidRPr="00205754" w:rsidRDefault="00523F18" w:rsidP="00E7600F">
            <w:pPr>
              <w:rPr>
                <w:rFonts w:eastAsia="Times New Roman" w:cstheme="minorHAnsi"/>
                <w:color w:val="000000"/>
                <w:sz w:val="18"/>
                <w:szCs w:val="18"/>
              </w:rPr>
            </w:pPr>
            <w:r w:rsidRPr="00205754">
              <w:rPr>
                <w:rFonts w:cstheme="minorHAnsi"/>
                <w:sz w:val="18"/>
                <w:szCs w:val="18"/>
              </w:rPr>
              <w:t>Energy efficien</w:t>
            </w:r>
            <w:r>
              <w:rPr>
                <w:rFonts w:cstheme="minorHAnsi"/>
                <w:sz w:val="18"/>
                <w:szCs w:val="18"/>
              </w:rPr>
              <w:t>c</w:t>
            </w:r>
            <w:r w:rsidRPr="00205754">
              <w:rPr>
                <w:rFonts w:cstheme="minorHAnsi"/>
                <w:sz w:val="18"/>
                <w:szCs w:val="18"/>
              </w:rPr>
              <w:t>y cohorts</w:t>
            </w:r>
          </w:p>
        </w:tc>
        <w:tc>
          <w:tcPr>
            <w:tcW w:w="981" w:type="dxa"/>
            <w:tcBorders>
              <w:top w:val="single" w:sz="4" w:space="0" w:color="auto"/>
              <w:bottom w:val="single" w:sz="4" w:space="0" w:color="auto"/>
            </w:tcBorders>
          </w:tcPr>
          <w:p w14:paraId="1877AF44" w14:textId="77777777" w:rsidR="00523F18" w:rsidRPr="00205754" w:rsidRDefault="00523F18" w:rsidP="00E7600F">
            <w:pPr>
              <w:rPr>
                <w:rFonts w:cstheme="minorHAnsi"/>
                <w:sz w:val="18"/>
                <w:szCs w:val="18"/>
              </w:rPr>
            </w:pPr>
            <w:r w:rsidRPr="00205754">
              <w:rPr>
                <w:rFonts w:cstheme="minorHAnsi"/>
                <w:sz w:val="18"/>
                <w:szCs w:val="18"/>
              </w:rPr>
              <w:t>Informal housing</w:t>
            </w:r>
          </w:p>
        </w:tc>
      </w:tr>
      <w:tr w:rsidR="00523F18" w:rsidRPr="00205754" w14:paraId="056F37E8" w14:textId="77777777" w:rsidTr="00E7600F">
        <w:trPr>
          <w:trHeight w:val="590"/>
        </w:trPr>
        <w:tc>
          <w:tcPr>
            <w:tcW w:w="1134" w:type="dxa"/>
            <w:tcBorders>
              <w:top w:val="single" w:sz="4" w:space="0" w:color="auto"/>
              <w:left w:val="nil"/>
              <w:bottom w:val="nil"/>
              <w:right w:val="nil"/>
            </w:tcBorders>
            <w:noWrap/>
            <w:hideMark/>
          </w:tcPr>
          <w:p w14:paraId="7BA16ECB" w14:textId="77777777" w:rsidR="00523F18" w:rsidRPr="002210B3" w:rsidRDefault="00523F18" w:rsidP="00E7600F">
            <w:pPr>
              <w:rPr>
                <w:rFonts w:eastAsia="Times New Roman" w:cstheme="minorHAnsi"/>
                <w:color w:val="000000"/>
                <w:sz w:val="18"/>
                <w:szCs w:val="18"/>
              </w:rPr>
            </w:pPr>
            <w:r w:rsidRPr="002210B3">
              <w:rPr>
                <w:rFonts w:eastAsia="Times New Roman" w:cstheme="minorHAnsi"/>
                <w:color w:val="000000"/>
                <w:sz w:val="18"/>
                <w:szCs w:val="18"/>
              </w:rPr>
              <w:t>HEB</w:t>
            </w:r>
          </w:p>
        </w:tc>
        <w:tc>
          <w:tcPr>
            <w:tcW w:w="908" w:type="dxa"/>
            <w:tcBorders>
              <w:top w:val="single" w:sz="4" w:space="0" w:color="auto"/>
              <w:left w:val="nil"/>
              <w:bottom w:val="nil"/>
              <w:right w:val="nil"/>
            </w:tcBorders>
          </w:tcPr>
          <w:p w14:paraId="7B245BCD" w14:textId="77777777" w:rsidR="00523F18" w:rsidRPr="002210B3" w:rsidRDefault="00523F18" w:rsidP="00E7600F">
            <w:pPr>
              <w:rPr>
                <w:rFonts w:eastAsia="Times New Roman" w:cstheme="minorHAnsi"/>
                <w:color w:val="000000"/>
                <w:sz w:val="18"/>
                <w:szCs w:val="18"/>
              </w:rPr>
            </w:pPr>
          </w:p>
        </w:tc>
        <w:tc>
          <w:tcPr>
            <w:tcW w:w="908" w:type="dxa"/>
            <w:tcBorders>
              <w:top w:val="single" w:sz="4" w:space="0" w:color="auto"/>
              <w:left w:val="nil"/>
              <w:bottom w:val="nil"/>
              <w:right w:val="nil"/>
            </w:tcBorders>
          </w:tcPr>
          <w:p w14:paraId="3CE2C3A1" w14:textId="77777777" w:rsidR="00523F18" w:rsidRPr="002210B3"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908" w:type="dxa"/>
            <w:tcBorders>
              <w:top w:val="single" w:sz="4" w:space="0" w:color="auto"/>
              <w:left w:val="nil"/>
              <w:bottom w:val="nil"/>
              <w:right w:val="nil"/>
            </w:tcBorders>
          </w:tcPr>
          <w:p w14:paraId="6277D094" w14:textId="77777777" w:rsidR="00523F18" w:rsidRPr="002210B3"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1056" w:type="dxa"/>
            <w:tcBorders>
              <w:top w:val="single" w:sz="4" w:space="0" w:color="auto"/>
              <w:left w:val="nil"/>
              <w:bottom w:val="nil"/>
              <w:right w:val="nil"/>
            </w:tcBorders>
          </w:tcPr>
          <w:p w14:paraId="2989967B" w14:textId="77777777" w:rsidR="00523F18" w:rsidRPr="002210B3" w:rsidRDefault="00523F18" w:rsidP="00E7600F">
            <w:pPr>
              <w:rPr>
                <w:rFonts w:eastAsia="Times New Roman" w:cstheme="minorHAnsi"/>
                <w:color w:val="000000"/>
                <w:sz w:val="18"/>
                <w:szCs w:val="18"/>
              </w:rPr>
            </w:pPr>
          </w:p>
        </w:tc>
        <w:tc>
          <w:tcPr>
            <w:tcW w:w="898" w:type="dxa"/>
            <w:tcBorders>
              <w:top w:val="single" w:sz="4" w:space="0" w:color="auto"/>
              <w:left w:val="nil"/>
              <w:bottom w:val="nil"/>
              <w:right w:val="nil"/>
            </w:tcBorders>
          </w:tcPr>
          <w:p w14:paraId="1E5EC8EC" w14:textId="77777777" w:rsidR="00523F18" w:rsidRPr="00205754" w:rsidRDefault="00523F18" w:rsidP="00E7600F">
            <w:pPr>
              <w:rPr>
                <w:rFonts w:eastAsia="Times New Roman" w:cstheme="minorHAnsi"/>
                <w:color w:val="000000"/>
                <w:sz w:val="18"/>
                <w:szCs w:val="18"/>
              </w:rPr>
            </w:pPr>
          </w:p>
        </w:tc>
        <w:tc>
          <w:tcPr>
            <w:tcW w:w="919" w:type="dxa"/>
            <w:tcBorders>
              <w:top w:val="single" w:sz="4" w:space="0" w:color="auto"/>
              <w:left w:val="nil"/>
              <w:bottom w:val="nil"/>
              <w:right w:val="nil"/>
            </w:tcBorders>
          </w:tcPr>
          <w:p w14:paraId="354ED037" w14:textId="77777777" w:rsidR="00523F18" w:rsidRPr="00205754"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935" w:type="dxa"/>
            <w:tcBorders>
              <w:top w:val="single" w:sz="4" w:space="0" w:color="auto"/>
              <w:left w:val="nil"/>
              <w:bottom w:val="nil"/>
              <w:right w:val="nil"/>
            </w:tcBorders>
          </w:tcPr>
          <w:p w14:paraId="2B969696" w14:textId="77777777" w:rsidR="00523F18" w:rsidRPr="00205754"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981" w:type="dxa"/>
            <w:tcBorders>
              <w:top w:val="single" w:sz="4" w:space="0" w:color="auto"/>
              <w:left w:val="nil"/>
              <w:bottom w:val="nil"/>
              <w:right w:val="nil"/>
            </w:tcBorders>
          </w:tcPr>
          <w:p w14:paraId="4B1BD2B5" w14:textId="77777777" w:rsidR="00523F18" w:rsidRPr="00205754"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r>
      <w:tr w:rsidR="00523F18" w:rsidRPr="00205754" w14:paraId="1B650F3A" w14:textId="77777777" w:rsidTr="00E7600F">
        <w:trPr>
          <w:trHeight w:val="690"/>
        </w:trPr>
        <w:tc>
          <w:tcPr>
            <w:tcW w:w="1134" w:type="dxa"/>
            <w:tcBorders>
              <w:top w:val="nil"/>
              <w:left w:val="nil"/>
              <w:bottom w:val="nil"/>
              <w:right w:val="nil"/>
            </w:tcBorders>
            <w:noWrap/>
            <w:hideMark/>
          </w:tcPr>
          <w:p w14:paraId="16C08411" w14:textId="77777777" w:rsidR="00523F18" w:rsidRPr="002210B3" w:rsidRDefault="00523F18" w:rsidP="00E7600F">
            <w:pPr>
              <w:rPr>
                <w:rFonts w:eastAsia="Times New Roman" w:cstheme="minorHAnsi"/>
                <w:color w:val="000000"/>
                <w:sz w:val="18"/>
                <w:szCs w:val="18"/>
              </w:rPr>
            </w:pPr>
            <w:r w:rsidRPr="002210B3">
              <w:rPr>
                <w:rFonts w:eastAsia="Times New Roman" w:cstheme="minorHAnsi"/>
                <w:color w:val="000000"/>
                <w:sz w:val="18"/>
                <w:szCs w:val="18"/>
              </w:rPr>
              <w:t>IMAGE</w:t>
            </w:r>
          </w:p>
        </w:tc>
        <w:tc>
          <w:tcPr>
            <w:tcW w:w="908" w:type="dxa"/>
            <w:tcBorders>
              <w:top w:val="nil"/>
              <w:left w:val="nil"/>
              <w:bottom w:val="nil"/>
              <w:right w:val="nil"/>
            </w:tcBorders>
          </w:tcPr>
          <w:p w14:paraId="72975045" w14:textId="77777777" w:rsidR="00523F18" w:rsidRPr="002210B3" w:rsidRDefault="00523F18" w:rsidP="00E7600F">
            <w:pPr>
              <w:rPr>
                <w:rFonts w:eastAsia="Times New Roman" w:cstheme="minorHAnsi"/>
                <w:color w:val="000000"/>
                <w:sz w:val="18"/>
                <w:szCs w:val="18"/>
              </w:rPr>
            </w:pPr>
          </w:p>
        </w:tc>
        <w:tc>
          <w:tcPr>
            <w:tcW w:w="908" w:type="dxa"/>
            <w:tcBorders>
              <w:top w:val="nil"/>
              <w:left w:val="nil"/>
              <w:bottom w:val="nil"/>
              <w:right w:val="nil"/>
            </w:tcBorders>
          </w:tcPr>
          <w:p w14:paraId="31EF6DF0" w14:textId="77777777" w:rsidR="00523F18" w:rsidRPr="002210B3"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908" w:type="dxa"/>
            <w:tcBorders>
              <w:top w:val="nil"/>
              <w:left w:val="nil"/>
              <w:bottom w:val="nil"/>
              <w:right w:val="nil"/>
            </w:tcBorders>
          </w:tcPr>
          <w:p w14:paraId="4959683A" w14:textId="77777777" w:rsidR="00523F18" w:rsidRPr="002210B3"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1056" w:type="dxa"/>
            <w:tcBorders>
              <w:top w:val="nil"/>
              <w:left w:val="nil"/>
              <w:bottom w:val="nil"/>
              <w:right w:val="nil"/>
            </w:tcBorders>
          </w:tcPr>
          <w:p w14:paraId="06006353" w14:textId="77777777" w:rsidR="00523F18" w:rsidRPr="002210B3"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898" w:type="dxa"/>
            <w:tcBorders>
              <w:top w:val="nil"/>
              <w:left w:val="nil"/>
              <w:bottom w:val="nil"/>
              <w:right w:val="nil"/>
            </w:tcBorders>
          </w:tcPr>
          <w:p w14:paraId="57EF09FE" w14:textId="77777777" w:rsidR="00523F18" w:rsidRPr="00205754"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919" w:type="dxa"/>
            <w:tcBorders>
              <w:top w:val="nil"/>
              <w:left w:val="nil"/>
              <w:bottom w:val="nil"/>
              <w:right w:val="nil"/>
            </w:tcBorders>
          </w:tcPr>
          <w:p w14:paraId="085F40E0" w14:textId="77777777" w:rsidR="00523F18" w:rsidRPr="00205754"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935" w:type="dxa"/>
            <w:tcBorders>
              <w:top w:val="nil"/>
              <w:left w:val="nil"/>
              <w:bottom w:val="nil"/>
              <w:right w:val="nil"/>
            </w:tcBorders>
          </w:tcPr>
          <w:p w14:paraId="49487E8E" w14:textId="77777777" w:rsidR="00523F18" w:rsidRPr="00205754"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981" w:type="dxa"/>
            <w:tcBorders>
              <w:top w:val="nil"/>
              <w:left w:val="nil"/>
              <w:bottom w:val="nil"/>
              <w:right w:val="nil"/>
            </w:tcBorders>
          </w:tcPr>
          <w:p w14:paraId="7D2BFBBA" w14:textId="77777777" w:rsidR="00523F18" w:rsidRPr="00205754" w:rsidRDefault="00523F18" w:rsidP="00E7600F">
            <w:pPr>
              <w:rPr>
                <w:rFonts w:eastAsia="Times New Roman" w:cstheme="minorHAnsi"/>
                <w:color w:val="000000"/>
                <w:sz w:val="18"/>
                <w:szCs w:val="18"/>
              </w:rPr>
            </w:pPr>
          </w:p>
        </w:tc>
      </w:tr>
      <w:tr w:rsidR="00523F18" w:rsidRPr="00205754" w14:paraId="668FB75D" w14:textId="77777777" w:rsidTr="00E7600F">
        <w:trPr>
          <w:trHeight w:val="590"/>
        </w:trPr>
        <w:tc>
          <w:tcPr>
            <w:tcW w:w="1134" w:type="dxa"/>
            <w:tcBorders>
              <w:top w:val="nil"/>
              <w:left w:val="nil"/>
              <w:bottom w:val="nil"/>
              <w:right w:val="nil"/>
            </w:tcBorders>
            <w:noWrap/>
            <w:hideMark/>
          </w:tcPr>
          <w:p w14:paraId="0F05D2E7" w14:textId="77777777" w:rsidR="00523F18" w:rsidRPr="002210B3" w:rsidRDefault="00523F18" w:rsidP="00E7600F">
            <w:pPr>
              <w:rPr>
                <w:rFonts w:eastAsia="Times New Roman" w:cstheme="minorHAnsi"/>
                <w:color w:val="000000"/>
                <w:sz w:val="18"/>
                <w:szCs w:val="18"/>
              </w:rPr>
            </w:pPr>
            <w:proofErr w:type="spellStart"/>
            <w:r w:rsidRPr="002210B3">
              <w:rPr>
                <w:rFonts w:eastAsia="Times New Roman" w:cstheme="minorHAnsi"/>
                <w:color w:val="000000"/>
                <w:sz w:val="18"/>
                <w:szCs w:val="18"/>
              </w:rPr>
              <w:t>MESSAGEix</w:t>
            </w:r>
            <w:proofErr w:type="spellEnd"/>
            <w:r w:rsidRPr="002210B3">
              <w:rPr>
                <w:rFonts w:eastAsia="Times New Roman" w:cstheme="minorHAnsi"/>
                <w:color w:val="000000"/>
                <w:sz w:val="18"/>
                <w:szCs w:val="18"/>
              </w:rPr>
              <w:t xml:space="preserve">-Buildings </w:t>
            </w:r>
          </w:p>
        </w:tc>
        <w:tc>
          <w:tcPr>
            <w:tcW w:w="908" w:type="dxa"/>
            <w:tcBorders>
              <w:top w:val="nil"/>
              <w:left w:val="nil"/>
              <w:bottom w:val="nil"/>
              <w:right w:val="nil"/>
            </w:tcBorders>
          </w:tcPr>
          <w:p w14:paraId="6D78AF8C" w14:textId="77777777" w:rsidR="00523F18" w:rsidRPr="002210B3" w:rsidRDefault="00523F18" w:rsidP="00E7600F">
            <w:pPr>
              <w:rPr>
                <w:rFonts w:eastAsia="Times New Roman" w:cstheme="minorHAnsi"/>
                <w:color w:val="000000"/>
                <w:sz w:val="18"/>
                <w:szCs w:val="18"/>
              </w:rPr>
            </w:pPr>
          </w:p>
        </w:tc>
        <w:tc>
          <w:tcPr>
            <w:tcW w:w="908" w:type="dxa"/>
            <w:tcBorders>
              <w:top w:val="nil"/>
              <w:left w:val="nil"/>
              <w:bottom w:val="nil"/>
              <w:right w:val="nil"/>
            </w:tcBorders>
          </w:tcPr>
          <w:p w14:paraId="49F38093" w14:textId="77777777" w:rsidR="00523F18" w:rsidRPr="002210B3"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908" w:type="dxa"/>
            <w:tcBorders>
              <w:top w:val="nil"/>
              <w:left w:val="nil"/>
              <w:bottom w:val="nil"/>
              <w:right w:val="nil"/>
            </w:tcBorders>
          </w:tcPr>
          <w:p w14:paraId="1D9864D7" w14:textId="77777777" w:rsidR="00523F18" w:rsidRPr="002210B3"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1056" w:type="dxa"/>
            <w:tcBorders>
              <w:top w:val="nil"/>
              <w:left w:val="nil"/>
              <w:bottom w:val="nil"/>
              <w:right w:val="nil"/>
            </w:tcBorders>
          </w:tcPr>
          <w:p w14:paraId="7A6152FC" w14:textId="77777777" w:rsidR="00523F18" w:rsidRPr="002210B3" w:rsidRDefault="00523F18" w:rsidP="00E7600F">
            <w:pPr>
              <w:rPr>
                <w:rFonts w:eastAsia="Times New Roman" w:cstheme="minorHAnsi"/>
                <w:color w:val="000000"/>
                <w:sz w:val="18"/>
                <w:szCs w:val="18"/>
              </w:rPr>
            </w:pPr>
          </w:p>
        </w:tc>
        <w:tc>
          <w:tcPr>
            <w:tcW w:w="898" w:type="dxa"/>
            <w:tcBorders>
              <w:top w:val="nil"/>
              <w:left w:val="nil"/>
              <w:bottom w:val="nil"/>
              <w:right w:val="nil"/>
            </w:tcBorders>
          </w:tcPr>
          <w:p w14:paraId="02B9874F" w14:textId="77777777" w:rsidR="00523F18" w:rsidRPr="00205754"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919" w:type="dxa"/>
            <w:tcBorders>
              <w:top w:val="nil"/>
              <w:left w:val="nil"/>
              <w:bottom w:val="nil"/>
              <w:right w:val="nil"/>
            </w:tcBorders>
          </w:tcPr>
          <w:p w14:paraId="22889B9F" w14:textId="77777777" w:rsidR="00523F18" w:rsidRPr="00205754"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935" w:type="dxa"/>
            <w:tcBorders>
              <w:top w:val="nil"/>
              <w:left w:val="nil"/>
              <w:bottom w:val="nil"/>
              <w:right w:val="nil"/>
            </w:tcBorders>
          </w:tcPr>
          <w:p w14:paraId="6DC6E5E6" w14:textId="77777777" w:rsidR="00523F18" w:rsidRPr="00205754"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981" w:type="dxa"/>
            <w:tcBorders>
              <w:top w:val="nil"/>
              <w:left w:val="nil"/>
              <w:bottom w:val="nil"/>
              <w:right w:val="nil"/>
            </w:tcBorders>
          </w:tcPr>
          <w:p w14:paraId="026E8FCF" w14:textId="77777777" w:rsidR="00523F18" w:rsidRPr="00205754"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r>
      <w:tr w:rsidR="00523F18" w:rsidRPr="00205754" w14:paraId="3547FA61" w14:textId="77777777" w:rsidTr="00E7600F">
        <w:trPr>
          <w:trHeight w:val="590"/>
        </w:trPr>
        <w:tc>
          <w:tcPr>
            <w:tcW w:w="1134" w:type="dxa"/>
            <w:tcBorders>
              <w:top w:val="nil"/>
              <w:left w:val="nil"/>
              <w:bottom w:val="nil"/>
              <w:right w:val="nil"/>
            </w:tcBorders>
            <w:noWrap/>
            <w:hideMark/>
          </w:tcPr>
          <w:p w14:paraId="327A4959" w14:textId="77777777" w:rsidR="00523F18" w:rsidRPr="002210B3" w:rsidRDefault="00523F18" w:rsidP="00E7600F">
            <w:pPr>
              <w:rPr>
                <w:rFonts w:eastAsia="Times New Roman" w:cstheme="minorHAnsi"/>
                <w:color w:val="000000"/>
                <w:sz w:val="18"/>
                <w:szCs w:val="18"/>
              </w:rPr>
            </w:pPr>
            <w:r w:rsidRPr="002210B3">
              <w:rPr>
                <w:rFonts w:eastAsia="Times New Roman" w:cstheme="minorHAnsi"/>
                <w:color w:val="000000"/>
                <w:sz w:val="18"/>
                <w:szCs w:val="18"/>
              </w:rPr>
              <w:t>PIER</w:t>
            </w:r>
          </w:p>
        </w:tc>
        <w:tc>
          <w:tcPr>
            <w:tcW w:w="908" w:type="dxa"/>
            <w:tcBorders>
              <w:top w:val="nil"/>
              <w:left w:val="nil"/>
              <w:bottom w:val="nil"/>
              <w:right w:val="nil"/>
            </w:tcBorders>
          </w:tcPr>
          <w:p w14:paraId="185CAEA8" w14:textId="77777777" w:rsidR="00523F18" w:rsidRPr="002210B3"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908" w:type="dxa"/>
            <w:tcBorders>
              <w:top w:val="nil"/>
              <w:left w:val="nil"/>
              <w:bottom w:val="nil"/>
              <w:right w:val="nil"/>
            </w:tcBorders>
          </w:tcPr>
          <w:p w14:paraId="36A515E9" w14:textId="77777777" w:rsidR="00523F18" w:rsidRPr="002210B3"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908" w:type="dxa"/>
            <w:tcBorders>
              <w:top w:val="nil"/>
              <w:left w:val="nil"/>
              <w:bottom w:val="nil"/>
              <w:right w:val="nil"/>
            </w:tcBorders>
          </w:tcPr>
          <w:p w14:paraId="76464BEE" w14:textId="77777777" w:rsidR="00523F18" w:rsidRPr="002210B3"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1056" w:type="dxa"/>
            <w:tcBorders>
              <w:top w:val="nil"/>
              <w:left w:val="nil"/>
              <w:bottom w:val="nil"/>
              <w:right w:val="nil"/>
            </w:tcBorders>
          </w:tcPr>
          <w:p w14:paraId="01DBE3D3" w14:textId="77777777" w:rsidR="00523F18" w:rsidRPr="002210B3" w:rsidRDefault="00523F18" w:rsidP="00E7600F">
            <w:pPr>
              <w:rPr>
                <w:rFonts w:eastAsia="Times New Roman" w:cstheme="minorHAnsi"/>
                <w:color w:val="000000"/>
                <w:sz w:val="18"/>
                <w:szCs w:val="18"/>
              </w:rPr>
            </w:pPr>
            <w:r w:rsidRPr="00205754">
              <w:rPr>
                <w:rFonts w:eastAsia="Times New Roman" w:cstheme="minorHAnsi"/>
                <w:color w:val="000000"/>
                <w:sz w:val="18"/>
                <w:szCs w:val="18"/>
              </w:rPr>
              <w:t>X</w:t>
            </w:r>
          </w:p>
        </w:tc>
        <w:tc>
          <w:tcPr>
            <w:tcW w:w="898" w:type="dxa"/>
            <w:tcBorders>
              <w:top w:val="nil"/>
              <w:left w:val="nil"/>
              <w:bottom w:val="nil"/>
              <w:right w:val="nil"/>
            </w:tcBorders>
          </w:tcPr>
          <w:p w14:paraId="6BBFBA97" w14:textId="77777777" w:rsidR="00523F18" w:rsidRPr="00205754" w:rsidRDefault="00523F18" w:rsidP="00E7600F">
            <w:pPr>
              <w:rPr>
                <w:rFonts w:eastAsia="Times New Roman" w:cstheme="minorHAnsi"/>
                <w:color w:val="000000"/>
                <w:sz w:val="18"/>
                <w:szCs w:val="18"/>
              </w:rPr>
            </w:pPr>
          </w:p>
        </w:tc>
        <w:tc>
          <w:tcPr>
            <w:tcW w:w="919" w:type="dxa"/>
            <w:tcBorders>
              <w:top w:val="nil"/>
              <w:left w:val="nil"/>
              <w:bottom w:val="nil"/>
              <w:right w:val="nil"/>
            </w:tcBorders>
          </w:tcPr>
          <w:p w14:paraId="356621C1" w14:textId="77777777" w:rsidR="00523F18" w:rsidRPr="00205754" w:rsidRDefault="00523F18" w:rsidP="00E7600F">
            <w:pPr>
              <w:rPr>
                <w:rFonts w:eastAsia="Times New Roman" w:cstheme="minorHAnsi"/>
                <w:color w:val="000000"/>
                <w:sz w:val="18"/>
                <w:szCs w:val="18"/>
              </w:rPr>
            </w:pPr>
          </w:p>
        </w:tc>
        <w:tc>
          <w:tcPr>
            <w:tcW w:w="935" w:type="dxa"/>
            <w:tcBorders>
              <w:top w:val="nil"/>
              <w:left w:val="nil"/>
              <w:bottom w:val="nil"/>
              <w:right w:val="nil"/>
            </w:tcBorders>
          </w:tcPr>
          <w:p w14:paraId="2A29AD13" w14:textId="77777777" w:rsidR="00523F18" w:rsidRPr="00205754" w:rsidRDefault="00523F18" w:rsidP="00E7600F">
            <w:pPr>
              <w:rPr>
                <w:rFonts w:eastAsia="Times New Roman" w:cstheme="minorHAnsi"/>
                <w:color w:val="000000"/>
                <w:sz w:val="18"/>
                <w:szCs w:val="18"/>
              </w:rPr>
            </w:pPr>
          </w:p>
        </w:tc>
        <w:tc>
          <w:tcPr>
            <w:tcW w:w="981" w:type="dxa"/>
            <w:tcBorders>
              <w:top w:val="nil"/>
              <w:left w:val="nil"/>
              <w:bottom w:val="nil"/>
              <w:right w:val="nil"/>
            </w:tcBorders>
          </w:tcPr>
          <w:p w14:paraId="1BE18214" w14:textId="77777777" w:rsidR="00523F18" w:rsidRPr="00205754" w:rsidRDefault="00523F18" w:rsidP="00E7600F">
            <w:pPr>
              <w:rPr>
                <w:rFonts w:eastAsia="Times New Roman" w:cstheme="minorHAnsi"/>
                <w:color w:val="000000"/>
                <w:sz w:val="18"/>
                <w:szCs w:val="18"/>
              </w:rPr>
            </w:pPr>
          </w:p>
        </w:tc>
      </w:tr>
      <w:tr w:rsidR="00523F18" w:rsidRPr="00205754" w14:paraId="10CF422A" w14:textId="77777777" w:rsidTr="00E7600F">
        <w:trPr>
          <w:trHeight w:val="384"/>
        </w:trPr>
        <w:tc>
          <w:tcPr>
            <w:tcW w:w="1134" w:type="dxa"/>
            <w:tcBorders>
              <w:top w:val="nil"/>
              <w:left w:val="nil"/>
              <w:bottom w:val="single" w:sz="4" w:space="0" w:color="auto"/>
              <w:right w:val="nil"/>
            </w:tcBorders>
            <w:noWrap/>
            <w:hideMark/>
          </w:tcPr>
          <w:p w14:paraId="255D2F29" w14:textId="77777777" w:rsidR="00523F18" w:rsidRPr="002210B3" w:rsidRDefault="00523F18" w:rsidP="00E7600F">
            <w:pPr>
              <w:rPr>
                <w:rFonts w:ascii="Calibri" w:eastAsia="Times New Roman" w:hAnsi="Calibri" w:cs="Calibri"/>
                <w:color w:val="000000"/>
                <w:sz w:val="18"/>
                <w:szCs w:val="18"/>
              </w:rPr>
            </w:pPr>
            <w:r w:rsidRPr="002210B3">
              <w:rPr>
                <w:rFonts w:ascii="Calibri" w:eastAsia="Times New Roman" w:hAnsi="Calibri" w:cs="Calibri"/>
                <w:color w:val="000000"/>
                <w:sz w:val="18"/>
                <w:szCs w:val="18"/>
              </w:rPr>
              <w:t>SAFARI</w:t>
            </w:r>
          </w:p>
        </w:tc>
        <w:tc>
          <w:tcPr>
            <w:tcW w:w="908" w:type="dxa"/>
            <w:tcBorders>
              <w:top w:val="nil"/>
              <w:left w:val="nil"/>
              <w:bottom w:val="single" w:sz="4" w:space="0" w:color="auto"/>
              <w:right w:val="nil"/>
            </w:tcBorders>
          </w:tcPr>
          <w:p w14:paraId="02E6FC29" w14:textId="77777777" w:rsidR="00523F18" w:rsidRPr="002210B3" w:rsidRDefault="00523F18" w:rsidP="00E7600F">
            <w:pPr>
              <w:rPr>
                <w:rFonts w:ascii="Calibri" w:eastAsia="Times New Roman" w:hAnsi="Calibri" w:cs="Calibri"/>
                <w:color w:val="000000"/>
                <w:sz w:val="18"/>
                <w:szCs w:val="18"/>
              </w:rPr>
            </w:pPr>
          </w:p>
        </w:tc>
        <w:tc>
          <w:tcPr>
            <w:tcW w:w="908" w:type="dxa"/>
            <w:tcBorders>
              <w:top w:val="nil"/>
              <w:left w:val="nil"/>
              <w:bottom w:val="single" w:sz="4" w:space="0" w:color="auto"/>
              <w:right w:val="nil"/>
            </w:tcBorders>
          </w:tcPr>
          <w:p w14:paraId="72645036" w14:textId="77777777" w:rsidR="00523F18" w:rsidRPr="002210B3" w:rsidRDefault="00523F18" w:rsidP="00E7600F">
            <w:pPr>
              <w:rPr>
                <w:rFonts w:ascii="Calibri" w:eastAsia="Times New Roman" w:hAnsi="Calibri" w:cs="Calibri"/>
                <w:color w:val="000000"/>
                <w:sz w:val="18"/>
                <w:szCs w:val="18"/>
              </w:rPr>
            </w:pPr>
            <w:r w:rsidRPr="004E3C78">
              <w:rPr>
                <w:rFonts w:ascii="Calibri" w:eastAsia="Times New Roman" w:hAnsi="Calibri" w:cs="Calibri"/>
                <w:color w:val="000000"/>
                <w:sz w:val="18"/>
                <w:szCs w:val="18"/>
              </w:rPr>
              <w:t>X</w:t>
            </w:r>
          </w:p>
        </w:tc>
        <w:tc>
          <w:tcPr>
            <w:tcW w:w="908" w:type="dxa"/>
            <w:tcBorders>
              <w:top w:val="nil"/>
              <w:left w:val="nil"/>
              <w:bottom w:val="single" w:sz="4" w:space="0" w:color="auto"/>
              <w:right w:val="nil"/>
            </w:tcBorders>
          </w:tcPr>
          <w:p w14:paraId="0D6624FA" w14:textId="77777777" w:rsidR="00523F18" w:rsidRPr="002210B3" w:rsidRDefault="00523F18" w:rsidP="00E7600F">
            <w:pPr>
              <w:rPr>
                <w:rFonts w:ascii="Calibri" w:eastAsia="Times New Roman" w:hAnsi="Calibri" w:cs="Calibri"/>
                <w:color w:val="000000"/>
                <w:sz w:val="18"/>
                <w:szCs w:val="18"/>
              </w:rPr>
            </w:pPr>
          </w:p>
        </w:tc>
        <w:tc>
          <w:tcPr>
            <w:tcW w:w="1056" w:type="dxa"/>
            <w:tcBorders>
              <w:top w:val="nil"/>
              <w:left w:val="nil"/>
              <w:bottom w:val="single" w:sz="4" w:space="0" w:color="auto"/>
              <w:right w:val="nil"/>
            </w:tcBorders>
          </w:tcPr>
          <w:p w14:paraId="22A550E1" w14:textId="77777777" w:rsidR="00523F18" w:rsidRPr="002210B3" w:rsidRDefault="00523F18" w:rsidP="00E7600F">
            <w:pPr>
              <w:rPr>
                <w:rFonts w:ascii="Calibri" w:eastAsia="Times New Roman" w:hAnsi="Calibri" w:cs="Calibri"/>
                <w:color w:val="000000"/>
                <w:sz w:val="18"/>
                <w:szCs w:val="18"/>
              </w:rPr>
            </w:pPr>
            <w:r w:rsidRPr="004E3C78">
              <w:rPr>
                <w:rFonts w:ascii="Calibri" w:eastAsia="Times New Roman" w:hAnsi="Calibri" w:cs="Calibri"/>
                <w:color w:val="000000"/>
                <w:sz w:val="18"/>
                <w:szCs w:val="18"/>
              </w:rPr>
              <w:t>X</w:t>
            </w:r>
          </w:p>
        </w:tc>
        <w:tc>
          <w:tcPr>
            <w:tcW w:w="898" w:type="dxa"/>
            <w:tcBorders>
              <w:top w:val="nil"/>
              <w:left w:val="nil"/>
              <w:bottom w:val="single" w:sz="4" w:space="0" w:color="auto"/>
              <w:right w:val="nil"/>
            </w:tcBorders>
          </w:tcPr>
          <w:p w14:paraId="3B1C9B36" w14:textId="77777777" w:rsidR="00523F18" w:rsidRPr="004E3C78" w:rsidRDefault="00523F18" w:rsidP="00E7600F">
            <w:pPr>
              <w:rPr>
                <w:rFonts w:ascii="Calibri" w:eastAsia="Times New Roman" w:hAnsi="Calibri" w:cs="Calibri"/>
                <w:color w:val="000000"/>
                <w:sz w:val="18"/>
                <w:szCs w:val="18"/>
              </w:rPr>
            </w:pPr>
            <w:r w:rsidRPr="004E3C78">
              <w:rPr>
                <w:rFonts w:ascii="Calibri" w:eastAsia="Times New Roman" w:hAnsi="Calibri" w:cs="Calibri"/>
                <w:color w:val="000000"/>
                <w:sz w:val="18"/>
                <w:szCs w:val="18"/>
              </w:rPr>
              <w:t>X</w:t>
            </w:r>
          </w:p>
        </w:tc>
        <w:tc>
          <w:tcPr>
            <w:tcW w:w="919" w:type="dxa"/>
            <w:tcBorders>
              <w:top w:val="nil"/>
              <w:left w:val="nil"/>
              <w:bottom w:val="single" w:sz="4" w:space="0" w:color="auto"/>
              <w:right w:val="nil"/>
            </w:tcBorders>
          </w:tcPr>
          <w:p w14:paraId="537B276E" w14:textId="77777777" w:rsidR="00523F18" w:rsidRPr="004E3C78" w:rsidRDefault="00523F18" w:rsidP="00E7600F">
            <w:pPr>
              <w:rPr>
                <w:rFonts w:ascii="Calibri" w:eastAsia="Times New Roman" w:hAnsi="Calibri" w:cs="Calibri"/>
                <w:color w:val="000000"/>
                <w:sz w:val="18"/>
                <w:szCs w:val="18"/>
              </w:rPr>
            </w:pPr>
            <w:r w:rsidRPr="004E3C78">
              <w:rPr>
                <w:rFonts w:ascii="Calibri" w:eastAsia="Times New Roman" w:hAnsi="Calibri" w:cs="Calibri"/>
                <w:color w:val="000000"/>
                <w:sz w:val="18"/>
                <w:szCs w:val="18"/>
              </w:rPr>
              <w:t>X</w:t>
            </w:r>
          </w:p>
        </w:tc>
        <w:tc>
          <w:tcPr>
            <w:tcW w:w="935" w:type="dxa"/>
            <w:tcBorders>
              <w:top w:val="nil"/>
              <w:left w:val="nil"/>
              <w:bottom w:val="single" w:sz="4" w:space="0" w:color="auto"/>
              <w:right w:val="nil"/>
            </w:tcBorders>
          </w:tcPr>
          <w:p w14:paraId="36A4855F" w14:textId="77777777" w:rsidR="00523F18" w:rsidRPr="004E3C78" w:rsidRDefault="00523F18" w:rsidP="00E7600F">
            <w:pPr>
              <w:rPr>
                <w:rFonts w:ascii="Calibri" w:eastAsia="Times New Roman" w:hAnsi="Calibri" w:cs="Calibri"/>
                <w:color w:val="000000"/>
                <w:sz w:val="18"/>
                <w:szCs w:val="18"/>
              </w:rPr>
            </w:pPr>
            <w:r w:rsidRPr="004E3C78">
              <w:rPr>
                <w:rFonts w:ascii="Calibri" w:eastAsia="Times New Roman" w:hAnsi="Calibri" w:cs="Calibri"/>
                <w:color w:val="000000"/>
                <w:sz w:val="18"/>
                <w:szCs w:val="18"/>
              </w:rPr>
              <w:t>X</w:t>
            </w:r>
          </w:p>
        </w:tc>
        <w:tc>
          <w:tcPr>
            <w:tcW w:w="981" w:type="dxa"/>
            <w:tcBorders>
              <w:top w:val="nil"/>
              <w:left w:val="nil"/>
              <w:bottom w:val="single" w:sz="4" w:space="0" w:color="auto"/>
              <w:right w:val="nil"/>
            </w:tcBorders>
          </w:tcPr>
          <w:p w14:paraId="609D6241" w14:textId="77777777" w:rsidR="00523F18" w:rsidRPr="004E3C78" w:rsidRDefault="00523F18" w:rsidP="00E7600F">
            <w:pPr>
              <w:rPr>
                <w:rFonts w:ascii="Calibri" w:eastAsia="Times New Roman" w:hAnsi="Calibri" w:cs="Calibri"/>
                <w:color w:val="000000"/>
                <w:sz w:val="18"/>
                <w:szCs w:val="18"/>
              </w:rPr>
            </w:pPr>
            <w:r w:rsidRPr="004E3C78">
              <w:rPr>
                <w:rFonts w:ascii="Calibri" w:eastAsia="Times New Roman" w:hAnsi="Calibri" w:cs="Calibri"/>
                <w:color w:val="000000"/>
                <w:sz w:val="18"/>
                <w:szCs w:val="18"/>
              </w:rPr>
              <w:t>X</w:t>
            </w:r>
          </w:p>
        </w:tc>
      </w:tr>
    </w:tbl>
    <w:p w14:paraId="7A2A03F8" w14:textId="77777777" w:rsidR="00523F18" w:rsidRDefault="00523F18" w:rsidP="00523F18">
      <w:pPr>
        <w:rPr>
          <w:i/>
          <w:iCs/>
          <w:color w:val="44546A" w:themeColor="text2"/>
          <w:sz w:val="18"/>
          <w:szCs w:val="18"/>
        </w:rPr>
      </w:pPr>
      <w:bookmarkStart w:id="3" w:name="_Ref158647818"/>
    </w:p>
    <w:p w14:paraId="46018F33" w14:textId="77777777" w:rsidR="007110D7" w:rsidRDefault="007110D7" w:rsidP="00523F18">
      <w:pPr>
        <w:pStyle w:val="Caption"/>
        <w:keepNext/>
      </w:pPr>
    </w:p>
    <w:p w14:paraId="38E74292" w14:textId="65156738" w:rsidR="00523F18" w:rsidRDefault="00523F18" w:rsidP="00523F18">
      <w:pPr>
        <w:pStyle w:val="Caption"/>
        <w:keepNext/>
      </w:pPr>
      <w:r>
        <w:t xml:space="preserve">Supplementary Table </w:t>
      </w:r>
      <w:bookmarkEnd w:id="3"/>
      <w:r w:rsidR="00525765">
        <w:t>3</w:t>
      </w:r>
      <w:r>
        <w:t xml:space="preserve"> Model representation of aspects related to Decent Living Standard (DLS) provision: model dynamics (EN = endogenous, EX = exogenous) and relevant model parameters and units defining service levels.</w:t>
      </w:r>
    </w:p>
    <w:tbl>
      <w:tblPr>
        <w:tblW w:w="8761" w:type="dxa"/>
        <w:tblLook w:val="04A0" w:firstRow="1" w:lastRow="0" w:firstColumn="1" w:lastColumn="0" w:noHBand="0" w:noVBand="1"/>
      </w:tblPr>
      <w:tblGrid>
        <w:gridCol w:w="1276"/>
        <w:gridCol w:w="1474"/>
        <w:gridCol w:w="1474"/>
        <w:gridCol w:w="1588"/>
        <w:gridCol w:w="1474"/>
        <w:gridCol w:w="1475"/>
      </w:tblGrid>
      <w:tr w:rsidR="006D3D40" w:rsidRPr="00F90AF7" w14:paraId="5DE203FF" w14:textId="77777777" w:rsidTr="006D3D40">
        <w:trPr>
          <w:trHeight w:val="590"/>
        </w:trPr>
        <w:tc>
          <w:tcPr>
            <w:tcW w:w="1276" w:type="dxa"/>
            <w:tcBorders>
              <w:top w:val="single" w:sz="4" w:space="0" w:color="auto"/>
              <w:left w:val="nil"/>
              <w:bottom w:val="single" w:sz="4" w:space="0" w:color="auto"/>
              <w:right w:val="nil"/>
            </w:tcBorders>
            <w:hideMark/>
          </w:tcPr>
          <w:p w14:paraId="1AF1B016" w14:textId="77777777" w:rsidR="006D3D40" w:rsidRPr="002210B3" w:rsidRDefault="006D3D40" w:rsidP="00E7600F">
            <w:pPr>
              <w:rPr>
                <w:rFonts w:ascii="Calibri" w:eastAsia="Times New Roman" w:hAnsi="Calibri" w:cs="Calibri"/>
                <w:b/>
                <w:bCs/>
                <w:color w:val="000000"/>
                <w:sz w:val="18"/>
                <w:szCs w:val="18"/>
              </w:rPr>
            </w:pPr>
            <w:r w:rsidRPr="002210B3">
              <w:rPr>
                <w:rFonts w:ascii="Calibri" w:eastAsia="Times New Roman" w:hAnsi="Calibri" w:cs="Calibri"/>
                <w:b/>
                <w:bCs/>
                <w:color w:val="000000"/>
                <w:sz w:val="18"/>
                <w:szCs w:val="18"/>
              </w:rPr>
              <w:t>Model</w:t>
            </w:r>
          </w:p>
        </w:tc>
        <w:tc>
          <w:tcPr>
            <w:tcW w:w="1474" w:type="dxa"/>
            <w:tcBorders>
              <w:top w:val="single" w:sz="4" w:space="0" w:color="auto"/>
              <w:left w:val="nil"/>
              <w:bottom w:val="single" w:sz="4" w:space="0" w:color="auto"/>
              <w:right w:val="nil"/>
            </w:tcBorders>
            <w:hideMark/>
          </w:tcPr>
          <w:p w14:paraId="44FCF5B0" w14:textId="77777777" w:rsidR="006D3D40" w:rsidRPr="002210B3" w:rsidRDefault="006D3D40" w:rsidP="00E7600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Durable housing</w:t>
            </w:r>
          </w:p>
        </w:tc>
        <w:tc>
          <w:tcPr>
            <w:tcW w:w="1474" w:type="dxa"/>
            <w:tcBorders>
              <w:top w:val="single" w:sz="4" w:space="0" w:color="auto"/>
              <w:left w:val="nil"/>
              <w:bottom w:val="single" w:sz="4" w:space="0" w:color="auto"/>
              <w:right w:val="nil"/>
            </w:tcBorders>
            <w:hideMark/>
          </w:tcPr>
          <w:p w14:paraId="376A3588" w14:textId="77777777" w:rsidR="006D3D40" w:rsidRPr="002210B3" w:rsidRDefault="006D3D40" w:rsidP="00E7600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Sufficient housing size</w:t>
            </w:r>
          </w:p>
        </w:tc>
        <w:tc>
          <w:tcPr>
            <w:tcW w:w="1588" w:type="dxa"/>
            <w:tcBorders>
              <w:top w:val="single" w:sz="4" w:space="0" w:color="auto"/>
              <w:left w:val="nil"/>
              <w:bottom w:val="single" w:sz="4" w:space="0" w:color="auto"/>
              <w:right w:val="nil"/>
            </w:tcBorders>
            <w:hideMark/>
          </w:tcPr>
          <w:p w14:paraId="5BD9A9C6" w14:textId="77777777" w:rsidR="006D3D40" w:rsidRPr="002210B3" w:rsidRDefault="006D3D40" w:rsidP="00E7600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Thermal comfort – cooling</w:t>
            </w:r>
          </w:p>
        </w:tc>
        <w:tc>
          <w:tcPr>
            <w:tcW w:w="1474" w:type="dxa"/>
            <w:tcBorders>
              <w:top w:val="single" w:sz="4" w:space="0" w:color="auto"/>
              <w:left w:val="nil"/>
              <w:bottom w:val="single" w:sz="4" w:space="0" w:color="auto"/>
              <w:right w:val="nil"/>
            </w:tcBorders>
          </w:tcPr>
          <w:p w14:paraId="4852EB4B" w14:textId="77777777" w:rsidR="006D3D40" w:rsidRDefault="006D3D40" w:rsidP="00E7600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Clean cooking</w:t>
            </w:r>
          </w:p>
        </w:tc>
        <w:tc>
          <w:tcPr>
            <w:tcW w:w="1475" w:type="dxa"/>
            <w:tcBorders>
              <w:top w:val="single" w:sz="4" w:space="0" w:color="auto"/>
              <w:left w:val="nil"/>
              <w:bottom w:val="single" w:sz="4" w:space="0" w:color="auto"/>
              <w:right w:val="nil"/>
            </w:tcBorders>
          </w:tcPr>
          <w:p w14:paraId="301983CC" w14:textId="77777777" w:rsidR="006D3D40" w:rsidRDefault="006D3D40" w:rsidP="00E7600F">
            <w:pPr>
              <w:rPr>
                <w:rFonts w:ascii="Calibri" w:eastAsia="Times New Roman" w:hAnsi="Calibri" w:cs="Calibri"/>
                <w:b/>
                <w:bCs/>
                <w:color w:val="000000"/>
                <w:sz w:val="18"/>
                <w:szCs w:val="18"/>
              </w:rPr>
            </w:pPr>
            <w:r>
              <w:rPr>
                <w:rFonts w:ascii="Calibri" w:eastAsia="Times New Roman" w:hAnsi="Calibri" w:cs="Calibri"/>
                <w:b/>
                <w:bCs/>
                <w:color w:val="000000"/>
                <w:sz w:val="18"/>
                <w:szCs w:val="18"/>
              </w:rPr>
              <w:t>Appliances</w:t>
            </w:r>
          </w:p>
        </w:tc>
      </w:tr>
      <w:tr w:rsidR="006D3D40" w:rsidRPr="00F90AF7" w14:paraId="743E1849" w14:textId="77777777" w:rsidTr="006D3D40">
        <w:trPr>
          <w:trHeight w:val="590"/>
        </w:trPr>
        <w:tc>
          <w:tcPr>
            <w:tcW w:w="1276" w:type="dxa"/>
            <w:tcBorders>
              <w:top w:val="nil"/>
              <w:left w:val="nil"/>
              <w:bottom w:val="nil"/>
              <w:right w:val="nil"/>
            </w:tcBorders>
            <w:noWrap/>
            <w:hideMark/>
          </w:tcPr>
          <w:p w14:paraId="42C03424" w14:textId="77777777" w:rsidR="006D3D40" w:rsidRPr="002210B3" w:rsidRDefault="006D3D40" w:rsidP="00E7600F">
            <w:pPr>
              <w:rPr>
                <w:rFonts w:ascii="Calibri" w:eastAsia="Times New Roman" w:hAnsi="Calibri" w:cs="Calibri"/>
                <w:color w:val="000000"/>
                <w:sz w:val="18"/>
                <w:szCs w:val="18"/>
              </w:rPr>
            </w:pPr>
            <w:r w:rsidRPr="002210B3">
              <w:rPr>
                <w:rFonts w:ascii="Calibri" w:eastAsia="Times New Roman" w:hAnsi="Calibri" w:cs="Calibri"/>
                <w:color w:val="000000"/>
                <w:sz w:val="18"/>
                <w:szCs w:val="18"/>
              </w:rPr>
              <w:t>HEB</w:t>
            </w:r>
          </w:p>
        </w:tc>
        <w:tc>
          <w:tcPr>
            <w:tcW w:w="1474" w:type="dxa"/>
            <w:tcBorders>
              <w:top w:val="nil"/>
              <w:left w:val="nil"/>
              <w:bottom w:val="nil"/>
              <w:right w:val="nil"/>
            </w:tcBorders>
          </w:tcPr>
          <w:p w14:paraId="629D0F22"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EX: Floorspace informal buildings (m2)</w:t>
            </w:r>
          </w:p>
        </w:tc>
        <w:tc>
          <w:tcPr>
            <w:tcW w:w="1474" w:type="dxa"/>
            <w:tcBorders>
              <w:top w:val="nil"/>
              <w:left w:val="nil"/>
              <w:bottom w:val="nil"/>
              <w:right w:val="nil"/>
            </w:tcBorders>
          </w:tcPr>
          <w:p w14:paraId="3E5A852F"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EX: Floorspace (m2/cap)</w:t>
            </w:r>
          </w:p>
        </w:tc>
        <w:tc>
          <w:tcPr>
            <w:tcW w:w="1588" w:type="dxa"/>
            <w:tcBorders>
              <w:top w:val="nil"/>
              <w:left w:val="nil"/>
              <w:bottom w:val="nil"/>
              <w:right w:val="nil"/>
            </w:tcBorders>
          </w:tcPr>
          <w:p w14:paraId="6B84CCA8"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74" w:type="dxa"/>
            <w:tcBorders>
              <w:top w:val="nil"/>
              <w:left w:val="nil"/>
              <w:bottom w:val="nil"/>
              <w:right w:val="nil"/>
            </w:tcBorders>
          </w:tcPr>
          <w:p w14:paraId="60AC4423"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75" w:type="dxa"/>
            <w:tcBorders>
              <w:top w:val="nil"/>
              <w:left w:val="nil"/>
              <w:bottom w:val="nil"/>
              <w:right w:val="nil"/>
            </w:tcBorders>
          </w:tcPr>
          <w:p w14:paraId="4BBEDD56"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w:t>
            </w:r>
          </w:p>
        </w:tc>
      </w:tr>
      <w:tr w:rsidR="006D3D40" w:rsidRPr="00F90AF7" w14:paraId="7E4B0470" w14:textId="77777777" w:rsidTr="006D3D40">
        <w:trPr>
          <w:trHeight w:val="690"/>
        </w:trPr>
        <w:tc>
          <w:tcPr>
            <w:tcW w:w="1276" w:type="dxa"/>
            <w:tcBorders>
              <w:top w:val="nil"/>
              <w:left w:val="nil"/>
              <w:bottom w:val="nil"/>
              <w:right w:val="nil"/>
            </w:tcBorders>
            <w:noWrap/>
            <w:hideMark/>
          </w:tcPr>
          <w:p w14:paraId="0D36A5E1" w14:textId="77777777" w:rsidR="006D3D40" w:rsidRPr="002210B3" w:rsidRDefault="006D3D40" w:rsidP="00E7600F">
            <w:pPr>
              <w:rPr>
                <w:rFonts w:ascii="Calibri" w:eastAsia="Times New Roman" w:hAnsi="Calibri" w:cs="Calibri"/>
                <w:color w:val="000000"/>
                <w:sz w:val="18"/>
                <w:szCs w:val="18"/>
              </w:rPr>
            </w:pPr>
            <w:r w:rsidRPr="002210B3">
              <w:rPr>
                <w:rFonts w:ascii="Calibri" w:eastAsia="Times New Roman" w:hAnsi="Calibri" w:cs="Calibri"/>
                <w:color w:val="000000"/>
                <w:sz w:val="18"/>
                <w:szCs w:val="18"/>
              </w:rPr>
              <w:t>IMAGE</w:t>
            </w:r>
          </w:p>
        </w:tc>
        <w:tc>
          <w:tcPr>
            <w:tcW w:w="1474" w:type="dxa"/>
            <w:tcBorders>
              <w:top w:val="nil"/>
              <w:left w:val="nil"/>
              <w:bottom w:val="nil"/>
              <w:right w:val="nil"/>
            </w:tcBorders>
          </w:tcPr>
          <w:p w14:paraId="048657DF"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74" w:type="dxa"/>
            <w:tcBorders>
              <w:top w:val="nil"/>
              <w:left w:val="nil"/>
              <w:bottom w:val="nil"/>
              <w:right w:val="nil"/>
            </w:tcBorders>
          </w:tcPr>
          <w:p w14:paraId="30E5C328"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EN: Floorspace (m2/cap)</w:t>
            </w:r>
          </w:p>
        </w:tc>
        <w:tc>
          <w:tcPr>
            <w:tcW w:w="1588" w:type="dxa"/>
            <w:tcBorders>
              <w:top w:val="nil"/>
              <w:left w:val="nil"/>
              <w:bottom w:val="nil"/>
              <w:right w:val="nil"/>
            </w:tcBorders>
          </w:tcPr>
          <w:p w14:paraId="3AE2D4EA"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EN: access to AC, air coolers, and fans (%households)</w:t>
            </w:r>
          </w:p>
        </w:tc>
        <w:tc>
          <w:tcPr>
            <w:tcW w:w="1474" w:type="dxa"/>
            <w:tcBorders>
              <w:top w:val="nil"/>
              <w:left w:val="nil"/>
              <w:bottom w:val="nil"/>
              <w:right w:val="nil"/>
            </w:tcBorders>
          </w:tcPr>
          <w:p w14:paraId="2B0EED5A"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 xml:space="preserve">EN: </w:t>
            </w:r>
            <w:r w:rsidRPr="00DB6A14">
              <w:rPr>
                <w:rFonts w:ascii="Calibri" w:eastAsia="Times New Roman" w:hAnsi="Calibri" w:cs="Calibri"/>
                <w:color w:val="000000"/>
                <w:sz w:val="18"/>
                <w:szCs w:val="18"/>
              </w:rPr>
              <w:t>Access to clean cooking</w:t>
            </w:r>
            <w:r>
              <w:rPr>
                <w:rFonts w:ascii="Calibri" w:eastAsia="Times New Roman" w:hAnsi="Calibri" w:cs="Calibri"/>
                <w:color w:val="000000"/>
                <w:sz w:val="18"/>
                <w:szCs w:val="18"/>
              </w:rPr>
              <w:t xml:space="preserve"> (%households)</w:t>
            </w:r>
          </w:p>
        </w:tc>
        <w:tc>
          <w:tcPr>
            <w:tcW w:w="1475" w:type="dxa"/>
            <w:tcBorders>
              <w:top w:val="nil"/>
              <w:left w:val="nil"/>
              <w:bottom w:val="nil"/>
              <w:right w:val="nil"/>
            </w:tcBorders>
          </w:tcPr>
          <w:p w14:paraId="76B44F16" w14:textId="22A941B7" w:rsidR="006D3D40" w:rsidRPr="002210B3" w:rsidRDefault="006D3D40" w:rsidP="00E7600F">
            <w:pPr>
              <w:rPr>
                <w:rFonts w:ascii="Calibri" w:eastAsia="Times New Roman" w:hAnsi="Calibri" w:cs="Calibri"/>
                <w:color w:val="000000"/>
                <w:sz w:val="18"/>
                <w:szCs w:val="18"/>
              </w:rPr>
            </w:pPr>
            <w:r w:rsidRPr="230A8660">
              <w:rPr>
                <w:rFonts w:ascii="Calibri" w:eastAsia="Times New Roman" w:hAnsi="Calibri" w:cs="Calibri"/>
                <w:color w:val="000000" w:themeColor="text1"/>
                <w:sz w:val="18"/>
                <w:szCs w:val="18"/>
              </w:rPr>
              <w:t>EN: access to appliances (%households, 8 appliance groups)</w:t>
            </w:r>
          </w:p>
        </w:tc>
      </w:tr>
      <w:tr w:rsidR="006D3D40" w:rsidRPr="00F90AF7" w14:paraId="5874B5CB" w14:textId="77777777" w:rsidTr="006D3D40">
        <w:trPr>
          <w:trHeight w:val="590"/>
        </w:trPr>
        <w:tc>
          <w:tcPr>
            <w:tcW w:w="1276" w:type="dxa"/>
            <w:tcBorders>
              <w:top w:val="nil"/>
              <w:left w:val="nil"/>
              <w:bottom w:val="nil"/>
              <w:right w:val="nil"/>
            </w:tcBorders>
            <w:noWrap/>
            <w:hideMark/>
          </w:tcPr>
          <w:p w14:paraId="1EF629DC" w14:textId="77777777" w:rsidR="006D3D40" w:rsidRPr="002210B3" w:rsidRDefault="006D3D40" w:rsidP="00E7600F">
            <w:pPr>
              <w:rPr>
                <w:rFonts w:ascii="Calibri" w:eastAsia="Times New Roman" w:hAnsi="Calibri" w:cs="Calibri"/>
                <w:color w:val="000000"/>
                <w:sz w:val="18"/>
                <w:szCs w:val="18"/>
              </w:rPr>
            </w:pPr>
            <w:proofErr w:type="spellStart"/>
            <w:r w:rsidRPr="002210B3">
              <w:rPr>
                <w:rFonts w:ascii="Calibri" w:eastAsia="Times New Roman" w:hAnsi="Calibri" w:cs="Calibri"/>
                <w:color w:val="000000"/>
                <w:sz w:val="18"/>
                <w:szCs w:val="18"/>
              </w:rPr>
              <w:t>MESSAGEix</w:t>
            </w:r>
            <w:proofErr w:type="spellEnd"/>
            <w:r w:rsidRPr="002210B3">
              <w:rPr>
                <w:rFonts w:ascii="Calibri" w:eastAsia="Times New Roman" w:hAnsi="Calibri" w:cs="Calibri"/>
                <w:color w:val="000000"/>
                <w:sz w:val="18"/>
                <w:szCs w:val="18"/>
              </w:rPr>
              <w:t xml:space="preserve">-Buildings </w:t>
            </w:r>
          </w:p>
        </w:tc>
        <w:tc>
          <w:tcPr>
            <w:tcW w:w="1474" w:type="dxa"/>
            <w:tcBorders>
              <w:top w:val="nil"/>
              <w:left w:val="nil"/>
              <w:bottom w:val="nil"/>
              <w:right w:val="nil"/>
            </w:tcBorders>
          </w:tcPr>
          <w:p w14:paraId="64B0A96C"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 xml:space="preserve">EN-EX: </w:t>
            </w:r>
            <w:r w:rsidRPr="008C3EF2">
              <w:rPr>
                <w:rFonts w:ascii="Calibri" w:eastAsia="Times New Roman" w:hAnsi="Calibri" w:cs="Calibri"/>
                <w:color w:val="000000"/>
                <w:sz w:val="18"/>
                <w:szCs w:val="18"/>
              </w:rPr>
              <w:t>Access to formal housing in urban (%</w:t>
            </w:r>
            <w:r>
              <w:rPr>
                <w:rFonts w:ascii="Calibri" w:eastAsia="Times New Roman" w:hAnsi="Calibri" w:cs="Calibri"/>
                <w:color w:val="000000"/>
                <w:sz w:val="18"/>
                <w:szCs w:val="18"/>
              </w:rPr>
              <w:t>households</w:t>
            </w:r>
            <w:r w:rsidRPr="008C3EF2">
              <w:rPr>
                <w:rFonts w:ascii="Calibri" w:eastAsia="Times New Roman" w:hAnsi="Calibri" w:cs="Calibri"/>
                <w:color w:val="000000"/>
                <w:sz w:val="18"/>
                <w:szCs w:val="18"/>
              </w:rPr>
              <w:t>)</w:t>
            </w:r>
          </w:p>
        </w:tc>
        <w:tc>
          <w:tcPr>
            <w:tcW w:w="1474" w:type="dxa"/>
            <w:tcBorders>
              <w:top w:val="nil"/>
              <w:left w:val="nil"/>
              <w:bottom w:val="nil"/>
              <w:right w:val="nil"/>
            </w:tcBorders>
          </w:tcPr>
          <w:p w14:paraId="68607F88"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EX: Floorspace (m2/cap)</w:t>
            </w:r>
          </w:p>
        </w:tc>
        <w:tc>
          <w:tcPr>
            <w:tcW w:w="1588" w:type="dxa"/>
            <w:tcBorders>
              <w:top w:val="nil"/>
              <w:left w:val="nil"/>
              <w:bottom w:val="nil"/>
              <w:right w:val="nil"/>
            </w:tcBorders>
          </w:tcPr>
          <w:p w14:paraId="58126151"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EN-EX: access to AC and fans (%households)</w:t>
            </w:r>
          </w:p>
        </w:tc>
        <w:tc>
          <w:tcPr>
            <w:tcW w:w="1474" w:type="dxa"/>
            <w:tcBorders>
              <w:top w:val="nil"/>
              <w:left w:val="nil"/>
              <w:bottom w:val="nil"/>
              <w:right w:val="nil"/>
            </w:tcBorders>
          </w:tcPr>
          <w:p w14:paraId="542C3937" w14:textId="3CECA4E2" w:rsidR="006D3D40" w:rsidRPr="002210B3" w:rsidRDefault="00F42513" w:rsidP="00E7600F">
            <w:pPr>
              <w:rPr>
                <w:rFonts w:ascii="Calibri" w:eastAsia="Times New Roman" w:hAnsi="Calibri" w:cs="Calibri"/>
                <w:color w:val="000000"/>
                <w:sz w:val="18"/>
                <w:szCs w:val="18"/>
              </w:rPr>
            </w:pPr>
            <w:r>
              <w:rPr>
                <w:rFonts w:ascii="Calibri" w:eastAsia="Times New Roman" w:hAnsi="Calibri" w:cs="Calibri"/>
                <w:color w:val="000000"/>
                <w:sz w:val="18"/>
                <w:szCs w:val="18"/>
              </w:rPr>
              <w:t xml:space="preserve">EX: </w:t>
            </w:r>
            <w:r w:rsidRPr="00DB6A14">
              <w:rPr>
                <w:rFonts w:ascii="Calibri" w:eastAsia="Times New Roman" w:hAnsi="Calibri" w:cs="Calibri"/>
                <w:color w:val="000000"/>
                <w:sz w:val="18"/>
                <w:szCs w:val="18"/>
              </w:rPr>
              <w:t>Access to clean cooking</w:t>
            </w:r>
            <w:r>
              <w:rPr>
                <w:rFonts w:ascii="Calibri" w:eastAsia="Times New Roman" w:hAnsi="Calibri" w:cs="Calibri"/>
                <w:color w:val="000000"/>
                <w:sz w:val="18"/>
                <w:szCs w:val="18"/>
              </w:rPr>
              <w:t xml:space="preserve"> (%households)</w:t>
            </w:r>
          </w:p>
        </w:tc>
        <w:tc>
          <w:tcPr>
            <w:tcW w:w="1475" w:type="dxa"/>
            <w:tcBorders>
              <w:top w:val="nil"/>
              <w:left w:val="nil"/>
              <w:bottom w:val="nil"/>
              <w:right w:val="nil"/>
            </w:tcBorders>
          </w:tcPr>
          <w:p w14:paraId="3F9BD630" w14:textId="1E84AADE" w:rsidR="006D3D40" w:rsidRPr="002210B3" w:rsidRDefault="00F42513" w:rsidP="00E7600F">
            <w:pPr>
              <w:rPr>
                <w:rFonts w:ascii="Calibri" w:eastAsia="Times New Roman" w:hAnsi="Calibri" w:cs="Calibri"/>
                <w:color w:val="000000"/>
                <w:sz w:val="18"/>
                <w:szCs w:val="18"/>
              </w:rPr>
            </w:pPr>
            <w:r>
              <w:rPr>
                <w:rFonts w:ascii="Calibri" w:eastAsia="Times New Roman" w:hAnsi="Calibri" w:cs="Calibri"/>
                <w:color w:val="000000"/>
                <w:sz w:val="18"/>
                <w:szCs w:val="18"/>
              </w:rPr>
              <w:t>EX: access to appliances (%households)</w:t>
            </w:r>
          </w:p>
        </w:tc>
      </w:tr>
      <w:tr w:rsidR="006D3D40" w:rsidRPr="00F90AF7" w14:paraId="6DA6DEA4" w14:textId="77777777" w:rsidTr="006D3D40">
        <w:trPr>
          <w:trHeight w:val="590"/>
        </w:trPr>
        <w:tc>
          <w:tcPr>
            <w:tcW w:w="1276" w:type="dxa"/>
            <w:tcBorders>
              <w:top w:val="nil"/>
              <w:left w:val="nil"/>
              <w:right w:val="nil"/>
            </w:tcBorders>
            <w:noWrap/>
            <w:hideMark/>
          </w:tcPr>
          <w:p w14:paraId="106F1C18" w14:textId="77777777" w:rsidR="006D3D40" w:rsidRPr="002210B3" w:rsidRDefault="006D3D40" w:rsidP="00E7600F">
            <w:pPr>
              <w:rPr>
                <w:rFonts w:ascii="Calibri" w:eastAsia="Times New Roman" w:hAnsi="Calibri" w:cs="Calibri"/>
                <w:color w:val="000000"/>
                <w:sz w:val="18"/>
                <w:szCs w:val="18"/>
              </w:rPr>
            </w:pPr>
            <w:r w:rsidRPr="002210B3">
              <w:rPr>
                <w:rFonts w:ascii="Calibri" w:eastAsia="Times New Roman" w:hAnsi="Calibri" w:cs="Calibri"/>
                <w:color w:val="000000"/>
                <w:sz w:val="18"/>
                <w:szCs w:val="18"/>
              </w:rPr>
              <w:t>PIER</w:t>
            </w:r>
          </w:p>
        </w:tc>
        <w:tc>
          <w:tcPr>
            <w:tcW w:w="1474" w:type="dxa"/>
            <w:tcBorders>
              <w:top w:val="nil"/>
              <w:left w:val="nil"/>
              <w:right w:val="nil"/>
            </w:tcBorders>
          </w:tcPr>
          <w:p w14:paraId="1195750D"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474" w:type="dxa"/>
            <w:tcBorders>
              <w:top w:val="nil"/>
              <w:left w:val="nil"/>
              <w:right w:val="nil"/>
            </w:tcBorders>
          </w:tcPr>
          <w:p w14:paraId="2DB82D45"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1588" w:type="dxa"/>
            <w:tcBorders>
              <w:top w:val="nil"/>
              <w:left w:val="nil"/>
              <w:right w:val="nil"/>
            </w:tcBorders>
          </w:tcPr>
          <w:p w14:paraId="52B07C0F"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 xml:space="preserve">EN-EX: </w:t>
            </w:r>
            <w:r w:rsidRPr="00D33308">
              <w:rPr>
                <w:rFonts w:ascii="Calibri" w:eastAsia="Times New Roman" w:hAnsi="Calibri" w:cs="Calibri"/>
                <w:color w:val="000000"/>
                <w:sz w:val="18"/>
                <w:szCs w:val="18"/>
              </w:rPr>
              <w:t xml:space="preserve">penetrations of </w:t>
            </w:r>
            <w:r>
              <w:rPr>
                <w:rFonts w:ascii="Calibri" w:eastAsia="Times New Roman" w:hAnsi="Calibri" w:cs="Calibri"/>
                <w:color w:val="000000"/>
                <w:sz w:val="18"/>
                <w:szCs w:val="18"/>
              </w:rPr>
              <w:t xml:space="preserve">AC, </w:t>
            </w:r>
            <w:r w:rsidRPr="00D33308">
              <w:rPr>
                <w:rFonts w:ascii="Calibri" w:eastAsia="Times New Roman" w:hAnsi="Calibri" w:cs="Calibri"/>
                <w:color w:val="000000"/>
                <w:sz w:val="18"/>
                <w:szCs w:val="18"/>
              </w:rPr>
              <w:t>air coolers,</w:t>
            </w:r>
            <w:r>
              <w:rPr>
                <w:rFonts w:ascii="Calibri" w:eastAsia="Times New Roman" w:hAnsi="Calibri" w:cs="Calibri"/>
                <w:color w:val="000000"/>
                <w:sz w:val="18"/>
                <w:szCs w:val="18"/>
              </w:rPr>
              <w:t xml:space="preserve"> </w:t>
            </w:r>
            <w:r w:rsidRPr="00D33308">
              <w:rPr>
                <w:rFonts w:ascii="Calibri" w:eastAsia="Times New Roman" w:hAnsi="Calibri" w:cs="Calibri"/>
                <w:color w:val="000000"/>
                <w:sz w:val="18"/>
                <w:szCs w:val="18"/>
              </w:rPr>
              <w:t>and fan</w:t>
            </w:r>
            <w:r>
              <w:rPr>
                <w:rFonts w:ascii="Calibri" w:eastAsia="Times New Roman" w:hAnsi="Calibri" w:cs="Calibri"/>
                <w:color w:val="000000"/>
                <w:sz w:val="18"/>
                <w:szCs w:val="18"/>
              </w:rPr>
              <w:t>s (%households)</w:t>
            </w:r>
          </w:p>
        </w:tc>
        <w:tc>
          <w:tcPr>
            <w:tcW w:w="1474" w:type="dxa"/>
            <w:tcBorders>
              <w:top w:val="nil"/>
              <w:left w:val="nil"/>
              <w:right w:val="nil"/>
            </w:tcBorders>
          </w:tcPr>
          <w:p w14:paraId="57943805"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EN-EX:</w:t>
            </w:r>
            <w:r w:rsidRPr="00DB6A14">
              <w:rPr>
                <w:rFonts w:ascii="Calibri" w:eastAsia="Times New Roman" w:hAnsi="Calibri" w:cs="Calibri"/>
                <w:color w:val="000000"/>
                <w:sz w:val="18"/>
                <w:szCs w:val="18"/>
              </w:rPr>
              <w:t xml:space="preserve"> Access to clean cooking</w:t>
            </w:r>
            <w:r>
              <w:rPr>
                <w:rFonts w:ascii="Calibri" w:eastAsia="Times New Roman" w:hAnsi="Calibri" w:cs="Calibri"/>
                <w:color w:val="000000"/>
                <w:sz w:val="18"/>
                <w:szCs w:val="18"/>
              </w:rPr>
              <w:t xml:space="preserve"> (%households)</w:t>
            </w:r>
          </w:p>
        </w:tc>
        <w:tc>
          <w:tcPr>
            <w:tcW w:w="1475" w:type="dxa"/>
            <w:tcBorders>
              <w:top w:val="nil"/>
              <w:left w:val="nil"/>
              <w:right w:val="nil"/>
            </w:tcBorders>
          </w:tcPr>
          <w:p w14:paraId="6C35F939"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EN-EX: access to appliances (%households)</w:t>
            </w:r>
          </w:p>
        </w:tc>
      </w:tr>
      <w:tr w:rsidR="006D3D40" w:rsidRPr="00F90AF7" w14:paraId="54062E74" w14:textId="77777777" w:rsidTr="006D3D40">
        <w:trPr>
          <w:trHeight w:val="885"/>
        </w:trPr>
        <w:tc>
          <w:tcPr>
            <w:tcW w:w="1276" w:type="dxa"/>
            <w:tcBorders>
              <w:top w:val="nil"/>
              <w:left w:val="nil"/>
              <w:bottom w:val="single" w:sz="4" w:space="0" w:color="auto"/>
              <w:right w:val="nil"/>
            </w:tcBorders>
            <w:noWrap/>
            <w:hideMark/>
          </w:tcPr>
          <w:p w14:paraId="35B818D0" w14:textId="77777777" w:rsidR="006D3D40" w:rsidRPr="002210B3" w:rsidRDefault="006D3D40" w:rsidP="00E7600F">
            <w:pPr>
              <w:rPr>
                <w:rFonts w:ascii="Calibri" w:eastAsia="Times New Roman" w:hAnsi="Calibri" w:cs="Calibri"/>
                <w:color w:val="000000"/>
                <w:sz w:val="18"/>
                <w:szCs w:val="18"/>
              </w:rPr>
            </w:pPr>
            <w:r w:rsidRPr="002210B3">
              <w:rPr>
                <w:rFonts w:ascii="Calibri" w:eastAsia="Times New Roman" w:hAnsi="Calibri" w:cs="Calibri"/>
                <w:color w:val="000000"/>
                <w:sz w:val="18"/>
                <w:szCs w:val="18"/>
              </w:rPr>
              <w:t>SAFARI</w:t>
            </w:r>
          </w:p>
        </w:tc>
        <w:tc>
          <w:tcPr>
            <w:tcW w:w="1474" w:type="dxa"/>
            <w:tcBorders>
              <w:top w:val="nil"/>
              <w:left w:val="nil"/>
              <w:bottom w:val="single" w:sz="4" w:space="0" w:color="auto"/>
              <w:right w:val="nil"/>
            </w:tcBorders>
          </w:tcPr>
          <w:p w14:paraId="729CB84E"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EX: Access to durable housing (%households)</w:t>
            </w:r>
          </w:p>
        </w:tc>
        <w:tc>
          <w:tcPr>
            <w:tcW w:w="1474" w:type="dxa"/>
            <w:tcBorders>
              <w:top w:val="nil"/>
              <w:left w:val="nil"/>
              <w:bottom w:val="single" w:sz="4" w:space="0" w:color="auto"/>
              <w:right w:val="nil"/>
            </w:tcBorders>
          </w:tcPr>
          <w:p w14:paraId="015772E3" w14:textId="77777777" w:rsidR="006D3D40" w:rsidRPr="005B6794"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 xml:space="preserve">EX: </w:t>
            </w:r>
            <w:r w:rsidRPr="005B6794">
              <w:rPr>
                <w:rFonts w:ascii="Calibri" w:eastAsia="Times New Roman" w:hAnsi="Calibri" w:cs="Calibri"/>
                <w:color w:val="000000"/>
                <w:sz w:val="18"/>
                <w:szCs w:val="18"/>
              </w:rPr>
              <w:t>Average built-up area per housing category</w:t>
            </w:r>
            <w:r>
              <w:rPr>
                <w:rFonts w:ascii="Calibri" w:eastAsia="Times New Roman" w:hAnsi="Calibri" w:cs="Calibri"/>
                <w:color w:val="000000"/>
                <w:sz w:val="18"/>
                <w:szCs w:val="18"/>
              </w:rPr>
              <w:t xml:space="preserve"> (m2)</w:t>
            </w:r>
          </w:p>
          <w:p w14:paraId="12DF2D55" w14:textId="77777777" w:rsidR="006D3D40" w:rsidRPr="002210B3" w:rsidRDefault="006D3D40" w:rsidP="00E7600F">
            <w:pPr>
              <w:rPr>
                <w:rFonts w:ascii="Calibri" w:eastAsia="Times New Roman" w:hAnsi="Calibri" w:cs="Calibri"/>
                <w:color w:val="000000"/>
                <w:sz w:val="18"/>
                <w:szCs w:val="18"/>
              </w:rPr>
            </w:pPr>
          </w:p>
        </w:tc>
        <w:tc>
          <w:tcPr>
            <w:tcW w:w="1588" w:type="dxa"/>
            <w:tcBorders>
              <w:top w:val="nil"/>
              <w:left w:val="nil"/>
              <w:bottom w:val="single" w:sz="4" w:space="0" w:color="auto"/>
              <w:right w:val="nil"/>
            </w:tcBorders>
          </w:tcPr>
          <w:p w14:paraId="64B30AFA" w14:textId="77777777" w:rsidR="006D3D40" w:rsidRPr="002210B3" w:rsidRDefault="006D3D40" w:rsidP="00E7600F">
            <w:pPr>
              <w:rPr>
                <w:rFonts w:ascii="Calibri" w:eastAsia="Times New Roman" w:hAnsi="Calibri" w:cs="Calibri"/>
                <w:color w:val="000000" w:themeColor="text1"/>
                <w:sz w:val="18"/>
                <w:szCs w:val="18"/>
              </w:rPr>
            </w:pPr>
            <w:r>
              <w:rPr>
                <w:rFonts w:ascii="Calibri" w:eastAsia="Times New Roman" w:hAnsi="Calibri" w:cs="Calibri"/>
                <w:color w:val="000000"/>
                <w:sz w:val="18"/>
                <w:szCs w:val="18"/>
              </w:rPr>
              <w:t>EN-EX: penetration of AC and fans (%households)</w:t>
            </w:r>
          </w:p>
          <w:p w14:paraId="43B90847" w14:textId="77777777" w:rsidR="006D3D40" w:rsidRPr="002210B3" w:rsidRDefault="006D3D40" w:rsidP="00E7600F">
            <w:pPr>
              <w:rPr>
                <w:rFonts w:ascii="Calibri" w:eastAsia="Times New Roman" w:hAnsi="Calibri" w:cs="Calibri"/>
                <w:color w:val="000000"/>
                <w:sz w:val="18"/>
                <w:szCs w:val="18"/>
              </w:rPr>
            </w:pPr>
          </w:p>
        </w:tc>
        <w:tc>
          <w:tcPr>
            <w:tcW w:w="1474" w:type="dxa"/>
            <w:tcBorders>
              <w:top w:val="nil"/>
              <w:left w:val="nil"/>
              <w:bottom w:val="single" w:sz="4" w:space="0" w:color="auto"/>
              <w:right w:val="nil"/>
            </w:tcBorders>
          </w:tcPr>
          <w:p w14:paraId="2C7F59B8"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EN-EX:</w:t>
            </w:r>
            <w:r w:rsidRPr="00DB6A14">
              <w:rPr>
                <w:rFonts w:ascii="Calibri" w:eastAsia="Times New Roman" w:hAnsi="Calibri" w:cs="Calibri"/>
                <w:color w:val="000000"/>
                <w:sz w:val="18"/>
                <w:szCs w:val="18"/>
              </w:rPr>
              <w:t xml:space="preserve"> Access to clean cooking</w:t>
            </w:r>
            <w:r>
              <w:rPr>
                <w:rFonts w:ascii="Calibri" w:eastAsia="Times New Roman" w:hAnsi="Calibri" w:cs="Calibri"/>
                <w:color w:val="000000"/>
                <w:sz w:val="18"/>
                <w:szCs w:val="18"/>
              </w:rPr>
              <w:t xml:space="preserve"> (%households)</w:t>
            </w:r>
          </w:p>
        </w:tc>
        <w:tc>
          <w:tcPr>
            <w:tcW w:w="1475" w:type="dxa"/>
            <w:tcBorders>
              <w:top w:val="nil"/>
              <w:left w:val="nil"/>
              <w:bottom w:val="single" w:sz="4" w:space="0" w:color="auto"/>
              <w:right w:val="nil"/>
            </w:tcBorders>
          </w:tcPr>
          <w:p w14:paraId="2CA1BE16" w14:textId="77777777" w:rsidR="006D3D40" w:rsidRPr="002210B3" w:rsidRDefault="006D3D40" w:rsidP="00E7600F">
            <w:pPr>
              <w:rPr>
                <w:rFonts w:ascii="Calibri" w:eastAsia="Times New Roman" w:hAnsi="Calibri" w:cs="Calibri"/>
                <w:color w:val="000000"/>
                <w:sz w:val="18"/>
                <w:szCs w:val="18"/>
              </w:rPr>
            </w:pPr>
            <w:r>
              <w:rPr>
                <w:rFonts w:ascii="Calibri" w:eastAsia="Times New Roman" w:hAnsi="Calibri" w:cs="Calibri"/>
                <w:color w:val="000000"/>
                <w:sz w:val="18"/>
                <w:szCs w:val="18"/>
              </w:rPr>
              <w:t>EN-EX: access to appliances (%households)</w:t>
            </w:r>
          </w:p>
        </w:tc>
      </w:tr>
    </w:tbl>
    <w:p w14:paraId="0C30F787" w14:textId="77777777" w:rsidR="00523F18" w:rsidRDefault="00523F18" w:rsidP="00523F18">
      <w:pPr>
        <w:pStyle w:val="Title"/>
        <w:rPr>
          <w:b/>
          <w:bCs/>
          <w:lang w:val="en-GB"/>
        </w:rPr>
        <w:sectPr w:rsidR="00523F18" w:rsidSect="00523F18">
          <w:pgSz w:w="11906" w:h="16838" w:code="9"/>
          <w:pgMar w:top="1440" w:right="1274" w:bottom="1440" w:left="1418" w:header="720" w:footer="720" w:gutter="0"/>
          <w:cols w:space="720"/>
          <w:docGrid w:linePitch="360"/>
        </w:sectPr>
      </w:pPr>
    </w:p>
    <w:p w14:paraId="655DA816" w14:textId="77777777" w:rsidR="00670E4C" w:rsidRPr="00DA273F" w:rsidRDefault="00670E4C" w:rsidP="00D71269">
      <w:pPr>
        <w:pStyle w:val="Heading2"/>
      </w:pPr>
      <w:bookmarkStart w:id="4" w:name="_Toc210201881"/>
      <w:r w:rsidRPr="00DA273F">
        <w:lastRenderedPageBreak/>
        <w:t>Modelling protocol</w:t>
      </w:r>
      <w:bookmarkEnd w:id="4"/>
    </w:p>
    <w:p w14:paraId="55062EBB" w14:textId="77777777" w:rsidR="00670E4C" w:rsidRPr="00DA273F" w:rsidRDefault="00670E4C" w:rsidP="00D71269">
      <w:pPr>
        <w:pStyle w:val="Heading3"/>
      </w:pPr>
      <w:bookmarkStart w:id="5" w:name="_Toc210201882"/>
      <w:r w:rsidRPr="00DA273F">
        <w:t>Research goals</w:t>
      </w:r>
      <w:bookmarkEnd w:id="5"/>
    </w:p>
    <w:p w14:paraId="693B947F" w14:textId="4A02E258" w:rsidR="00670E4C" w:rsidRPr="00B14177" w:rsidRDefault="00670E4C" w:rsidP="00670E4C">
      <w:pPr>
        <w:rPr>
          <w:lang w:val="en-GB"/>
        </w:rPr>
      </w:pPr>
      <w:r w:rsidRPr="003B6BE7">
        <w:rPr>
          <w:lang w:val="en-GB"/>
        </w:rPr>
        <w:t xml:space="preserve">The goal of this study is to analyse the </w:t>
      </w:r>
      <w:r>
        <w:rPr>
          <w:lang w:val="en-GB"/>
        </w:rPr>
        <w:t>energy and CO</w:t>
      </w:r>
      <w:r w:rsidRPr="003B6BE7">
        <w:rPr>
          <w:vertAlign w:val="subscript"/>
          <w:lang w:val="en-GB"/>
        </w:rPr>
        <w:t>2</w:t>
      </w:r>
      <w:r>
        <w:rPr>
          <w:lang w:val="en-GB"/>
        </w:rPr>
        <w:t xml:space="preserve"> emission implications</w:t>
      </w:r>
      <w:r w:rsidRPr="003B6BE7">
        <w:rPr>
          <w:lang w:val="en-GB"/>
        </w:rPr>
        <w:t xml:space="preserve"> of decent living standards (DLS) </w:t>
      </w:r>
      <w:r>
        <w:rPr>
          <w:lang w:val="en-GB"/>
        </w:rPr>
        <w:t xml:space="preserve">provision and implementation of </w:t>
      </w:r>
      <w:r w:rsidR="00F758FF">
        <w:rPr>
          <w:lang w:val="en-GB"/>
        </w:rPr>
        <w:t>demand-side measures</w:t>
      </w:r>
      <w:r>
        <w:rPr>
          <w:lang w:val="en-GB"/>
        </w:rPr>
        <w:t xml:space="preserve"> via </w:t>
      </w:r>
      <w:r>
        <w:t>supportive policies and widely available technologies</w:t>
      </w:r>
      <w:r>
        <w:rPr>
          <w:lang w:val="en-GB"/>
        </w:rPr>
        <w:t xml:space="preserve"> for </w:t>
      </w:r>
      <w:r w:rsidRPr="003B6BE7">
        <w:rPr>
          <w:lang w:val="en-GB"/>
        </w:rPr>
        <w:t>the residential sector in India</w:t>
      </w:r>
      <w:r>
        <w:rPr>
          <w:lang w:val="en-GB"/>
        </w:rPr>
        <w:t xml:space="preserve"> under different climate policies</w:t>
      </w:r>
      <w:r w:rsidRPr="003B6BE7">
        <w:rPr>
          <w:lang w:val="en-GB"/>
        </w:rPr>
        <w:t>.</w:t>
      </w:r>
      <w:r>
        <w:rPr>
          <w:lang w:val="en-GB"/>
        </w:rPr>
        <w:t xml:space="preserve"> The investigated </w:t>
      </w:r>
      <w:proofErr w:type="gramStart"/>
      <w:r>
        <w:rPr>
          <w:lang w:val="en-GB"/>
        </w:rPr>
        <w:t>energy</w:t>
      </w:r>
      <w:r w:rsidR="00884352">
        <w:rPr>
          <w:lang w:val="en-GB"/>
        </w:rPr>
        <w:t xml:space="preserve"> </w:t>
      </w:r>
      <w:r>
        <w:rPr>
          <w:lang w:val="en-GB"/>
        </w:rPr>
        <w:t xml:space="preserve"> end</w:t>
      </w:r>
      <w:proofErr w:type="gramEnd"/>
      <w:r>
        <w:rPr>
          <w:lang w:val="en-GB"/>
        </w:rPr>
        <w:t xml:space="preserve">-uses include space cooling, cooking and appliances. </w:t>
      </w:r>
      <w:r>
        <w:t xml:space="preserve">We focus on five key dimensions of DLS: durable housing, sufficient </w:t>
      </w:r>
      <w:proofErr w:type="gramStart"/>
      <w:r>
        <w:t>floorspace</w:t>
      </w:r>
      <w:proofErr w:type="gramEnd"/>
      <w:r>
        <w:t xml:space="preserve">, basic cooling thermal comfort, access to clean fuels for cooking, and basic appliances, including refrigerators and televisions. </w:t>
      </w:r>
      <w:r>
        <w:rPr>
          <w:lang w:val="en-GB"/>
        </w:rPr>
        <w:t xml:space="preserve">The scenarios cover the </w:t>
      </w:r>
      <w:proofErr w:type="gramStart"/>
      <w:r>
        <w:rPr>
          <w:lang w:val="en-GB"/>
        </w:rPr>
        <w:t>time period</w:t>
      </w:r>
      <w:proofErr w:type="gramEnd"/>
      <w:r>
        <w:rPr>
          <w:lang w:val="en-GB"/>
        </w:rPr>
        <w:t xml:space="preserve"> 2020-2050.</w:t>
      </w:r>
    </w:p>
    <w:p w14:paraId="2DBCC0CD" w14:textId="77777777" w:rsidR="00670E4C" w:rsidRPr="00FD6B0F" w:rsidRDefault="00670E4C" w:rsidP="00D71269">
      <w:pPr>
        <w:pStyle w:val="Heading3"/>
      </w:pPr>
      <w:bookmarkStart w:id="6" w:name="_Toc210201883"/>
      <w:r>
        <w:t>Scenario runs</w:t>
      </w:r>
      <w:bookmarkEnd w:id="6"/>
    </w:p>
    <w:p w14:paraId="3D3D4B32" w14:textId="56E3F841" w:rsidR="00670E4C" w:rsidRPr="00B14177" w:rsidRDefault="00670E4C" w:rsidP="00670E4C">
      <w:pPr>
        <w:rPr>
          <w:rFonts w:ascii="Calibri" w:hAnsi="Calibri" w:cs="Calibri"/>
          <w:color w:val="000000"/>
          <w:lang w:val="en-GB"/>
        </w:rPr>
      </w:pPr>
      <w:r>
        <w:rPr>
          <w:rFonts w:ascii="Calibri" w:hAnsi="Calibri" w:cs="Calibri"/>
          <w:color w:val="000000"/>
          <w:lang w:val="en-GB"/>
        </w:rPr>
        <w:t xml:space="preserve">Supplementary Table </w:t>
      </w:r>
      <w:r w:rsidR="005133E4">
        <w:rPr>
          <w:rFonts w:ascii="Calibri" w:hAnsi="Calibri" w:cs="Calibri"/>
          <w:color w:val="000000"/>
          <w:lang w:val="en-GB"/>
        </w:rPr>
        <w:t>4</w:t>
      </w:r>
      <w:r>
        <w:rPr>
          <w:rFonts w:ascii="Calibri" w:hAnsi="Calibri" w:cs="Calibri"/>
          <w:color w:val="000000"/>
          <w:lang w:val="en-GB"/>
        </w:rPr>
        <w:t xml:space="preserve"> provides an overview of the model runs, including three main scenarios (Reference, Decent Living, and </w:t>
      </w:r>
      <w:r w:rsidR="005133E4" w:rsidRPr="00F65BF5">
        <w:rPr>
          <w:kern w:val="2"/>
          <w:lang w:val="en-GB"/>
          <w14:ligatures w14:val="standardContextual"/>
        </w:rPr>
        <w:t>Decent living – Demand</w:t>
      </w:r>
      <w:r w:rsidR="005133E4">
        <w:t xml:space="preserve"> </w:t>
      </w:r>
      <w:r w:rsidR="005133E4" w:rsidRPr="00F65BF5">
        <w:rPr>
          <w:kern w:val="2"/>
          <w:lang w:val="en-GB"/>
          <w14:ligatures w14:val="standardContextual"/>
        </w:rPr>
        <w:t>measures</w:t>
      </w:r>
      <w:r>
        <w:rPr>
          <w:rFonts w:ascii="Calibri" w:hAnsi="Calibri" w:cs="Calibri"/>
          <w:color w:val="000000"/>
          <w:lang w:val="en-GB"/>
        </w:rPr>
        <w:t>) and two sets of climate policies (Current Policies, and Mitigation Policies).</w:t>
      </w:r>
    </w:p>
    <w:p w14:paraId="737A8504" w14:textId="77777777" w:rsidR="00670E4C" w:rsidRPr="003B6BE7" w:rsidRDefault="00670E4C" w:rsidP="00670E4C">
      <w:pPr>
        <w:rPr>
          <w:lang w:val="en-GB"/>
        </w:rPr>
      </w:pPr>
    </w:p>
    <w:p w14:paraId="3E4DF213" w14:textId="20255BBA" w:rsidR="00670E4C" w:rsidRDefault="00670E4C" w:rsidP="00670E4C">
      <w:pPr>
        <w:pStyle w:val="Caption"/>
        <w:keepNext/>
      </w:pPr>
      <w:r>
        <w:t xml:space="preserve">Supplementary Table </w:t>
      </w:r>
      <w:r w:rsidR="00525765">
        <w:t>4</w:t>
      </w:r>
      <w:r>
        <w:t xml:space="preserve"> Scenario runs.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536"/>
        <w:gridCol w:w="2210"/>
      </w:tblGrid>
      <w:tr w:rsidR="00670E4C" w14:paraId="572663CA" w14:textId="77777777" w:rsidTr="00F65BF5">
        <w:tc>
          <w:tcPr>
            <w:tcW w:w="709" w:type="dxa"/>
            <w:tcBorders>
              <w:top w:val="single" w:sz="4" w:space="0" w:color="auto"/>
              <w:bottom w:val="single" w:sz="4" w:space="0" w:color="auto"/>
            </w:tcBorders>
          </w:tcPr>
          <w:p w14:paraId="4F4C940D" w14:textId="77777777" w:rsidR="00670E4C" w:rsidRDefault="00670E4C" w:rsidP="00577A7F">
            <w:r>
              <w:t>Run</w:t>
            </w:r>
          </w:p>
        </w:tc>
        <w:tc>
          <w:tcPr>
            <w:tcW w:w="4536" w:type="dxa"/>
            <w:tcBorders>
              <w:top w:val="single" w:sz="4" w:space="0" w:color="auto"/>
              <w:bottom w:val="single" w:sz="4" w:space="0" w:color="auto"/>
            </w:tcBorders>
          </w:tcPr>
          <w:p w14:paraId="47D885B2" w14:textId="77777777" w:rsidR="00670E4C" w:rsidRDefault="00670E4C" w:rsidP="00577A7F">
            <w:r>
              <w:t xml:space="preserve">Scenario </w:t>
            </w:r>
          </w:p>
        </w:tc>
        <w:tc>
          <w:tcPr>
            <w:tcW w:w="2210" w:type="dxa"/>
            <w:tcBorders>
              <w:top w:val="single" w:sz="4" w:space="0" w:color="auto"/>
              <w:bottom w:val="single" w:sz="4" w:space="0" w:color="auto"/>
            </w:tcBorders>
          </w:tcPr>
          <w:p w14:paraId="588DE8BC" w14:textId="77777777" w:rsidR="00670E4C" w:rsidRDefault="00670E4C" w:rsidP="00577A7F">
            <w:r>
              <w:t>Climate Policy</w:t>
            </w:r>
          </w:p>
        </w:tc>
      </w:tr>
      <w:tr w:rsidR="00670E4C" w14:paraId="49830FA8" w14:textId="77777777" w:rsidTr="00F65BF5">
        <w:tc>
          <w:tcPr>
            <w:tcW w:w="709" w:type="dxa"/>
            <w:tcBorders>
              <w:top w:val="single" w:sz="4" w:space="0" w:color="auto"/>
            </w:tcBorders>
          </w:tcPr>
          <w:p w14:paraId="76CF2102" w14:textId="77777777" w:rsidR="00670E4C" w:rsidRDefault="00670E4C" w:rsidP="00577A7F">
            <w:r>
              <w:t>1</w:t>
            </w:r>
          </w:p>
        </w:tc>
        <w:tc>
          <w:tcPr>
            <w:tcW w:w="4536" w:type="dxa"/>
            <w:tcBorders>
              <w:top w:val="single" w:sz="4" w:space="0" w:color="auto"/>
            </w:tcBorders>
          </w:tcPr>
          <w:p w14:paraId="033247C3" w14:textId="12725B1A" w:rsidR="00670E4C" w:rsidRDefault="00670E4C" w:rsidP="00577A7F">
            <w:r>
              <w:t>Reference</w:t>
            </w:r>
            <w:r w:rsidR="00884558">
              <w:t xml:space="preserve"> (REF)</w:t>
            </w:r>
          </w:p>
        </w:tc>
        <w:tc>
          <w:tcPr>
            <w:tcW w:w="2210" w:type="dxa"/>
            <w:tcBorders>
              <w:top w:val="single" w:sz="4" w:space="0" w:color="auto"/>
            </w:tcBorders>
          </w:tcPr>
          <w:p w14:paraId="3AF7A509" w14:textId="77777777" w:rsidR="00670E4C" w:rsidRDefault="00670E4C" w:rsidP="00577A7F">
            <w:r>
              <w:t>Current Policies</w:t>
            </w:r>
          </w:p>
        </w:tc>
      </w:tr>
      <w:tr w:rsidR="00670E4C" w14:paraId="7C6A9011" w14:textId="77777777" w:rsidTr="00F65BF5">
        <w:tc>
          <w:tcPr>
            <w:tcW w:w="709" w:type="dxa"/>
          </w:tcPr>
          <w:p w14:paraId="43FC7227" w14:textId="77777777" w:rsidR="00670E4C" w:rsidRDefault="00670E4C" w:rsidP="00577A7F">
            <w:r>
              <w:t>2</w:t>
            </w:r>
          </w:p>
        </w:tc>
        <w:tc>
          <w:tcPr>
            <w:tcW w:w="4536" w:type="dxa"/>
          </w:tcPr>
          <w:p w14:paraId="46B41F01" w14:textId="4209086E" w:rsidR="00670E4C" w:rsidRDefault="00670E4C" w:rsidP="00577A7F">
            <w:r>
              <w:t xml:space="preserve">Decent Living </w:t>
            </w:r>
            <w:r w:rsidR="00884558">
              <w:t>(DL)</w:t>
            </w:r>
          </w:p>
        </w:tc>
        <w:tc>
          <w:tcPr>
            <w:tcW w:w="2210" w:type="dxa"/>
          </w:tcPr>
          <w:p w14:paraId="0716453B" w14:textId="77777777" w:rsidR="00670E4C" w:rsidRDefault="00670E4C" w:rsidP="00577A7F">
            <w:r>
              <w:t>Current Policies</w:t>
            </w:r>
          </w:p>
        </w:tc>
      </w:tr>
      <w:tr w:rsidR="00670E4C" w14:paraId="4A736A9E" w14:textId="77777777" w:rsidTr="00F65BF5">
        <w:tc>
          <w:tcPr>
            <w:tcW w:w="709" w:type="dxa"/>
          </w:tcPr>
          <w:p w14:paraId="1F25DFC1" w14:textId="77777777" w:rsidR="00670E4C" w:rsidRDefault="00670E4C" w:rsidP="00577A7F">
            <w:r>
              <w:t>3</w:t>
            </w:r>
          </w:p>
        </w:tc>
        <w:tc>
          <w:tcPr>
            <w:tcW w:w="4536" w:type="dxa"/>
          </w:tcPr>
          <w:p w14:paraId="0B05A118" w14:textId="601267D4" w:rsidR="00670E4C" w:rsidRDefault="00F65BF5" w:rsidP="00577A7F">
            <w:r w:rsidRPr="00F65BF5">
              <w:t>Decent living – Demand</w:t>
            </w:r>
            <w:r>
              <w:t xml:space="preserve"> </w:t>
            </w:r>
            <w:r w:rsidRPr="00F65BF5">
              <w:t>measures (DL-DEM)</w:t>
            </w:r>
          </w:p>
        </w:tc>
        <w:tc>
          <w:tcPr>
            <w:tcW w:w="2210" w:type="dxa"/>
          </w:tcPr>
          <w:p w14:paraId="7201CF1C" w14:textId="77777777" w:rsidR="00670E4C" w:rsidRDefault="00670E4C" w:rsidP="00577A7F">
            <w:r>
              <w:t>Current Policies</w:t>
            </w:r>
          </w:p>
        </w:tc>
      </w:tr>
      <w:tr w:rsidR="00F65BF5" w14:paraId="059AE61C" w14:textId="77777777" w:rsidTr="00F65BF5">
        <w:tc>
          <w:tcPr>
            <w:tcW w:w="709" w:type="dxa"/>
          </w:tcPr>
          <w:p w14:paraId="48CE1C92" w14:textId="77777777" w:rsidR="00F65BF5" w:rsidRDefault="00F65BF5" w:rsidP="00F65BF5">
            <w:r>
              <w:t>4</w:t>
            </w:r>
          </w:p>
        </w:tc>
        <w:tc>
          <w:tcPr>
            <w:tcW w:w="4536" w:type="dxa"/>
          </w:tcPr>
          <w:p w14:paraId="262AD978" w14:textId="1FBA0407" w:rsidR="00F65BF5" w:rsidRDefault="00F65BF5" w:rsidP="00F65BF5">
            <w:r>
              <w:t>Reference (REF)</w:t>
            </w:r>
          </w:p>
        </w:tc>
        <w:tc>
          <w:tcPr>
            <w:tcW w:w="2210" w:type="dxa"/>
          </w:tcPr>
          <w:p w14:paraId="54E58E8F" w14:textId="77777777" w:rsidR="00F65BF5" w:rsidRDefault="00F65BF5" w:rsidP="00F65BF5">
            <w:r>
              <w:t>Mitigation Policies</w:t>
            </w:r>
          </w:p>
        </w:tc>
      </w:tr>
      <w:tr w:rsidR="00F65BF5" w14:paraId="70FD0891" w14:textId="77777777" w:rsidTr="00F65BF5">
        <w:tc>
          <w:tcPr>
            <w:tcW w:w="709" w:type="dxa"/>
          </w:tcPr>
          <w:p w14:paraId="227A71B4" w14:textId="77777777" w:rsidR="00F65BF5" w:rsidRDefault="00F65BF5" w:rsidP="00F65BF5">
            <w:r>
              <w:t>5</w:t>
            </w:r>
          </w:p>
        </w:tc>
        <w:tc>
          <w:tcPr>
            <w:tcW w:w="4536" w:type="dxa"/>
          </w:tcPr>
          <w:p w14:paraId="4E68BC57" w14:textId="33203A67" w:rsidR="00F65BF5" w:rsidRDefault="00F65BF5" w:rsidP="00F65BF5">
            <w:r>
              <w:t>Decent Living (DL)</w:t>
            </w:r>
          </w:p>
        </w:tc>
        <w:tc>
          <w:tcPr>
            <w:tcW w:w="2210" w:type="dxa"/>
          </w:tcPr>
          <w:p w14:paraId="230E270E" w14:textId="77777777" w:rsidR="00F65BF5" w:rsidRDefault="00F65BF5" w:rsidP="00F65BF5">
            <w:r>
              <w:t>Mitigation Policies</w:t>
            </w:r>
          </w:p>
        </w:tc>
      </w:tr>
      <w:tr w:rsidR="00F65BF5" w14:paraId="2F5ABDEA" w14:textId="77777777" w:rsidTr="00F65BF5">
        <w:tc>
          <w:tcPr>
            <w:tcW w:w="709" w:type="dxa"/>
            <w:tcBorders>
              <w:bottom w:val="single" w:sz="4" w:space="0" w:color="auto"/>
            </w:tcBorders>
          </w:tcPr>
          <w:p w14:paraId="363EA3A1" w14:textId="77777777" w:rsidR="00F65BF5" w:rsidRDefault="00F65BF5" w:rsidP="00F65BF5">
            <w:r>
              <w:t>6</w:t>
            </w:r>
          </w:p>
        </w:tc>
        <w:tc>
          <w:tcPr>
            <w:tcW w:w="4536" w:type="dxa"/>
            <w:tcBorders>
              <w:bottom w:val="single" w:sz="4" w:space="0" w:color="auto"/>
            </w:tcBorders>
          </w:tcPr>
          <w:p w14:paraId="1C182232" w14:textId="5CBA3FFE" w:rsidR="00F65BF5" w:rsidRDefault="00F65BF5" w:rsidP="00F65BF5">
            <w:r w:rsidRPr="00F65BF5">
              <w:t>Decent living – Demand</w:t>
            </w:r>
            <w:r>
              <w:t xml:space="preserve"> </w:t>
            </w:r>
            <w:r w:rsidRPr="00F65BF5">
              <w:t>measures (DL-DEM)</w:t>
            </w:r>
          </w:p>
        </w:tc>
        <w:tc>
          <w:tcPr>
            <w:tcW w:w="2210" w:type="dxa"/>
            <w:tcBorders>
              <w:bottom w:val="single" w:sz="4" w:space="0" w:color="auto"/>
            </w:tcBorders>
          </w:tcPr>
          <w:p w14:paraId="64E48F4F" w14:textId="77777777" w:rsidR="00F65BF5" w:rsidRDefault="00F65BF5" w:rsidP="00F65BF5">
            <w:r>
              <w:t>Mitigation Policies</w:t>
            </w:r>
          </w:p>
        </w:tc>
      </w:tr>
    </w:tbl>
    <w:p w14:paraId="47348948" w14:textId="77777777" w:rsidR="00670E4C" w:rsidRPr="003B6BE7" w:rsidRDefault="00670E4C" w:rsidP="00670E4C">
      <w:pPr>
        <w:rPr>
          <w:lang w:val="en-GB"/>
        </w:rPr>
      </w:pPr>
    </w:p>
    <w:p w14:paraId="45836FBD" w14:textId="77777777" w:rsidR="00670E4C" w:rsidRDefault="00670E4C" w:rsidP="00D71269">
      <w:pPr>
        <w:pStyle w:val="Heading3"/>
      </w:pPr>
      <w:bookmarkStart w:id="7" w:name="_Toc210201884"/>
      <w:r>
        <w:t>Scenario setup</w:t>
      </w:r>
      <w:bookmarkEnd w:id="7"/>
    </w:p>
    <w:p w14:paraId="5E6284AB" w14:textId="785A4385" w:rsidR="00670E4C" w:rsidRDefault="00670E4C" w:rsidP="00670E4C">
      <w:r>
        <w:rPr>
          <w:lang w:val="en-GB"/>
        </w:rPr>
        <w:t>The demographics and socio-economics underlying all scenarios, including population, gross domestic product (GDP), and urbanization should be well aligned with the</w:t>
      </w:r>
      <w:r w:rsidRPr="00B14177">
        <w:t xml:space="preserve"> </w:t>
      </w:r>
      <w:r>
        <w:t>Shared Socioeconomic Pathway SSP2 “Middle of the road” with medium challenges to both mitigation and adaptation</w:t>
      </w:r>
      <w:r>
        <w:fldChar w:fldCharType="begin"/>
      </w:r>
      <w:r w:rsidR="00AD4028">
        <w:instrText xml:space="preserve"> ADDIN ZOTERO_ITEM CSL_CITATION {"citationID":"0SK5BylL","properties":{"formattedCitation":"\\super 8\\nosupersub{}","plainCitation":"8","noteIndex":0},"citationItems":[{"id":1990,"uris":["http://zotero.org/groups/4530821/items/4I5IXWUY"],"itemData":{"id":1990,"type":"article-journal","container-title":"Global Environmental Change","DOI":"10.1016/j.gloenvcha.2015.01.004","ISSN":"09593780","journalAbbreviation":"Global Environmental Change","language":"en","page":"169-180","source":"DOI.org (Crossref)","title":"The roads ahead: Narratives for shared socioeconomic pathways describing world futures in the 21st century","title-short":"The roads ahead","volume":"42","author":[{"family":"O’Neill","given":"Brian C."},{"family":"Kriegler","given":"Elmar"},{"family":"Ebi","given":"Kristie L."},{"family":"Kemp-Benedict","given":"Eric"},{"family":"Riahi","given":"Keywan"},{"family":"Rothman","given":"Dale S."},{"family":"Van Ruijven","given":"Bas J."},{"family":"Van Vuuren","given":"Detlef P."},{"family":"Birkmann","given":"Joern"},{"family":"Kok","given":"Kasper"},{"family":"Levy","given":"Marc"},{"family":"Solecki","given":"William"}],"issued":{"date-parts":[["2017",1]]}}}],"schema":"https://github.com/citation-style-language/schema/raw/master/csl-citation.json"} </w:instrText>
      </w:r>
      <w:r>
        <w:fldChar w:fldCharType="separate"/>
      </w:r>
      <w:r w:rsidR="00AD4028" w:rsidRPr="00AD4028">
        <w:rPr>
          <w:rFonts w:ascii="Calibri" w:hAnsi="Calibri" w:cs="Calibri"/>
          <w:vertAlign w:val="superscript"/>
        </w:rPr>
        <w:t>8</w:t>
      </w:r>
      <w:r>
        <w:fldChar w:fldCharType="end"/>
      </w:r>
      <w:r>
        <w:t xml:space="preserve">. </w:t>
      </w:r>
    </w:p>
    <w:p w14:paraId="04887A41" w14:textId="77777777" w:rsidR="00670E4C" w:rsidRPr="00B14177" w:rsidRDefault="00670E4C" w:rsidP="00670E4C">
      <w:pPr>
        <w:rPr>
          <w:lang w:val="en-GB"/>
        </w:rPr>
      </w:pPr>
    </w:p>
    <w:p w14:paraId="1BC75718" w14:textId="2BAC247B" w:rsidR="00670E4C" w:rsidRDefault="00670E4C" w:rsidP="00670E4C">
      <w:r>
        <w:t xml:space="preserve">The </w:t>
      </w:r>
      <w:r w:rsidRPr="21447AA2">
        <w:rPr>
          <w:i/>
          <w:iCs/>
        </w:rPr>
        <w:t>Reference</w:t>
      </w:r>
      <w:r>
        <w:t xml:space="preserve"> scenario represents a baseline with continuation of current policies and is in line with the Shared Socioeconomic Pathway SSP2 “Middle of the road” </w:t>
      </w:r>
      <w:r>
        <w:fldChar w:fldCharType="begin"/>
      </w:r>
      <w:r w:rsidR="00AD4028">
        <w:instrText xml:space="preserve"> ADDIN ZOTERO_ITEM CSL_CITATION {"citationID":"Nm9t1rhf","properties":{"formattedCitation":"\\super 8\\nosupersub{}","plainCitation":"8","noteIndex":0},"citationItems":[{"id":1990,"uris":["http://zotero.org/groups/4530821/items/4I5IXWUY"],"itemData":{"id":1990,"type":"article-journal","container-title":"Global Environmental Change","DOI":"10.1016/j.gloenvcha.2015.01.004","ISSN":"09593780","journalAbbreviation":"Global Environmental Change","language":"en","page":"169-180","source":"DOI.org (Crossref)","title":"The roads ahead: Narratives for shared socioeconomic pathways describing world futures in the 21st century","title-short":"The roads ahead","volume":"42","author":[{"family":"O’Neill","given":"Brian C."},{"family":"Kriegler","given":"Elmar"},{"family":"Ebi","given":"Kristie L."},{"family":"Kemp-Benedict","given":"Eric"},{"family":"Riahi","given":"Keywan"},{"family":"Rothman","given":"Dale S."},{"family":"Van Ruijven","given":"Bas J."},{"family":"Van Vuuren","given":"Detlef P."},{"family":"Birkmann","given":"Joern"},{"family":"Kok","given":"Kasper"},{"family":"Levy","given":"Marc"},{"family":"Solecki","given":"William"}],"issued":{"date-parts":[["2017",1]]}}}],"schema":"https://github.com/citation-style-language/schema/raw/master/csl-citation.json"} </w:instrText>
      </w:r>
      <w:r>
        <w:fldChar w:fldCharType="separate"/>
      </w:r>
      <w:r w:rsidR="00AD4028" w:rsidRPr="00AD4028">
        <w:rPr>
          <w:rFonts w:ascii="Calibri" w:hAnsi="Calibri" w:cs="Calibri"/>
          <w:vertAlign w:val="superscript"/>
        </w:rPr>
        <w:t>8</w:t>
      </w:r>
      <w:r>
        <w:fldChar w:fldCharType="end"/>
      </w:r>
      <w:r>
        <w:t>. Access to DLS and energy efficiency improvements follow current trends.</w:t>
      </w:r>
    </w:p>
    <w:p w14:paraId="4964F2A9" w14:textId="77777777" w:rsidR="00670E4C" w:rsidRDefault="00670E4C" w:rsidP="00670E4C"/>
    <w:p w14:paraId="5893BEB3" w14:textId="2FE6A3DD" w:rsidR="00670E4C" w:rsidRDefault="00670E4C" w:rsidP="00670E4C">
      <w:r>
        <w:t xml:space="preserve">The </w:t>
      </w:r>
      <w:r w:rsidRPr="21447AA2">
        <w:rPr>
          <w:i/>
          <w:iCs/>
        </w:rPr>
        <w:t>Decent Living</w:t>
      </w:r>
      <w:r>
        <w:t xml:space="preserve"> scenarios assumes an improvement in access to basic services and amenities to provide near universal access to DLS by 2050 (target year). The minimum requirements for DLS, consistent with previous literature</w:t>
      </w:r>
      <w:r>
        <w:fldChar w:fldCharType="begin"/>
      </w:r>
      <w:r w:rsidR="00AD4028">
        <w:instrText xml:space="preserve"> ADDIN ZOTERO_ITEM CSL_CITATION {"citationID":"zjo59GK4","properties":{"formattedCitation":"\\super 9,10\\nosupersub{}","plainCitation":"9,10","noteIndex":0},"citationItems":[{"id":2603,"uris":["http://zotero.org/groups/4530821/items/3QIUNI46"],"itemData":{"id":2603,"type":"article-journal","container-title":"Social Indicators Research","DOI":"10.1007/s11205-017-1650-0","ISSN":"0303-8300, 1573-0921","issue":"1","journalAbbreviation":"Soc Indic Res","language":"en","page":"225-244","source":"DOI.org (Crossref)","title":"Decent Living Standards: Material Prerequisites for Human Wellbeing","title-short":"Decent Living Standards","volume":"138","author":[{"family":"Rao","given":"Narasimha D."},{"family":"Min","given":"Jihoon"}],"issued":{"date-parts":[["2018",7]]}}},{"id":586,"uris":["http://zotero.org/groups/4530821/items/ZDMB72E6"],"itemData":{"id":586,"type":"article-journal","container-title":"Nature Energy","DOI":"10.1038/s41560-019-0497-9","ISSN":"2058-7546","issue":"12","journalAbbreviation":"Nat Energy","language":"en","page":"1025-1032","source":"DOI.org (Crossref)","title":"Energy requirements for decent living in India, Brazil and South Africa","volume":"4","author":[{"family":"Rao","given":"Narasimha D."},{"family":"Min","given":"Jihoon"},{"family":"Mastrucci","given":"Alessio"}],"issued":{"date-parts":[["2019",12]]}}}],"schema":"https://github.com/citation-style-language/schema/raw/master/csl-citation.json"} </w:instrText>
      </w:r>
      <w:r>
        <w:fldChar w:fldCharType="separate"/>
      </w:r>
      <w:r w:rsidR="00AD4028" w:rsidRPr="00AD4028">
        <w:rPr>
          <w:rFonts w:ascii="Calibri" w:hAnsi="Calibri" w:cs="Calibri"/>
          <w:vertAlign w:val="superscript"/>
        </w:rPr>
        <w:t>9,10</w:t>
      </w:r>
      <w:r>
        <w:fldChar w:fldCharType="end"/>
      </w:r>
      <w:r>
        <w:t xml:space="preserve">, should be achieved by the target year: </w:t>
      </w:r>
    </w:p>
    <w:p w14:paraId="3707BB09" w14:textId="77777777" w:rsidR="00670E4C" w:rsidRPr="003B6BE7" w:rsidRDefault="00670E4C" w:rsidP="00670E4C">
      <w:pPr>
        <w:pStyle w:val="ListParagraph"/>
        <w:numPr>
          <w:ilvl w:val="0"/>
          <w:numId w:val="2"/>
        </w:numPr>
        <w:spacing w:after="160" w:line="259" w:lineRule="auto"/>
        <w:rPr>
          <w:lang w:val="en-GB"/>
        </w:rPr>
      </w:pPr>
      <w:r w:rsidRPr="003B6BE7">
        <w:rPr>
          <w:lang w:val="en-GB"/>
        </w:rPr>
        <w:t>Floorspace: at least 10m</w:t>
      </w:r>
      <w:r w:rsidRPr="00106ADD">
        <w:rPr>
          <w:vertAlign w:val="superscript"/>
          <w:lang w:val="en-GB"/>
        </w:rPr>
        <w:t>2</w:t>
      </w:r>
      <w:r w:rsidRPr="003B6BE7">
        <w:rPr>
          <w:lang w:val="en-GB"/>
        </w:rPr>
        <w:t xml:space="preserve">/cap </w:t>
      </w:r>
      <w:r>
        <w:rPr>
          <w:lang w:val="en-GB"/>
        </w:rPr>
        <w:t xml:space="preserve">with a minimum of </w:t>
      </w:r>
      <w:r w:rsidRPr="003B6BE7">
        <w:rPr>
          <w:lang w:val="en-GB"/>
        </w:rPr>
        <w:t>30m</w:t>
      </w:r>
      <w:r w:rsidRPr="00106ADD">
        <w:rPr>
          <w:vertAlign w:val="superscript"/>
          <w:lang w:val="en-GB"/>
        </w:rPr>
        <w:t>2</w:t>
      </w:r>
      <w:r>
        <w:rPr>
          <w:lang w:val="en-GB"/>
        </w:rPr>
        <w:t xml:space="preserve"> per household</w:t>
      </w:r>
      <w:r w:rsidRPr="003B6BE7">
        <w:rPr>
          <w:lang w:val="en-GB"/>
        </w:rPr>
        <w:t xml:space="preserve"> </w:t>
      </w:r>
    </w:p>
    <w:p w14:paraId="3E9F1239" w14:textId="77777777" w:rsidR="00670E4C" w:rsidRPr="003B6BE7" w:rsidRDefault="00670E4C" w:rsidP="00670E4C">
      <w:pPr>
        <w:pStyle w:val="ListParagraph"/>
        <w:numPr>
          <w:ilvl w:val="0"/>
          <w:numId w:val="2"/>
        </w:numPr>
        <w:spacing w:after="160" w:line="259" w:lineRule="auto"/>
        <w:rPr>
          <w:lang w:val="en-GB"/>
        </w:rPr>
      </w:pPr>
      <w:r w:rsidRPr="003B6BE7">
        <w:rPr>
          <w:lang w:val="en-GB"/>
        </w:rPr>
        <w:t xml:space="preserve">Durable homes: </w:t>
      </w:r>
      <w:r>
        <w:rPr>
          <w:lang w:val="en-GB"/>
        </w:rPr>
        <w:t>eradication of informal housing in urban settlements</w:t>
      </w:r>
    </w:p>
    <w:p w14:paraId="778AF942" w14:textId="77777777" w:rsidR="00670E4C" w:rsidRDefault="00670E4C" w:rsidP="00670E4C">
      <w:pPr>
        <w:pStyle w:val="ListParagraph"/>
        <w:numPr>
          <w:ilvl w:val="0"/>
          <w:numId w:val="2"/>
        </w:numPr>
        <w:spacing w:after="160" w:line="259" w:lineRule="auto"/>
        <w:rPr>
          <w:lang w:val="en-GB"/>
        </w:rPr>
      </w:pPr>
      <w:r w:rsidRPr="003B6BE7">
        <w:rPr>
          <w:lang w:val="en-GB"/>
        </w:rPr>
        <w:t>Cooling</w:t>
      </w:r>
      <w:r>
        <w:rPr>
          <w:lang w:val="en-GB"/>
        </w:rPr>
        <w:t>:</w:t>
      </w:r>
      <w:r w:rsidRPr="003B6BE7">
        <w:rPr>
          <w:lang w:val="en-GB"/>
        </w:rPr>
        <w:t xml:space="preserve"> access to fans </w:t>
      </w:r>
      <w:r>
        <w:rPr>
          <w:lang w:val="en-GB"/>
        </w:rPr>
        <w:t>and/</w:t>
      </w:r>
      <w:r w:rsidRPr="003B6BE7">
        <w:rPr>
          <w:lang w:val="en-GB"/>
        </w:rPr>
        <w:t>or air-conditioners where needed to shelter from heat.</w:t>
      </w:r>
    </w:p>
    <w:p w14:paraId="13D05B3D" w14:textId="77777777" w:rsidR="00670E4C" w:rsidRPr="003B6BE7" w:rsidRDefault="00670E4C" w:rsidP="00670E4C">
      <w:pPr>
        <w:pStyle w:val="ListParagraph"/>
        <w:numPr>
          <w:ilvl w:val="0"/>
          <w:numId w:val="2"/>
        </w:numPr>
        <w:spacing w:after="160" w:line="259" w:lineRule="auto"/>
        <w:rPr>
          <w:lang w:val="en-GB"/>
        </w:rPr>
      </w:pPr>
      <w:r w:rsidRPr="003B6BE7">
        <w:rPr>
          <w:lang w:val="en-GB"/>
        </w:rPr>
        <w:t>Clean cooki</w:t>
      </w:r>
      <w:r>
        <w:rPr>
          <w:lang w:val="en-GB"/>
        </w:rPr>
        <w:t>ng</w:t>
      </w:r>
      <w:r w:rsidRPr="003B6BE7">
        <w:rPr>
          <w:lang w:val="en-GB"/>
        </w:rPr>
        <w:t xml:space="preserve">: access to clean </w:t>
      </w:r>
      <w:r>
        <w:rPr>
          <w:lang w:val="en-GB"/>
        </w:rPr>
        <w:t>cooking stoves</w:t>
      </w:r>
    </w:p>
    <w:p w14:paraId="3B48F134" w14:textId="77777777" w:rsidR="00670E4C" w:rsidRPr="003B6BE7" w:rsidRDefault="00670E4C" w:rsidP="00670E4C">
      <w:pPr>
        <w:pStyle w:val="ListParagraph"/>
        <w:numPr>
          <w:ilvl w:val="0"/>
          <w:numId w:val="2"/>
        </w:numPr>
        <w:spacing w:after="160" w:line="259" w:lineRule="auto"/>
        <w:rPr>
          <w:lang w:val="en-GB"/>
        </w:rPr>
      </w:pPr>
      <w:r w:rsidRPr="003B6BE7">
        <w:rPr>
          <w:lang w:val="en-GB"/>
        </w:rPr>
        <w:t xml:space="preserve">Appliances: access </w:t>
      </w:r>
      <w:r>
        <w:rPr>
          <w:lang w:val="en-GB"/>
        </w:rPr>
        <w:t xml:space="preserve">to basic appliances, including </w:t>
      </w:r>
      <w:r w:rsidRPr="003B6BE7">
        <w:rPr>
          <w:lang w:val="en-GB"/>
        </w:rPr>
        <w:t>to refrigerators and televisions</w:t>
      </w:r>
    </w:p>
    <w:p w14:paraId="785A1AA6" w14:textId="77777777" w:rsidR="00670E4C" w:rsidRDefault="00670E4C" w:rsidP="00670E4C"/>
    <w:p w14:paraId="002A4187" w14:textId="227E8930" w:rsidR="00670E4C" w:rsidRPr="0014550B" w:rsidRDefault="00670E4C" w:rsidP="00670E4C">
      <w:r>
        <w:t xml:space="preserve">The </w:t>
      </w:r>
      <w:r w:rsidR="00182FC3" w:rsidRPr="00182FC3">
        <w:rPr>
          <w:i/>
          <w:iCs/>
        </w:rPr>
        <w:t>Decent Living – Demand-side measures</w:t>
      </w:r>
      <w:r>
        <w:t xml:space="preserve"> scenario combines improved access to wellbeing in line with the Decent Living scenario and additional </w:t>
      </w:r>
      <w:r w:rsidR="00182FC3">
        <w:t xml:space="preserve">demand-side measures </w:t>
      </w:r>
      <w:r>
        <w:t xml:space="preserve">achievable with currently available technologies, representing the </w:t>
      </w:r>
      <w:proofErr w:type="gramStart"/>
      <w:r>
        <w:t>best case</w:t>
      </w:r>
      <w:proofErr w:type="gramEnd"/>
      <w:r>
        <w:t xml:space="preserve"> scenario for technological improvements</w:t>
      </w:r>
      <w:r w:rsidR="00504312">
        <w:t xml:space="preserve"> and </w:t>
      </w:r>
      <w:proofErr w:type="spellStart"/>
      <w:r w:rsidR="00504312">
        <w:t>behavioural</w:t>
      </w:r>
      <w:proofErr w:type="spellEnd"/>
      <w:r w:rsidR="00504312">
        <w:t xml:space="preserve"> change</w:t>
      </w:r>
      <w:r>
        <w:t>. Energy efficiency improvements include the following measures:</w:t>
      </w:r>
    </w:p>
    <w:p w14:paraId="70208D8A" w14:textId="77777777" w:rsidR="00670E4C" w:rsidRPr="003B6BE7" w:rsidRDefault="00670E4C" w:rsidP="00670E4C">
      <w:pPr>
        <w:pStyle w:val="ListParagraph"/>
        <w:numPr>
          <w:ilvl w:val="0"/>
          <w:numId w:val="1"/>
        </w:numPr>
        <w:spacing w:after="160" w:line="259" w:lineRule="auto"/>
        <w:rPr>
          <w:lang w:val="en-GB"/>
        </w:rPr>
      </w:pPr>
      <w:r w:rsidRPr="003B6BE7">
        <w:rPr>
          <w:lang w:val="en-GB"/>
        </w:rPr>
        <w:lastRenderedPageBreak/>
        <w:t>Energy-efficient building shell</w:t>
      </w:r>
      <w:r>
        <w:rPr>
          <w:lang w:val="en-GB"/>
        </w:rPr>
        <w:t xml:space="preserve"> interventions in new buildings, such as improved building insulation, windows,</w:t>
      </w:r>
      <w:r w:rsidRPr="003B6BE7">
        <w:rPr>
          <w:lang w:val="en-GB"/>
        </w:rPr>
        <w:t xml:space="preserve"> </w:t>
      </w:r>
      <w:r>
        <w:rPr>
          <w:lang w:val="en-GB"/>
        </w:rPr>
        <w:t xml:space="preserve">and </w:t>
      </w:r>
      <w:r w:rsidRPr="003B6BE7">
        <w:rPr>
          <w:lang w:val="en-GB"/>
        </w:rPr>
        <w:t>shading</w:t>
      </w:r>
      <w:r>
        <w:rPr>
          <w:lang w:val="en-GB"/>
        </w:rPr>
        <w:t>.</w:t>
      </w:r>
      <w:r w:rsidRPr="003B6BE7">
        <w:rPr>
          <w:lang w:val="en-GB"/>
        </w:rPr>
        <w:t xml:space="preserve"> </w:t>
      </w:r>
    </w:p>
    <w:p w14:paraId="2BE2DB80" w14:textId="7B1BC37E" w:rsidR="00670E4C" w:rsidRPr="003B6BE7" w:rsidRDefault="00670E4C" w:rsidP="00670E4C">
      <w:pPr>
        <w:pStyle w:val="ListParagraph"/>
        <w:numPr>
          <w:ilvl w:val="0"/>
          <w:numId w:val="1"/>
        </w:numPr>
        <w:spacing w:after="160" w:line="259" w:lineRule="auto"/>
        <w:rPr>
          <w:lang w:val="en-GB"/>
        </w:rPr>
      </w:pPr>
      <w:r w:rsidRPr="003B6BE7">
        <w:rPr>
          <w:lang w:val="en-GB"/>
        </w:rPr>
        <w:t>Energy efficient</w:t>
      </w:r>
      <w:r w:rsidR="00DE5728">
        <w:rPr>
          <w:lang w:val="en-GB"/>
        </w:rPr>
        <w:t xml:space="preserve"> heating and</w:t>
      </w:r>
      <w:r w:rsidRPr="003B6BE7">
        <w:rPr>
          <w:lang w:val="en-GB"/>
        </w:rPr>
        <w:t xml:space="preserve"> cooling systems</w:t>
      </w:r>
      <w:r>
        <w:rPr>
          <w:lang w:val="en-GB"/>
        </w:rPr>
        <w:t>.</w:t>
      </w:r>
    </w:p>
    <w:p w14:paraId="390B82CF" w14:textId="6FBB65E8" w:rsidR="00670E4C" w:rsidRPr="003B6BE7" w:rsidRDefault="00670E4C" w:rsidP="00670E4C">
      <w:pPr>
        <w:pStyle w:val="ListParagraph"/>
        <w:numPr>
          <w:ilvl w:val="0"/>
          <w:numId w:val="1"/>
        </w:numPr>
        <w:spacing w:after="160" w:line="259" w:lineRule="auto"/>
        <w:rPr>
          <w:lang w:val="en-GB"/>
        </w:rPr>
      </w:pPr>
      <w:r w:rsidRPr="003B6BE7">
        <w:rPr>
          <w:lang w:val="en-GB"/>
        </w:rPr>
        <w:t>Energy-efficient</w:t>
      </w:r>
      <w:r w:rsidR="00D366F4">
        <w:rPr>
          <w:lang w:val="en-GB"/>
        </w:rPr>
        <w:t xml:space="preserve"> cooking stoves and</w:t>
      </w:r>
      <w:r w:rsidRPr="003B6BE7">
        <w:rPr>
          <w:lang w:val="en-GB"/>
        </w:rPr>
        <w:t xml:space="preserve"> appliances</w:t>
      </w:r>
      <w:r>
        <w:rPr>
          <w:lang w:val="en-GB"/>
        </w:rPr>
        <w:t>.</w:t>
      </w:r>
    </w:p>
    <w:p w14:paraId="09A619B7" w14:textId="6F952FE2" w:rsidR="00670E4C" w:rsidRDefault="00D366F4" w:rsidP="00670E4C">
      <w:pPr>
        <w:pStyle w:val="ListParagraph"/>
        <w:numPr>
          <w:ilvl w:val="0"/>
          <w:numId w:val="1"/>
        </w:numPr>
        <w:spacing w:after="160" w:line="259" w:lineRule="auto"/>
        <w:rPr>
          <w:lang w:val="en-GB"/>
        </w:rPr>
      </w:pPr>
      <w:r>
        <w:rPr>
          <w:lang w:val="en-GB"/>
        </w:rPr>
        <w:t>Electrification</w:t>
      </w:r>
    </w:p>
    <w:p w14:paraId="44354524" w14:textId="625AFADF" w:rsidR="00670E4C" w:rsidRPr="00D366F4" w:rsidRDefault="00D366F4" w:rsidP="00670E4C">
      <w:pPr>
        <w:pStyle w:val="ListParagraph"/>
        <w:numPr>
          <w:ilvl w:val="0"/>
          <w:numId w:val="1"/>
        </w:numPr>
        <w:spacing w:after="160" w:line="259" w:lineRule="auto"/>
        <w:rPr>
          <w:lang w:val="en-GB"/>
        </w:rPr>
      </w:pPr>
      <w:r>
        <w:rPr>
          <w:lang w:val="en-GB"/>
        </w:rPr>
        <w:t>B</w:t>
      </w:r>
      <w:r w:rsidRPr="00D366F4">
        <w:rPr>
          <w:lang w:val="en-GB"/>
        </w:rPr>
        <w:t>ehavioural change limiting energy demand.</w:t>
      </w:r>
    </w:p>
    <w:p w14:paraId="30766642" w14:textId="4081D919" w:rsidR="00692184" w:rsidRDefault="00670E4C" w:rsidP="00670E4C">
      <w:pPr>
        <w:spacing w:after="160" w:line="259" w:lineRule="auto"/>
        <w:rPr>
          <w:rFonts w:ascii="Calibri" w:hAnsi="Calibri" w:cs="Calibri"/>
          <w:color w:val="000000"/>
          <w:sz w:val="21"/>
          <w:szCs w:val="21"/>
          <w:lang w:val="en-GB"/>
        </w:rPr>
      </w:pPr>
      <w:r>
        <w:rPr>
          <w:lang w:val="en-GB"/>
        </w:rPr>
        <w:t>We consider two sets of climate policies</w:t>
      </w:r>
      <w:r w:rsidR="00717BEF">
        <w:rPr>
          <w:lang w:val="en-GB"/>
        </w:rPr>
        <w:t xml:space="preserve"> strategies</w:t>
      </w:r>
      <w:r>
        <w:rPr>
          <w:lang w:val="en-GB"/>
        </w:rPr>
        <w:t xml:space="preserve">. The </w:t>
      </w:r>
      <w:r w:rsidRPr="009B7B31">
        <w:rPr>
          <w:i/>
          <w:iCs/>
          <w:lang w:val="en-GB"/>
        </w:rPr>
        <w:t>Current Policies</w:t>
      </w:r>
      <w:r>
        <w:rPr>
          <w:lang w:val="en-GB"/>
        </w:rPr>
        <w:t xml:space="preserve"> </w:t>
      </w:r>
      <w:r w:rsidR="00717BEF">
        <w:rPr>
          <w:lang w:val="en-GB"/>
        </w:rPr>
        <w:t>strategies</w:t>
      </w:r>
      <w:r>
        <w:rPr>
          <w:lang w:val="en-GB"/>
        </w:rPr>
        <w:t xml:space="preserve"> assume continuation </w:t>
      </w:r>
      <w:r>
        <w:rPr>
          <w:rFonts w:ascii="Calibri" w:hAnsi="Calibri" w:cs="Calibri"/>
          <w:color w:val="000000"/>
        </w:rPr>
        <w:t xml:space="preserve">of current policies but no stringent climate policies. The </w:t>
      </w:r>
      <w:r w:rsidRPr="009B7B31">
        <w:rPr>
          <w:rFonts w:ascii="Calibri" w:hAnsi="Calibri" w:cs="Calibri"/>
          <w:i/>
          <w:iCs/>
          <w:color w:val="000000"/>
        </w:rPr>
        <w:t>Mitigation Policies</w:t>
      </w:r>
      <w:r>
        <w:rPr>
          <w:rFonts w:ascii="Calibri" w:hAnsi="Calibri" w:cs="Calibri"/>
          <w:color w:val="000000"/>
        </w:rPr>
        <w:t xml:space="preserve"> </w:t>
      </w:r>
      <w:r w:rsidR="00717BEF">
        <w:rPr>
          <w:rFonts w:ascii="Calibri" w:hAnsi="Calibri" w:cs="Calibri"/>
          <w:color w:val="000000"/>
        </w:rPr>
        <w:t xml:space="preserve">strategies </w:t>
      </w:r>
      <w:r>
        <w:rPr>
          <w:rFonts w:ascii="Calibri" w:hAnsi="Calibri" w:cs="Calibri"/>
          <w:color w:val="000000"/>
        </w:rPr>
        <w:t xml:space="preserve">assume stringent climate policies aligned with </w:t>
      </w:r>
      <w:r w:rsidRPr="003B6BE7">
        <w:rPr>
          <w:rFonts w:ascii="Calibri" w:hAnsi="Calibri" w:cs="Calibri"/>
          <w:color w:val="000000"/>
          <w:sz w:val="21"/>
          <w:szCs w:val="21"/>
          <w:lang w:val="en-GB"/>
        </w:rPr>
        <w:t>the 1.5°C target.</w:t>
      </w:r>
      <w:r>
        <w:rPr>
          <w:rFonts w:ascii="Calibri" w:hAnsi="Calibri" w:cs="Calibri"/>
          <w:color w:val="000000"/>
          <w:sz w:val="21"/>
          <w:szCs w:val="21"/>
          <w:lang w:val="en-GB"/>
        </w:rPr>
        <w:t xml:space="preserve"> The end-of-century carbon budget associated with this scenario </w:t>
      </w:r>
      <w:r w:rsidRPr="002F2366">
        <w:rPr>
          <w:rFonts w:ascii="Calibri" w:hAnsi="Calibri" w:cs="Calibri"/>
          <w:color w:val="000000"/>
          <w:sz w:val="21"/>
          <w:szCs w:val="21"/>
          <w:lang w:val="en-GB"/>
        </w:rPr>
        <w:t>(2020-2100)</w:t>
      </w:r>
      <w:r>
        <w:rPr>
          <w:rFonts w:ascii="Calibri" w:hAnsi="Calibri" w:cs="Calibri"/>
          <w:color w:val="000000"/>
          <w:sz w:val="21"/>
          <w:szCs w:val="21"/>
          <w:lang w:val="en-GB"/>
        </w:rPr>
        <w:t xml:space="preserve"> is</w:t>
      </w:r>
      <w:r w:rsidRPr="002F2366">
        <w:rPr>
          <w:rFonts w:ascii="Calibri" w:hAnsi="Calibri" w:cs="Calibri"/>
          <w:color w:val="000000"/>
          <w:sz w:val="21"/>
          <w:szCs w:val="21"/>
          <w:lang w:val="en-GB"/>
        </w:rPr>
        <w:t xml:space="preserve"> 600 GtCO</w:t>
      </w:r>
      <w:r w:rsidRPr="00542533">
        <w:rPr>
          <w:rFonts w:ascii="Calibri" w:hAnsi="Calibri" w:cs="Calibri"/>
          <w:color w:val="000000"/>
          <w:sz w:val="21"/>
          <w:szCs w:val="21"/>
          <w:vertAlign w:val="subscript"/>
          <w:lang w:val="en-GB"/>
        </w:rPr>
        <w:t>2</w:t>
      </w:r>
      <w:r>
        <w:rPr>
          <w:rFonts w:ascii="Calibri" w:hAnsi="Calibri" w:cs="Calibri"/>
          <w:color w:val="000000"/>
          <w:sz w:val="21"/>
          <w:szCs w:val="21"/>
          <w:lang w:val="en-GB"/>
        </w:rPr>
        <w:t xml:space="preserve">. </w:t>
      </w:r>
    </w:p>
    <w:p w14:paraId="4F71799B" w14:textId="77777777" w:rsidR="00717BEF" w:rsidRPr="00692184" w:rsidRDefault="00717BEF" w:rsidP="00670E4C">
      <w:pPr>
        <w:spacing w:after="160" w:line="259" w:lineRule="auto"/>
        <w:rPr>
          <w:rFonts w:ascii="Calibri" w:hAnsi="Calibri" w:cs="Calibri"/>
          <w:color w:val="000000"/>
          <w:sz w:val="21"/>
          <w:szCs w:val="21"/>
          <w:lang w:val="en-GB"/>
        </w:rPr>
      </w:pPr>
    </w:p>
    <w:p w14:paraId="60E8D56C" w14:textId="77777777" w:rsidR="00670E4C" w:rsidRDefault="00670E4C" w:rsidP="00717BEF">
      <w:pPr>
        <w:pStyle w:val="Heading3"/>
      </w:pPr>
      <w:bookmarkStart w:id="8" w:name="_Toc210201885"/>
      <w:r>
        <w:t>Variable template</w:t>
      </w:r>
      <w:bookmarkEnd w:id="8"/>
    </w:p>
    <w:p w14:paraId="5F50729D" w14:textId="074CB5EE" w:rsidR="00670E4C" w:rsidRPr="005C07BE" w:rsidRDefault="00670E4C" w:rsidP="00670E4C">
      <w:pPr>
        <w:rPr>
          <w:lang w:val="en-GB"/>
        </w:rPr>
      </w:pPr>
      <w:r>
        <w:rPr>
          <w:lang w:val="en-GB"/>
        </w:rPr>
        <w:t>Supplementary Table 2 reports the variable template for this study, based on the IAMC time-series data template</w:t>
      </w:r>
      <w:r>
        <w:rPr>
          <w:lang w:val="en-GB"/>
        </w:rPr>
        <w:fldChar w:fldCharType="begin"/>
      </w:r>
      <w:r w:rsidR="00AD4028">
        <w:rPr>
          <w:lang w:val="en-GB"/>
        </w:rPr>
        <w:instrText xml:space="preserve"> ADDIN ZOTERO_ITEM CSL_CITATION {"citationID":"PDFfFTBF","properties":{"formattedCitation":"\\super 12\\nosupersub{}","plainCitation":"12","noteIndex":0},"citationItems":[{"id":4015,"uris":["http://zotero.org/users/8450109/items/BM6XAPQN"],"itemData":{"id":4015,"type":"document","publisher":"Integrted Assessment Modeling Consortium (IAMC)","title":"IAMC time-series data template","URL":"https://www.iamconsortium.org/scientific-working-groups/data-protocols-and-management/iamc-time-series-data-template/","author":[{"family":"IAMC","given":""}],"accessed":{"date-parts":[["2024",5,14]]}}}],"schema":"https://github.com/citation-style-language/schema/raw/master/csl-citation.json"} </w:instrText>
      </w:r>
      <w:r>
        <w:rPr>
          <w:lang w:val="en-GB"/>
        </w:rPr>
        <w:fldChar w:fldCharType="separate"/>
      </w:r>
      <w:r w:rsidR="00AD4028" w:rsidRPr="00AD4028">
        <w:rPr>
          <w:rFonts w:ascii="Calibri" w:hAnsi="Calibri" w:cs="Calibri"/>
          <w:vertAlign w:val="superscript"/>
        </w:rPr>
        <w:t>12</w:t>
      </w:r>
      <w:r>
        <w:rPr>
          <w:lang w:val="en-GB"/>
        </w:rPr>
        <w:fldChar w:fldCharType="end"/>
      </w:r>
      <w:r>
        <w:rPr>
          <w:lang w:val="en-GB"/>
        </w:rPr>
        <w:t>. Additional variables were defined at more granular level, depending on the output of specific models.</w:t>
      </w:r>
      <w:r>
        <w:br w:type="page"/>
      </w:r>
    </w:p>
    <w:p w14:paraId="2C49DDD5" w14:textId="77777777" w:rsidR="00670E4C" w:rsidRDefault="00670E4C" w:rsidP="00670E4C">
      <w:pPr>
        <w:pStyle w:val="Caption"/>
        <w:keepNext/>
        <w:sectPr w:rsidR="00670E4C" w:rsidSect="00670E4C">
          <w:footerReference w:type="default" r:id="rId12"/>
          <w:pgSz w:w="11906" w:h="16838" w:code="9"/>
          <w:pgMar w:top="1440" w:right="1440" w:bottom="1440" w:left="1440" w:header="720" w:footer="720" w:gutter="0"/>
          <w:cols w:space="720"/>
          <w:docGrid w:linePitch="360"/>
        </w:sectPr>
      </w:pPr>
    </w:p>
    <w:p w14:paraId="28D00454" w14:textId="377768A2" w:rsidR="00670E4C" w:rsidRDefault="00670E4C" w:rsidP="00670E4C">
      <w:pPr>
        <w:pStyle w:val="Caption"/>
        <w:keepNext/>
      </w:pPr>
      <w:r>
        <w:lastRenderedPageBreak/>
        <w:t xml:space="preserve">Supplementary Table </w:t>
      </w:r>
      <w:r w:rsidR="00525765">
        <w:t>5</w:t>
      </w:r>
      <w:r>
        <w:t xml:space="preserve"> Time-series data variable template.</w:t>
      </w:r>
    </w:p>
    <w:tbl>
      <w:tblPr>
        <w:tblW w:w="14504" w:type="dxa"/>
        <w:tblLook w:val="04A0" w:firstRow="1" w:lastRow="0" w:firstColumn="1" w:lastColumn="0" w:noHBand="0" w:noVBand="1"/>
      </w:tblPr>
      <w:tblGrid>
        <w:gridCol w:w="1413"/>
        <w:gridCol w:w="4607"/>
        <w:gridCol w:w="2140"/>
        <w:gridCol w:w="6344"/>
      </w:tblGrid>
      <w:tr w:rsidR="00670E4C" w:rsidRPr="004E0869" w14:paraId="7DBFBF32" w14:textId="77777777" w:rsidTr="00577A7F">
        <w:trPr>
          <w:trHeight w:val="295"/>
        </w:trPr>
        <w:tc>
          <w:tcPr>
            <w:tcW w:w="1413" w:type="dxa"/>
            <w:tcBorders>
              <w:top w:val="single" w:sz="4" w:space="0" w:color="auto"/>
              <w:bottom w:val="single" w:sz="4" w:space="0" w:color="auto"/>
            </w:tcBorders>
            <w:noWrap/>
            <w:hideMark/>
          </w:tcPr>
          <w:p w14:paraId="4F42DD16" w14:textId="77777777" w:rsidR="00670E4C" w:rsidRPr="004E0869" w:rsidRDefault="00670E4C" w:rsidP="00577A7F">
            <w:pPr>
              <w:rPr>
                <w:rFonts w:eastAsia="Times New Roman" w:cstheme="minorHAnsi"/>
                <w:b/>
                <w:bCs/>
                <w:color w:val="000000"/>
                <w:sz w:val="20"/>
                <w:szCs w:val="20"/>
              </w:rPr>
            </w:pPr>
            <w:r w:rsidRPr="004E0869">
              <w:rPr>
                <w:rFonts w:eastAsia="Times New Roman" w:cstheme="minorHAnsi"/>
                <w:b/>
                <w:bCs/>
                <w:color w:val="000000"/>
                <w:sz w:val="20"/>
                <w:szCs w:val="20"/>
              </w:rPr>
              <w:t>Category</w:t>
            </w:r>
          </w:p>
        </w:tc>
        <w:tc>
          <w:tcPr>
            <w:tcW w:w="4607" w:type="dxa"/>
            <w:tcBorders>
              <w:top w:val="single" w:sz="4" w:space="0" w:color="auto"/>
              <w:bottom w:val="single" w:sz="4" w:space="0" w:color="auto"/>
            </w:tcBorders>
            <w:noWrap/>
            <w:hideMark/>
          </w:tcPr>
          <w:p w14:paraId="53287546" w14:textId="77777777" w:rsidR="00670E4C" w:rsidRPr="004E0869" w:rsidRDefault="00670E4C" w:rsidP="00577A7F">
            <w:pPr>
              <w:rPr>
                <w:rFonts w:eastAsia="Times New Roman" w:cstheme="minorHAnsi"/>
                <w:b/>
                <w:bCs/>
                <w:color w:val="000000"/>
                <w:sz w:val="20"/>
                <w:szCs w:val="20"/>
              </w:rPr>
            </w:pPr>
            <w:r w:rsidRPr="004E0869">
              <w:rPr>
                <w:rFonts w:eastAsia="Times New Roman" w:cstheme="minorHAnsi"/>
                <w:b/>
                <w:bCs/>
                <w:color w:val="000000"/>
                <w:sz w:val="20"/>
                <w:szCs w:val="20"/>
              </w:rPr>
              <w:t>Variable</w:t>
            </w:r>
          </w:p>
        </w:tc>
        <w:tc>
          <w:tcPr>
            <w:tcW w:w="2140" w:type="dxa"/>
            <w:tcBorders>
              <w:top w:val="single" w:sz="4" w:space="0" w:color="auto"/>
              <w:bottom w:val="single" w:sz="4" w:space="0" w:color="auto"/>
            </w:tcBorders>
            <w:noWrap/>
            <w:hideMark/>
          </w:tcPr>
          <w:p w14:paraId="5227E7EE" w14:textId="77777777" w:rsidR="00670E4C" w:rsidRPr="004E0869" w:rsidRDefault="00670E4C" w:rsidP="00577A7F">
            <w:pPr>
              <w:rPr>
                <w:rFonts w:eastAsia="Times New Roman" w:cstheme="minorHAnsi"/>
                <w:b/>
                <w:bCs/>
                <w:color w:val="000000"/>
                <w:sz w:val="20"/>
                <w:szCs w:val="20"/>
              </w:rPr>
            </w:pPr>
            <w:r w:rsidRPr="004E0869">
              <w:rPr>
                <w:rFonts w:eastAsia="Times New Roman" w:cstheme="minorHAnsi"/>
                <w:b/>
                <w:bCs/>
                <w:color w:val="000000"/>
                <w:sz w:val="20"/>
                <w:szCs w:val="20"/>
              </w:rPr>
              <w:t>Unit</w:t>
            </w:r>
          </w:p>
        </w:tc>
        <w:tc>
          <w:tcPr>
            <w:tcW w:w="6344" w:type="dxa"/>
            <w:tcBorders>
              <w:top w:val="single" w:sz="4" w:space="0" w:color="auto"/>
              <w:bottom w:val="single" w:sz="4" w:space="0" w:color="auto"/>
            </w:tcBorders>
            <w:hideMark/>
          </w:tcPr>
          <w:p w14:paraId="5FF965B5" w14:textId="77777777" w:rsidR="00670E4C" w:rsidRPr="004E0869" w:rsidRDefault="00670E4C" w:rsidP="00577A7F">
            <w:pPr>
              <w:rPr>
                <w:rFonts w:eastAsia="Times New Roman" w:cstheme="minorHAnsi"/>
                <w:b/>
                <w:bCs/>
                <w:color w:val="000000"/>
                <w:sz w:val="20"/>
                <w:szCs w:val="20"/>
              </w:rPr>
            </w:pPr>
            <w:r w:rsidRPr="004E0869">
              <w:rPr>
                <w:rFonts w:eastAsia="Times New Roman" w:cstheme="minorHAnsi"/>
                <w:b/>
                <w:bCs/>
                <w:color w:val="000000"/>
                <w:sz w:val="20"/>
                <w:szCs w:val="20"/>
              </w:rPr>
              <w:t>Definition</w:t>
            </w:r>
          </w:p>
        </w:tc>
      </w:tr>
      <w:tr w:rsidR="00670E4C" w:rsidRPr="004E0869" w14:paraId="5D8AB332" w14:textId="77777777" w:rsidTr="00577A7F">
        <w:trPr>
          <w:trHeight w:val="320"/>
        </w:trPr>
        <w:tc>
          <w:tcPr>
            <w:tcW w:w="1413" w:type="dxa"/>
            <w:tcBorders>
              <w:top w:val="single" w:sz="4" w:space="0" w:color="auto"/>
            </w:tcBorders>
            <w:noWrap/>
            <w:hideMark/>
          </w:tcPr>
          <w:p w14:paraId="4016D754" w14:textId="77777777" w:rsidR="00670E4C" w:rsidRPr="004E0869" w:rsidRDefault="00670E4C" w:rsidP="00577A7F">
            <w:pPr>
              <w:rPr>
                <w:rFonts w:eastAsia="Times New Roman" w:cstheme="minorHAnsi"/>
                <w:sz w:val="20"/>
                <w:szCs w:val="20"/>
              </w:rPr>
            </w:pPr>
            <w:r w:rsidRPr="004E0869">
              <w:rPr>
                <w:rFonts w:eastAsia="Times New Roman" w:cstheme="minorHAnsi"/>
                <w:sz w:val="20"/>
                <w:szCs w:val="20"/>
              </w:rPr>
              <w:t>demography</w:t>
            </w:r>
          </w:p>
        </w:tc>
        <w:tc>
          <w:tcPr>
            <w:tcW w:w="4607" w:type="dxa"/>
            <w:tcBorders>
              <w:top w:val="single" w:sz="4" w:space="0" w:color="auto"/>
            </w:tcBorders>
            <w:noWrap/>
            <w:hideMark/>
          </w:tcPr>
          <w:p w14:paraId="474F763A"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Population</w:t>
            </w:r>
          </w:p>
        </w:tc>
        <w:tc>
          <w:tcPr>
            <w:tcW w:w="2140" w:type="dxa"/>
            <w:tcBorders>
              <w:top w:val="single" w:sz="4" w:space="0" w:color="auto"/>
            </w:tcBorders>
            <w:noWrap/>
            <w:hideMark/>
          </w:tcPr>
          <w:p w14:paraId="4E775833"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million</w:t>
            </w:r>
          </w:p>
        </w:tc>
        <w:tc>
          <w:tcPr>
            <w:tcW w:w="6344" w:type="dxa"/>
            <w:tcBorders>
              <w:top w:val="single" w:sz="4" w:space="0" w:color="auto"/>
            </w:tcBorders>
            <w:hideMark/>
          </w:tcPr>
          <w:p w14:paraId="537F8128" w14:textId="77777777" w:rsidR="00670E4C" w:rsidRPr="004E0869" w:rsidRDefault="00670E4C" w:rsidP="00577A7F">
            <w:pPr>
              <w:rPr>
                <w:rFonts w:eastAsia="Times New Roman" w:cstheme="minorHAnsi"/>
                <w:color w:val="000000"/>
                <w:sz w:val="20"/>
                <w:szCs w:val="20"/>
              </w:rPr>
            </w:pPr>
            <w:r>
              <w:rPr>
                <w:rFonts w:eastAsia="Times New Roman" w:cstheme="minorHAnsi"/>
                <w:color w:val="000000"/>
                <w:sz w:val="20"/>
                <w:szCs w:val="20"/>
              </w:rPr>
              <w:t>T</w:t>
            </w:r>
            <w:r w:rsidRPr="004E0869">
              <w:rPr>
                <w:rFonts w:eastAsia="Times New Roman" w:cstheme="minorHAnsi"/>
                <w:color w:val="000000"/>
                <w:sz w:val="20"/>
                <w:szCs w:val="20"/>
              </w:rPr>
              <w:t>otal population</w:t>
            </w:r>
          </w:p>
        </w:tc>
      </w:tr>
      <w:tr w:rsidR="00670E4C" w:rsidRPr="004E0869" w14:paraId="05F40DAC" w14:textId="77777777" w:rsidTr="00577A7F">
        <w:trPr>
          <w:trHeight w:val="295"/>
        </w:trPr>
        <w:tc>
          <w:tcPr>
            <w:tcW w:w="1413" w:type="dxa"/>
            <w:noWrap/>
            <w:hideMark/>
          </w:tcPr>
          <w:p w14:paraId="2D0972EF"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DLS</w:t>
            </w:r>
          </w:p>
        </w:tc>
        <w:tc>
          <w:tcPr>
            <w:tcW w:w="4607" w:type="dxa"/>
            <w:hideMark/>
          </w:tcPr>
          <w:p w14:paraId="5E8B18A2" w14:textId="77777777" w:rsidR="00670E4C" w:rsidRPr="004E0869" w:rsidRDefault="00670E4C" w:rsidP="00577A7F">
            <w:pPr>
              <w:rPr>
                <w:rFonts w:eastAsia="Times New Roman" w:cstheme="minorHAnsi"/>
                <w:color w:val="000000"/>
                <w:sz w:val="20"/>
                <w:szCs w:val="20"/>
              </w:rPr>
            </w:pPr>
            <w:proofErr w:type="spellStart"/>
            <w:r w:rsidRPr="004E0869">
              <w:rPr>
                <w:rFonts w:eastAsia="Times New Roman" w:cstheme="minorHAnsi"/>
                <w:color w:val="000000"/>
                <w:sz w:val="20"/>
                <w:szCs w:val="20"/>
              </w:rPr>
              <w:t>Population|Air</w:t>
            </w:r>
            <w:proofErr w:type="spellEnd"/>
            <w:r w:rsidRPr="004E0869">
              <w:rPr>
                <w:rFonts w:eastAsia="Times New Roman" w:cstheme="minorHAnsi"/>
                <w:color w:val="000000"/>
                <w:sz w:val="20"/>
                <w:szCs w:val="20"/>
              </w:rPr>
              <w:t xml:space="preserve"> Conditioning Access</w:t>
            </w:r>
          </w:p>
        </w:tc>
        <w:tc>
          <w:tcPr>
            <w:tcW w:w="2140" w:type="dxa"/>
            <w:noWrap/>
            <w:hideMark/>
          </w:tcPr>
          <w:p w14:paraId="193CE894"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million</w:t>
            </w:r>
          </w:p>
        </w:tc>
        <w:tc>
          <w:tcPr>
            <w:tcW w:w="6344" w:type="dxa"/>
            <w:hideMark/>
          </w:tcPr>
          <w:p w14:paraId="50B3348E"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Population with access to air conditioning.</w:t>
            </w:r>
          </w:p>
        </w:tc>
      </w:tr>
      <w:tr w:rsidR="00670E4C" w:rsidRPr="004E0869" w14:paraId="7B8E3083" w14:textId="77777777" w:rsidTr="00577A7F">
        <w:trPr>
          <w:trHeight w:val="295"/>
        </w:trPr>
        <w:tc>
          <w:tcPr>
            <w:tcW w:w="1413" w:type="dxa"/>
            <w:noWrap/>
            <w:hideMark/>
          </w:tcPr>
          <w:p w14:paraId="7EBD2A0A"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DLS</w:t>
            </w:r>
          </w:p>
        </w:tc>
        <w:tc>
          <w:tcPr>
            <w:tcW w:w="4607" w:type="dxa"/>
            <w:hideMark/>
          </w:tcPr>
          <w:p w14:paraId="3A02C86E" w14:textId="77777777" w:rsidR="00670E4C" w:rsidRPr="004E0869" w:rsidRDefault="00670E4C" w:rsidP="00577A7F">
            <w:pPr>
              <w:rPr>
                <w:rFonts w:eastAsia="Times New Roman" w:cstheme="minorHAnsi"/>
                <w:color w:val="000000"/>
                <w:sz w:val="20"/>
                <w:szCs w:val="20"/>
              </w:rPr>
            </w:pPr>
            <w:proofErr w:type="spellStart"/>
            <w:r w:rsidRPr="004E0869">
              <w:rPr>
                <w:rFonts w:eastAsia="Times New Roman" w:cstheme="minorHAnsi"/>
                <w:color w:val="000000"/>
                <w:sz w:val="20"/>
                <w:szCs w:val="20"/>
              </w:rPr>
              <w:t>Population|Fan</w:t>
            </w:r>
            <w:proofErr w:type="spellEnd"/>
            <w:r w:rsidRPr="004E0869">
              <w:rPr>
                <w:rFonts w:eastAsia="Times New Roman" w:cstheme="minorHAnsi"/>
                <w:color w:val="000000"/>
                <w:sz w:val="20"/>
                <w:szCs w:val="20"/>
              </w:rPr>
              <w:t xml:space="preserve"> Access</w:t>
            </w:r>
          </w:p>
        </w:tc>
        <w:tc>
          <w:tcPr>
            <w:tcW w:w="2140" w:type="dxa"/>
            <w:noWrap/>
            <w:hideMark/>
          </w:tcPr>
          <w:p w14:paraId="17CFF51C"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million</w:t>
            </w:r>
          </w:p>
        </w:tc>
        <w:tc>
          <w:tcPr>
            <w:tcW w:w="6344" w:type="dxa"/>
            <w:hideMark/>
          </w:tcPr>
          <w:p w14:paraId="1FFB0226"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Population with access to fans.</w:t>
            </w:r>
          </w:p>
        </w:tc>
      </w:tr>
      <w:tr w:rsidR="00670E4C" w:rsidRPr="004E0869" w14:paraId="35B7E725" w14:textId="77777777" w:rsidTr="00577A7F">
        <w:trPr>
          <w:trHeight w:val="295"/>
        </w:trPr>
        <w:tc>
          <w:tcPr>
            <w:tcW w:w="1413" w:type="dxa"/>
            <w:noWrap/>
            <w:hideMark/>
          </w:tcPr>
          <w:p w14:paraId="18E80116"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DLS</w:t>
            </w:r>
          </w:p>
        </w:tc>
        <w:tc>
          <w:tcPr>
            <w:tcW w:w="4607" w:type="dxa"/>
            <w:noWrap/>
            <w:hideMark/>
          </w:tcPr>
          <w:p w14:paraId="177E6743" w14:textId="77777777" w:rsidR="00670E4C" w:rsidRPr="004E0869" w:rsidRDefault="00670E4C" w:rsidP="00577A7F">
            <w:pPr>
              <w:rPr>
                <w:rFonts w:eastAsia="Times New Roman" w:cstheme="minorHAnsi"/>
                <w:color w:val="000000"/>
                <w:sz w:val="20"/>
                <w:szCs w:val="20"/>
              </w:rPr>
            </w:pPr>
            <w:proofErr w:type="spellStart"/>
            <w:r w:rsidRPr="004E0869">
              <w:rPr>
                <w:rFonts w:eastAsia="Times New Roman" w:cstheme="minorHAnsi"/>
                <w:color w:val="000000"/>
                <w:sz w:val="20"/>
                <w:szCs w:val="20"/>
              </w:rPr>
              <w:t>Population|Informal</w:t>
            </w:r>
            <w:proofErr w:type="spellEnd"/>
            <w:r w:rsidRPr="004E0869">
              <w:rPr>
                <w:rFonts w:eastAsia="Times New Roman" w:cstheme="minorHAnsi"/>
                <w:color w:val="000000"/>
                <w:sz w:val="20"/>
                <w:szCs w:val="20"/>
              </w:rPr>
              <w:t xml:space="preserve"> Settlements</w:t>
            </w:r>
          </w:p>
        </w:tc>
        <w:tc>
          <w:tcPr>
            <w:tcW w:w="2140" w:type="dxa"/>
            <w:noWrap/>
            <w:hideMark/>
          </w:tcPr>
          <w:p w14:paraId="674C26A4"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million</w:t>
            </w:r>
          </w:p>
        </w:tc>
        <w:tc>
          <w:tcPr>
            <w:tcW w:w="6344" w:type="dxa"/>
            <w:hideMark/>
          </w:tcPr>
          <w:p w14:paraId="6F734F58" w14:textId="77777777" w:rsidR="00670E4C" w:rsidRPr="004E0869" w:rsidRDefault="00670E4C" w:rsidP="00577A7F">
            <w:pPr>
              <w:rPr>
                <w:rFonts w:eastAsia="Times New Roman" w:cstheme="minorHAnsi"/>
                <w:color w:val="000000"/>
                <w:sz w:val="20"/>
                <w:szCs w:val="20"/>
              </w:rPr>
            </w:pPr>
            <w:r>
              <w:rPr>
                <w:rFonts w:eastAsia="Times New Roman" w:cstheme="minorHAnsi"/>
                <w:color w:val="000000"/>
                <w:sz w:val="20"/>
                <w:szCs w:val="20"/>
              </w:rPr>
              <w:t>P</w:t>
            </w:r>
            <w:r w:rsidRPr="004E0869">
              <w:rPr>
                <w:rFonts w:eastAsia="Times New Roman" w:cstheme="minorHAnsi"/>
                <w:color w:val="000000"/>
                <w:sz w:val="20"/>
                <w:szCs w:val="20"/>
              </w:rPr>
              <w:t>opulation living in informal settlements</w:t>
            </w:r>
          </w:p>
        </w:tc>
      </w:tr>
      <w:tr w:rsidR="00670E4C" w:rsidRPr="004E0869" w14:paraId="11112270" w14:textId="77777777" w:rsidTr="00577A7F">
        <w:trPr>
          <w:trHeight w:val="295"/>
        </w:trPr>
        <w:tc>
          <w:tcPr>
            <w:tcW w:w="1413" w:type="dxa"/>
            <w:noWrap/>
            <w:hideMark/>
          </w:tcPr>
          <w:p w14:paraId="6B2B39CD"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DLS</w:t>
            </w:r>
          </w:p>
        </w:tc>
        <w:tc>
          <w:tcPr>
            <w:tcW w:w="4607" w:type="dxa"/>
            <w:noWrap/>
            <w:hideMark/>
          </w:tcPr>
          <w:p w14:paraId="7455529F" w14:textId="77777777" w:rsidR="00670E4C" w:rsidRPr="004E0869" w:rsidRDefault="00670E4C" w:rsidP="00577A7F">
            <w:pPr>
              <w:rPr>
                <w:rFonts w:eastAsia="Times New Roman" w:cstheme="minorHAnsi"/>
                <w:color w:val="000000"/>
                <w:sz w:val="20"/>
                <w:szCs w:val="20"/>
              </w:rPr>
            </w:pPr>
            <w:proofErr w:type="spellStart"/>
            <w:r w:rsidRPr="004E0869">
              <w:rPr>
                <w:rFonts w:eastAsia="Times New Roman" w:cstheme="minorHAnsi"/>
                <w:color w:val="000000"/>
                <w:sz w:val="20"/>
                <w:szCs w:val="20"/>
              </w:rPr>
              <w:t>Population|Electricity</w:t>
            </w:r>
            <w:proofErr w:type="spellEnd"/>
            <w:r w:rsidRPr="004E0869">
              <w:rPr>
                <w:rFonts w:eastAsia="Times New Roman" w:cstheme="minorHAnsi"/>
                <w:color w:val="000000"/>
                <w:sz w:val="20"/>
                <w:szCs w:val="20"/>
              </w:rPr>
              <w:t xml:space="preserve"> Access</w:t>
            </w:r>
          </w:p>
        </w:tc>
        <w:tc>
          <w:tcPr>
            <w:tcW w:w="2140" w:type="dxa"/>
            <w:noWrap/>
            <w:hideMark/>
          </w:tcPr>
          <w:p w14:paraId="084FA65C"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million</w:t>
            </w:r>
          </w:p>
        </w:tc>
        <w:tc>
          <w:tcPr>
            <w:tcW w:w="6344" w:type="dxa"/>
            <w:hideMark/>
          </w:tcPr>
          <w:p w14:paraId="72ADCFFD" w14:textId="77777777" w:rsidR="00670E4C" w:rsidRPr="004E0869" w:rsidRDefault="00670E4C" w:rsidP="00577A7F">
            <w:pPr>
              <w:rPr>
                <w:rFonts w:eastAsia="Times New Roman" w:cstheme="minorHAnsi"/>
                <w:color w:val="000000"/>
                <w:sz w:val="20"/>
                <w:szCs w:val="20"/>
              </w:rPr>
            </w:pPr>
            <w:r>
              <w:rPr>
                <w:rFonts w:eastAsia="Times New Roman" w:cstheme="minorHAnsi"/>
                <w:color w:val="000000"/>
                <w:sz w:val="20"/>
                <w:szCs w:val="20"/>
              </w:rPr>
              <w:t>P</w:t>
            </w:r>
            <w:r w:rsidRPr="004E0869">
              <w:rPr>
                <w:rFonts w:eastAsia="Times New Roman" w:cstheme="minorHAnsi"/>
                <w:color w:val="000000"/>
                <w:sz w:val="20"/>
                <w:szCs w:val="20"/>
              </w:rPr>
              <w:t>opulation with access to electricity</w:t>
            </w:r>
          </w:p>
        </w:tc>
      </w:tr>
      <w:tr w:rsidR="00670E4C" w:rsidRPr="004E0869" w14:paraId="03E971F4" w14:textId="77777777" w:rsidTr="00577A7F">
        <w:trPr>
          <w:trHeight w:val="295"/>
        </w:trPr>
        <w:tc>
          <w:tcPr>
            <w:tcW w:w="1413" w:type="dxa"/>
            <w:noWrap/>
            <w:hideMark/>
          </w:tcPr>
          <w:p w14:paraId="5962CA2C"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DLS</w:t>
            </w:r>
          </w:p>
        </w:tc>
        <w:tc>
          <w:tcPr>
            <w:tcW w:w="4607" w:type="dxa"/>
            <w:noWrap/>
            <w:hideMark/>
          </w:tcPr>
          <w:p w14:paraId="3DF2EF9F" w14:textId="77777777" w:rsidR="00670E4C" w:rsidRPr="004E0869" w:rsidRDefault="00670E4C" w:rsidP="00577A7F">
            <w:pPr>
              <w:rPr>
                <w:rFonts w:eastAsia="Times New Roman" w:cstheme="minorHAnsi"/>
                <w:color w:val="000000"/>
                <w:sz w:val="20"/>
                <w:szCs w:val="20"/>
              </w:rPr>
            </w:pPr>
            <w:proofErr w:type="spellStart"/>
            <w:r w:rsidRPr="004E0869">
              <w:rPr>
                <w:rFonts w:eastAsia="Times New Roman" w:cstheme="minorHAnsi"/>
                <w:color w:val="000000"/>
                <w:sz w:val="20"/>
                <w:szCs w:val="20"/>
              </w:rPr>
              <w:t>Population|Clean</w:t>
            </w:r>
            <w:proofErr w:type="spellEnd"/>
            <w:r w:rsidRPr="004E0869">
              <w:rPr>
                <w:rFonts w:eastAsia="Times New Roman" w:cstheme="minorHAnsi"/>
                <w:color w:val="000000"/>
                <w:sz w:val="20"/>
                <w:szCs w:val="20"/>
              </w:rPr>
              <w:t xml:space="preserve"> Cooking Access</w:t>
            </w:r>
          </w:p>
        </w:tc>
        <w:tc>
          <w:tcPr>
            <w:tcW w:w="2140" w:type="dxa"/>
            <w:noWrap/>
            <w:hideMark/>
          </w:tcPr>
          <w:p w14:paraId="2BDF8759"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million</w:t>
            </w:r>
          </w:p>
        </w:tc>
        <w:tc>
          <w:tcPr>
            <w:tcW w:w="6344" w:type="dxa"/>
            <w:hideMark/>
          </w:tcPr>
          <w:p w14:paraId="395819FB" w14:textId="77777777" w:rsidR="00670E4C" w:rsidRPr="004E0869" w:rsidRDefault="00670E4C" w:rsidP="00577A7F">
            <w:pPr>
              <w:rPr>
                <w:rFonts w:eastAsia="Times New Roman" w:cstheme="minorHAnsi"/>
                <w:color w:val="000000"/>
                <w:sz w:val="20"/>
                <w:szCs w:val="20"/>
              </w:rPr>
            </w:pPr>
            <w:r>
              <w:rPr>
                <w:rFonts w:eastAsia="Times New Roman" w:cstheme="minorHAnsi"/>
                <w:color w:val="000000"/>
                <w:sz w:val="20"/>
                <w:szCs w:val="20"/>
              </w:rPr>
              <w:t>P</w:t>
            </w:r>
            <w:r w:rsidRPr="004E0869">
              <w:rPr>
                <w:rFonts w:eastAsia="Times New Roman" w:cstheme="minorHAnsi"/>
                <w:color w:val="000000"/>
                <w:sz w:val="20"/>
                <w:szCs w:val="20"/>
              </w:rPr>
              <w:t>opulation with access to clean cooking (e.g. non-solid fuels)</w:t>
            </w:r>
          </w:p>
        </w:tc>
      </w:tr>
      <w:tr w:rsidR="00670E4C" w:rsidRPr="004E0869" w14:paraId="46780B1E" w14:textId="77777777" w:rsidTr="00577A7F">
        <w:trPr>
          <w:trHeight w:val="295"/>
        </w:trPr>
        <w:tc>
          <w:tcPr>
            <w:tcW w:w="1413" w:type="dxa"/>
            <w:noWrap/>
            <w:hideMark/>
          </w:tcPr>
          <w:p w14:paraId="2DC540DC"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DLS</w:t>
            </w:r>
          </w:p>
        </w:tc>
        <w:tc>
          <w:tcPr>
            <w:tcW w:w="4607" w:type="dxa"/>
            <w:hideMark/>
          </w:tcPr>
          <w:p w14:paraId="0355F9A3" w14:textId="77777777" w:rsidR="00670E4C" w:rsidRPr="004E0869" w:rsidRDefault="00670E4C" w:rsidP="00577A7F">
            <w:pPr>
              <w:rPr>
                <w:rFonts w:eastAsia="Times New Roman" w:cstheme="minorHAnsi"/>
                <w:color w:val="000000"/>
                <w:sz w:val="20"/>
                <w:szCs w:val="20"/>
              </w:rPr>
            </w:pPr>
            <w:proofErr w:type="spellStart"/>
            <w:r w:rsidRPr="004E0869">
              <w:rPr>
                <w:rFonts w:eastAsia="Times New Roman" w:cstheme="minorHAnsi"/>
                <w:color w:val="000000"/>
                <w:sz w:val="20"/>
                <w:szCs w:val="20"/>
              </w:rPr>
              <w:t>Population|Refrigerator</w:t>
            </w:r>
            <w:proofErr w:type="spellEnd"/>
            <w:r w:rsidRPr="004E0869">
              <w:rPr>
                <w:rFonts w:eastAsia="Times New Roman" w:cstheme="minorHAnsi"/>
                <w:color w:val="000000"/>
                <w:sz w:val="20"/>
                <w:szCs w:val="20"/>
              </w:rPr>
              <w:t xml:space="preserve"> Access</w:t>
            </w:r>
          </w:p>
        </w:tc>
        <w:tc>
          <w:tcPr>
            <w:tcW w:w="2140" w:type="dxa"/>
            <w:noWrap/>
            <w:hideMark/>
          </w:tcPr>
          <w:p w14:paraId="1456A128"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million</w:t>
            </w:r>
          </w:p>
        </w:tc>
        <w:tc>
          <w:tcPr>
            <w:tcW w:w="6344" w:type="dxa"/>
            <w:hideMark/>
          </w:tcPr>
          <w:p w14:paraId="5A71452F"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Population with access to refrigerators.</w:t>
            </w:r>
          </w:p>
        </w:tc>
      </w:tr>
      <w:tr w:rsidR="00670E4C" w:rsidRPr="004E0869" w14:paraId="4B1A6D29" w14:textId="77777777" w:rsidTr="00577A7F">
        <w:trPr>
          <w:trHeight w:val="295"/>
        </w:trPr>
        <w:tc>
          <w:tcPr>
            <w:tcW w:w="1413" w:type="dxa"/>
            <w:noWrap/>
            <w:hideMark/>
          </w:tcPr>
          <w:p w14:paraId="064F5F16"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DLS</w:t>
            </w:r>
          </w:p>
        </w:tc>
        <w:tc>
          <w:tcPr>
            <w:tcW w:w="4607" w:type="dxa"/>
            <w:hideMark/>
          </w:tcPr>
          <w:p w14:paraId="2DFF72A9" w14:textId="77777777" w:rsidR="00670E4C" w:rsidRPr="004E0869" w:rsidRDefault="00670E4C" w:rsidP="00577A7F">
            <w:pPr>
              <w:rPr>
                <w:rFonts w:eastAsia="Times New Roman" w:cstheme="minorHAnsi"/>
                <w:color w:val="000000"/>
                <w:sz w:val="20"/>
                <w:szCs w:val="20"/>
              </w:rPr>
            </w:pPr>
            <w:proofErr w:type="spellStart"/>
            <w:r w:rsidRPr="004E0869">
              <w:rPr>
                <w:rFonts w:eastAsia="Times New Roman" w:cstheme="minorHAnsi"/>
                <w:color w:val="000000"/>
                <w:sz w:val="20"/>
                <w:szCs w:val="20"/>
              </w:rPr>
              <w:t>Population|Television</w:t>
            </w:r>
            <w:proofErr w:type="spellEnd"/>
            <w:r w:rsidRPr="004E0869">
              <w:rPr>
                <w:rFonts w:eastAsia="Times New Roman" w:cstheme="minorHAnsi"/>
                <w:color w:val="000000"/>
                <w:sz w:val="20"/>
                <w:szCs w:val="20"/>
              </w:rPr>
              <w:t xml:space="preserve"> Access</w:t>
            </w:r>
          </w:p>
        </w:tc>
        <w:tc>
          <w:tcPr>
            <w:tcW w:w="2140" w:type="dxa"/>
            <w:noWrap/>
            <w:hideMark/>
          </w:tcPr>
          <w:p w14:paraId="3BDE828E"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million</w:t>
            </w:r>
          </w:p>
        </w:tc>
        <w:tc>
          <w:tcPr>
            <w:tcW w:w="6344" w:type="dxa"/>
            <w:hideMark/>
          </w:tcPr>
          <w:p w14:paraId="62434E29"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Population with access to televisions.</w:t>
            </w:r>
          </w:p>
        </w:tc>
      </w:tr>
      <w:tr w:rsidR="00670E4C" w:rsidRPr="004E0869" w14:paraId="40F7AA8D" w14:textId="77777777" w:rsidTr="00577A7F">
        <w:trPr>
          <w:trHeight w:val="295"/>
        </w:trPr>
        <w:tc>
          <w:tcPr>
            <w:tcW w:w="1413" w:type="dxa"/>
            <w:noWrap/>
            <w:hideMark/>
          </w:tcPr>
          <w:p w14:paraId="4FDA97CF"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energy service</w:t>
            </w:r>
          </w:p>
        </w:tc>
        <w:tc>
          <w:tcPr>
            <w:tcW w:w="4607" w:type="dxa"/>
            <w:noWrap/>
            <w:hideMark/>
          </w:tcPr>
          <w:p w14:paraId="0FFEB8D8"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 xml:space="preserve">Energy </w:t>
            </w:r>
            <w:proofErr w:type="spellStart"/>
            <w:r w:rsidRPr="004E0869">
              <w:rPr>
                <w:rFonts w:eastAsia="Times New Roman" w:cstheme="minorHAnsi"/>
                <w:color w:val="000000"/>
                <w:sz w:val="20"/>
                <w:szCs w:val="20"/>
              </w:rPr>
              <w:t>Service|Residential|Floor</w:t>
            </w:r>
            <w:proofErr w:type="spellEnd"/>
            <w:r w:rsidRPr="004E0869">
              <w:rPr>
                <w:rFonts w:eastAsia="Times New Roman" w:cstheme="minorHAnsi"/>
                <w:color w:val="000000"/>
                <w:sz w:val="20"/>
                <w:szCs w:val="20"/>
              </w:rPr>
              <w:t xml:space="preserve"> Space</w:t>
            </w:r>
          </w:p>
        </w:tc>
        <w:tc>
          <w:tcPr>
            <w:tcW w:w="2140" w:type="dxa"/>
            <w:noWrap/>
            <w:hideMark/>
          </w:tcPr>
          <w:p w14:paraId="3A05E560"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billion m2</w:t>
            </w:r>
          </w:p>
        </w:tc>
        <w:tc>
          <w:tcPr>
            <w:tcW w:w="6344" w:type="dxa"/>
            <w:hideMark/>
          </w:tcPr>
          <w:p w14:paraId="0F3D627A" w14:textId="77777777" w:rsidR="00670E4C" w:rsidRPr="004E0869" w:rsidRDefault="00670E4C" w:rsidP="00577A7F">
            <w:pPr>
              <w:rPr>
                <w:rFonts w:eastAsia="Times New Roman" w:cstheme="minorHAnsi"/>
                <w:color w:val="000000"/>
                <w:sz w:val="20"/>
                <w:szCs w:val="20"/>
              </w:rPr>
            </w:pPr>
            <w:r>
              <w:rPr>
                <w:rFonts w:eastAsia="Times New Roman" w:cstheme="minorHAnsi"/>
                <w:color w:val="000000"/>
                <w:sz w:val="20"/>
                <w:szCs w:val="20"/>
              </w:rPr>
              <w:t>E</w:t>
            </w:r>
            <w:r w:rsidRPr="004E0869">
              <w:rPr>
                <w:rFonts w:eastAsia="Times New Roman" w:cstheme="minorHAnsi"/>
                <w:color w:val="000000"/>
                <w:sz w:val="20"/>
                <w:szCs w:val="20"/>
              </w:rPr>
              <w:t>nergy service demand for conditioned floor space in residential</w:t>
            </w:r>
          </w:p>
        </w:tc>
      </w:tr>
      <w:tr w:rsidR="00670E4C" w:rsidRPr="004E0869" w14:paraId="246EABBB" w14:textId="77777777" w:rsidTr="00577A7F">
        <w:trPr>
          <w:trHeight w:val="295"/>
        </w:trPr>
        <w:tc>
          <w:tcPr>
            <w:tcW w:w="1413" w:type="dxa"/>
            <w:noWrap/>
            <w:hideMark/>
          </w:tcPr>
          <w:p w14:paraId="7856C0F4"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final energy</w:t>
            </w:r>
          </w:p>
        </w:tc>
        <w:tc>
          <w:tcPr>
            <w:tcW w:w="4607" w:type="dxa"/>
            <w:noWrap/>
            <w:hideMark/>
          </w:tcPr>
          <w:p w14:paraId="333559C3"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 xml:space="preserve">Final </w:t>
            </w:r>
            <w:proofErr w:type="spellStart"/>
            <w:r w:rsidRPr="004E0869">
              <w:rPr>
                <w:rFonts w:eastAsia="Times New Roman" w:cstheme="minorHAnsi"/>
                <w:color w:val="000000"/>
                <w:sz w:val="20"/>
                <w:szCs w:val="20"/>
              </w:rPr>
              <w:t>Energy|Residential</w:t>
            </w:r>
            <w:proofErr w:type="spellEnd"/>
          </w:p>
        </w:tc>
        <w:tc>
          <w:tcPr>
            <w:tcW w:w="2140" w:type="dxa"/>
            <w:noWrap/>
            <w:hideMark/>
          </w:tcPr>
          <w:p w14:paraId="20C150E7"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EJ/yr</w:t>
            </w:r>
          </w:p>
        </w:tc>
        <w:tc>
          <w:tcPr>
            <w:tcW w:w="6344" w:type="dxa"/>
            <w:hideMark/>
          </w:tcPr>
          <w:p w14:paraId="33497733" w14:textId="77777777" w:rsidR="00670E4C" w:rsidRPr="004E0869" w:rsidRDefault="00670E4C" w:rsidP="00577A7F">
            <w:pPr>
              <w:rPr>
                <w:rFonts w:eastAsia="Times New Roman" w:cstheme="minorHAnsi"/>
                <w:color w:val="000000"/>
                <w:sz w:val="20"/>
                <w:szCs w:val="20"/>
              </w:rPr>
            </w:pPr>
            <w:r>
              <w:rPr>
                <w:rFonts w:eastAsia="Times New Roman" w:cstheme="minorHAnsi"/>
                <w:color w:val="000000"/>
                <w:sz w:val="20"/>
                <w:szCs w:val="20"/>
              </w:rPr>
              <w:t>F</w:t>
            </w:r>
            <w:r w:rsidRPr="004E0869">
              <w:rPr>
                <w:rFonts w:eastAsia="Times New Roman" w:cstheme="minorHAnsi"/>
                <w:color w:val="000000"/>
                <w:sz w:val="20"/>
                <w:szCs w:val="20"/>
              </w:rPr>
              <w:t>inal energy consumed in the residential sector</w:t>
            </w:r>
          </w:p>
        </w:tc>
      </w:tr>
      <w:tr w:rsidR="00670E4C" w:rsidRPr="004E0869" w14:paraId="4B34C7CC" w14:textId="77777777" w:rsidTr="00577A7F">
        <w:trPr>
          <w:trHeight w:val="295"/>
        </w:trPr>
        <w:tc>
          <w:tcPr>
            <w:tcW w:w="1413" w:type="dxa"/>
            <w:noWrap/>
            <w:hideMark/>
          </w:tcPr>
          <w:p w14:paraId="44BEF45C"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final energy</w:t>
            </w:r>
          </w:p>
        </w:tc>
        <w:tc>
          <w:tcPr>
            <w:tcW w:w="4607" w:type="dxa"/>
            <w:noWrap/>
            <w:hideMark/>
          </w:tcPr>
          <w:p w14:paraId="6CB13593"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 xml:space="preserve">Final </w:t>
            </w:r>
            <w:proofErr w:type="spellStart"/>
            <w:r w:rsidRPr="004E0869">
              <w:rPr>
                <w:rFonts w:eastAsia="Times New Roman" w:cstheme="minorHAnsi"/>
                <w:color w:val="000000"/>
                <w:sz w:val="20"/>
                <w:szCs w:val="20"/>
              </w:rPr>
              <w:t>Energy|Residential|Appliances</w:t>
            </w:r>
            <w:proofErr w:type="spellEnd"/>
          </w:p>
        </w:tc>
        <w:tc>
          <w:tcPr>
            <w:tcW w:w="2140" w:type="dxa"/>
            <w:noWrap/>
            <w:hideMark/>
          </w:tcPr>
          <w:p w14:paraId="65614588"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EJ/yr</w:t>
            </w:r>
          </w:p>
        </w:tc>
        <w:tc>
          <w:tcPr>
            <w:tcW w:w="6344" w:type="dxa"/>
            <w:hideMark/>
          </w:tcPr>
          <w:p w14:paraId="5FB5596E"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Final energy consumption by the residential sector for appliances</w:t>
            </w:r>
          </w:p>
        </w:tc>
      </w:tr>
      <w:tr w:rsidR="00670E4C" w:rsidRPr="004E0869" w14:paraId="4179C595" w14:textId="77777777" w:rsidTr="00577A7F">
        <w:trPr>
          <w:trHeight w:val="295"/>
        </w:trPr>
        <w:tc>
          <w:tcPr>
            <w:tcW w:w="1413" w:type="dxa"/>
            <w:noWrap/>
            <w:hideMark/>
          </w:tcPr>
          <w:p w14:paraId="42E1BA18"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final energy</w:t>
            </w:r>
          </w:p>
        </w:tc>
        <w:tc>
          <w:tcPr>
            <w:tcW w:w="4607" w:type="dxa"/>
            <w:noWrap/>
            <w:hideMark/>
          </w:tcPr>
          <w:p w14:paraId="68AD1484"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 xml:space="preserve">Final </w:t>
            </w:r>
            <w:proofErr w:type="spellStart"/>
            <w:r w:rsidRPr="004E0869">
              <w:rPr>
                <w:rFonts w:eastAsia="Times New Roman" w:cstheme="minorHAnsi"/>
                <w:color w:val="000000"/>
                <w:sz w:val="20"/>
                <w:szCs w:val="20"/>
              </w:rPr>
              <w:t>Energy|Residential|Cooling</w:t>
            </w:r>
            <w:proofErr w:type="spellEnd"/>
          </w:p>
        </w:tc>
        <w:tc>
          <w:tcPr>
            <w:tcW w:w="2140" w:type="dxa"/>
            <w:noWrap/>
            <w:hideMark/>
          </w:tcPr>
          <w:p w14:paraId="52F8F813"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EJ/yr</w:t>
            </w:r>
          </w:p>
        </w:tc>
        <w:tc>
          <w:tcPr>
            <w:tcW w:w="6344" w:type="dxa"/>
            <w:hideMark/>
          </w:tcPr>
          <w:p w14:paraId="3451CEDD"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Final energy consumption by the residential sector for cooling</w:t>
            </w:r>
          </w:p>
        </w:tc>
      </w:tr>
      <w:tr w:rsidR="00670E4C" w:rsidRPr="004E0869" w14:paraId="77C9AF13" w14:textId="77777777" w:rsidTr="00577A7F">
        <w:trPr>
          <w:trHeight w:val="295"/>
        </w:trPr>
        <w:tc>
          <w:tcPr>
            <w:tcW w:w="1413" w:type="dxa"/>
            <w:noWrap/>
            <w:hideMark/>
          </w:tcPr>
          <w:p w14:paraId="41275202"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final energy</w:t>
            </w:r>
          </w:p>
        </w:tc>
        <w:tc>
          <w:tcPr>
            <w:tcW w:w="4607" w:type="dxa"/>
            <w:noWrap/>
            <w:hideMark/>
          </w:tcPr>
          <w:p w14:paraId="1C81DC1D"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 xml:space="preserve">Final </w:t>
            </w:r>
            <w:proofErr w:type="spellStart"/>
            <w:r w:rsidRPr="004E0869">
              <w:rPr>
                <w:rFonts w:eastAsia="Times New Roman" w:cstheme="minorHAnsi"/>
                <w:color w:val="000000"/>
                <w:sz w:val="20"/>
                <w:szCs w:val="20"/>
              </w:rPr>
              <w:t>Energy|Residential|Heating|Cooking</w:t>
            </w:r>
            <w:proofErr w:type="spellEnd"/>
          </w:p>
        </w:tc>
        <w:tc>
          <w:tcPr>
            <w:tcW w:w="2140" w:type="dxa"/>
            <w:noWrap/>
            <w:hideMark/>
          </w:tcPr>
          <w:p w14:paraId="3CE5FFA7"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EJ/yr</w:t>
            </w:r>
          </w:p>
        </w:tc>
        <w:tc>
          <w:tcPr>
            <w:tcW w:w="6344" w:type="dxa"/>
            <w:hideMark/>
          </w:tcPr>
          <w:p w14:paraId="5E8D8F92"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 xml:space="preserve">Final energy consumption by the residential sector for </w:t>
            </w:r>
            <w:proofErr w:type="spellStart"/>
            <w:r w:rsidRPr="004E0869">
              <w:rPr>
                <w:rFonts w:eastAsia="Times New Roman" w:cstheme="minorHAnsi"/>
                <w:color w:val="000000"/>
                <w:sz w:val="20"/>
                <w:szCs w:val="20"/>
              </w:rPr>
              <w:t>heating|cooking</w:t>
            </w:r>
            <w:proofErr w:type="spellEnd"/>
          </w:p>
        </w:tc>
      </w:tr>
      <w:tr w:rsidR="00670E4C" w:rsidRPr="004E0869" w14:paraId="26EF8AD1" w14:textId="77777777" w:rsidTr="00577A7F">
        <w:trPr>
          <w:trHeight w:val="476"/>
        </w:trPr>
        <w:tc>
          <w:tcPr>
            <w:tcW w:w="1413" w:type="dxa"/>
            <w:noWrap/>
            <w:hideMark/>
          </w:tcPr>
          <w:p w14:paraId="1C3E846E"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final energy</w:t>
            </w:r>
          </w:p>
        </w:tc>
        <w:tc>
          <w:tcPr>
            <w:tcW w:w="4607" w:type="dxa"/>
            <w:noWrap/>
            <w:hideMark/>
          </w:tcPr>
          <w:p w14:paraId="256B3473"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 xml:space="preserve">Final </w:t>
            </w:r>
            <w:proofErr w:type="spellStart"/>
            <w:r w:rsidRPr="004E0869">
              <w:rPr>
                <w:rFonts w:eastAsia="Times New Roman" w:cstheme="minorHAnsi"/>
                <w:color w:val="000000"/>
                <w:sz w:val="20"/>
                <w:szCs w:val="20"/>
              </w:rPr>
              <w:t>Energy|Residential|Electricity</w:t>
            </w:r>
            <w:proofErr w:type="spellEnd"/>
          </w:p>
        </w:tc>
        <w:tc>
          <w:tcPr>
            <w:tcW w:w="2140" w:type="dxa"/>
            <w:noWrap/>
            <w:hideMark/>
          </w:tcPr>
          <w:p w14:paraId="1CC7D401"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EJ/yr</w:t>
            </w:r>
          </w:p>
        </w:tc>
        <w:tc>
          <w:tcPr>
            <w:tcW w:w="6344" w:type="dxa"/>
            <w:hideMark/>
          </w:tcPr>
          <w:p w14:paraId="391CF4FE" w14:textId="77777777" w:rsidR="00670E4C" w:rsidRPr="004E0869" w:rsidRDefault="00670E4C" w:rsidP="00577A7F">
            <w:pPr>
              <w:rPr>
                <w:rFonts w:eastAsia="Times New Roman" w:cstheme="minorHAnsi"/>
                <w:color w:val="000000"/>
                <w:sz w:val="20"/>
                <w:szCs w:val="20"/>
              </w:rPr>
            </w:pPr>
            <w:r>
              <w:rPr>
                <w:rFonts w:eastAsia="Times New Roman" w:cstheme="minorHAnsi"/>
                <w:color w:val="000000"/>
                <w:sz w:val="20"/>
                <w:szCs w:val="20"/>
              </w:rPr>
              <w:t>F</w:t>
            </w:r>
            <w:r w:rsidRPr="004E0869">
              <w:rPr>
                <w:rFonts w:eastAsia="Times New Roman" w:cstheme="minorHAnsi"/>
                <w:color w:val="000000"/>
                <w:sz w:val="20"/>
                <w:szCs w:val="20"/>
              </w:rPr>
              <w:t>inal energy consumption by the residential sector of electricity, excluding transmission/distribution losses</w:t>
            </w:r>
          </w:p>
        </w:tc>
      </w:tr>
      <w:tr w:rsidR="00670E4C" w:rsidRPr="004E0869" w14:paraId="58A251F8" w14:textId="77777777" w:rsidTr="00577A7F">
        <w:trPr>
          <w:trHeight w:val="467"/>
        </w:trPr>
        <w:tc>
          <w:tcPr>
            <w:tcW w:w="1413" w:type="dxa"/>
            <w:noWrap/>
            <w:hideMark/>
          </w:tcPr>
          <w:p w14:paraId="4EAD45E6"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final energy</w:t>
            </w:r>
          </w:p>
        </w:tc>
        <w:tc>
          <w:tcPr>
            <w:tcW w:w="4607" w:type="dxa"/>
            <w:noWrap/>
            <w:hideMark/>
          </w:tcPr>
          <w:p w14:paraId="685F5774"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 xml:space="preserve">Final </w:t>
            </w:r>
            <w:proofErr w:type="spellStart"/>
            <w:r w:rsidRPr="004E0869">
              <w:rPr>
                <w:rFonts w:eastAsia="Times New Roman" w:cstheme="minorHAnsi"/>
                <w:color w:val="000000"/>
                <w:sz w:val="20"/>
                <w:szCs w:val="20"/>
              </w:rPr>
              <w:t>Energy|Residential|Gases</w:t>
            </w:r>
            <w:proofErr w:type="spellEnd"/>
          </w:p>
        </w:tc>
        <w:tc>
          <w:tcPr>
            <w:tcW w:w="2140" w:type="dxa"/>
            <w:noWrap/>
            <w:hideMark/>
          </w:tcPr>
          <w:p w14:paraId="2CAAE13F"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EJ/yr</w:t>
            </w:r>
          </w:p>
        </w:tc>
        <w:tc>
          <w:tcPr>
            <w:tcW w:w="6344" w:type="dxa"/>
            <w:hideMark/>
          </w:tcPr>
          <w:p w14:paraId="328FFB24" w14:textId="77777777" w:rsidR="00670E4C" w:rsidRPr="004E0869" w:rsidRDefault="00670E4C" w:rsidP="00577A7F">
            <w:pPr>
              <w:rPr>
                <w:rFonts w:eastAsia="Times New Roman" w:cstheme="minorHAnsi"/>
                <w:color w:val="000000"/>
                <w:sz w:val="20"/>
                <w:szCs w:val="20"/>
              </w:rPr>
            </w:pPr>
            <w:r>
              <w:rPr>
                <w:rFonts w:eastAsia="Times New Roman" w:cstheme="minorHAnsi"/>
                <w:color w:val="000000"/>
                <w:sz w:val="20"/>
                <w:szCs w:val="20"/>
              </w:rPr>
              <w:t>F</w:t>
            </w:r>
            <w:r w:rsidRPr="004E0869">
              <w:rPr>
                <w:rFonts w:eastAsia="Times New Roman" w:cstheme="minorHAnsi"/>
                <w:color w:val="000000"/>
                <w:sz w:val="20"/>
                <w:szCs w:val="20"/>
              </w:rPr>
              <w:t>inal energy consumption by the residential sector of gases (natural gas, biogas, coal-gas), excluding transmission/distribution losses</w:t>
            </w:r>
          </w:p>
        </w:tc>
      </w:tr>
      <w:tr w:rsidR="00670E4C" w:rsidRPr="004E0869" w14:paraId="182ECF77" w14:textId="77777777" w:rsidTr="00577A7F">
        <w:trPr>
          <w:trHeight w:val="531"/>
        </w:trPr>
        <w:tc>
          <w:tcPr>
            <w:tcW w:w="1413" w:type="dxa"/>
            <w:noWrap/>
            <w:hideMark/>
          </w:tcPr>
          <w:p w14:paraId="662F7248"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final energy</w:t>
            </w:r>
          </w:p>
        </w:tc>
        <w:tc>
          <w:tcPr>
            <w:tcW w:w="4607" w:type="dxa"/>
            <w:noWrap/>
            <w:hideMark/>
          </w:tcPr>
          <w:p w14:paraId="4540102B"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 xml:space="preserve">Final </w:t>
            </w:r>
            <w:proofErr w:type="spellStart"/>
            <w:r w:rsidRPr="004E0869">
              <w:rPr>
                <w:rFonts w:eastAsia="Times New Roman" w:cstheme="minorHAnsi"/>
                <w:color w:val="000000"/>
                <w:sz w:val="20"/>
                <w:szCs w:val="20"/>
              </w:rPr>
              <w:t>Energy|Residential|Liquids</w:t>
            </w:r>
            <w:proofErr w:type="spellEnd"/>
          </w:p>
        </w:tc>
        <w:tc>
          <w:tcPr>
            <w:tcW w:w="2140" w:type="dxa"/>
            <w:noWrap/>
            <w:hideMark/>
          </w:tcPr>
          <w:p w14:paraId="45B91D8F"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EJ/yr</w:t>
            </w:r>
          </w:p>
        </w:tc>
        <w:tc>
          <w:tcPr>
            <w:tcW w:w="6344" w:type="dxa"/>
            <w:hideMark/>
          </w:tcPr>
          <w:p w14:paraId="69AFCBEA" w14:textId="77777777" w:rsidR="00670E4C" w:rsidRPr="004E0869" w:rsidRDefault="00670E4C" w:rsidP="00577A7F">
            <w:pPr>
              <w:rPr>
                <w:rFonts w:eastAsia="Times New Roman" w:cstheme="minorHAnsi"/>
                <w:color w:val="000000"/>
                <w:sz w:val="20"/>
                <w:szCs w:val="20"/>
              </w:rPr>
            </w:pPr>
            <w:r>
              <w:rPr>
                <w:rFonts w:eastAsia="Times New Roman" w:cstheme="minorHAnsi"/>
                <w:color w:val="000000"/>
                <w:sz w:val="20"/>
                <w:szCs w:val="20"/>
              </w:rPr>
              <w:t>F</w:t>
            </w:r>
            <w:r w:rsidRPr="004E0869">
              <w:rPr>
                <w:rFonts w:eastAsia="Times New Roman" w:cstheme="minorHAnsi"/>
                <w:color w:val="000000"/>
                <w:sz w:val="20"/>
                <w:szCs w:val="20"/>
              </w:rPr>
              <w:t>inal energy consumption by the residential sector of refined liquids (conventional &amp; unconventional oil, biofuels, coal-to-liquids, gas-to-liquids)</w:t>
            </w:r>
          </w:p>
        </w:tc>
      </w:tr>
      <w:tr w:rsidR="00670E4C" w:rsidRPr="004E0869" w14:paraId="085581AD" w14:textId="77777777" w:rsidTr="00577A7F">
        <w:trPr>
          <w:trHeight w:val="411"/>
        </w:trPr>
        <w:tc>
          <w:tcPr>
            <w:tcW w:w="1413" w:type="dxa"/>
            <w:noWrap/>
            <w:hideMark/>
          </w:tcPr>
          <w:p w14:paraId="56D9BA95"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final energy</w:t>
            </w:r>
          </w:p>
        </w:tc>
        <w:tc>
          <w:tcPr>
            <w:tcW w:w="4607" w:type="dxa"/>
            <w:noWrap/>
            <w:hideMark/>
          </w:tcPr>
          <w:p w14:paraId="79D7C25D"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 xml:space="preserve">Final </w:t>
            </w:r>
            <w:proofErr w:type="spellStart"/>
            <w:r w:rsidRPr="004E0869">
              <w:rPr>
                <w:rFonts w:eastAsia="Times New Roman" w:cstheme="minorHAnsi"/>
                <w:color w:val="000000"/>
                <w:sz w:val="20"/>
                <w:szCs w:val="20"/>
              </w:rPr>
              <w:t>Energy|Residential|Other</w:t>
            </w:r>
            <w:proofErr w:type="spellEnd"/>
          </w:p>
        </w:tc>
        <w:tc>
          <w:tcPr>
            <w:tcW w:w="2140" w:type="dxa"/>
            <w:noWrap/>
            <w:hideMark/>
          </w:tcPr>
          <w:p w14:paraId="65485AA0"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EJ/yr</w:t>
            </w:r>
          </w:p>
        </w:tc>
        <w:tc>
          <w:tcPr>
            <w:tcW w:w="6344" w:type="dxa"/>
            <w:hideMark/>
          </w:tcPr>
          <w:p w14:paraId="23C99B3F" w14:textId="77777777" w:rsidR="00670E4C" w:rsidRPr="004E0869" w:rsidRDefault="00670E4C" w:rsidP="00577A7F">
            <w:pPr>
              <w:rPr>
                <w:rFonts w:eastAsia="Times New Roman" w:cstheme="minorHAnsi"/>
                <w:color w:val="000000"/>
                <w:sz w:val="20"/>
                <w:szCs w:val="20"/>
              </w:rPr>
            </w:pPr>
            <w:r>
              <w:rPr>
                <w:rFonts w:eastAsia="Times New Roman" w:cstheme="minorHAnsi"/>
                <w:color w:val="000000"/>
                <w:sz w:val="20"/>
                <w:szCs w:val="20"/>
              </w:rPr>
              <w:t>F</w:t>
            </w:r>
            <w:r w:rsidRPr="004E0869">
              <w:rPr>
                <w:rFonts w:eastAsia="Times New Roman" w:cstheme="minorHAnsi"/>
                <w:color w:val="000000"/>
                <w:sz w:val="20"/>
                <w:szCs w:val="20"/>
              </w:rPr>
              <w:t>inal energy consumption by the residential sector of other sources that do not fit to any other category</w:t>
            </w:r>
          </w:p>
        </w:tc>
      </w:tr>
      <w:tr w:rsidR="00670E4C" w:rsidRPr="004E0869" w14:paraId="5FB1F93B" w14:textId="77777777" w:rsidTr="00577A7F">
        <w:trPr>
          <w:trHeight w:val="295"/>
        </w:trPr>
        <w:tc>
          <w:tcPr>
            <w:tcW w:w="1413" w:type="dxa"/>
            <w:noWrap/>
            <w:hideMark/>
          </w:tcPr>
          <w:p w14:paraId="535C8FC1"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final energy</w:t>
            </w:r>
          </w:p>
        </w:tc>
        <w:tc>
          <w:tcPr>
            <w:tcW w:w="4607" w:type="dxa"/>
            <w:noWrap/>
            <w:hideMark/>
          </w:tcPr>
          <w:p w14:paraId="2103CB03"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 xml:space="preserve">Final </w:t>
            </w:r>
            <w:proofErr w:type="spellStart"/>
            <w:r w:rsidRPr="004E0869">
              <w:rPr>
                <w:rFonts w:eastAsia="Times New Roman" w:cstheme="minorHAnsi"/>
                <w:color w:val="000000"/>
                <w:sz w:val="20"/>
                <w:szCs w:val="20"/>
              </w:rPr>
              <w:t>Energy|Residential|Solids|Biomass</w:t>
            </w:r>
            <w:proofErr w:type="spellEnd"/>
          </w:p>
        </w:tc>
        <w:tc>
          <w:tcPr>
            <w:tcW w:w="2140" w:type="dxa"/>
            <w:noWrap/>
            <w:hideMark/>
          </w:tcPr>
          <w:p w14:paraId="298FFB26"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EJ/yr</w:t>
            </w:r>
          </w:p>
        </w:tc>
        <w:tc>
          <w:tcPr>
            <w:tcW w:w="6344" w:type="dxa"/>
            <w:hideMark/>
          </w:tcPr>
          <w:p w14:paraId="13A2981B" w14:textId="77777777" w:rsidR="00670E4C" w:rsidRPr="004E0869" w:rsidRDefault="00670E4C" w:rsidP="00577A7F">
            <w:pPr>
              <w:rPr>
                <w:rFonts w:eastAsia="Times New Roman" w:cstheme="minorHAnsi"/>
                <w:color w:val="000000"/>
                <w:sz w:val="20"/>
                <w:szCs w:val="20"/>
              </w:rPr>
            </w:pPr>
            <w:r>
              <w:rPr>
                <w:rFonts w:eastAsia="Times New Roman" w:cstheme="minorHAnsi"/>
                <w:color w:val="000000"/>
                <w:sz w:val="20"/>
                <w:szCs w:val="20"/>
              </w:rPr>
              <w:t>F</w:t>
            </w:r>
            <w:r w:rsidRPr="004E0869">
              <w:rPr>
                <w:rFonts w:eastAsia="Times New Roman" w:cstheme="minorHAnsi"/>
                <w:color w:val="000000"/>
                <w:sz w:val="20"/>
                <w:szCs w:val="20"/>
              </w:rPr>
              <w:t>inal energy solid biomass consumption by the residential sector</w:t>
            </w:r>
          </w:p>
        </w:tc>
      </w:tr>
      <w:tr w:rsidR="00670E4C" w:rsidRPr="004E0869" w14:paraId="1DBE0AE6" w14:textId="77777777" w:rsidTr="00577A7F">
        <w:trPr>
          <w:trHeight w:val="295"/>
        </w:trPr>
        <w:tc>
          <w:tcPr>
            <w:tcW w:w="1413" w:type="dxa"/>
            <w:noWrap/>
            <w:hideMark/>
          </w:tcPr>
          <w:p w14:paraId="49B339D4"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final energy</w:t>
            </w:r>
          </w:p>
        </w:tc>
        <w:tc>
          <w:tcPr>
            <w:tcW w:w="4607" w:type="dxa"/>
            <w:noWrap/>
            <w:hideMark/>
          </w:tcPr>
          <w:p w14:paraId="7BBE5B58"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 xml:space="preserve">Final </w:t>
            </w:r>
            <w:proofErr w:type="spellStart"/>
            <w:r w:rsidRPr="004E0869">
              <w:rPr>
                <w:rFonts w:eastAsia="Times New Roman" w:cstheme="minorHAnsi"/>
                <w:color w:val="000000"/>
                <w:sz w:val="20"/>
                <w:szCs w:val="20"/>
              </w:rPr>
              <w:t>Energy|Residential|Solids|Biomass|Traditional</w:t>
            </w:r>
            <w:proofErr w:type="spellEnd"/>
          </w:p>
        </w:tc>
        <w:tc>
          <w:tcPr>
            <w:tcW w:w="2140" w:type="dxa"/>
            <w:noWrap/>
            <w:hideMark/>
          </w:tcPr>
          <w:p w14:paraId="50C33D4C"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EJ/yr</w:t>
            </w:r>
          </w:p>
        </w:tc>
        <w:tc>
          <w:tcPr>
            <w:tcW w:w="6344" w:type="dxa"/>
            <w:hideMark/>
          </w:tcPr>
          <w:p w14:paraId="6D137009" w14:textId="77777777" w:rsidR="00670E4C" w:rsidRPr="004E0869" w:rsidRDefault="00670E4C" w:rsidP="00577A7F">
            <w:pPr>
              <w:rPr>
                <w:rFonts w:eastAsia="Times New Roman" w:cstheme="minorHAnsi"/>
                <w:color w:val="000000"/>
                <w:sz w:val="20"/>
                <w:szCs w:val="20"/>
              </w:rPr>
            </w:pPr>
            <w:r>
              <w:rPr>
                <w:rFonts w:eastAsia="Times New Roman" w:cstheme="minorHAnsi"/>
                <w:color w:val="000000"/>
                <w:sz w:val="20"/>
                <w:szCs w:val="20"/>
              </w:rPr>
              <w:t>F</w:t>
            </w:r>
            <w:r w:rsidRPr="004E0869">
              <w:rPr>
                <w:rFonts w:eastAsia="Times New Roman" w:cstheme="minorHAnsi"/>
                <w:color w:val="000000"/>
                <w:sz w:val="20"/>
                <w:szCs w:val="20"/>
              </w:rPr>
              <w:t>inal energy traditional biomass consumption by the residential sector</w:t>
            </w:r>
          </w:p>
        </w:tc>
      </w:tr>
      <w:tr w:rsidR="00670E4C" w:rsidRPr="004E0869" w14:paraId="0B563BFD" w14:textId="77777777" w:rsidTr="00577A7F">
        <w:trPr>
          <w:trHeight w:val="295"/>
        </w:trPr>
        <w:tc>
          <w:tcPr>
            <w:tcW w:w="1413" w:type="dxa"/>
            <w:noWrap/>
            <w:hideMark/>
          </w:tcPr>
          <w:p w14:paraId="1EB4D653"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final energy</w:t>
            </w:r>
          </w:p>
        </w:tc>
        <w:tc>
          <w:tcPr>
            <w:tcW w:w="4607" w:type="dxa"/>
            <w:noWrap/>
            <w:hideMark/>
          </w:tcPr>
          <w:p w14:paraId="1A8EED8B"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 xml:space="preserve">Final </w:t>
            </w:r>
            <w:proofErr w:type="spellStart"/>
            <w:r w:rsidRPr="004E0869">
              <w:rPr>
                <w:rFonts w:eastAsia="Times New Roman" w:cstheme="minorHAnsi"/>
                <w:color w:val="000000"/>
                <w:sz w:val="20"/>
                <w:szCs w:val="20"/>
              </w:rPr>
              <w:t>Energy|Residential|Solids|Fossil</w:t>
            </w:r>
            <w:proofErr w:type="spellEnd"/>
          </w:p>
        </w:tc>
        <w:tc>
          <w:tcPr>
            <w:tcW w:w="2140" w:type="dxa"/>
            <w:noWrap/>
            <w:hideMark/>
          </w:tcPr>
          <w:p w14:paraId="783BBA98"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EJ/yr</w:t>
            </w:r>
          </w:p>
        </w:tc>
        <w:tc>
          <w:tcPr>
            <w:tcW w:w="6344" w:type="dxa"/>
            <w:hideMark/>
          </w:tcPr>
          <w:p w14:paraId="267255E7" w14:textId="77777777" w:rsidR="00670E4C" w:rsidRPr="004E0869" w:rsidRDefault="00670E4C" w:rsidP="00577A7F">
            <w:pPr>
              <w:rPr>
                <w:rFonts w:eastAsia="Times New Roman" w:cstheme="minorHAnsi"/>
                <w:color w:val="000000"/>
                <w:sz w:val="20"/>
                <w:szCs w:val="20"/>
              </w:rPr>
            </w:pPr>
            <w:r>
              <w:rPr>
                <w:rFonts w:eastAsia="Times New Roman" w:cstheme="minorHAnsi"/>
                <w:color w:val="000000"/>
                <w:sz w:val="20"/>
                <w:szCs w:val="20"/>
              </w:rPr>
              <w:t>F</w:t>
            </w:r>
            <w:r w:rsidRPr="004E0869">
              <w:rPr>
                <w:rFonts w:eastAsia="Times New Roman" w:cstheme="minorHAnsi"/>
                <w:color w:val="000000"/>
                <w:sz w:val="20"/>
                <w:szCs w:val="20"/>
              </w:rPr>
              <w:t>inal energy consumption of fossil solids by the residential sector</w:t>
            </w:r>
          </w:p>
        </w:tc>
      </w:tr>
      <w:tr w:rsidR="00670E4C" w:rsidRPr="004E0869" w14:paraId="41F23C88" w14:textId="77777777" w:rsidTr="00577A7F">
        <w:trPr>
          <w:trHeight w:val="295"/>
        </w:trPr>
        <w:tc>
          <w:tcPr>
            <w:tcW w:w="1413" w:type="dxa"/>
            <w:noWrap/>
            <w:hideMark/>
          </w:tcPr>
          <w:p w14:paraId="06480DD0"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emissions</w:t>
            </w:r>
          </w:p>
        </w:tc>
        <w:tc>
          <w:tcPr>
            <w:tcW w:w="4607" w:type="dxa"/>
            <w:noWrap/>
            <w:hideMark/>
          </w:tcPr>
          <w:p w14:paraId="1546A12F"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Emissions|CO2|Energy|Demand|Residential</w:t>
            </w:r>
          </w:p>
        </w:tc>
        <w:tc>
          <w:tcPr>
            <w:tcW w:w="2140" w:type="dxa"/>
            <w:noWrap/>
            <w:hideMark/>
          </w:tcPr>
          <w:p w14:paraId="51A23987"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Mt CO2/yr</w:t>
            </w:r>
          </w:p>
        </w:tc>
        <w:tc>
          <w:tcPr>
            <w:tcW w:w="6344" w:type="dxa"/>
            <w:hideMark/>
          </w:tcPr>
          <w:p w14:paraId="5785C563"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CO</w:t>
            </w:r>
            <w:r w:rsidRPr="008E798D">
              <w:rPr>
                <w:rFonts w:eastAsia="Times New Roman" w:cstheme="minorHAnsi"/>
                <w:color w:val="000000"/>
                <w:sz w:val="20"/>
                <w:szCs w:val="20"/>
                <w:vertAlign w:val="subscript"/>
              </w:rPr>
              <w:t>2</w:t>
            </w:r>
            <w:r w:rsidRPr="004E0869">
              <w:rPr>
                <w:rFonts w:eastAsia="Times New Roman" w:cstheme="minorHAnsi"/>
                <w:color w:val="000000"/>
                <w:sz w:val="20"/>
                <w:szCs w:val="20"/>
              </w:rPr>
              <w:t xml:space="preserve"> emissions from fuel combustion in residential (IPCC category 1A4b)</w:t>
            </w:r>
          </w:p>
        </w:tc>
      </w:tr>
      <w:tr w:rsidR="00670E4C" w:rsidRPr="004E0869" w14:paraId="5E6497FA" w14:textId="77777777" w:rsidTr="00577A7F">
        <w:trPr>
          <w:trHeight w:val="590"/>
        </w:trPr>
        <w:tc>
          <w:tcPr>
            <w:tcW w:w="1413" w:type="dxa"/>
            <w:tcBorders>
              <w:bottom w:val="single" w:sz="4" w:space="0" w:color="auto"/>
            </w:tcBorders>
            <w:noWrap/>
            <w:hideMark/>
          </w:tcPr>
          <w:p w14:paraId="5C89F38F"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emissions</w:t>
            </w:r>
          </w:p>
        </w:tc>
        <w:tc>
          <w:tcPr>
            <w:tcW w:w="4607" w:type="dxa"/>
            <w:tcBorders>
              <w:bottom w:val="single" w:sz="4" w:space="0" w:color="auto"/>
            </w:tcBorders>
            <w:noWrap/>
            <w:hideMark/>
          </w:tcPr>
          <w:p w14:paraId="33518FB0"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Emissions|CO2|Energy|Supply|Electricity|Residential</w:t>
            </w:r>
          </w:p>
        </w:tc>
        <w:tc>
          <w:tcPr>
            <w:tcW w:w="2140" w:type="dxa"/>
            <w:tcBorders>
              <w:bottom w:val="single" w:sz="4" w:space="0" w:color="auto"/>
            </w:tcBorders>
            <w:noWrap/>
            <w:hideMark/>
          </w:tcPr>
          <w:p w14:paraId="5B022B80"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Mt CO2/yr</w:t>
            </w:r>
          </w:p>
        </w:tc>
        <w:tc>
          <w:tcPr>
            <w:tcW w:w="6344" w:type="dxa"/>
            <w:tcBorders>
              <w:bottom w:val="single" w:sz="4" w:space="0" w:color="auto"/>
            </w:tcBorders>
            <w:hideMark/>
          </w:tcPr>
          <w:p w14:paraId="7D4BC229" w14:textId="77777777" w:rsidR="00670E4C" w:rsidRPr="004E0869" w:rsidRDefault="00670E4C" w:rsidP="00577A7F">
            <w:pPr>
              <w:rPr>
                <w:rFonts w:eastAsia="Times New Roman" w:cstheme="minorHAnsi"/>
                <w:color w:val="000000"/>
                <w:sz w:val="20"/>
                <w:szCs w:val="20"/>
              </w:rPr>
            </w:pPr>
            <w:r w:rsidRPr="004E0869">
              <w:rPr>
                <w:rFonts w:eastAsia="Times New Roman" w:cstheme="minorHAnsi"/>
                <w:color w:val="000000"/>
                <w:sz w:val="20"/>
                <w:szCs w:val="20"/>
              </w:rPr>
              <w:t>CO</w:t>
            </w:r>
            <w:r w:rsidRPr="008E798D">
              <w:rPr>
                <w:rFonts w:eastAsia="Times New Roman" w:cstheme="minorHAnsi"/>
                <w:color w:val="000000"/>
                <w:sz w:val="20"/>
                <w:szCs w:val="20"/>
                <w:vertAlign w:val="subscript"/>
              </w:rPr>
              <w:t>2</w:t>
            </w:r>
            <w:r w:rsidRPr="004E0869">
              <w:rPr>
                <w:rFonts w:eastAsia="Times New Roman" w:cstheme="minorHAnsi"/>
                <w:color w:val="000000"/>
                <w:sz w:val="20"/>
                <w:szCs w:val="20"/>
              </w:rPr>
              <w:t xml:space="preserve"> emissions from electricity and CHP production and distribution (IPCC category 1A1ai and 1A1aii) for the residential sector</w:t>
            </w:r>
          </w:p>
        </w:tc>
      </w:tr>
    </w:tbl>
    <w:p w14:paraId="5427400A" w14:textId="77777777" w:rsidR="004D2C1A" w:rsidRDefault="004D2C1A" w:rsidP="00670E4C">
      <w:pPr>
        <w:rPr>
          <w:lang w:val="en-GB"/>
        </w:rPr>
        <w:sectPr w:rsidR="004D2C1A" w:rsidSect="00670E4C">
          <w:pgSz w:w="16838" w:h="11906" w:orient="landscape" w:code="9"/>
          <w:pgMar w:top="993" w:right="1440" w:bottom="993" w:left="1440" w:header="720" w:footer="720" w:gutter="0"/>
          <w:cols w:space="720"/>
          <w:docGrid w:linePitch="360"/>
        </w:sectPr>
      </w:pPr>
    </w:p>
    <w:p w14:paraId="24E13D85" w14:textId="41616C33" w:rsidR="006B262C" w:rsidRDefault="006B262C" w:rsidP="00717BEF">
      <w:pPr>
        <w:pStyle w:val="Heading1"/>
        <w:rPr>
          <w:color w:val="auto"/>
          <w:lang w:val="en-GB"/>
        </w:rPr>
      </w:pPr>
      <w:bookmarkStart w:id="9" w:name="_Toc210201886"/>
      <w:r w:rsidRPr="00717BEF">
        <w:rPr>
          <w:color w:val="auto"/>
          <w:lang w:val="en-GB"/>
        </w:rPr>
        <w:lastRenderedPageBreak/>
        <w:t>Supplementary Note</w:t>
      </w:r>
      <w:bookmarkEnd w:id="9"/>
    </w:p>
    <w:p w14:paraId="53A09761" w14:textId="77777777" w:rsidR="00717BEF" w:rsidRPr="00717BEF" w:rsidRDefault="00717BEF" w:rsidP="00717BEF">
      <w:pPr>
        <w:rPr>
          <w:lang w:val="en-GB"/>
        </w:rPr>
      </w:pPr>
    </w:p>
    <w:p w14:paraId="4933F26D" w14:textId="7A0F22D8" w:rsidR="008F2A5F" w:rsidRDefault="00EF5761" w:rsidP="008F2A5F">
      <w:pPr>
        <w:keepNext/>
      </w:pPr>
      <w:r>
        <w:rPr>
          <w:lang w:val="en-GB"/>
        </w:rPr>
        <w:t>This section reports additional data and results</w:t>
      </w:r>
      <w:r w:rsidR="000F1237">
        <w:rPr>
          <w:lang w:val="en-GB"/>
        </w:rPr>
        <w:t xml:space="preserve"> </w:t>
      </w:r>
      <w:r w:rsidR="00EB606C">
        <w:rPr>
          <w:lang w:val="en-GB"/>
        </w:rPr>
        <w:t>of</w:t>
      </w:r>
      <w:r w:rsidR="000F1237">
        <w:rPr>
          <w:lang w:val="en-GB"/>
        </w:rPr>
        <w:t xml:space="preserve"> </w:t>
      </w:r>
      <w:r w:rsidR="00CD1250">
        <w:rPr>
          <w:lang w:val="en-GB"/>
        </w:rPr>
        <w:t>the scenario analysis</w:t>
      </w:r>
      <w:r w:rsidR="00EB606C">
        <w:rPr>
          <w:lang w:val="en-GB"/>
        </w:rPr>
        <w:t xml:space="preserve"> </w:t>
      </w:r>
      <w:r w:rsidR="00252431">
        <w:rPr>
          <w:lang w:val="en-GB"/>
        </w:rPr>
        <w:t>based on the five models in this study</w:t>
      </w:r>
      <w:r w:rsidR="00C3721E">
        <w:rPr>
          <w:lang w:val="en-GB"/>
        </w:rPr>
        <w:t xml:space="preserve"> (HEB, IMAGE, </w:t>
      </w:r>
      <w:proofErr w:type="spellStart"/>
      <w:r w:rsidR="00C3721E">
        <w:rPr>
          <w:lang w:val="en-GB"/>
        </w:rPr>
        <w:t>MESSAGEix</w:t>
      </w:r>
      <w:proofErr w:type="spellEnd"/>
      <w:r w:rsidR="00C3721E">
        <w:rPr>
          <w:lang w:val="en-GB"/>
        </w:rPr>
        <w:t>-Buildings,</w:t>
      </w:r>
      <w:r w:rsidR="00C3721E">
        <w:rPr>
          <w:lang w:val="en-GB"/>
        </w:rPr>
        <w:t xml:space="preserve"> PIER,</w:t>
      </w:r>
      <w:r w:rsidR="00C3721E">
        <w:rPr>
          <w:lang w:val="en-GB"/>
        </w:rPr>
        <w:t xml:space="preserve"> and SAFARI)</w:t>
      </w:r>
      <w:r w:rsidR="00CD1250">
        <w:rPr>
          <w:lang w:val="en-GB"/>
        </w:rPr>
        <w:t>. Population projections for India</w:t>
      </w:r>
      <w:r w:rsidR="00D1465E">
        <w:rPr>
          <w:lang w:val="en-GB"/>
        </w:rPr>
        <w:t xml:space="preserve"> are reported in Supplementary Figure 1. </w:t>
      </w:r>
      <w:r w:rsidR="001D5304">
        <w:rPr>
          <w:lang w:val="en-GB"/>
        </w:rPr>
        <w:t xml:space="preserve">Supplementary Figure 2 </w:t>
      </w:r>
      <w:r w:rsidR="00BC2592">
        <w:rPr>
          <w:lang w:val="en-GB"/>
        </w:rPr>
        <w:t>show</w:t>
      </w:r>
      <w:r w:rsidR="001D5304">
        <w:rPr>
          <w:lang w:val="en-GB"/>
        </w:rPr>
        <w:t>s</w:t>
      </w:r>
      <w:r w:rsidR="00BC2592">
        <w:rPr>
          <w:lang w:val="en-GB"/>
        </w:rPr>
        <w:t xml:space="preserve"> the</w:t>
      </w:r>
      <w:r w:rsidR="001D5304">
        <w:rPr>
          <w:lang w:val="en-GB"/>
        </w:rPr>
        <w:t xml:space="preserve"> projections of total residential floorspace</w:t>
      </w:r>
      <w:r w:rsidR="00252431">
        <w:rPr>
          <w:lang w:val="en-GB"/>
        </w:rPr>
        <w:t xml:space="preserve"> </w:t>
      </w:r>
      <w:r w:rsidR="00BC2592">
        <w:rPr>
          <w:lang w:val="en-GB"/>
        </w:rPr>
        <w:t xml:space="preserve">available from four of the models (HEB, IMAGE, </w:t>
      </w:r>
      <w:proofErr w:type="spellStart"/>
      <w:r w:rsidR="00BC2592">
        <w:rPr>
          <w:lang w:val="en-GB"/>
        </w:rPr>
        <w:t>MESSAGEix</w:t>
      </w:r>
      <w:proofErr w:type="spellEnd"/>
      <w:r w:rsidR="00BC2592">
        <w:rPr>
          <w:lang w:val="en-GB"/>
        </w:rPr>
        <w:t>-Buildings, and SAFARI). Apparent final energy intensit</w:t>
      </w:r>
      <w:r w:rsidR="00FD4DBB">
        <w:rPr>
          <w:lang w:val="en-GB"/>
        </w:rPr>
        <w:t>y projections</w:t>
      </w:r>
      <w:r w:rsidR="008F2A5F">
        <w:rPr>
          <w:lang w:val="en-GB"/>
        </w:rPr>
        <w:t xml:space="preserve"> in per-capita terms</w:t>
      </w:r>
      <w:r w:rsidR="00BC2592">
        <w:rPr>
          <w:lang w:val="en-GB"/>
        </w:rPr>
        <w:t xml:space="preserve"> for cooling, appliances and cooking are report</w:t>
      </w:r>
      <w:r w:rsidR="008F2A5F">
        <w:rPr>
          <w:lang w:val="en-GB"/>
        </w:rPr>
        <w:t xml:space="preserve">ed in Supplementary Figure 3. </w:t>
      </w:r>
      <w:r w:rsidR="008F2A5F">
        <w:t xml:space="preserve">Supplementary Figure 4 </w:t>
      </w:r>
      <w:r w:rsidR="008F2A5F">
        <w:t>show</w:t>
      </w:r>
      <w:r w:rsidR="008F2A5F">
        <w:t>s the CO</w:t>
      </w:r>
      <w:r w:rsidR="008F2A5F" w:rsidRPr="008F2A5F">
        <w:rPr>
          <w:vertAlign w:val="subscript"/>
        </w:rPr>
        <w:t>2</w:t>
      </w:r>
      <w:r w:rsidR="008F2A5F">
        <w:t xml:space="preserve"> emission projections using electricity emission factors from the </w:t>
      </w:r>
      <w:proofErr w:type="spellStart"/>
      <w:r w:rsidR="008F2A5F">
        <w:t>MESSAGEix</w:t>
      </w:r>
      <w:proofErr w:type="spellEnd"/>
      <w:r w:rsidR="008F2A5F">
        <w:t xml:space="preserve">-GLOBIOM </w:t>
      </w:r>
      <w:r w:rsidR="002A2C30">
        <w:t>IAM</w:t>
      </w:r>
      <w:r w:rsidR="008F2A5F">
        <w:t>.</w:t>
      </w:r>
    </w:p>
    <w:p w14:paraId="48F7E94E" w14:textId="68E8123E" w:rsidR="00EF5761" w:rsidRPr="00EF5761" w:rsidRDefault="00EF5761" w:rsidP="00EF5761">
      <w:pPr>
        <w:rPr>
          <w:lang w:val="en-GB"/>
        </w:rPr>
      </w:pPr>
    </w:p>
    <w:p w14:paraId="0015E29B" w14:textId="77777777" w:rsidR="006B262C" w:rsidRPr="006B262C" w:rsidRDefault="006B262C" w:rsidP="006B262C">
      <w:pPr>
        <w:rPr>
          <w:lang w:val="en-GB"/>
        </w:rPr>
      </w:pPr>
    </w:p>
    <w:p w14:paraId="271A5F83" w14:textId="4191821A" w:rsidR="000A71FA" w:rsidRDefault="0095707C" w:rsidP="008E163B">
      <w:pPr>
        <w:keepNext/>
      </w:pPr>
      <w:r>
        <w:rPr>
          <w:noProof/>
        </w:rPr>
        <w:drawing>
          <wp:inline distT="0" distB="0" distL="0" distR="0" wp14:anchorId="56438DA4" wp14:editId="3070E596">
            <wp:extent cx="3600450" cy="2162175"/>
            <wp:effectExtent l="0" t="0" r="0" b="9525"/>
            <wp:docPr id="1516930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450" cy="2162175"/>
                    </a:xfrm>
                    <a:prstGeom prst="rect">
                      <a:avLst/>
                    </a:prstGeom>
                    <a:noFill/>
                    <a:ln>
                      <a:noFill/>
                    </a:ln>
                  </pic:spPr>
                </pic:pic>
              </a:graphicData>
            </a:graphic>
          </wp:inline>
        </w:drawing>
      </w:r>
    </w:p>
    <w:p w14:paraId="252414D4" w14:textId="03BFBB69" w:rsidR="000A71FA" w:rsidRPr="00995392" w:rsidRDefault="000A71FA" w:rsidP="000A71FA">
      <w:pPr>
        <w:pStyle w:val="Caption"/>
        <w:rPr>
          <w:b/>
          <w:bCs/>
        </w:rPr>
      </w:pPr>
      <w:r>
        <w:t>Supplementary Figure 1 Population projections for India.</w:t>
      </w:r>
    </w:p>
    <w:p w14:paraId="6E935E3C" w14:textId="77777777" w:rsidR="000A71FA" w:rsidRDefault="000A71FA" w:rsidP="008E163B">
      <w:pPr>
        <w:keepNext/>
      </w:pPr>
    </w:p>
    <w:p w14:paraId="54B180D1" w14:textId="551144AD" w:rsidR="00B77E8C" w:rsidRDefault="00B77E8C" w:rsidP="008E163B">
      <w:pPr>
        <w:keepNext/>
      </w:pPr>
      <w:r>
        <w:rPr>
          <w:noProof/>
        </w:rPr>
        <w:drawing>
          <wp:inline distT="0" distB="0" distL="0" distR="0" wp14:anchorId="1885ED88" wp14:editId="12849657">
            <wp:extent cx="5848350" cy="3248025"/>
            <wp:effectExtent l="0" t="0" r="0" b="9525"/>
            <wp:docPr id="11474041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48350" cy="3248025"/>
                    </a:xfrm>
                    <a:prstGeom prst="rect">
                      <a:avLst/>
                    </a:prstGeom>
                    <a:noFill/>
                    <a:ln>
                      <a:noFill/>
                    </a:ln>
                  </pic:spPr>
                </pic:pic>
              </a:graphicData>
            </a:graphic>
          </wp:inline>
        </w:drawing>
      </w:r>
    </w:p>
    <w:p w14:paraId="4E0EE921" w14:textId="5C44BB5D" w:rsidR="000A71FA" w:rsidRDefault="000A71FA" w:rsidP="000A71FA">
      <w:pPr>
        <w:pStyle w:val="Caption"/>
      </w:pPr>
      <w:r>
        <w:t>Supplementary Figure 2 Residential floorspace projections for India in different scenarios.</w:t>
      </w:r>
    </w:p>
    <w:p w14:paraId="42662E97" w14:textId="50019FE4" w:rsidR="000A71FA" w:rsidRDefault="00375D20" w:rsidP="000A71FA">
      <w:pPr>
        <w:rPr>
          <w:lang w:val="en-GB"/>
        </w:rPr>
      </w:pPr>
      <w:r>
        <w:rPr>
          <w:noProof/>
          <w:lang w:val="en-GB"/>
        </w:rPr>
        <w:lastRenderedPageBreak/>
        <w:drawing>
          <wp:inline distT="0" distB="0" distL="0" distR="0" wp14:anchorId="42F1BD4B" wp14:editId="36CB2ADA">
            <wp:extent cx="5848350" cy="4552950"/>
            <wp:effectExtent l="0" t="0" r="0" b="0"/>
            <wp:docPr id="20445489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48350" cy="4552950"/>
                    </a:xfrm>
                    <a:prstGeom prst="rect">
                      <a:avLst/>
                    </a:prstGeom>
                    <a:noFill/>
                    <a:ln>
                      <a:noFill/>
                    </a:ln>
                  </pic:spPr>
                </pic:pic>
              </a:graphicData>
            </a:graphic>
          </wp:inline>
        </w:drawing>
      </w:r>
    </w:p>
    <w:p w14:paraId="2E08ED51" w14:textId="58ACA74E" w:rsidR="00375D20" w:rsidRPr="008F2A5F" w:rsidRDefault="000A71FA" w:rsidP="008F2A5F">
      <w:pPr>
        <w:pStyle w:val="Caption"/>
        <w:rPr>
          <w:b/>
          <w:bCs/>
        </w:rPr>
      </w:pPr>
      <w:r>
        <w:t>Supplementary Figure 3 Project</w:t>
      </w:r>
      <w:r w:rsidR="00510BC4">
        <w:t>ions of apparent final energy demand intensity per-capita for different end-uses in different scenarios.</w:t>
      </w:r>
    </w:p>
    <w:p w14:paraId="5DC45FB6" w14:textId="085F4773" w:rsidR="008E163B" w:rsidRDefault="00EF5761" w:rsidP="008E163B">
      <w:pPr>
        <w:keepNext/>
      </w:pPr>
      <w:r>
        <w:rPr>
          <w:noProof/>
        </w:rPr>
        <w:lastRenderedPageBreak/>
        <w:drawing>
          <wp:inline distT="0" distB="0" distL="0" distR="0" wp14:anchorId="68AFEFBD" wp14:editId="018A6587">
            <wp:extent cx="5848350" cy="3895725"/>
            <wp:effectExtent l="0" t="0" r="0" b="9525"/>
            <wp:docPr id="1098232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48350" cy="3895725"/>
                    </a:xfrm>
                    <a:prstGeom prst="rect">
                      <a:avLst/>
                    </a:prstGeom>
                    <a:noFill/>
                    <a:ln>
                      <a:noFill/>
                    </a:ln>
                  </pic:spPr>
                </pic:pic>
              </a:graphicData>
            </a:graphic>
          </wp:inline>
        </w:drawing>
      </w:r>
    </w:p>
    <w:p w14:paraId="2D9CAF4F" w14:textId="43368A4D" w:rsidR="00C62C32" w:rsidRPr="00BA0252" w:rsidRDefault="00840939" w:rsidP="00C62C32">
      <w:pPr>
        <w:pStyle w:val="Caption"/>
      </w:pPr>
      <w:r>
        <w:t xml:space="preserve">Supplementary Figure </w:t>
      </w:r>
      <w:r w:rsidR="008972A2">
        <w:t>4</w:t>
      </w:r>
      <w:r w:rsidR="008E163B">
        <w:t xml:space="preserve"> </w:t>
      </w:r>
      <w:r w:rsidR="00C62C32">
        <w:t>Projections of CO</w:t>
      </w:r>
      <w:r w:rsidR="00C62C32" w:rsidRPr="21447AA2">
        <w:rPr>
          <w:vertAlign w:val="subscript"/>
        </w:rPr>
        <w:t>2</w:t>
      </w:r>
      <w:r w:rsidR="00C62C32">
        <w:t xml:space="preserve"> emissions for the residential sector in India in the Reference (REF), Decent Living (DL), and Decent living – Demand measures (DL-DEM) scenarios under different climate policy strategies (Current Policies and Mitigation Policies).</w:t>
      </w:r>
      <w:r w:rsidR="00C62C32" w:rsidRPr="002C414B">
        <w:t xml:space="preserve"> </w:t>
      </w:r>
      <w:r w:rsidR="00C62C32">
        <w:t xml:space="preserve"> Results are from four building sector models, IMAGE, </w:t>
      </w:r>
      <w:proofErr w:type="spellStart"/>
      <w:r w:rsidR="00C62C32">
        <w:t>MESSAGEix</w:t>
      </w:r>
      <w:proofErr w:type="spellEnd"/>
      <w:r w:rsidR="00C62C32">
        <w:t xml:space="preserve">-Buildings, PIER, and SAFARI, with indirect emission calculated based on electricity emission factors from the </w:t>
      </w:r>
      <w:proofErr w:type="spellStart"/>
      <w:r w:rsidR="00C62C32">
        <w:t>MESSAGEix</w:t>
      </w:r>
      <w:proofErr w:type="spellEnd"/>
      <w:r w:rsidR="00C62C32">
        <w:t>-GLOBIOM</w:t>
      </w:r>
      <w:r w:rsidR="00C62C32">
        <w:t xml:space="preserve"> </w:t>
      </w:r>
      <w:r w:rsidR="002A2C30">
        <w:t>integrated assessment model.</w:t>
      </w:r>
    </w:p>
    <w:p w14:paraId="5198B34A" w14:textId="6EFE23D7" w:rsidR="008E163B" w:rsidRPr="00995392" w:rsidRDefault="008E163B" w:rsidP="008E163B">
      <w:pPr>
        <w:pStyle w:val="Caption"/>
        <w:rPr>
          <w:b/>
          <w:bCs/>
        </w:rPr>
      </w:pPr>
    </w:p>
    <w:p w14:paraId="14734933" w14:textId="77777777" w:rsidR="00C633F4" w:rsidRDefault="00C633F4" w:rsidP="00C633F4">
      <w:pPr>
        <w:rPr>
          <w:lang w:val="en-GB"/>
        </w:rPr>
      </w:pPr>
    </w:p>
    <w:p w14:paraId="13A8619C" w14:textId="3DB54755" w:rsidR="00C633F4" w:rsidRDefault="00C633F4">
      <w:pPr>
        <w:rPr>
          <w:lang w:val="en-GB"/>
        </w:rPr>
      </w:pPr>
      <w:r>
        <w:rPr>
          <w:lang w:val="en-GB"/>
        </w:rPr>
        <w:br w:type="page"/>
      </w:r>
    </w:p>
    <w:p w14:paraId="58796320" w14:textId="2106FF6A" w:rsidR="00C633F4" w:rsidRDefault="00C633F4" w:rsidP="00C633F4">
      <w:pPr>
        <w:pStyle w:val="Heading1"/>
        <w:rPr>
          <w:color w:val="auto"/>
          <w:lang w:val="en-GB"/>
        </w:rPr>
      </w:pPr>
      <w:bookmarkStart w:id="10" w:name="_Toc210201887"/>
      <w:r>
        <w:rPr>
          <w:color w:val="auto"/>
          <w:lang w:val="en-GB"/>
        </w:rPr>
        <w:lastRenderedPageBreak/>
        <w:t>References</w:t>
      </w:r>
      <w:bookmarkEnd w:id="10"/>
    </w:p>
    <w:p w14:paraId="559BEF52" w14:textId="77777777" w:rsidR="00C633F4" w:rsidRPr="00C633F4" w:rsidRDefault="00C633F4" w:rsidP="00C633F4">
      <w:pPr>
        <w:rPr>
          <w:lang w:val="en-GB"/>
        </w:rPr>
      </w:pPr>
    </w:p>
    <w:p w14:paraId="3421363C" w14:textId="77777777" w:rsidR="00AD4028" w:rsidRPr="00AD4028" w:rsidRDefault="00C633F4" w:rsidP="00AD4028">
      <w:pPr>
        <w:pStyle w:val="Bibliography"/>
        <w:rPr>
          <w:rFonts w:ascii="Calibri" w:hAnsi="Calibri" w:cs="Calibri"/>
        </w:rPr>
      </w:pPr>
      <w:r>
        <w:rPr>
          <w:lang w:val="en-GB"/>
        </w:rPr>
        <w:fldChar w:fldCharType="begin"/>
      </w:r>
      <w:r w:rsidR="00AD4028">
        <w:rPr>
          <w:lang w:val="en-GB"/>
        </w:rPr>
        <w:instrText xml:space="preserve"> ADDIN ZOTERO_BIBL {"uncited":[],"omitted":[],"custom":[]} CSL_BIBLIOGRAPHY </w:instrText>
      </w:r>
      <w:r>
        <w:rPr>
          <w:lang w:val="en-GB"/>
        </w:rPr>
        <w:fldChar w:fldCharType="separate"/>
      </w:r>
      <w:r w:rsidR="00AD4028" w:rsidRPr="00AD4028">
        <w:rPr>
          <w:rFonts w:ascii="Calibri" w:hAnsi="Calibri" w:cs="Calibri"/>
        </w:rPr>
        <w:t>1.</w:t>
      </w:r>
      <w:r w:rsidR="00AD4028" w:rsidRPr="00AD4028">
        <w:rPr>
          <w:rFonts w:ascii="Calibri" w:hAnsi="Calibri" w:cs="Calibri"/>
        </w:rPr>
        <w:tab/>
        <w:t xml:space="preserve">Chatterjee, S., Kiss, B., Ürge-Vorsatz, D. &amp; Teske, S. Decarbonisation Pathways for Buildings. in </w:t>
      </w:r>
      <w:r w:rsidR="00AD4028" w:rsidRPr="00AD4028">
        <w:rPr>
          <w:rFonts w:ascii="Calibri" w:hAnsi="Calibri" w:cs="Calibri"/>
          <w:i/>
          <w:iCs/>
        </w:rPr>
        <w:t>Achieving the Paris Climate Agreement Goals</w:t>
      </w:r>
      <w:r w:rsidR="00AD4028" w:rsidRPr="00AD4028">
        <w:rPr>
          <w:rFonts w:ascii="Calibri" w:hAnsi="Calibri" w:cs="Calibri"/>
        </w:rPr>
        <w:t xml:space="preserve"> (ed. Teske, S.) 161–185 (Springer International Publishing, Cham, 2022). doi:10.1007/978-3-030-99177-7_7.</w:t>
      </w:r>
    </w:p>
    <w:p w14:paraId="792A734F" w14:textId="77777777" w:rsidR="00AD4028" w:rsidRPr="00AD4028" w:rsidRDefault="00AD4028" w:rsidP="00AD4028">
      <w:pPr>
        <w:pStyle w:val="Bibliography"/>
        <w:rPr>
          <w:rFonts w:ascii="Calibri" w:hAnsi="Calibri" w:cs="Calibri"/>
        </w:rPr>
      </w:pPr>
      <w:r w:rsidRPr="00AD4028">
        <w:rPr>
          <w:rFonts w:ascii="Calibri" w:hAnsi="Calibri" w:cs="Calibri"/>
        </w:rPr>
        <w:t>2.</w:t>
      </w:r>
      <w:r w:rsidRPr="00AD4028">
        <w:rPr>
          <w:rFonts w:ascii="Calibri" w:hAnsi="Calibri" w:cs="Calibri"/>
        </w:rPr>
        <w:tab/>
        <w:t xml:space="preserve">Daioglou, V., Van Ruijven, B. J. &amp; Van Vuuren, D. P. Model projections for household energy use in developing countries. </w:t>
      </w:r>
      <w:r w:rsidRPr="00AD4028">
        <w:rPr>
          <w:rFonts w:ascii="Calibri" w:hAnsi="Calibri" w:cs="Calibri"/>
          <w:i/>
          <w:iCs/>
        </w:rPr>
        <w:t>Energy</w:t>
      </w:r>
      <w:r w:rsidRPr="00AD4028">
        <w:rPr>
          <w:rFonts w:ascii="Calibri" w:hAnsi="Calibri" w:cs="Calibri"/>
        </w:rPr>
        <w:t xml:space="preserve"> </w:t>
      </w:r>
      <w:r w:rsidRPr="00AD4028">
        <w:rPr>
          <w:rFonts w:ascii="Calibri" w:hAnsi="Calibri" w:cs="Calibri"/>
          <w:b/>
          <w:bCs/>
        </w:rPr>
        <w:t>37</w:t>
      </w:r>
      <w:r w:rsidRPr="00AD4028">
        <w:rPr>
          <w:rFonts w:ascii="Calibri" w:hAnsi="Calibri" w:cs="Calibri"/>
        </w:rPr>
        <w:t>, 601–615 (2012).</w:t>
      </w:r>
    </w:p>
    <w:p w14:paraId="6C96A3E5" w14:textId="77777777" w:rsidR="00AD4028" w:rsidRPr="00AD4028" w:rsidRDefault="00AD4028" w:rsidP="00AD4028">
      <w:pPr>
        <w:pStyle w:val="Bibliography"/>
        <w:rPr>
          <w:rFonts w:ascii="Calibri" w:hAnsi="Calibri" w:cs="Calibri"/>
        </w:rPr>
      </w:pPr>
      <w:r w:rsidRPr="00AD4028">
        <w:rPr>
          <w:rFonts w:ascii="Calibri" w:hAnsi="Calibri" w:cs="Calibri"/>
        </w:rPr>
        <w:t>3.</w:t>
      </w:r>
      <w:r w:rsidRPr="00AD4028">
        <w:rPr>
          <w:rFonts w:ascii="Calibri" w:hAnsi="Calibri" w:cs="Calibri"/>
        </w:rPr>
        <w:tab/>
        <w:t xml:space="preserve">Daioglou, V., Mikropoulos, E., Gernaat, D. &amp; van Vuuren, D. P. Efficiency improvement and technology choice for energy and emission reductions of the residential sector. </w:t>
      </w:r>
      <w:r w:rsidRPr="00AD4028">
        <w:rPr>
          <w:rFonts w:ascii="Calibri" w:hAnsi="Calibri" w:cs="Calibri"/>
          <w:i/>
          <w:iCs/>
        </w:rPr>
        <w:t>Energy</w:t>
      </w:r>
      <w:r w:rsidRPr="00AD4028">
        <w:rPr>
          <w:rFonts w:ascii="Calibri" w:hAnsi="Calibri" w:cs="Calibri"/>
        </w:rPr>
        <w:t xml:space="preserve"> </w:t>
      </w:r>
      <w:r w:rsidRPr="00AD4028">
        <w:rPr>
          <w:rFonts w:ascii="Calibri" w:hAnsi="Calibri" w:cs="Calibri"/>
          <w:b/>
          <w:bCs/>
        </w:rPr>
        <w:t>243</w:t>
      </w:r>
      <w:r w:rsidRPr="00AD4028">
        <w:rPr>
          <w:rFonts w:ascii="Calibri" w:hAnsi="Calibri" w:cs="Calibri"/>
        </w:rPr>
        <w:t>, 122994 (2022).</w:t>
      </w:r>
    </w:p>
    <w:p w14:paraId="6A1A6E51" w14:textId="77777777" w:rsidR="00AD4028" w:rsidRPr="00AD4028" w:rsidRDefault="00AD4028" w:rsidP="00AD4028">
      <w:pPr>
        <w:pStyle w:val="Bibliography"/>
        <w:rPr>
          <w:rFonts w:ascii="Calibri" w:hAnsi="Calibri" w:cs="Calibri"/>
        </w:rPr>
      </w:pPr>
      <w:r w:rsidRPr="00AD4028">
        <w:rPr>
          <w:rFonts w:ascii="Calibri" w:hAnsi="Calibri" w:cs="Calibri"/>
        </w:rPr>
        <w:t>4.</w:t>
      </w:r>
      <w:r w:rsidRPr="00AD4028">
        <w:rPr>
          <w:rFonts w:ascii="Calibri" w:hAnsi="Calibri" w:cs="Calibri"/>
        </w:rPr>
        <w:tab/>
        <w:t xml:space="preserve">Mastrucci, A., van Ruijven, B., Byers, E., Poblete-Cazenave, M. &amp; Pachauri, S. Global scenarios of residential heating and cooling energy demand and CO2 emissions. </w:t>
      </w:r>
      <w:r w:rsidRPr="00AD4028">
        <w:rPr>
          <w:rFonts w:ascii="Calibri" w:hAnsi="Calibri" w:cs="Calibri"/>
          <w:i/>
          <w:iCs/>
        </w:rPr>
        <w:t>Climatic Change</w:t>
      </w:r>
      <w:r w:rsidRPr="00AD4028">
        <w:rPr>
          <w:rFonts w:ascii="Calibri" w:hAnsi="Calibri" w:cs="Calibri"/>
        </w:rPr>
        <w:t xml:space="preserve"> </w:t>
      </w:r>
      <w:r w:rsidRPr="00AD4028">
        <w:rPr>
          <w:rFonts w:ascii="Calibri" w:hAnsi="Calibri" w:cs="Calibri"/>
          <w:b/>
          <w:bCs/>
        </w:rPr>
        <w:t>168</w:t>
      </w:r>
      <w:r w:rsidRPr="00AD4028">
        <w:rPr>
          <w:rFonts w:ascii="Calibri" w:hAnsi="Calibri" w:cs="Calibri"/>
        </w:rPr>
        <w:t>, 14 (2021).</w:t>
      </w:r>
    </w:p>
    <w:p w14:paraId="13070972" w14:textId="77777777" w:rsidR="00AD4028" w:rsidRPr="00AD4028" w:rsidRDefault="00AD4028" w:rsidP="00AD4028">
      <w:pPr>
        <w:pStyle w:val="Bibliography"/>
        <w:rPr>
          <w:rFonts w:ascii="Calibri" w:hAnsi="Calibri" w:cs="Calibri"/>
        </w:rPr>
      </w:pPr>
      <w:r w:rsidRPr="00AD4028">
        <w:rPr>
          <w:rFonts w:ascii="Calibri" w:hAnsi="Calibri" w:cs="Calibri"/>
        </w:rPr>
        <w:t>5.</w:t>
      </w:r>
      <w:r w:rsidRPr="00AD4028">
        <w:rPr>
          <w:rFonts w:ascii="Calibri" w:hAnsi="Calibri" w:cs="Calibri"/>
        </w:rPr>
        <w:tab/>
        <w:t>Prayas (Energy Group). PIER: Modelling the Indian energy system through the 2020s. (2021).</w:t>
      </w:r>
    </w:p>
    <w:p w14:paraId="10022319" w14:textId="77777777" w:rsidR="00AD4028" w:rsidRPr="00AD4028" w:rsidRDefault="00AD4028" w:rsidP="00AD4028">
      <w:pPr>
        <w:pStyle w:val="Bibliography"/>
        <w:rPr>
          <w:rFonts w:ascii="Calibri" w:hAnsi="Calibri" w:cs="Calibri"/>
        </w:rPr>
      </w:pPr>
      <w:r w:rsidRPr="00AD4028">
        <w:rPr>
          <w:rFonts w:ascii="Calibri" w:hAnsi="Calibri" w:cs="Calibri"/>
        </w:rPr>
        <w:t>6.</w:t>
      </w:r>
      <w:r w:rsidRPr="00AD4028">
        <w:rPr>
          <w:rFonts w:ascii="Calibri" w:hAnsi="Calibri" w:cs="Calibri"/>
        </w:rPr>
        <w:tab/>
        <w:t xml:space="preserve">Prayas (Energy Group). </w:t>
      </w:r>
      <w:r w:rsidRPr="00AD4028">
        <w:rPr>
          <w:rFonts w:ascii="Calibri" w:hAnsi="Calibri" w:cs="Calibri"/>
          <w:i/>
          <w:iCs/>
        </w:rPr>
        <w:t>More with Less: Insights from Residential Energy Demand Assessment Using PIER</w:t>
      </w:r>
      <w:r w:rsidRPr="00AD4028">
        <w:rPr>
          <w:rFonts w:ascii="Calibri" w:hAnsi="Calibri" w:cs="Calibri"/>
        </w:rPr>
        <w:t>. https://energy.prayaspune.org/our-work/research-report/more-with-less (2023).</w:t>
      </w:r>
    </w:p>
    <w:p w14:paraId="3D0930E7" w14:textId="77777777" w:rsidR="00AD4028" w:rsidRPr="00AD4028" w:rsidRDefault="00AD4028" w:rsidP="00AD4028">
      <w:pPr>
        <w:pStyle w:val="Bibliography"/>
        <w:rPr>
          <w:rFonts w:ascii="Calibri" w:hAnsi="Calibri" w:cs="Calibri"/>
        </w:rPr>
      </w:pPr>
      <w:r w:rsidRPr="00AD4028">
        <w:rPr>
          <w:rFonts w:ascii="Calibri" w:hAnsi="Calibri" w:cs="Calibri"/>
        </w:rPr>
        <w:t>7.</w:t>
      </w:r>
      <w:r w:rsidRPr="00AD4028">
        <w:rPr>
          <w:rFonts w:ascii="Calibri" w:hAnsi="Calibri" w:cs="Calibri"/>
        </w:rPr>
        <w:tab/>
        <w:t xml:space="preserve">Kumar, P., Natarajan, R. &amp; Ashok, K. Sustainable alternative futures for urban India: the resource, energy, and emissions implications of urban form scenarios. </w:t>
      </w:r>
      <w:r w:rsidRPr="00AD4028">
        <w:rPr>
          <w:rFonts w:ascii="Calibri" w:hAnsi="Calibri" w:cs="Calibri"/>
          <w:i/>
          <w:iCs/>
        </w:rPr>
        <w:t>Environ. Res.: Infrastruct. Sustain.</w:t>
      </w:r>
      <w:r w:rsidRPr="00AD4028">
        <w:rPr>
          <w:rFonts w:ascii="Calibri" w:hAnsi="Calibri" w:cs="Calibri"/>
        </w:rPr>
        <w:t xml:space="preserve"> </w:t>
      </w:r>
      <w:r w:rsidRPr="00AD4028">
        <w:rPr>
          <w:rFonts w:ascii="Calibri" w:hAnsi="Calibri" w:cs="Calibri"/>
          <w:b/>
          <w:bCs/>
        </w:rPr>
        <w:t>1</w:t>
      </w:r>
      <w:r w:rsidRPr="00AD4028">
        <w:rPr>
          <w:rFonts w:ascii="Calibri" w:hAnsi="Calibri" w:cs="Calibri"/>
        </w:rPr>
        <w:t>, 011004 (2021).</w:t>
      </w:r>
    </w:p>
    <w:p w14:paraId="24A5D7F3" w14:textId="77777777" w:rsidR="00AD4028" w:rsidRPr="00AD4028" w:rsidRDefault="00AD4028" w:rsidP="00AD4028">
      <w:pPr>
        <w:pStyle w:val="Bibliography"/>
        <w:rPr>
          <w:rFonts w:ascii="Calibri" w:hAnsi="Calibri" w:cs="Calibri"/>
        </w:rPr>
      </w:pPr>
      <w:r w:rsidRPr="00AD4028">
        <w:rPr>
          <w:rFonts w:ascii="Calibri" w:hAnsi="Calibri" w:cs="Calibri"/>
        </w:rPr>
        <w:t>8.</w:t>
      </w:r>
      <w:r w:rsidRPr="00AD4028">
        <w:rPr>
          <w:rFonts w:ascii="Calibri" w:hAnsi="Calibri" w:cs="Calibri"/>
        </w:rPr>
        <w:tab/>
        <w:t xml:space="preserve">O’Neill, B. C. </w:t>
      </w:r>
      <w:r w:rsidRPr="00AD4028">
        <w:rPr>
          <w:rFonts w:ascii="Calibri" w:hAnsi="Calibri" w:cs="Calibri"/>
          <w:i/>
          <w:iCs/>
        </w:rPr>
        <w:t>et al.</w:t>
      </w:r>
      <w:r w:rsidRPr="00AD4028">
        <w:rPr>
          <w:rFonts w:ascii="Calibri" w:hAnsi="Calibri" w:cs="Calibri"/>
        </w:rPr>
        <w:t xml:space="preserve"> The roads ahead: Narratives for shared socioeconomic pathways describing world futures in the 21st century. </w:t>
      </w:r>
      <w:r w:rsidRPr="00AD4028">
        <w:rPr>
          <w:rFonts w:ascii="Calibri" w:hAnsi="Calibri" w:cs="Calibri"/>
          <w:i/>
          <w:iCs/>
        </w:rPr>
        <w:t>Global Environmental Change</w:t>
      </w:r>
      <w:r w:rsidRPr="00AD4028">
        <w:rPr>
          <w:rFonts w:ascii="Calibri" w:hAnsi="Calibri" w:cs="Calibri"/>
        </w:rPr>
        <w:t xml:space="preserve"> </w:t>
      </w:r>
      <w:r w:rsidRPr="00AD4028">
        <w:rPr>
          <w:rFonts w:ascii="Calibri" w:hAnsi="Calibri" w:cs="Calibri"/>
          <w:b/>
          <w:bCs/>
        </w:rPr>
        <w:t>42</w:t>
      </w:r>
      <w:r w:rsidRPr="00AD4028">
        <w:rPr>
          <w:rFonts w:ascii="Calibri" w:hAnsi="Calibri" w:cs="Calibri"/>
        </w:rPr>
        <w:t>, 169–180 (2017).</w:t>
      </w:r>
    </w:p>
    <w:p w14:paraId="095A4A71" w14:textId="77777777" w:rsidR="00AD4028" w:rsidRPr="00AD4028" w:rsidRDefault="00AD4028" w:rsidP="00AD4028">
      <w:pPr>
        <w:pStyle w:val="Bibliography"/>
        <w:rPr>
          <w:rFonts w:ascii="Calibri" w:hAnsi="Calibri" w:cs="Calibri"/>
        </w:rPr>
      </w:pPr>
      <w:r w:rsidRPr="00AD4028">
        <w:rPr>
          <w:rFonts w:ascii="Calibri" w:hAnsi="Calibri" w:cs="Calibri"/>
        </w:rPr>
        <w:t>9.</w:t>
      </w:r>
      <w:r w:rsidRPr="00AD4028">
        <w:rPr>
          <w:rFonts w:ascii="Calibri" w:hAnsi="Calibri" w:cs="Calibri"/>
        </w:rPr>
        <w:tab/>
        <w:t xml:space="preserve">Rao, N. D. &amp; Min, J. Decent Living Standards: Material Prerequisites for Human Wellbeing. </w:t>
      </w:r>
      <w:r w:rsidRPr="00AD4028">
        <w:rPr>
          <w:rFonts w:ascii="Calibri" w:hAnsi="Calibri" w:cs="Calibri"/>
          <w:i/>
          <w:iCs/>
        </w:rPr>
        <w:t>Soc Indic Res</w:t>
      </w:r>
      <w:r w:rsidRPr="00AD4028">
        <w:rPr>
          <w:rFonts w:ascii="Calibri" w:hAnsi="Calibri" w:cs="Calibri"/>
        </w:rPr>
        <w:t xml:space="preserve"> </w:t>
      </w:r>
      <w:r w:rsidRPr="00AD4028">
        <w:rPr>
          <w:rFonts w:ascii="Calibri" w:hAnsi="Calibri" w:cs="Calibri"/>
          <w:b/>
          <w:bCs/>
        </w:rPr>
        <w:t>138</w:t>
      </w:r>
      <w:r w:rsidRPr="00AD4028">
        <w:rPr>
          <w:rFonts w:ascii="Calibri" w:hAnsi="Calibri" w:cs="Calibri"/>
        </w:rPr>
        <w:t>, 225–244 (2018).</w:t>
      </w:r>
    </w:p>
    <w:p w14:paraId="67E67743" w14:textId="77777777" w:rsidR="00AD4028" w:rsidRPr="00AD4028" w:rsidRDefault="00AD4028" w:rsidP="00AD4028">
      <w:pPr>
        <w:pStyle w:val="Bibliography"/>
        <w:rPr>
          <w:rFonts w:ascii="Calibri" w:hAnsi="Calibri" w:cs="Calibri"/>
        </w:rPr>
      </w:pPr>
      <w:r w:rsidRPr="00AD4028">
        <w:rPr>
          <w:rFonts w:ascii="Calibri" w:hAnsi="Calibri" w:cs="Calibri"/>
        </w:rPr>
        <w:t>10.</w:t>
      </w:r>
      <w:r w:rsidRPr="00AD4028">
        <w:rPr>
          <w:rFonts w:ascii="Calibri" w:hAnsi="Calibri" w:cs="Calibri"/>
        </w:rPr>
        <w:tab/>
        <w:t xml:space="preserve">Rao, N. D., Min, J. &amp; Mastrucci, A. Energy requirements for decent living in India, Brazil and South Africa. </w:t>
      </w:r>
      <w:r w:rsidRPr="00AD4028">
        <w:rPr>
          <w:rFonts w:ascii="Calibri" w:hAnsi="Calibri" w:cs="Calibri"/>
          <w:i/>
          <w:iCs/>
        </w:rPr>
        <w:t>Nat Energy</w:t>
      </w:r>
      <w:r w:rsidRPr="00AD4028">
        <w:rPr>
          <w:rFonts w:ascii="Calibri" w:hAnsi="Calibri" w:cs="Calibri"/>
        </w:rPr>
        <w:t xml:space="preserve"> </w:t>
      </w:r>
      <w:r w:rsidRPr="00AD4028">
        <w:rPr>
          <w:rFonts w:ascii="Calibri" w:hAnsi="Calibri" w:cs="Calibri"/>
          <w:b/>
          <w:bCs/>
        </w:rPr>
        <w:t>4</w:t>
      </w:r>
      <w:r w:rsidRPr="00AD4028">
        <w:rPr>
          <w:rFonts w:ascii="Calibri" w:hAnsi="Calibri" w:cs="Calibri"/>
        </w:rPr>
        <w:t>, 1025–1032 (2019).</w:t>
      </w:r>
    </w:p>
    <w:p w14:paraId="0F7A379C" w14:textId="77777777" w:rsidR="00AD4028" w:rsidRPr="00AD4028" w:rsidRDefault="00AD4028" w:rsidP="00AD4028">
      <w:pPr>
        <w:pStyle w:val="Bibliography"/>
        <w:rPr>
          <w:rFonts w:ascii="Calibri" w:hAnsi="Calibri" w:cs="Calibri"/>
        </w:rPr>
      </w:pPr>
      <w:r w:rsidRPr="00AD4028">
        <w:rPr>
          <w:rFonts w:ascii="Calibri" w:hAnsi="Calibri" w:cs="Calibri"/>
        </w:rPr>
        <w:lastRenderedPageBreak/>
        <w:t>11.</w:t>
      </w:r>
      <w:r w:rsidRPr="00AD4028">
        <w:rPr>
          <w:rFonts w:ascii="Calibri" w:hAnsi="Calibri" w:cs="Calibri"/>
        </w:rPr>
        <w:tab/>
        <w:t xml:space="preserve">Grubler, A. </w:t>
      </w:r>
      <w:r w:rsidRPr="00AD4028">
        <w:rPr>
          <w:rFonts w:ascii="Calibri" w:hAnsi="Calibri" w:cs="Calibri"/>
          <w:i/>
          <w:iCs/>
        </w:rPr>
        <w:t>et al.</w:t>
      </w:r>
      <w:r w:rsidRPr="00AD4028">
        <w:rPr>
          <w:rFonts w:ascii="Calibri" w:hAnsi="Calibri" w:cs="Calibri"/>
        </w:rPr>
        <w:t xml:space="preserve"> A low energy demand scenario for meeting the 1.5 °C target and sustainable development goals without negative emission technologies. </w:t>
      </w:r>
      <w:r w:rsidRPr="00AD4028">
        <w:rPr>
          <w:rFonts w:ascii="Calibri" w:hAnsi="Calibri" w:cs="Calibri"/>
          <w:i/>
          <w:iCs/>
        </w:rPr>
        <w:t>Nat Energy</w:t>
      </w:r>
      <w:r w:rsidRPr="00AD4028">
        <w:rPr>
          <w:rFonts w:ascii="Calibri" w:hAnsi="Calibri" w:cs="Calibri"/>
        </w:rPr>
        <w:t xml:space="preserve"> </w:t>
      </w:r>
      <w:r w:rsidRPr="00AD4028">
        <w:rPr>
          <w:rFonts w:ascii="Calibri" w:hAnsi="Calibri" w:cs="Calibri"/>
          <w:b/>
          <w:bCs/>
        </w:rPr>
        <w:t>3</w:t>
      </w:r>
      <w:r w:rsidRPr="00AD4028">
        <w:rPr>
          <w:rFonts w:ascii="Calibri" w:hAnsi="Calibri" w:cs="Calibri"/>
        </w:rPr>
        <w:t>, 515–527 (2018).</w:t>
      </w:r>
    </w:p>
    <w:p w14:paraId="5EB40F39" w14:textId="77777777" w:rsidR="00AD4028" w:rsidRPr="00AD4028" w:rsidRDefault="00AD4028" w:rsidP="00AD4028">
      <w:pPr>
        <w:pStyle w:val="Bibliography"/>
        <w:rPr>
          <w:rFonts w:ascii="Calibri" w:hAnsi="Calibri" w:cs="Calibri"/>
        </w:rPr>
      </w:pPr>
      <w:r w:rsidRPr="00AD4028">
        <w:rPr>
          <w:rFonts w:ascii="Calibri" w:hAnsi="Calibri" w:cs="Calibri"/>
        </w:rPr>
        <w:t>12.</w:t>
      </w:r>
      <w:r w:rsidRPr="00AD4028">
        <w:rPr>
          <w:rFonts w:ascii="Calibri" w:hAnsi="Calibri" w:cs="Calibri"/>
        </w:rPr>
        <w:tab/>
        <w:t>IAMC. IAMC time-series data template.</w:t>
      </w:r>
    </w:p>
    <w:p w14:paraId="6E7E616A" w14:textId="1A03E99A" w:rsidR="00C633F4" w:rsidRPr="003B6BE7" w:rsidRDefault="00C633F4" w:rsidP="00C633F4">
      <w:pPr>
        <w:rPr>
          <w:lang w:val="en-GB"/>
        </w:rPr>
      </w:pPr>
      <w:r>
        <w:rPr>
          <w:lang w:val="en-GB"/>
        </w:rPr>
        <w:fldChar w:fldCharType="end"/>
      </w:r>
    </w:p>
    <w:sectPr w:rsidR="00C633F4" w:rsidRPr="003B6BE7" w:rsidSect="00E418A4">
      <w:pgSz w:w="11906" w:h="16838" w:code="9"/>
      <w:pgMar w:top="1440" w:right="1274"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809E" w14:textId="77777777" w:rsidR="009A672F" w:rsidRDefault="009A672F" w:rsidP="00523F18">
      <w:r>
        <w:separator/>
      </w:r>
    </w:p>
  </w:endnote>
  <w:endnote w:type="continuationSeparator" w:id="0">
    <w:p w14:paraId="77D2BD23" w14:textId="77777777" w:rsidR="009A672F" w:rsidRDefault="009A672F" w:rsidP="0052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589805"/>
      <w:docPartObj>
        <w:docPartGallery w:val="Page Numbers (Bottom of Page)"/>
        <w:docPartUnique/>
      </w:docPartObj>
    </w:sdtPr>
    <w:sdtEndPr>
      <w:rPr>
        <w:noProof/>
      </w:rPr>
    </w:sdtEndPr>
    <w:sdtContent>
      <w:p w14:paraId="75B1BF68" w14:textId="59EBA9F7" w:rsidR="008E798D" w:rsidRDefault="008E79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BFB2B7" w14:textId="77777777" w:rsidR="008E798D" w:rsidRDefault="008E7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603175"/>
      <w:docPartObj>
        <w:docPartGallery w:val="Page Numbers (Bottom of Page)"/>
        <w:docPartUnique/>
      </w:docPartObj>
    </w:sdtPr>
    <w:sdtEndPr>
      <w:rPr>
        <w:noProof/>
      </w:rPr>
    </w:sdtEndPr>
    <w:sdtContent>
      <w:p w14:paraId="4364D280" w14:textId="77777777" w:rsidR="00670E4C" w:rsidRDefault="00670E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EC5F3B" w14:textId="77777777" w:rsidR="00670E4C" w:rsidRDefault="00670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00E9" w14:textId="77777777" w:rsidR="009A672F" w:rsidRDefault="009A672F" w:rsidP="00523F18">
      <w:r>
        <w:separator/>
      </w:r>
    </w:p>
  </w:footnote>
  <w:footnote w:type="continuationSeparator" w:id="0">
    <w:p w14:paraId="0CC89169" w14:textId="77777777" w:rsidR="009A672F" w:rsidRDefault="009A672F" w:rsidP="00523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870"/>
    <w:multiLevelType w:val="hybridMultilevel"/>
    <w:tmpl w:val="8C341E46"/>
    <w:lvl w:ilvl="0" w:tplc="0FC08F3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F664A"/>
    <w:multiLevelType w:val="hybridMultilevel"/>
    <w:tmpl w:val="AFD64DA0"/>
    <w:lvl w:ilvl="0" w:tplc="94C4D0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37BDC"/>
    <w:multiLevelType w:val="hybridMultilevel"/>
    <w:tmpl w:val="661C98F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3B1035C"/>
    <w:multiLevelType w:val="hybridMultilevel"/>
    <w:tmpl w:val="9848A1DA"/>
    <w:lvl w:ilvl="0" w:tplc="3D02CE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E82768"/>
    <w:multiLevelType w:val="hybridMultilevel"/>
    <w:tmpl w:val="EBA0E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134957">
    <w:abstractNumId w:val="4"/>
  </w:num>
  <w:num w:numId="2" w16cid:durableId="170410496">
    <w:abstractNumId w:val="2"/>
  </w:num>
  <w:num w:numId="3" w16cid:durableId="281233457">
    <w:abstractNumId w:val="1"/>
  </w:num>
  <w:num w:numId="4" w16cid:durableId="1185904641">
    <w:abstractNumId w:val="0"/>
  </w:num>
  <w:num w:numId="5" w16cid:durableId="1542740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9A"/>
    <w:rsid w:val="00002BE0"/>
    <w:rsid w:val="0000493D"/>
    <w:rsid w:val="00030043"/>
    <w:rsid w:val="00035675"/>
    <w:rsid w:val="0003670A"/>
    <w:rsid w:val="00037153"/>
    <w:rsid w:val="000517F4"/>
    <w:rsid w:val="00080708"/>
    <w:rsid w:val="000A5BDE"/>
    <w:rsid w:val="000A71FA"/>
    <w:rsid w:val="000B7725"/>
    <w:rsid w:val="000C1CEA"/>
    <w:rsid w:val="000F1237"/>
    <w:rsid w:val="00106ADD"/>
    <w:rsid w:val="00117D9E"/>
    <w:rsid w:val="0014116B"/>
    <w:rsid w:val="00144CEC"/>
    <w:rsid w:val="0014550B"/>
    <w:rsid w:val="00153037"/>
    <w:rsid w:val="001647F1"/>
    <w:rsid w:val="00182FC3"/>
    <w:rsid w:val="001A0C72"/>
    <w:rsid w:val="001A2B57"/>
    <w:rsid w:val="001A5874"/>
    <w:rsid w:val="001B184D"/>
    <w:rsid w:val="001D2365"/>
    <w:rsid w:val="001D5304"/>
    <w:rsid w:val="001E23EB"/>
    <w:rsid w:val="00205273"/>
    <w:rsid w:val="0021283E"/>
    <w:rsid w:val="00214084"/>
    <w:rsid w:val="002205D6"/>
    <w:rsid w:val="002249D1"/>
    <w:rsid w:val="00235214"/>
    <w:rsid w:val="00251959"/>
    <w:rsid w:val="00252431"/>
    <w:rsid w:val="00261682"/>
    <w:rsid w:val="002A2C30"/>
    <w:rsid w:val="002C480E"/>
    <w:rsid w:val="002E057B"/>
    <w:rsid w:val="002F046B"/>
    <w:rsid w:val="002F2366"/>
    <w:rsid w:val="00320F8F"/>
    <w:rsid w:val="0035095C"/>
    <w:rsid w:val="003634E5"/>
    <w:rsid w:val="0036475F"/>
    <w:rsid w:val="00375D20"/>
    <w:rsid w:val="003A3CAA"/>
    <w:rsid w:val="003B3F7B"/>
    <w:rsid w:val="003B6BE7"/>
    <w:rsid w:val="003D6497"/>
    <w:rsid w:val="003E42E6"/>
    <w:rsid w:val="004026AE"/>
    <w:rsid w:val="00402950"/>
    <w:rsid w:val="00406DC9"/>
    <w:rsid w:val="00407B42"/>
    <w:rsid w:val="00426A6D"/>
    <w:rsid w:val="0043582E"/>
    <w:rsid w:val="00440246"/>
    <w:rsid w:val="00445CCC"/>
    <w:rsid w:val="00456D38"/>
    <w:rsid w:val="0046456C"/>
    <w:rsid w:val="004703A6"/>
    <w:rsid w:val="00476560"/>
    <w:rsid w:val="00494B0C"/>
    <w:rsid w:val="00495C1A"/>
    <w:rsid w:val="004B5B57"/>
    <w:rsid w:val="004C1579"/>
    <w:rsid w:val="004D0677"/>
    <w:rsid w:val="004D2C1A"/>
    <w:rsid w:val="004E0869"/>
    <w:rsid w:val="004E516A"/>
    <w:rsid w:val="00504312"/>
    <w:rsid w:val="005071C2"/>
    <w:rsid w:val="00510BC4"/>
    <w:rsid w:val="005133E4"/>
    <w:rsid w:val="00521201"/>
    <w:rsid w:val="00523F18"/>
    <w:rsid w:val="00525765"/>
    <w:rsid w:val="005320AD"/>
    <w:rsid w:val="00542533"/>
    <w:rsid w:val="0054457C"/>
    <w:rsid w:val="00550F36"/>
    <w:rsid w:val="005539D8"/>
    <w:rsid w:val="0055759A"/>
    <w:rsid w:val="00563A40"/>
    <w:rsid w:val="00591BF7"/>
    <w:rsid w:val="00596523"/>
    <w:rsid w:val="005C07BE"/>
    <w:rsid w:val="005C07FD"/>
    <w:rsid w:val="005D6A06"/>
    <w:rsid w:val="005E7D90"/>
    <w:rsid w:val="0061788E"/>
    <w:rsid w:val="00622625"/>
    <w:rsid w:val="00643765"/>
    <w:rsid w:val="006477C7"/>
    <w:rsid w:val="00665F22"/>
    <w:rsid w:val="00666EFC"/>
    <w:rsid w:val="00670E4C"/>
    <w:rsid w:val="00672C0C"/>
    <w:rsid w:val="006772A6"/>
    <w:rsid w:val="00692184"/>
    <w:rsid w:val="0069621D"/>
    <w:rsid w:val="006A2DE4"/>
    <w:rsid w:val="006B262C"/>
    <w:rsid w:val="006D3D40"/>
    <w:rsid w:val="006D680E"/>
    <w:rsid w:val="006E4CB7"/>
    <w:rsid w:val="00701955"/>
    <w:rsid w:val="007048C8"/>
    <w:rsid w:val="007110D7"/>
    <w:rsid w:val="00717BEF"/>
    <w:rsid w:val="007218E0"/>
    <w:rsid w:val="007228E5"/>
    <w:rsid w:val="007308F2"/>
    <w:rsid w:val="00740E1B"/>
    <w:rsid w:val="00755F71"/>
    <w:rsid w:val="00756F80"/>
    <w:rsid w:val="007806CB"/>
    <w:rsid w:val="00782142"/>
    <w:rsid w:val="00785CBB"/>
    <w:rsid w:val="0079280F"/>
    <w:rsid w:val="00794699"/>
    <w:rsid w:val="007C5C1C"/>
    <w:rsid w:val="008142B9"/>
    <w:rsid w:val="00821FDB"/>
    <w:rsid w:val="00833F02"/>
    <w:rsid w:val="0083724F"/>
    <w:rsid w:val="00840939"/>
    <w:rsid w:val="00853A08"/>
    <w:rsid w:val="00883F3D"/>
    <w:rsid w:val="00884352"/>
    <w:rsid w:val="00884558"/>
    <w:rsid w:val="00890A75"/>
    <w:rsid w:val="00894791"/>
    <w:rsid w:val="008972A2"/>
    <w:rsid w:val="008D1CFC"/>
    <w:rsid w:val="008E156D"/>
    <w:rsid w:val="008E163B"/>
    <w:rsid w:val="008E798D"/>
    <w:rsid w:val="008F2A5F"/>
    <w:rsid w:val="008F2E67"/>
    <w:rsid w:val="00914707"/>
    <w:rsid w:val="00932A51"/>
    <w:rsid w:val="009441DE"/>
    <w:rsid w:val="00954236"/>
    <w:rsid w:val="0095707C"/>
    <w:rsid w:val="009614AC"/>
    <w:rsid w:val="00971F64"/>
    <w:rsid w:val="00972EA3"/>
    <w:rsid w:val="009957A2"/>
    <w:rsid w:val="009A3A31"/>
    <w:rsid w:val="009A672F"/>
    <w:rsid w:val="009B7B31"/>
    <w:rsid w:val="009C027F"/>
    <w:rsid w:val="009E5322"/>
    <w:rsid w:val="00A07662"/>
    <w:rsid w:val="00A10904"/>
    <w:rsid w:val="00A34CCA"/>
    <w:rsid w:val="00A47E28"/>
    <w:rsid w:val="00A75401"/>
    <w:rsid w:val="00A82AC5"/>
    <w:rsid w:val="00A857C4"/>
    <w:rsid w:val="00AB13F6"/>
    <w:rsid w:val="00AB2914"/>
    <w:rsid w:val="00AC638F"/>
    <w:rsid w:val="00AD4028"/>
    <w:rsid w:val="00AE0072"/>
    <w:rsid w:val="00B016EC"/>
    <w:rsid w:val="00B101AE"/>
    <w:rsid w:val="00B14177"/>
    <w:rsid w:val="00B225EB"/>
    <w:rsid w:val="00B31AC9"/>
    <w:rsid w:val="00B36E41"/>
    <w:rsid w:val="00B532A6"/>
    <w:rsid w:val="00B77E8C"/>
    <w:rsid w:val="00B830D3"/>
    <w:rsid w:val="00B9678C"/>
    <w:rsid w:val="00BB0569"/>
    <w:rsid w:val="00BC0312"/>
    <w:rsid w:val="00BC2592"/>
    <w:rsid w:val="00BE12E6"/>
    <w:rsid w:val="00BE26F9"/>
    <w:rsid w:val="00C1603C"/>
    <w:rsid w:val="00C3721E"/>
    <w:rsid w:val="00C41F5A"/>
    <w:rsid w:val="00C4270C"/>
    <w:rsid w:val="00C537B0"/>
    <w:rsid w:val="00C62C32"/>
    <w:rsid w:val="00C633F4"/>
    <w:rsid w:val="00C83C14"/>
    <w:rsid w:val="00CB0439"/>
    <w:rsid w:val="00CD1250"/>
    <w:rsid w:val="00CE0096"/>
    <w:rsid w:val="00CE0348"/>
    <w:rsid w:val="00D00EFF"/>
    <w:rsid w:val="00D0264A"/>
    <w:rsid w:val="00D109B8"/>
    <w:rsid w:val="00D1465E"/>
    <w:rsid w:val="00D23E28"/>
    <w:rsid w:val="00D34F21"/>
    <w:rsid w:val="00D366F4"/>
    <w:rsid w:val="00D4020A"/>
    <w:rsid w:val="00D4094C"/>
    <w:rsid w:val="00D41D3D"/>
    <w:rsid w:val="00D45E0C"/>
    <w:rsid w:val="00D71269"/>
    <w:rsid w:val="00D9360A"/>
    <w:rsid w:val="00DA14EB"/>
    <w:rsid w:val="00DA273F"/>
    <w:rsid w:val="00DB3A9E"/>
    <w:rsid w:val="00DC3657"/>
    <w:rsid w:val="00DC6A64"/>
    <w:rsid w:val="00DC7DCF"/>
    <w:rsid w:val="00DE5728"/>
    <w:rsid w:val="00DE603B"/>
    <w:rsid w:val="00DE7D89"/>
    <w:rsid w:val="00DF7E73"/>
    <w:rsid w:val="00E1611E"/>
    <w:rsid w:val="00E2526A"/>
    <w:rsid w:val="00E32AD4"/>
    <w:rsid w:val="00E418A4"/>
    <w:rsid w:val="00EA21D0"/>
    <w:rsid w:val="00EA59C2"/>
    <w:rsid w:val="00EB0693"/>
    <w:rsid w:val="00EB606C"/>
    <w:rsid w:val="00EC7841"/>
    <w:rsid w:val="00ED050D"/>
    <w:rsid w:val="00EE2EE3"/>
    <w:rsid w:val="00EF5761"/>
    <w:rsid w:val="00F00E4C"/>
    <w:rsid w:val="00F0655C"/>
    <w:rsid w:val="00F42513"/>
    <w:rsid w:val="00F501AA"/>
    <w:rsid w:val="00F51235"/>
    <w:rsid w:val="00F56D9B"/>
    <w:rsid w:val="00F65BF5"/>
    <w:rsid w:val="00F758FF"/>
    <w:rsid w:val="00F75A0D"/>
    <w:rsid w:val="00FC2F26"/>
    <w:rsid w:val="00FD4DBB"/>
    <w:rsid w:val="00FD6B0F"/>
    <w:rsid w:val="00FE11B7"/>
    <w:rsid w:val="00FE4A1D"/>
    <w:rsid w:val="00FF31A3"/>
    <w:rsid w:val="00FF55C7"/>
    <w:rsid w:val="06DCFACD"/>
    <w:rsid w:val="18A4F027"/>
    <w:rsid w:val="221F59E3"/>
    <w:rsid w:val="230A8660"/>
    <w:rsid w:val="28F3BF2B"/>
    <w:rsid w:val="47A2E361"/>
    <w:rsid w:val="4FE7B216"/>
    <w:rsid w:val="5181F0D1"/>
    <w:rsid w:val="5AD44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4B45"/>
  <w15:chartTrackingRefBased/>
  <w15:docId w15:val="{C7768E47-AB0F-4CB2-9DD2-DB2D588C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5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Heading1"/>
    <w:next w:val="Normal"/>
    <w:link w:val="Heading2Char"/>
    <w:uiPriority w:val="9"/>
    <w:unhideWhenUsed/>
    <w:qFormat/>
    <w:rsid w:val="00DA273F"/>
    <w:pPr>
      <w:spacing w:before="240" w:after="240" w:line="259" w:lineRule="auto"/>
      <w:ind w:left="360"/>
      <w:outlineLvl w:val="1"/>
    </w:pPr>
    <w:rPr>
      <w:b/>
      <w:bCs/>
      <w:color w:val="auto"/>
      <w:kern w:val="2"/>
      <w:sz w:val="32"/>
      <w:szCs w:val="32"/>
      <w:lang w:val="en-GB"/>
      <w14:ligatures w14:val="standardContextual"/>
    </w:rPr>
  </w:style>
  <w:style w:type="paragraph" w:styleId="Heading3">
    <w:name w:val="heading 3"/>
    <w:basedOn w:val="Normal"/>
    <w:next w:val="Normal"/>
    <w:link w:val="Heading3Char"/>
    <w:uiPriority w:val="9"/>
    <w:unhideWhenUsed/>
    <w:qFormat/>
    <w:rsid w:val="00DA273F"/>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5575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5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5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5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5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5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5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A273F"/>
    <w:rPr>
      <w:rFonts w:asciiTheme="majorHAnsi" w:eastAsiaTheme="majorEastAsia" w:hAnsiTheme="majorHAnsi" w:cstheme="majorBidi"/>
      <w:b/>
      <w:bCs/>
      <w:kern w:val="2"/>
      <w:sz w:val="32"/>
      <w:szCs w:val="32"/>
      <w:lang w:val="en-GB"/>
      <w14:ligatures w14:val="standardContextual"/>
    </w:rPr>
  </w:style>
  <w:style w:type="character" w:customStyle="1" w:styleId="Heading3Char">
    <w:name w:val="Heading 3 Char"/>
    <w:basedOn w:val="DefaultParagraphFont"/>
    <w:link w:val="Heading3"/>
    <w:uiPriority w:val="9"/>
    <w:rsid w:val="00DA273F"/>
    <w:rPr>
      <w:rFonts w:eastAsiaTheme="majorEastAsia" w:cstheme="majorBidi"/>
      <w:sz w:val="28"/>
      <w:szCs w:val="28"/>
    </w:rPr>
  </w:style>
  <w:style w:type="character" w:customStyle="1" w:styleId="Heading4Char">
    <w:name w:val="Heading 4 Char"/>
    <w:basedOn w:val="DefaultParagraphFont"/>
    <w:link w:val="Heading4"/>
    <w:uiPriority w:val="9"/>
    <w:rsid w:val="005575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5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59A"/>
    <w:rPr>
      <w:rFonts w:eastAsiaTheme="majorEastAsia" w:cstheme="majorBidi"/>
      <w:color w:val="272727" w:themeColor="text1" w:themeTint="D8"/>
    </w:rPr>
  </w:style>
  <w:style w:type="paragraph" w:styleId="Title">
    <w:name w:val="Title"/>
    <w:basedOn w:val="Normal"/>
    <w:next w:val="Normal"/>
    <w:link w:val="TitleChar"/>
    <w:uiPriority w:val="10"/>
    <w:qFormat/>
    <w:rsid w:val="005575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5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5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759A"/>
    <w:rPr>
      <w:i/>
      <w:iCs/>
      <w:color w:val="404040" w:themeColor="text1" w:themeTint="BF"/>
    </w:rPr>
  </w:style>
  <w:style w:type="paragraph" w:styleId="ListParagraph">
    <w:name w:val="List Paragraph"/>
    <w:basedOn w:val="Normal"/>
    <w:uiPriority w:val="34"/>
    <w:qFormat/>
    <w:rsid w:val="0055759A"/>
    <w:pPr>
      <w:ind w:left="720"/>
      <w:contextualSpacing/>
    </w:pPr>
  </w:style>
  <w:style w:type="character" w:styleId="IntenseEmphasis">
    <w:name w:val="Intense Emphasis"/>
    <w:basedOn w:val="DefaultParagraphFont"/>
    <w:uiPriority w:val="21"/>
    <w:qFormat/>
    <w:rsid w:val="0055759A"/>
    <w:rPr>
      <w:i/>
      <w:iCs/>
      <w:color w:val="2F5496" w:themeColor="accent1" w:themeShade="BF"/>
    </w:rPr>
  </w:style>
  <w:style w:type="paragraph" w:styleId="IntenseQuote">
    <w:name w:val="Intense Quote"/>
    <w:basedOn w:val="Normal"/>
    <w:next w:val="Normal"/>
    <w:link w:val="IntenseQuoteChar"/>
    <w:uiPriority w:val="30"/>
    <w:qFormat/>
    <w:rsid w:val="00557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59A"/>
    <w:rPr>
      <w:i/>
      <w:iCs/>
      <w:color w:val="2F5496" w:themeColor="accent1" w:themeShade="BF"/>
    </w:rPr>
  </w:style>
  <w:style w:type="character" w:styleId="IntenseReference">
    <w:name w:val="Intense Reference"/>
    <w:basedOn w:val="DefaultParagraphFont"/>
    <w:uiPriority w:val="32"/>
    <w:qFormat/>
    <w:rsid w:val="0055759A"/>
    <w:rPr>
      <w:b/>
      <w:bCs/>
      <w:smallCaps/>
      <w:color w:val="2F5496" w:themeColor="accent1" w:themeShade="BF"/>
      <w:spacing w:val="5"/>
    </w:rPr>
  </w:style>
  <w:style w:type="table" w:styleId="TableGrid">
    <w:name w:val="Table Grid"/>
    <w:basedOn w:val="TableNormal"/>
    <w:uiPriority w:val="39"/>
    <w:rsid w:val="0055759A"/>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5759A"/>
    <w:pPr>
      <w:spacing w:after="200"/>
    </w:pPr>
    <w:rPr>
      <w:i/>
      <w:iCs/>
      <w:color w:val="44546A" w:themeColor="text2"/>
      <w:kern w:val="2"/>
      <w:sz w:val="18"/>
      <w:szCs w:val="18"/>
      <w:lang w:val="en-GB"/>
      <w14:ligatures w14:val="standardContextual"/>
    </w:rPr>
  </w:style>
  <w:style w:type="character" w:styleId="CommentReference">
    <w:name w:val="annotation reference"/>
    <w:basedOn w:val="DefaultParagraphFont"/>
    <w:uiPriority w:val="99"/>
    <w:semiHidden/>
    <w:unhideWhenUsed/>
    <w:rsid w:val="0055759A"/>
    <w:rPr>
      <w:sz w:val="16"/>
      <w:szCs w:val="16"/>
    </w:rPr>
  </w:style>
  <w:style w:type="paragraph" w:styleId="CommentText">
    <w:name w:val="annotation text"/>
    <w:basedOn w:val="Normal"/>
    <w:link w:val="CommentTextChar"/>
    <w:uiPriority w:val="99"/>
    <w:unhideWhenUsed/>
    <w:rsid w:val="0055759A"/>
    <w:pPr>
      <w:spacing w:after="160"/>
    </w:pPr>
    <w:rPr>
      <w:kern w:val="2"/>
      <w:sz w:val="20"/>
      <w:szCs w:val="20"/>
      <w:lang w:val="en-GB"/>
      <w14:ligatures w14:val="standardContextual"/>
    </w:rPr>
  </w:style>
  <w:style w:type="character" w:customStyle="1" w:styleId="CommentTextChar">
    <w:name w:val="Comment Text Char"/>
    <w:basedOn w:val="DefaultParagraphFont"/>
    <w:link w:val="CommentText"/>
    <w:uiPriority w:val="99"/>
    <w:rsid w:val="0055759A"/>
    <w:rPr>
      <w:kern w:val="2"/>
      <w:sz w:val="20"/>
      <w:szCs w:val="20"/>
      <w:lang w:val="en-GB"/>
      <w14:ligatures w14:val="standardContextual"/>
    </w:rPr>
  </w:style>
  <w:style w:type="paragraph" w:styleId="Header">
    <w:name w:val="header"/>
    <w:basedOn w:val="Normal"/>
    <w:link w:val="HeaderChar"/>
    <w:uiPriority w:val="99"/>
    <w:unhideWhenUsed/>
    <w:rsid w:val="00523F18"/>
    <w:pPr>
      <w:tabs>
        <w:tab w:val="center" w:pos="4680"/>
        <w:tab w:val="right" w:pos="9360"/>
      </w:tabs>
    </w:pPr>
  </w:style>
  <w:style w:type="character" w:customStyle="1" w:styleId="HeaderChar">
    <w:name w:val="Header Char"/>
    <w:basedOn w:val="DefaultParagraphFont"/>
    <w:link w:val="Header"/>
    <w:uiPriority w:val="99"/>
    <w:rsid w:val="00523F18"/>
  </w:style>
  <w:style w:type="paragraph" w:styleId="Footer">
    <w:name w:val="footer"/>
    <w:basedOn w:val="Normal"/>
    <w:link w:val="FooterChar"/>
    <w:uiPriority w:val="99"/>
    <w:unhideWhenUsed/>
    <w:rsid w:val="00523F18"/>
    <w:pPr>
      <w:tabs>
        <w:tab w:val="center" w:pos="4680"/>
        <w:tab w:val="right" w:pos="9360"/>
      </w:tabs>
    </w:pPr>
  </w:style>
  <w:style w:type="character" w:customStyle="1" w:styleId="FooterChar">
    <w:name w:val="Footer Char"/>
    <w:basedOn w:val="DefaultParagraphFont"/>
    <w:link w:val="Footer"/>
    <w:uiPriority w:val="99"/>
    <w:rsid w:val="00523F18"/>
  </w:style>
  <w:style w:type="paragraph" w:styleId="Bibliography">
    <w:name w:val="Bibliography"/>
    <w:basedOn w:val="Normal"/>
    <w:next w:val="Normal"/>
    <w:uiPriority w:val="37"/>
    <w:unhideWhenUsed/>
    <w:rsid w:val="00C633F4"/>
    <w:pPr>
      <w:tabs>
        <w:tab w:val="left" w:pos="384"/>
      </w:tabs>
      <w:spacing w:line="480" w:lineRule="auto"/>
      <w:ind w:left="384" w:hanging="384"/>
    </w:pPr>
  </w:style>
  <w:style w:type="paragraph" w:styleId="CommentSubject">
    <w:name w:val="annotation subject"/>
    <w:basedOn w:val="CommentText"/>
    <w:next w:val="CommentText"/>
    <w:link w:val="CommentSubjectChar"/>
    <w:uiPriority w:val="99"/>
    <w:semiHidden/>
    <w:unhideWhenUsed/>
    <w:rsid w:val="009957A2"/>
    <w:pPr>
      <w:spacing w:after="0"/>
    </w:pPr>
    <w:rPr>
      <w:b/>
      <w:bCs/>
      <w:kern w:val="0"/>
      <w:lang w:val="en-US"/>
      <w14:ligatures w14:val="none"/>
    </w:rPr>
  </w:style>
  <w:style w:type="character" w:customStyle="1" w:styleId="CommentSubjectChar">
    <w:name w:val="Comment Subject Char"/>
    <w:basedOn w:val="CommentTextChar"/>
    <w:link w:val="CommentSubject"/>
    <w:uiPriority w:val="99"/>
    <w:semiHidden/>
    <w:rsid w:val="009957A2"/>
    <w:rPr>
      <w:b/>
      <w:bCs/>
      <w:kern w:val="2"/>
      <w:sz w:val="20"/>
      <w:szCs w:val="20"/>
      <w:lang w:val="en-GB"/>
      <w14:ligatures w14:val="standardContextual"/>
    </w:rPr>
  </w:style>
  <w:style w:type="paragraph" w:styleId="TOCHeading">
    <w:name w:val="TOC Heading"/>
    <w:basedOn w:val="Heading1"/>
    <w:next w:val="Normal"/>
    <w:uiPriority w:val="39"/>
    <w:unhideWhenUsed/>
    <w:qFormat/>
    <w:rsid w:val="0003670A"/>
    <w:pPr>
      <w:spacing w:before="240" w:after="0" w:line="259" w:lineRule="auto"/>
      <w:outlineLvl w:val="9"/>
    </w:pPr>
    <w:rPr>
      <w:sz w:val="32"/>
      <w:szCs w:val="32"/>
    </w:rPr>
  </w:style>
  <w:style w:type="paragraph" w:styleId="TOC1">
    <w:name w:val="toc 1"/>
    <w:basedOn w:val="Normal"/>
    <w:next w:val="Normal"/>
    <w:autoRedefine/>
    <w:uiPriority w:val="39"/>
    <w:unhideWhenUsed/>
    <w:rsid w:val="0003670A"/>
    <w:pPr>
      <w:spacing w:after="100"/>
    </w:pPr>
  </w:style>
  <w:style w:type="paragraph" w:styleId="TOC2">
    <w:name w:val="toc 2"/>
    <w:basedOn w:val="Normal"/>
    <w:next w:val="Normal"/>
    <w:autoRedefine/>
    <w:uiPriority w:val="39"/>
    <w:unhideWhenUsed/>
    <w:rsid w:val="0003670A"/>
    <w:pPr>
      <w:spacing w:after="100"/>
      <w:ind w:left="220"/>
    </w:pPr>
  </w:style>
  <w:style w:type="paragraph" w:styleId="TOC3">
    <w:name w:val="toc 3"/>
    <w:basedOn w:val="Normal"/>
    <w:next w:val="Normal"/>
    <w:autoRedefine/>
    <w:uiPriority w:val="39"/>
    <w:unhideWhenUsed/>
    <w:rsid w:val="0003670A"/>
    <w:pPr>
      <w:spacing w:after="100"/>
      <w:ind w:left="440"/>
    </w:pPr>
  </w:style>
  <w:style w:type="character" w:styleId="Hyperlink">
    <w:name w:val="Hyperlink"/>
    <w:basedOn w:val="DefaultParagraphFont"/>
    <w:uiPriority w:val="99"/>
    <w:unhideWhenUsed/>
    <w:rsid w:val="000367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4189">
      <w:bodyDiv w:val="1"/>
      <w:marLeft w:val="0"/>
      <w:marRight w:val="0"/>
      <w:marTop w:val="0"/>
      <w:marBottom w:val="0"/>
      <w:divBdr>
        <w:top w:val="none" w:sz="0" w:space="0" w:color="auto"/>
        <w:left w:val="none" w:sz="0" w:space="0" w:color="auto"/>
        <w:bottom w:val="none" w:sz="0" w:space="0" w:color="auto"/>
        <w:right w:val="none" w:sz="0" w:space="0" w:color="auto"/>
      </w:divBdr>
    </w:div>
    <w:div w:id="505367986">
      <w:bodyDiv w:val="1"/>
      <w:marLeft w:val="0"/>
      <w:marRight w:val="0"/>
      <w:marTop w:val="0"/>
      <w:marBottom w:val="0"/>
      <w:divBdr>
        <w:top w:val="none" w:sz="0" w:space="0" w:color="auto"/>
        <w:left w:val="none" w:sz="0" w:space="0" w:color="auto"/>
        <w:bottom w:val="none" w:sz="0" w:space="0" w:color="auto"/>
        <w:right w:val="none" w:sz="0" w:space="0" w:color="auto"/>
      </w:divBdr>
    </w:div>
    <w:div w:id="1552767120">
      <w:bodyDiv w:val="1"/>
      <w:marLeft w:val="0"/>
      <w:marRight w:val="0"/>
      <w:marTop w:val="0"/>
      <w:marBottom w:val="0"/>
      <w:divBdr>
        <w:top w:val="none" w:sz="0" w:space="0" w:color="auto"/>
        <w:left w:val="none" w:sz="0" w:space="0" w:color="auto"/>
        <w:bottom w:val="none" w:sz="0" w:space="0" w:color="auto"/>
        <w:right w:val="none" w:sz="0" w:space="0" w:color="auto"/>
      </w:divBdr>
    </w:div>
    <w:div w:id="163672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AAF3F1243DE41B188285ABC815F93" ma:contentTypeVersion="19" ma:contentTypeDescription="Create a new document." ma:contentTypeScope="" ma:versionID="cc8d30cc8921de58693e4342a0d01a46">
  <xsd:schema xmlns:xsd="http://www.w3.org/2001/XMLSchema" xmlns:xs="http://www.w3.org/2001/XMLSchema" xmlns:p="http://schemas.microsoft.com/office/2006/metadata/properties" xmlns:ns2="c1090911-16f1-4708-addb-5db4084efaec" xmlns:ns3="038a7a37-6bdc-40eb-a876-7e5ad11546ed" targetNamespace="http://schemas.microsoft.com/office/2006/metadata/properties" ma:root="true" ma:fieldsID="dfef19e9b93656281c3707f07aa23660" ns2:_="" ns3:_="">
    <xsd:import namespace="c1090911-16f1-4708-addb-5db4084efaec"/>
    <xsd:import namespace="038a7a37-6bdc-40eb-a876-7e5ad11546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90911-16f1-4708-addb-5db4084ef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2b414a-4870-4b76-be62-ecc4760d58d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8a7a37-6bdc-40eb-a876-7e5ad11546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1f4355-d337-4a32-a570-1e2007a6886d}" ma:internalName="TaxCatchAll" ma:showField="CatchAllData" ma:web="038a7a37-6bdc-40eb-a876-7e5ad1154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090911-16f1-4708-addb-5db4084efaec">
      <Terms xmlns="http://schemas.microsoft.com/office/infopath/2007/PartnerControls"/>
    </lcf76f155ced4ddcb4097134ff3c332f>
    <TaxCatchAll xmlns="038a7a37-6bdc-40eb-a876-7e5ad11546ed" xsi:nil="true"/>
    <notes xmlns="c1090911-16f1-4708-addb-5db4084efae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A5FBC-58F3-4A90-8610-05ABBF961FD2}"/>
</file>

<file path=customXml/itemProps2.xml><?xml version="1.0" encoding="utf-8"?>
<ds:datastoreItem xmlns:ds="http://schemas.openxmlformats.org/officeDocument/2006/customXml" ds:itemID="{8A81282E-61BF-47E9-B714-54F92371C2DB}">
  <ds:schemaRefs>
    <ds:schemaRef ds:uri="http://schemas.microsoft.com/sharepoint/v3/contenttype/forms"/>
  </ds:schemaRefs>
</ds:datastoreItem>
</file>

<file path=customXml/itemProps3.xml><?xml version="1.0" encoding="utf-8"?>
<ds:datastoreItem xmlns:ds="http://schemas.openxmlformats.org/officeDocument/2006/customXml" ds:itemID="{1F977BCB-1B1F-468B-9E07-AF95E1809139}">
  <ds:schemaRefs>
    <ds:schemaRef ds:uri="http://schemas.microsoft.com/office/2006/metadata/properties"/>
    <ds:schemaRef ds:uri="http://schemas.microsoft.com/office/infopath/2007/PartnerControls"/>
    <ds:schemaRef ds:uri="c1090911-16f1-4708-addb-5db4084efaec"/>
    <ds:schemaRef ds:uri="038a7a37-6bdc-40eb-a876-7e5ad11546ed"/>
  </ds:schemaRefs>
</ds:datastoreItem>
</file>

<file path=customXml/itemProps4.xml><?xml version="1.0" encoding="utf-8"?>
<ds:datastoreItem xmlns:ds="http://schemas.openxmlformats.org/officeDocument/2006/customXml" ds:itemID="{6A8E09B6-C0A9-4CE0-B793-1951BFB5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6797</Words>
  <Characters>38746</Characters>
  <Application>Microsoft Office Word</Application>
  <DocSecurity>0</DocSecurity>
  <Lines>322</Lines>
  <Paragraphs>90</Paragraphs>
  <ScaleCrop>false</ScaleCrop>
  <Company/>
  <LinksUpToDate>false</LinksUpToDate>
  <CharactersWithSpaces>45453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MASTRUCCI Alessio</dc:creator>
  <cp:keywords/>
  <dc:description/>
  <cp:lastModifiedBy>MASTRUCCI Alessio</cp:lastModifiedBy>
  <cp:revision>222</cp:revision>
  <dcterms:created xsi:type="dcterms:W3CDTF">2024-05-14T14:09:00Z</dcterms:created>
  <dcterms:modified xsi:type="dcterms:W3CDTF">2025-10-01T07:04:00Z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id="PMBFBjsV"/&gt;&lt;style id="http://www.zotero.org/styles/nature-climate-change" hasBibliography="1" bibliographyStyleHasBeenSet="1"/&gt;&lt;prefs&gt;&lt;pref name="fieldType" value="Field"/&gt;&lt;/prefs&gt;&lt;/data&gt;</vt:lpwstr>
  </property>
  <property fmtid="{D5CDD505-2E9C-101B-9397-08002B2CF9AE}" pid="3" name="ContentTypeId">
    <vt:lpwstr>0x01010088BAAF3F1243DE41B188285ABC815F93</vt:lpwstr>
  </property>
  <property fmtid="{D5CDD505-2E9C-101B-9397-08002B2CF9AE}" pid="4" name="MediaServiceImageTags">
    <vt:lpwstr/>
  </property>
</Properties>
</file>