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ECEB8" w14:textId="77777777" w:rsidR="00A907EB" w:rsidRDefault="00A907EB" w:rsidP="00A907EB">
      <w:pPr>
        <w:spacing w:afterLines="50" w:after="120"/>
        <w:jc w:val="left"/>
        <w:rPr>
          <w:rFonts w:ascii="Times New Roman" w:hAnsi="Times New Roman" w:cs="Times New Roman"/>
          <w:color w:val="000000" w:themeColor="text1"/>
          <w:kern w:val="0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TABLE </w:t>
      </w:r>
      <w:r>
        <w:rPr>
          <w:rFonts w:ascii="Times New Roman" w:hAnsi="Times New Roman" w:cs="Times New Roman" w:hint="eastAsia"/>
          <w:b/>
          <w:color w:val="000000" w:themeColor="text1"/>
          <w:sz w:val="24"/>
        </w:rPr>
        <w:t>S1</w:t>
      </w:r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Comparisons of long-term oncological outcomes between the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</w:rPr>
        <w:t xml:space="preserve">pre-IO </w:t>
      </w:r>
      <w:r>
        <w:rPr>
          <w:rFonts w:ascii="Times New Roman" w:hAnsi="Times New Roman" w:cs="Times New Roman"/>
          <w:color w:val="000000" w:themeColor="text1"/>
          <w:kern w:val="0"/>
          <w:sz w:val="24"/>
        </w:rPr>
        <w:t>and the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</w:rPr>
        <w:t xml:space="preserve"> post-IO</w:t>
      </w:r>
      <w:r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  <w:kern w:val="0"/>
          <w:sz w:val="24"/>
        </w:rPr>
        <w:t>before score</w:t>
      </w:r>
      <w:proofErr w:type="gramEnd"/>
      <w:r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matching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</w:rPr>
        <w:t>.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542"/>
        <w:gridCol w:w="1985"/>
        <w:gridCol w:w="1843"/>
        <w:gridCol w:w="981"/>
      </w:tblGrid>
      <w:tr w:rsidR="00A907EB" w14:paraId="496E8B05" w14:textId="77777777" w:rsidTr="00382EC9">
        <w:trPr>
          <w:trHeight w:val="255"/>
          <w:jc w:val="center"/>
        </w:trPr>
        <w:tc>
          <w:tcPr>
            <w:tcW w:w="4542" w:type="dxa"/>
            <w:vMerge w:val="restart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4684D3"/>
            <w:vAlign w:val="bottom"/>
          </w:tcPr>
          <w:p w14:paraId="230D37E5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4809" w:type="dxa"/>
            <w:gridSpan w:val="3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4684D3"/>
            <w:vAlign w:val="bottom"/>
          </w:tcPr>
          <w:p w14:paraId="4D2617DE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E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ntire cohort</w:t>
            </w:r>
          </w:p>
        </w:tc>
      </w:tr>
      <w:tr w:rsidR="00A907EB" w14:paraId="124CB5AA" w14:textId="77777777" w:rsidTr="00382EC9">
        <w:trPr>
          <w:trHeight w:val="255"/>
          <w:jc w:val="center"/>
        </w:trPr>
        <w:tc>
          <w:tcPr>
            <w:tcW w:w="4542" w:type="dxa"/>
            <w:vMerge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bottom"/>
          </w:tcPr>
          <w:p w14:paraId="30D823D2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1985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bottom"/>
          </w:tcPr>
          <w:p w14:paraId="6EE3036E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 xml:space="preserve">The 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pre-IO</w:t>
            </w:r>
          </w:p>
          <w:p w14:paraId="1607927E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08-15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 xml:space="preserve">) </w:t>
            </w:r>
          </w:p>
          <w:p w14:paraId="3B8BA53E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(N=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156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)</w:t>
            </w:r>
          </w:p>
        </w:tc>
        <w:tc>
          <w:tcPr>
            <w:tcW w:w="1843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bottom"/>
          </w:tcPr>
          <w:p w14:paraId="774F2193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 xml:space="preserve">The 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post-IO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 xml:space="preserve"> </w:t>
            </w:r>
          </w:p>
          <w:p w14:paraId="31C7ED61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16-23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)</w:t>
            </w:r>
          </w:p>
          <w:p w14:paraId="5DEA6825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(N=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201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)</w:t>
            </w:r>
          </w:p>
        </w:tc>
        <w:tc>
          <w:tcPr>
            <w:tcW w:w="981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bottom"/>
          </w:tcPr>
          <w:p w14:paraId="04AA3F58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  <w:szCs w:val="21"/>
              </w:rPr>
              <w:t>P</w:t>
            </w:r>
          </w:p>
        </w:tc>
      </w:tr>
      <w:tr w:rsidR="00A907EB" w14:paraId="2A2CD981" w14:textId="77777777" w:rsidTr="00382EC9">
        <w:trPr>
          <w:trHeight w:val="360"/>
          <w:jc w:val="center"/>
        </w:trPr>
        <w:tc>
          <w:tcPr>
            <w:tcW w:w="4542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23E1F20F" w14:textId="77777777" w:rsidR="00A907EB" w:rsidRDefault="00A907EB" w:rsidP="00382EC9">
            <w:pP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  <w:t>Median overall survival, months, 95% CI</w:t>
            </w:r>
          </w:p>
        </w:tc>
        <w:tc>
          <w:tcPr>
            <w:tcW w:w="1985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2E0FDEE0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89.5 (75.0, 104.0)</w:t>
            </w:r>
          </w:p>
        </w:tc>
        <w:tc>
          <w:tcPr>
            <w:tcW w:w="1843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31E5FE69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93.6 (82.5, 104.7)</w:t>
            </w:r>
          </w:p>
        </w:tc>
        <w:tc>
          <w:tcPr>
            <w:tcW w:w="981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5F5DBD1D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0.057</w:t>
            </w:r>
          </w:p>
        </w:tc>
      </w:tr>
      <w:tr w:rsidR="00A907EB" w14:paraId="43410438" w14:textId="77777777" w:rsidTr="00382EC9">
        <w:trPr>
          <w:trHeight w:val="360"/>
          <w:jc w:val="center"/>
        </w:trPr>
        <w:tc>
          <w:tcPr>
            <w:tcW w:w="4542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15A0E6C8" w14:textId="77777777" w:rsidR="00A907EB" w:rsidRDefault="00A907EB" w:rsidP="00382EC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  <w:t xml:space="preserve">    1-year overall survival rate</w:t>
            </w:r>
          </w:p>
        </w:tc>
        <w:tc>
          <w:tcPr>
            <w:tcW w:w="1985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58C253FB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98.1</w:t>
            </w:r>
          </w:p>
        </w:tc>
        <w:tc>
          <w:tcPr>
            <w:tcW w:w="1843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321CAF68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98.0</w:t>
            </w:r>
          </w:p>
        </w:tc>
        <w:tc>
          <w:tcPr>
            <w:tcW w:w="981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1181FFDA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907EB" w14:paraId="4A41B40F" w14:textId="77777777" w:rsidTr="00382EC9">
        <w:trPr>
          <w:trHeight w:val="360"/>
          <w:jc w:val="center"/>
        </w:trPr>
        <w:tc>
          <w:tcPr>
            <w:tcW w:w="4542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304BB0C3" w14:textId="77777777" w:rsidR="00A907EB" w:rsidRDefault="00A907EB" w:rsidP="00382EC9">
            <w:pP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  <w:t xml:space="preserve">    3-year overall survival rate</w:t>
            </w:r>
          </w:p>
        </w:tc>
        <w:tc>
          <w:tcPr>
            <w:tcW w:w="1985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62C8E934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89.7</w:t>
            </w:r>
          </w:p>
        </w:tc>
        <w:tc>
          <w:tcPr>
            <w:tcW w:w="1843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50A74ADA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92.0</w:t>
            </w:r>
          </w:p>
        </w:tc>
        <w:tc>
          <w:tcPr>
            <w:tcW w:w="981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3CEF7AAB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907EB" w14:paraId="4DD51097" w14:textId="77777777" w:rsidTr="00382EC9">
        <w:trPr>
          <w:trHeight w:val="360"/>
          <w:jc w:val="center"/>
        </w:trPr>
        <w:tc>
          <w:tcPr>
            <w:tcW w:w="4542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55A5774B" w14:textId="77777777" w:rsidR="00A907EB" w:rsidRDefault="00A907EB" w:rsidP="00382EC9">
            <w:pP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  <w:t xml:space="preserve">    5-year overall survival rate</w:t>
            </w:r>
          </w:p>
        </w:tc>
        <w:tc>
          <w:tcPr>
            <w:tcW w:w="1985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47DE5BE7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80.1</w:t>
            </w:r>
          </w:p>
        </w:tc>
        <w:tc>
          <w:tcPr>
            <w:tcW w:w="1843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387876B9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87.6</w:t>
            </w:r>
          </w:p>
        </w:tc>
        <w:tc>
          <w:tcPr>
            <w:tcW w:w="981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006F6DD4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907EB" w14:paraId="5D5CF32B" w14:textId="77777777" w:rsidTr="00382EC9">
        <w:trPr>
          <w:trHeight w:val="360"/>
          <w:jc w:val="center"/>
        </w:trPr>
        <w:tc>
          <w:tcPr>
            <w:tcW w:w="4542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01EA6201" w14:textId="77777777" w:rsidR="00A907EB" w:rsidRDefault="00A907EB" w:rsidP="00382EC9">
            <w:pP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  <w:t>Median cancer-specific survival, months, 95% CI</w:t>
            </w:r>
          </w:p>
        </w:tc>
        <w:tc>
          <w:tcPr>
            <w:tcW w:w="1985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17BE6395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843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7DFF0CD7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981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3C9C9069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0.138</w:t>
            </w:r>
          </w:p>
        </w:tc>
      </w:tr>
      <w:tr w:rsidR="00A907EB" w14:paraId="18D7EED6" w14:textId="77777777" w:rsidTr="00382EC9">
        <w:trPr>
          <w:trHeight w:val="360"/>
          <w:jc w:val="center"/>
        </w:trPr>
        <w:tc>
          <w:tcPr>
            <w:tcW w:w="4542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51E9AF75" w14:textId="77777777" w:rsidR="00A907EB" w:rsidRDefault="00A907EB" w:rsidP="00382EC9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  <w:t xml:space="preserve">    1-year cancer-specific survival rate</w:t>
            </w:r>
          </w:p>
        </w:tc>
        <w:tc>
          <w:tcPr>
            <w:tcW w:w="1985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0CFCF87E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99.4</w:t>
            </w:r>
          </w:p>
        </w:tc>
        <w:tc>
          <w:tcPr>
            <w:tcW w:w="1843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5FD5BD35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98.5</w:t>
            </w:r>
          </w:p>
        </w:tc>
        <w:tc>
          <w:tcPr>
            <w:tcW w:w="981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25C88661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907EB" w14:paraId="7AF90446" w14:textId="77777777" w:rsidTr="00382EC9">
        <w:trPr>
          <w:trHeight w:val="360"/>
          <w:jc w:val="center"/>
        </w:trPr>
        <w:tc>
          <w:tcPr>
            <w:tcW w:w="4542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2EF2590A" w14:textId="77777777" w:rsidR="00A907EB" w:rsidRDefault="00A907EB" w:rsidP="00382EC9">
            <w:pP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  <w:t xml:space="preserve">    3-year cancer-specific survival rate</w:t>
            </w:r>
          </w:p>
        </w:tc>
        <w:tc>
          <w:tcPr>
            <w:tcW w:w="1985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224EB18C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94.2</w:t>
            </w:r>
          </w:p>
        </w:tc>
        <w:tc>
          <w:tcPr>
            <w:tcW w:w="1843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3FFE0454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94.0</w:t>
            </w:r>
          </w:p>
        </w:tc>
        <w:tc>
          <w:tcPr>
            <w:tcW w:w="981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0EF8D466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907EB" w14:paraId="1AAE643C" w14:textId="77777777" w:rsidTr="00382EC9">
        <w:trPr>
          <w:trHeight w:val="360"/>
          <w:jc w:val="center"/>
        </w:trPr>
        <w:tc>
          <w:tcPr>
            <w:tcW w:w="4542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3E25EC9D" w14:textId="77777777" w:rsidR="00A907EB" w:rsidRDefault="00A907EB" w:rsidP="00382EC9">
            <w:pP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  <w:t xml:space="preserve">    5-year cancer-specific survival rate</w:t>
            </w:r>
          </w:p>
        </w:tc>
        <w:tc>
          <w:tcPr>
            <w:tcW w:w="1985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4FF30E30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89.7</w:t>
            </w:r>
          </w:p>
        </w:tc>
        <w:tc>
          <w:tcPr>
            <w:tcW w:w="1843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3A742865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90.5</w:t>
            </w:r>
          </w:p>
        </w:tc>
        <w:tc>
          <w:tcPr>
            <w:tcW w:w="981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153E862F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907EB" w14:paraId="590FDCCB" w14:textId="77777777" w:rsidTr="00382EC9">
        <w:trPr>
          <w:trHeight w:val="360"/>
          <w:jc w:val="center"/>
        </w:trPr>
        <w:tc>
          <w:tcPr>
            <w:tcW w:w="4542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2F481D40" w14:textId="77777777" w:rsidR="00A907EB" w:rsidRDefault="00A907EB" w:rsidP="00382EC9">
            <w:pP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  <w:t>Median time to recurrence, months, 95% CI</w:t>
            </w:r>
          </w:p>
        </w:tc>
        <w:tc>
          <w:tcPr>
            <w:tcW w:w="1985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7C96F6B7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1843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4683BBD9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981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46CA46ED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0.126</w:t>
            </w:r>
          </w:p>
        </w:tc>
      </w:tr>
      <w:tr w:rsidR="00A907EB" w14:paraId="19C0D025" w14:textId="77777777" w:rsidTr="00382EC9">
        <w:trPr>
          <w:trHeight w:val="340"/>
          <w:jc w:val="center"/>
        </w:trPr>
        <w:tc>
          <w:tcPr>
            <w:tcW w:w="4542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50964AC3" w14:textId="77777777" w:rsidR="00A907EB" w:rsidRDefault="00A907EB" w:rsidP="00382EC9">
            <w:pP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  <w:t xml:space="preserve">    1-year cumulative recurrence rate</w:t>
            </w:r>
          </w:p>
        </w:tc>
        <w:tc>
          <w:tcPr>
            <w:tcW w:w="1985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30BEEDB6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5.8</w:t>
            </w:r>
          </w:p>
        </w:tc>
        <w:tc>
          <w:tcPr>
            <w:tcW w:w="1843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27B234E9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6.0</w:t>
            </w:r>
          </w:p>
        </w:tc>
        <w:tc>
          <w:tcPr>
            <w:tcW w:w="981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7AA4A7A8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907EB" w14:paraId="03F4D207" w14:textId="77777777" w:rsidTr="00382EC9">
        <w:trPr>
          <w:trHeight w:val="360"/>
          <w:jc w:val="center"/>
        </w:trPr>
        <w:tc>
          <w:tcPr>
            <w:tcW w:w="4542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14FDD584" w14:textId="77777777" w:rsidR="00A907EB" w:rsidRDefault="00A907EB" w:rsidP="00382EC9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  <w:t xml:space="preserve">  3-year cumulative recurrence rate</w:t>
            </w:r>
          </w:p>
        </w:tc>
        <w:tc>
          <w:tcPr>
            <w:tcW w:w="1985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68F4D3A9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15.4</w:t>
            </w:r>
          </w:p>
        </w:tc>
        <w:tc>
          <w:tcPr>
            <w:tcW w:w="1843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1368E8C4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11.4</w:t>
            </w:r>
          </w:p>
        </w:tc>
        <w:tc>
          <w:tcPr>
            <w:tcW w:w="981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F2F2F2"/>
            <w:vAlign w:val="center"/>
          </w:tcPr>
          <w:p w14:paraId="3AB67009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907EB" w14:paraId="5BCF2F42" w14:textId="77777777" w:rsidTr="00382EC9">
        <w:trPr>
          <w:trHeight w:val="360"/>
          <w:jc w:val="center"/>
        </w:trPr>
        <w:tc>
          <w:tcPr>
            <w:tcW w:w="4542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622A1854" w14:textId="77777777" w:rsidR="00A907EB" w:rsidRDefault="00A907EB" w:rsidP="00382EC9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lang w:bidi="ar"/>
              </w:rPr>
              <w:t xml:space="preserve">  5-year cumulative recurrence rate</w:t>
            </w:r>
          </w:p>
        </w:tc>
        <w:tc>
          <w:tcPr>
            <w:tcW w:w="1985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03F43ACA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26.3</w:t>
            </w:r>
          </w:p>
        </w:tc>
        <w:tc>
          <w:tcPr>
            <w:tcW w:w="1843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4B801CEA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17.9</w:t>
            </w:r>
          </w:p>
        </w:tc>
        <w:tc>
          <w:tcPr>
            <w:tcW w:w="981" w:type="dxa"/>
            <w:tcBorders>
              <w:top w:val="single" w:sz="8" w:space="0" w:color="FCFCFC"/>
              <w:left w:val="single" w:sz="8" w:space="0" w:color="FCFCFC"/>
              <w:bottom w:val="single" w:sz="8" w:space="0" w:color="FCFCFC"/>
              <w:right w:val="single" w:sz="8" w:space="0" w:color="FCFCFC"/>
            </w:tcBorders>
            <w:shd w:val="clear" w:color="auto" w:fill="BFD5F0"/>
            <w:vAlign w:val="center"/>
          </w:tcPr>
          <w:p w14:paraId="0CE22C6E" w14:textId="77777777" w:rsidR="00A907EB" w:rsidRDefault="00A907EB" w:rsidP="00382EC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</w:tbl>
    <w:p w14:paraId="0554553D" w14:textId="3654D2C4" w:rsidR="009542D6" w:rsidRDefault="00A907EB">
      <w:r>
        <w:rPr>
          <w:rFonts w:ascii="Times New Roman" w:hAnsi="Times New Roman" w:cs="Times New Roman"/>
          <w:color w:val="000000" w:themeColor="text1"/>
          <w:kern w:val="0"/>
          <w:szCs w:val="18"/>
        </w:rPr>
        <w:t>*Values are median ± standard deviation.</w:t>
      </w:r>
      <w:r>
        <w:rPr>
          <w:rFonts w:ascii="Times New Roman" w:hAnsi="Times New Roman" w:cs="Times New Roman" w:hint="eastAsia"/>
          <w:color w:val="000000" w:themeColor="text1"/>
          <w:kern w:val="0"/>
          <w:szCs w:val="18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Cs w:val="18"/>
        </w:rPr>
        <w:t xml:space="preserve">CI, confidence interval; PSM, propensity score </w:t>
      </w:r>
      <w:proofErr w:type="gramStart"/>
      <w:r>
        <w:rPr>
          <w:rFonts w:ascii="Times New Roman" w:hAnsi="Times New Roman" w:cs="Times New Roman"/>
          <w:color w:val="000000" w:themeColor="text1"/>
          <w:kern w:val="0"/>
          <w:szCs w:val="18"/>
        </w:rPr>
        <w:t>matching</w:t>
      </w:r>
      <w:r>
        <w:rPr>
          <w:rFonts w:ascii="Times New Roman" w:hAnsi="Times New Roman" w:cs="Times New Roman" w:hint="eastAsia"/>
          <w:color w:val="000000" w:themeColor="text1"/>
          <w:kern w:val="0"/>
          <w:szCs w:val="18"/>
        </w:rPr>
        <w:t>;</w:t>
      </w:r>
      <w:proofErr w:type="gramEnd"/>
    </w:p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7EB"/>
    <w:rsid w:val="00264C10"/>
    <w:rsid w:val="00470242"/>
    <w:rsid w:val="00474AF8"/>
    <w:rsid w:val="00726E03"/>
    <w:rsid w:val="009542D6"/>
    <w:rsid w:val="00A9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F80A5"/>
  <w15:chartTrackingRefBased/>
  <w15:docId w15:val="{76F3C9B6-2D62-46E2-8688-EF10A9C7D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7EB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07E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07E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07E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07E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07E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07E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07E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07E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07E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07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07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07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07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07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07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07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07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07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07E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07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07E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07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07EB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07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07EB"/>
    <w:pPr>
      <w:widowControl/>
      <w:spacing w:after="160" w:line="278" w:lineRule="auto"/>
      <w:ind w:left="720"/>
      <w:contextualSpacing/>
      <w:jc w:val="left"/>
    </w:pPr>
    <w:rPr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07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07E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07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07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791</Characters>
  <Application>Microsoft Office Word</Application>
  <DocSecurity>0</DocSecurity>
  <Lines>23</Lines>
  <Paragraphs>14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2026-01-09T12:58:00Z</dcterms:created>
  <dcterms:modified xsi:type="dcterms:W3CDTF">2026-01-09T13:01:00Z</dcterms:modified>
</cp:coreProperties>
</file>