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C9D20" w14:textId="77777777" w:rsidR="00DA1BB2" w:rsidRDefault="00DA1BB2" w:rsidP="00DA1BB2">
      <w:pPr>
        <w:spacing w:before="240" w:after="240" w:line="240" w:lineRule="auto"/>
        <w:rPr>
          <w:rFonts w:ascii="Times" w:eastAsia="Times" w:hAnsi="Times" w:cs="Times"/>
        </w:rPr>
      </w:pPr>
      <w:r>
        <w:rPr>
          <w:noProof/>
        </w:rPr>
        <mc:AlternateContent>
          <mc:Choice Requires="wps">
            <w:drawing>
              <wp:anchor distT="0" distB="0" distL="114300" distR="114300" simplePos="0" relativeHeight="251659264" behindDoc="0" locked="0" layoutInCell="1" allowOverlap="1" wp14:anchorId="4BD4DAD2" wp14:editId="3FDB906B">
                <wp:simplePos x="0" y="0"/>
                <wp:positionH relativeFrom="column">
                  <wp:posOffset>-517525</wp:posOffset>
                </wp:positionH>
                <wp:positionV relativeFrom="paragraph">
                  <wp:posOffset>2859846</wp:posOffset>
                </wp:positionV>
                <wp:extent cx="6776795" cy="719417"/>
                <wp:effectExtent l="0" t="0" r="17780" b="17780"/>
                <wp:wrapNone/>
                <wp:docPr id="1192343539" name="Text Box 4"/>
                <wp:cNvGraphicFramePr/>
                <a:graphic xmlns:a="http://schemas.openxmlformats.org/drawingml/2006/main">
                  <a:graphicData uri="http://schemas.microsoft.com/office/word/2010/wordprocessingShape">
                    <wps:wsp>
                      <wps:cNvSpPr txBox="1"/>
                      <wps:spPr>
                        <a:xfrm>
                          <a:off x="0" y="0"/>
                          <a:ext cx="6776795" cy="719417"/>
                        </a:xfrm>
                        <a:prstGeom prst="rect">
                          <a:avLst/>
                        </a:prstGeom>
                        <a:solidFill>
                          <a:schemeClr val="bg1"/>
                        </a:solidFill>
                        <a:ln w="6350">
                          <a:solidFill>
                            <a:schemeClr val="bg1"/>
                          </a:solidFill>
                        </a:ln>
                      </wps:spPr>
                      <wps:txbx>
                        <w:txbxContent>
                          <w:p w14:paraId="43D87642" w14:textId="77777777" w:rsidR="00DA1BB2" w:rsidRPr="00FE7DA0" w:rsidRDefault="00DA1BB2" w:rsidP="00DA1BB2">
                            <w:pPr>
                              <w:rPr>
                                <w:rFonts w:ascii="Times New Roman" w:hAnsi="Times New Roman" w:cs="Times New Roman"/>
                                <w:sz w:val="16"/>
                                <w:szCs w:val="16"/>
                              </w:rPr>
                            </w:pPr>
                            <w:r w:rsidRPr="00FE7DA0">
                              <w:rPr>
                                <w:rFonts w:ascii="Times New Roman" w:hAnsi="Times New Roman" w:cs="Times New Roman"/>
                                <w:b/>
                                <w:bCs/>
                                <w:sz w:val="16"/>
                                <w:szCs w:val="16"/>
                              </w:rPr>
                              <w:t>Table 1</w:t>
                            </w:r>
                            <w:r>
                              <w:rPr>
                                <w:rFonts w:ascii="Times New Roman" w:hAnsi="Times New Roman" w:cs="Times New Roman"/>
                                <w:b/>
                                <w:bCs/>
                                <w:sz w:val="16"/>
                                <w:szCs w:val="16"/>
                              </w:rPr>
                              <w:t xml:space="preserve"> </w:t>
                            </w:r>
                            <w:r w:rsidRPr="00FE7DA0">
                              <w:rPr>
                                <w:rFonts w:ascii="Times New Roman" w:hAnsi="Times New Roman" w:cs="Times New Roman"/>
                                <w:sz w:val="16"/>
                                <w:szCs w:val="16"/>
                              </w:rPr>
                              <w:t>Inclusion and exclusion criteria for systematic review studies on robotic-assisted surgical procedures in IBD patients.</w:t>
                            </w:r>
                            <w:r>
                              <w:rPr>
                                <w:rFonts w:ascii="Times New Roman" w:hAnsi="Times New Roman" w:cs="Times New Roman"/>
                                <w:sz w:val="16"/>
                                <w:szCs w:val="16"/>
                              </w:rPr>
                              <w:t xml:space="preserve"> </w:t>
                            </w:r>
                            <w:r w:rsidRPr="00FE7DA0">
                              <w:rPr>
                                <w:rFonts w:ascii="Times New Roman" w:hAnsi="Times New Roman" w:cs="Times New Roman"/>
                                <w:sz w:val="16"/>
                                <w:szCs w:val="16"/>
                              </w:rPr>
                              <w:t>Criteria are categorised by population, intervention, comparator, outcomes, study design, and publication year</w:t>
                            </w:r>
                            <w:r>
                              <w:rPr>
                                <w:rFonts w:ascii="Times New Roman" w:hAnsi="Times New Roman" w:cs="Times New Roman"/>
                                <w:sz w:val="16"/>
                                <w:szCs w:val="16"/>
                              </w:rPr>
                              <w:t xml:space="preserve"> </w:t>
                            </w:r>
                            <w:r w:rsidRPr="00FE7DA0">
                              <w:rPr>
                                <w:rFonts w:ascii="Times New Roman" w:hAnsi="Times New Roman" w:cs="Times New Roman"/>
                                <w:sz w:val="16"/>
                                <w:szCs w:val="16"/>
                              </w:rPr>
                              <w:t>*Clinically relevant outcomes included but were not limited to conversion to open surgery, complication rates, length of hospital stay, stoma formation, reoperation rates, mortality rates, anastomotic leak, functional outcomes (e.g. time to stool). CD indicates Crohn's Disease; UC, ulcerative colitis; IBD, inflammatory bowel disease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D4DAD2" id="_x0000_t202" coordsize="21600,21600" o:spt="202" path="m,l,21600r21600,l21600,xe">
                <v:stroke joinstyle="miter"/>
                <v:path gradientshapeok="t" o:connecttype="rect"/>
              </v:shapetype>
              <v:shape id="Text Box 4" o:spid="_x0000_s1026" type="#_x0000_t202" style="position:absolute;margin-left:-40.75pt;margin-top:225.2pt;width:533.6pt;height:5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" fillcolor="white [3212]" strokecolor="white [3212]" strokeweight=".5pt">
                <v:textbox>
                  <w:txbxContent>
                    <w:p w14:paraId="43D87642" w14:textId="77777777" w:rsidR="00DA1BB2" w:rsidRPr="00FE7DA0" w:rsidRDefault="00DA1BB2" w:rsidP="00DA1BB2">
                      <w:pPr>
                        <w:rPr>
                          <w:rFonts w:ascii="Times New Roman" w:hAnsi="Times New Roman" w:cs="Times New Roman"/>
                          <w:sz w:val="16"/>
                          <w:szCs w:val="16"/>
                        </w:rPr>
                      </w:pPr>
                      <w:r w:rsidRPr="00FE7DA0">
                        <w:rPr>
                          <w:rFonts w:ascii="Times New Roman" w:hAnsi="Times New Roman" w:cs="Times New Roman"/>
                          <w:b/>
                          <w:bCs/>
                          <w:sz w:val="16"/>
                          <w:szCs w:val="16"/>
                        </w:rPr>
                        <w:t>Table 1</w:t>
                      </w:r>
                      <w:r>
                        <w:rPr>
                          <w:rFonts w:ascii="Times New Roman" w:hAnsi="Times New Roman" w:cs="Times New Roman"/>
                          <w:b/>
                          <w:bCs/>
                          <w:sz w:val="16"/>
                          <w:szCs w:val="16"/>
                        </w:rPr>
                        <w:t xml:space="preserve"> </w:t>
                      </w:r>
                      <w:r w:rsidRPr="00FE7DA0">
                        <w:rPr>
                          <w:rFonts w:ascii="Times New Roman" w:hAnsi="Times New Roman" w:cs="Times New Roman"/>
                          <w:sz w:val="16"/>
                          <w:szCs w:val="16"/>
                        </w:rPr>
                        <w:t>Inclusion and exclusion criteria for systematic review studies on robotic-assisted surgical procedures in IBD patients.</w:t>
                      </w:r>
                      <w:r>
                        <w:rPr>
                          <w:rFonts w:ascii="Times New Roman" w:hAnsi="Times New Roman" w:cs="Times New Roman"/>
                          <w:sz w:val="16"/>
                          <w:szCs w:val="16"/>
                        </w:rPr>
                        <w:t xml:space="preserve"> </w:t>
                      </w:r>
                      <w:r w:rsidRPr="00FE7DA0">
                        <w:rPr>
                          <w:rFonts w:ascii="Times New Roman" w:hAnsi="Times New Roman" w:cs="Times New Roman"/>
                          <w:sz w:val="16"/>
                          <w:szCs w:val="16"/>
                        </w:rPr>
                        <w:t>Criteria are categorised by population, intervention, comparator, outcomes, study design, and publication year</w:t>
                      </w:r>
                      <w:r>
                        <w:rPr>
                          <w:rFonts w:ascii="Times New Roman" w:hAnsi="Times New Roman" w:cs="Times New Roman"/>
                          <w:sz w:val="16"/>
                          <w:szCs w:val="16"/>
                        </w:rPr>
                        <w:t xml:space="preserve"> </w:t>
                      </w:r>
                      <w:r w:rsidRPr="00FE7DA0">
                        <w:rPr>
                          <w:rFonts w:ascii="Times New Roman" w:hAnsi="Times New Roman" w:cs="Times New Roman"/>
                          <w:sz w:val="16"/>
                          <w:szCs w:val="16"/>
                        </w:rPr>
                        <w:t>*Clinically relevant outcomes included but were not limited to conversion to open surgery, complication rates, length of hospital stay, stoma formation, reoperation rates, mortality rates, anastomotic leak, functional outcomes (e.g. time to stool). CD indicates Crohn's Disease; UC, ulcerative colitis; IBD, inflammatory bowel disease</w:t>
                      </w:r>
                    </w:p>
                  </w:txbxContent>
                </v:textbox>
              </v:shape>
            </w:pict>
          </mc:Fallback>
        </mc:AlternateContent>
      </w:r>
      <w:r>
        <w:rPr>
          <w:noProof/>
        </w:rPr>
        <w:drawing>
          <wp:inline distT="0" distB="0" distL="0" distR="0" wp14:anchorId="65402273" wp14:editId="4093161A">
            <wp:extent cx="5724524" cy="3486150"/>
            <wp:effectExtent l="0" t="0" r="3810" b="0"/>
            <wp:docPr id="1384984745" name="Picture 1384984745" descr="Picture 1569651352,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4524" cy="3486150"/>
                    </a:xfrm>
                    <a:prstGeom prst="rect">
                      <a:avLst/>
                    </a:prstGeom>
                  </pic:spPr>
                </pic:pic>
              </a:graphicData>
            </a:graphic>
          </wp:inline>
        </w:drawing>
      </w:r>
    </w:p>
    <w:p w14:paraId="40F7ACDD" w14:textId="77777777" w:rsidR="00E023F9" w:rsidRDefault="00E023F9"/>
    <w:p w14:paraId="1F256ACD" w14:textId="77777777" w:rsidR="00DA1BB2" w:rsidRDefault="00DA1BB2"/>
    <w:p w14:paraId="18A5F07B" w14:textId="77777777" w:rsidR="00DA1BB2" w:rsidRDefault="00DA1BB2"/>
    <w:p w14:paraId="02A86089" w14:textId="77777777" w:rsidR="00DA1BB2" w:rsidRDefault="00DA1BB2" w:rsidP="00DA1BB2">
      <w:pPr>
        <w:pStyle w:val="NormalWeb"/>
      </w:pPr>
    </w:p>
    <w:p w14:paraId="04E71288" w14:textId="108C2BA8" w:rsidR="00DA1BB2" w:rsidRDefault="00DA1BB2" w:rsidP="00DA1BB2">
      <w:r>
        <w:rPr>
          <w:noProof/>
        </w:rPr>
        <w:lastRenderedPageBreak/>
        <mc:AlternateContent>
          <mc:Choice Requires="wps">
            <w:drawing>
              <wp:anchor distT="0" distB="0" distL="114300" distR="114300" simplePos="0" relativeHeight="251662336" behindDoc="0" locked="0" layoutInCell="1" allowOverlap="1" wp14:anchorId="6C73953C" wp14:editId="29312166">
                <wp:simplePos x="0" y="0"/>
                <wp:positionH relativeFrom="column">
                  <wp:posOffset>1401005</wp:posOffset>
                </wp:positionH>
                <wp:positionV relativeFrom="paragraph">
                  <wp:posOffset>3595565</wp:posOffset>
                </wp:positionV>
                <wp:extent cx="9313326" cy="1799591"/>
                <wp:effectExtent l="0" t="2540" r="19050" b="19050"/>
                <wp:wrapNone/>
                <wp:docPr id="207589528" name="Text Box 5"/>
                <wp:cNvGraphicFramePr/>
                <a:graphic xmlns:a="http://schemas.openxmlformats.org/drawingml/2006/main">
                  <a:graphicData uri="http://schemas.microsoft.com/office/word/2010/wordprocessingShape">
                    <wps:wsp>
                      <wps:cNvSpPr txBox="1"/>
                      <wps:spPr>
                        <a:xfrm rot="16200000">
                          <a:off x="0" y="0"/>
                          <a:ext cx="9313326" cy="1799591"/>
                        </a:xfrm>
                        <a:prstGeom prst="rect">
                          <a:avLst/>
                        </a:prstGeom>
                        <a:solidFill>
                          <a:schemeClr val="bg1"/>
                        </a:solidFill>
                        <a:ln w="6350">
                          <a:solidFill>
                            <a:schemeClr val="bg1"/>
                          </a:solidFill>
                        </a:ln>
                      </wps:spPr>
                      <wps:txbx>
                        <w:txbxContent>
                          <w:p w14:paraId="2FBE9525" w14:textId="77777777" w:rsidR="00DA1BB2" w:rsidRPr="00A37038" w:rsidRDefault="00DA1BB2" w:rsidP="00DA1BB2">
                            <w:pPr>
                              <w:rPr>
                                <w:rFonts w:ascii="Times New Roman" w:hAnsi="Times New Roman" w:cs="Times New Roman"/>
                                <w:sz w:val="21"/>
                                <w:szCs w:val="21"/>
                              </w:rPr>
                            </w:pPr>
                            <w:r w:rsidRPr="00A37038">
                              <w:rPr>
                                <w:rFonts w:ascii="Times New Roman" w:hAnsi="Times New Roman" w:cs="Times New Roman"/>
                                <w:sz w:val="21"/>
                                <w:szCs w:val="21"/>
                              </w:rPr>
                              <w:br/>
                            </w:r>
                            <w:r w:rsidRPr="00A37038">
                              <w:rPr>
                                <w:rFonts w:ascii="Times New Roman" w:hAnsi="Times New Roman" w:cs="Times New Roman"/>
                                <w:b/>
                                <w:bCs/>
                                <w:sz w:val="21"/>
                                <w:szCs w:val="21"/>
                              </w:rPr>
                              <w:t>Table 2</w:t>
                            </w:r>
                            <w:r w:rsidRPr="00A37038">
                              <w:rPr>
                                <w:rFonts w:ascii="Times New Roman" w:hAnsi="Times New Roman" w:cs="Times New Roman"/>
                                <w:sz w:val="21"/>
                                <w:szCs w:val="21"/>
                              </w:rPr>
                              <w:t xml:space="preserve"> Summary of postoperative outcomes following robotic inflammatory bowel disease surgery across studies.</w:t>
                            </w:r>
                            <w:r w:rsidRPr="00A37038">
                              <w:rPr>
                                <w:rFonts w:ascii="Times New Roman" w:hAnsi="Times New Roman" w:cs="Times New Roman"/>
                                <w:sz w:val="21"/>
                                <w:szCs w:val="21"/>
                              </w:rPr>
                              <w:br/>
                              <w:t>The extent and nature of postoperative outcome reporting varies between studies. Reported variables include mean operative time (minutes), time to return of bowel function (stool or first flatus; days), intraoperative blood loss (mL), postoperative length of stay (days), pouch failure rate (%), conversion to open surgery (%), anastomotic leak rate (%), 30-day reoperation rate (%), and Clavien-Dindo grade ≥III complication rate (%). Only outcomes reported in more than one study were considered.</w:t>
                            </w:r>
                            <w:r w:rsidRPr="00A37038">
                              <w:rPr>
                                <w:rFonts w:ascii="Times New Roman" w:hAnsi="Times New Roman" w:cs="Times New Roman"/>
                                <w:sz w:val="21"/>
                                <w:szCs w:val="21"/>
                              </w:rPr>
                              <w:br/>
                              <w:t>A dash (–) denotes that the outcome was not reported in the corresponding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3953C" id="Text Box 5" o:spid="_x0000_s1027" type="#_x0000_t202" style="position:absolute;margin-left:110.3pt;margin-top:283.1pt;width:733.35pt;height:141.7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" fillcolor="white [3212]" strokecolor="white [3212]" strokeweight=".5pt">
                <v:textbox>
                  <w:txbxContent>
                    <w:p w14:paraId="2FBE9525" w14:textId="77777777" w:rsidR="00DA1BB2" w:rsidRPr="00A37038" w:rsidRDefault="00DA1BB2" w:rsidP="00DA1BB2">
                      <w:pPr>
                        <w:rPr>
                          <w:rFonts w:ascii="Times New Roman" w:hAnsi="Times New Roman" w:cs="Times New Roman"/>
                          <w:sz w:val="21"/>
                          <w:szCs w:val="21"/>
                        </w:rPr>
                      </w:pPr>
                      <w:r w:rsidRPr="00A37038">
                        <w:rPr>
                          <w:rFonts w:ascii="Times New Roman" w:hAnsi="Times New Roman" w:cs="Times New Roman"/>
                          <w:sz w:val="21"/>
                          <w:szCs w:val="21"/>
                        </w:rPr>
                        <w:br/>
                      </w:r>
                      <w:r w:rsidRPr="00A37038">
                        <w:rPr>
                          <w:rFonts w:ascii="Times New Roman" w:hAnsi="Times New Roman" w:cs="Times New Roman"/>
                          <w:b/>
                          <w:bCs/>
                          <w:sz w:val="21"/>
                          <w:szCs w:val="21"/>
                        </w:rPr>
                        <w:t>Table 2</w:t>
                      </w:r>
                      <w:r w:rsidRPr="00A37038">
                        <w:rPr>
                          <w:rFonts w:ascii="Times New Roman" w:hAnsi="Times New Roman" w:cs="Times New Roman"/>
                          <w:sz w:val="21"/>
                          <w:szCs w:val="21"/>
                        </w:rPr>
                        <w:t xml:space="preserve"> Summary of postoperative outcomes following robotic inflammatory bowel disease surgery across studies.</w:t>
                      </w:r>
                      <w:r w:rsidRPr="00A37038">
                        <w:rPr>
                          <w:rFonts w:ascii="Times New Roman" w:hAnsi="Times New Roman" w:cs="Times New Roman"/>
                          <w:sz w:val="21"/>
                          <w:szCs w:val="21"/>
                        </w:rPr>
                        <w:br/>
                        <w:t>The extent and nature of postoperative outcome reporting varies between studies. Reported variables include mean operative time (minutes), time to return of bowel function (stool or first flatus; days), intraoperative blood loss (mL), postoperative length of stay (days), pouch failure rate (%), conversion to open surgery (%), anastomotic leak rate (%), 30-day reoperation rate (%), and Clavien-Dindo grade ≥III complication rate (%). Only outcomes reported in more than one study were considered.</w:t>
                      </w:r>
                      <w:r w:rsidRPr="00A37038">
                        <w:rPr>
                          <w:rFonts w:ascii="Times New Roman" w:hAnsi="Times New Roman" w:cs="Times New Roman"/>
                          <w:sz w:val="21"/>
                          <w:szCs w:val="21"/>
                        </w:rPr>
                        <w:br/>
                        <w:t>A dash (–) denotes that the outcome was not reported in the corresponding study.</w:t>
                      </w:r>
                    </w:p>
                  </w:txbxContent>
                </v:textbox>
              </v:shape>
            </w:pict>
          </mc:Fallback>
        </mc:AlternateContent>
      </w:r>
      <w:r>
        <w:rPr>
          <w:noProof/>
        </w:rPr>
        <w:drawing>
          <wp:anchor distT="0" distB="0" distL="114300" distR="114300" simplePos="0" relativeHeight="251661312" behindDoc="0" locked="0" layoutInCell="1" allowOverlap="1" wp14:anchorId="5CDB109B" wp14:editId="5B19003F">
            <wp:simplePos x="0" y="0"/>
            <wp:positionH relativeFrom="column">
              <wp:posOffset>-1979295</wp:posOffset>
            </wp:positionH>
            <wp:positionV relativeFrom="paragraph">
              <wp:posOffset>1372235</wp:posOffset>
            </wp:positionV>
            <wp:extent cx="9178925" cy="6435090"/>
            <wp:effectExtent l="318" t="0" r="3492" b="3493"/>
            <wp:wrapTopAndBottom/>
            <wp:docPr id="1806072413" name="Picture 1" descr="A table of medical statistic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72413" name="Picture 1" descr="A table of medical statistics  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9178925" cy="6435090"/>
                    </a:xfrm>
                    <a:prstGeom prst="rect">
                      <a:avLst/>
                    </a:prstGeom>
                  </pic:spPr>
                </pic:pic>
              </a:graphicData>
            </a:graphic>
            <wp14:sizeRelH relativeFrom="page">
              <wp14:pctWidth>0</wp14:pctWidth>
            </wp14:sizeRelH>
            <wp14:sizeRelV relativeFrom="page">
              <wp14:pctHeight>0</wp14:pctHeight>
            </wp14:sizeRelV>
          </wp:anchor>
        </w:drawing>
      </w:r>
      <w:r>
        <w:br/>
      </w:r>
    </w:p>
    <w:sectPr w:rsidR="00DA1B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B2"/>
    <w:rsid w:val="000C4033"/>
    <w:rsid w:val="004B42CB"/>
    <w:rsid w:val="00B85331"/>
    <w:rsid w:val="00C361A7"/>
    <w:rsid w:val="00DA1BB2"/>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0201D"/>
  <w15:chartTrackingRefBased/>
  <w15:docId w15:val="{F294E9A8-723F-4B1E-91B0-1DE563B37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BB2"/>
    <w:pPr>
      <w:spacing w:line="279" w:lineRule="auto"/>
    </w:pPr>
    <w:rPr>
      <w:rFonts w:eastAsiaTheme="minorEastAsia"/>
      <w:kern w:val="0"/>
      <w:lang w:val="en-GB" w:eastAsia="ja-JP"/>
      <w14:ligatures w14:val="none"/>
    </w:rPr>
  </w:style>
  <w:style w:type="paragraph" w:styleId="Heading1">
    <w:name w:val="heading 1"/>
    <w:basedOn w:val="Normal"/>
    <w:next w:val="Normal"/>
    <w:link w:val="Heading1Char"/>
    <w:uiPriority w:val="9"/>
    <w:qFormat/>
    <w:rsid w:val="00DA1BB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DA1BB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DA1BB2"/>
    <w:pPr>
      <w:keepNext/>
      <w:keepLines/>
      <w:spacing w:before="160" w:after="80" w:line="278" w:lineRule="auto"/>
      <w:outlineLvl w:val="2"/>
    </w:pPr>
    <w:rPr>
      <w:rFonts w:eastAsiaTheme="majorEastAsia"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DA1BB2"/>
    <w:pPr>
      <w:keepNext/>
      <w:keepLines/>
      <w:spacing w:before="80" w:after="40" w:line="278" w:lineRule="auto"/>
      <w:outlineLvl w:val="3"/>
    </w:pPr>
    <w:rPr>
      <w:rFonts w:eastAsiaTheme="majorEastAsia"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DA1BB2"/>
    <w:pPr>
      <w:keepNext/>
      <w:keepLines/>
      <w:spacing w:before="80" w:after="40" w:line="278" w:lineRule="auto"/>
      <w:outlineLvl w:val="4"/>
    </w:pPr>
    <w:rPr>
      <w:rFonts w:eastAsiaTheme="majorEastAsia"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DA1BB2"/>
    <w:pPr>
      <w:keepNext/>
      <w:keepLines/>
      <w:spacing w:before="40" w:after="0" w:line="278" w:lineRule="auto"/>
      <w:outlineLvl w:val="5"/>
    </w:pPr>
    <w:rPr>
      <w:rFonts w:eastAsiaTheme="majorEastAsia"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DA1BB2"/>
    <w:pPr>
      <w:keepNext/>
      <w:keepLines/>
      <w:spacing w:before="40" w:after="0" w:line="278" w:lineRule="auto"/>
      <w:outlineLvl w:val="6"/>
    </w:pPr>
    <w:rPr>
      <w:rFonts w:eastAsiaTheme="majorEastAsia"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DA1BB2"/>
    <w:pPr>
      <w:keepNext/>
      <w:keepLines/>
      <w:spacing w:after="0" w:line="278" w:lineRule="auto"/>
      <w:outlineLvl w:val="7"/>
    </w:pPr>
    <w:rPr>
      <w:rFonts w:eastAsiaTheme="majorEastAsia"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DA1BB2"/>
    <w:pPr>
      <w:keepNext/>
      <w:keepLines/>
      <w:spacing w:after="0" w:line="278" w:lineRule="auto"/>
      <w:outlineLvl w:val="8"/>
    </w:pPr>
    <w:rPr>
      <w:rFonts w:eastAsiaTheme="majorEastAsia"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B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B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B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B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B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B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B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B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BB2"/>
    <w:rPr>
      <w:rFonts w:eastAsiaTheme="majorEastAsia" w:cstheme="majorBidi"/>
      <w:color w:val="272727" w:themeColor="text1" w:themeTint="D8"/>
    </w:rPr>
  </w:style>
  <w:style w:type="paragraph" w:styleId="Title">
    <w:name w:val="Title"/>
    <w:basedOn w:val="Normal"/>
    <w:next w:val="Normal"/>
    <w:link w:val="TitleChar"/>
    <w:uiPriority w:val="10"/>
    <w:qFormat/>
    <w:rsid w:val="00DA1BB2"/>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DA1B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BB2"/>
    <w:pPr>
      <w:numPr>
        <w:ilvl w:val="1"/>
      </w:numPr>
      <w:spacing w:line="278" w:lineRule="auto"/>
    </w:pPr>
    <w:rPr>
      <w:rFonts w:eastAsiaTheme="majorEastAsia"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DA1B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BB2"/>
    <w:pPr>
      <w:spacing w:before="160" w:line="278" w:lineRule="auto"/>
      <w:jc w:val="center"/>
    </w:pPr>
    <w:rPr>
      <w:rFonts w:eastAsiaTheme="minorHAns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DA1BB2"/>
    <w:rPr>
      <w:i/>
      <w:iCs/>
      <w:color w:val="404040" w:themeColor="text1" w:themeTint="BF"/>
    </w:rPr>
  </w:style>
  <w:style w:type="paragraph" w:styleId="ListParagraph">
    <w:name w:val="List Paragraph"/>
    <w:basedOn w:val="Normal"/>
    <w:uiPriority w:val="34"/>
    <w:qFormat/>
    <w:rsid w:val="00DA1BB2"/>
    <w:pPr>
      <w:spacing w:line="278" w:lineRule="auto"/>
      <w:ind w:left="720"/>
      <w:contextualSpacing/>
    </w:pPr>
    <w:rPr>
      <w:rFonts w:eastAsiaTheme="minorHAnsi"/>
      <w:kern w:val="2"/>
      <w:lang w:val="en-IN" w:eastAsia="en-US"/>
      <w14:ligatures w14:val="standardContextual"/>
    </w:rPr>
  </w:style>
  <w:style w:type="character" w:styleId="IntenseEmphasis">
    <w:name w:val="Intense Emphasis"/>
    <w:basedOn w:val="DefaultParagraphFont"/>
    <w:uiPriority w:val="21"/>
    <w:qFormat/>
    <w:rsid w:val="00DA1BB2"/>
    <w:rPr>
      <w:i/>
      <w:iCs/>
      <w:color w:val="0F4761" w:themeColor="accent1" w:themeShade="BF"/>
    </w:rPr>
  </w:style>
  <w:style w:type="paragraph" w:styleId="IntenseQuote">
    <w:name w:val="Intense Quote"/>
    <w:basedOn w:val="Normal"/>
    <w:next w:val="Normal"/>
    <w:link w:val="IntenseQuoteChar"/>
    <w:uiPriority w:val="30"/>
    <w:qFormat/>
    <w:rsid w:val="00DA1BB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DA1BB2"/>
    <w:rPr>
      <w:i/>
      <w:iCs/>
      <w:color w:val="0F4761" w:themeColor="accent1" w:themeShade="BF"/>
    </w:rPr>
  </w:style>
  <w:style w:type="character" w:styleId="IntenseReference">
    <w:name w:val="Intense Reference"/>
    <w:basedOn w:val="DefaultParagraphFont"/>
    <w:uiPriority w:val="32"/>
    <w:qFormat/>
    <w:rsid w:val="00DA1BB2"/>
    <w:rPr>
      <w:b/>
      <w:bCs/>
      <w:smallCaps/>
      <w:color w:val="0F4761" w:themeColor="accent1" w:themeShade="BF"/>
      <w:spacing w:val="5"/>
    </w:rPr>
  </w:style>
  <w:style w:type="paragraph" w:styleId="NormalWeb">
    <w:name w:val="Normal (Web)"/>
    <w:basedOn w:val="Normal"/>
    <w:uiPriority w:val="99"/>
    <w:unhideWhenUsed/>
    <w:rsid w:val="00DA1BB2"/>
    <w:pPr>
      <w:spacing w:before="100" w:beforeAutospacing="1" w:after="100" w:afterAutospacing="1" w:line="240" w:lineRule="auto"/>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0</Words>
  <Characters>0</Characters>
  <Application>Microsoft Office Word</Application>
  <DocSecurity>0</DocSecurity>
  <Lines>6</Lines>
  <Paragraphs>0</Paragraphs>
  <ScaleCrop>false</ScaleCrop>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2025-12-18T14:36:00Z</dcterms:created>
  <dcterms:modified xsi:type="dcterms:W3CDTF">2025-12-18T14:37:00Z</dcterms:modified>
</cp:coreProperties>
</file>