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A22" w:rsidRDefault="00000000">
      <w:pPr>
        <w:pStyle w:val="Heading1"/>
      </w:pPr>
      <w:bookmarkStart w:id="0" w:name="supplementary-materials"/>
      <w:r>
        <w:t>SUPPLEMENTARY MATERIALS</w:t>
      </w:r>
    </w:p>
    <w:p w:rsidR="00816A22" w:rsidRDefault="00000000">
      <w:pPr>
        <w:pStyle w:val="Heading2"/>
      </w:pPr>
      <w:bookmarkStart w:id="1" w:name="Xb1584e01a450e07d88d594ca6a7b59fbe536719"/>
      <w:r>
        <w:t>Widening Socioeconomic Inequalities in Maternal Health Service Utilization in Yemen During Humanitarian Crisis (2013-2022): A Trend Analysis Using Secondary Survey Data</w:t>
      </w:r>
    </w:p>
    <w:p w:rsidR="00816A22" w:rsidRDefault="00000000">
      <w:r>
        <w:pict>
          <v:rect id="_x0000_i1025" style="width:0;height:1.5pt" o:hralign="center" o:hrstd="t" o:hr="t"/>
        </w:pict>
      </w:r>
    </w:p>
    <w:p w:rsidR="00816A22" w:rsidRDefault="00000000">
      <w:pPr>
        <w:pStyle w:val="Heading2"/>
      </w:pPr>
      <w:bookmarkStart w:id="2" w:name="appendix-a-supplementary-tables"/>
      <w:bookmarkEnd w:id="1"/>
      <w:r>
        <w:t>APPENDIX A: SUPPLEMENTARY TABLES</w:t>
      </w:r>
    </w:p>
    <w:p w:rsidR="00816A22" w:rsidRDefault="00000000">
      <w:pPr>
        <w:pStyle w:val="Heading3"/>
      </w:pPr>
      <w:bookmarkStart w:id="3" w:name="Xa61a9bed723ac3afdd029481f323cd4624b56d8"/>
      <w:r>
        <w:t>Supplementary Table 1: Detailed Sample Characteristics Across Survey Years</w:t>
      </w:r>
    </w:p>
    <w:tbl>
      <w:tblPr>
        <w:tblStyle w:val="TableGrid"/>
        <w:tblW w:w="5000" w:type="pct"/>
        <w:tblLayout w:type="fixed"/>
        <w:tblLook w:val="0020" w:firstRow="1" w:lastRow="0" w:firstColumn="0" w:lastColumn="0" w:noHBand="0" w:noVBand="0"/>
      </w:tblPr>
      <w:tblGrid>
        <w:gridCol w:w="1772"/>
        <w:gridCol w:w="1771"/>
        <w:gridCol w:w="1771"/>
        <w:gridCol w:w="1771"/>
        <w:gridCol w:w="1771"/>
      </w:tblGrid>
      <w:tr w:rsidR="00816A22" w:rsidTr="00A45CD2">
        <w:tc>
          <w:tcPr>
            <w:tcW w:w="1584" w:type="dxa"/>
          </w:tcPr>
          <w:p w:rsidR="00816A22" w:rsidRDefault="00000000">
            <w:pPr>
              <w:pStyle w:val="Compact"/>
            </w:pPr>
            <w:r>
              <w:t>Characteristic</w:t>
            </w:r>
          </w:p>
        </w:tc>
        <w:tc>
          <w:tcPr>
            <w:tcW w:w="1584" w:type="dxa"/>
          </w:tcPr>
          <w:p w:rsidR="00816A22" w:rsidRDefault="00000000">
            <w:pPr>
              <w:pStyle w:val="Compact"/>
            </w:pPr>
            <w:r>
              <w:t>2013 DHS n(%)</w:t>
            </w:r>
          </w:p>
        </w:tc>
        <w:tc>
          <w:tcPr>
            <w:tcW w:w="1584" w:type="dxa"/>
          </w:tcPr>
          <w:p w:rsidR="00816A22" w:rsidRDefault="00000000">
            <w:pPr>
              <w:pStyle w:val="Compact"/>
            </w:pPr>
            <w:r>
              <w:t>2016 MICS n(%)</w:t>
            </w:r>
          </w:p>
        </w:tc>
        <w:tc>
          <w:tcPr>
            <w:tcW w:w="1584" w:type="dxa"/>
          </w:tcPr>
          <w:p w:rsidR="00816A22" w:rsidRDefault="00000000">
            <w:pPr>
              <w:pStyle w:val="Compact"/>
            </w:pPr>
            <w:r>
              <w:t>2022-23 MICS n(%)</w:t>
            </w:r>
          </w:p>
        </w:tc>
        <w:tc>
          <w:tcPr>
            <w:tcW w:w="1584" w:type="dxa"/>
          </w:tcPr>
          <w:p w:rsidR="00816A22" w:rsidRDefault="00000000">
            <w:pPr>
              <w:pStyle w:val="Compact"/>
            </w:pPr>
            <w:r>
              <w:t>P-value</w:t>
            </w:r>
          </w:p>
        </w:tc>
      </w:tr>
      <w:tr w:rsidR="00816A22" w:rsidTr="00A45CD2">
        <w:tc>
          <w:tcPr>
            <w:tcW w:w="1584" w:type="dxa"/>
          </w:tcPr>
          <w:p w:rsidR="00816A22" w:rsidRDefault="00000000">
            <w:pPr>
              <w:pStyle w:val="Compact"/>
            </w:pPr>
            <w:r>
              <w:rPr>
                <w:b/>
                <w:bCs/>
              </w:rPr>
              <w:t>Age group (years)</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15-24</w:t>
            </w:r>
          </w:p>
        </w:tc>
        <w:tc>
          <w:tcPr>
            <w:tcW w:w="1584" w:type="dxa"/>
          </w:tcPr>
          <w:p w:rsidR="00816A22" w:rsidRDefault="00000000">
            <w:pPr>
              <w:pStyle w:val="Compact"/>
            </w:pPr>
            <w:r>
              <w:t>1,958 (24.0)</w:t>
            </w:r>
          </w:p>
        </w:tc>
        <w:tc>
          <w:tcPr>
            <w:tcW w:w="1584" w:type="dxa"/>
          </w:tcPr>
          <w:p w:rsidR="00816A22" w:rsidRDefault="00000000">
            <w:pPr>
              <w:pStyle w:val="Compact"/>
            </w:pPr>
            <w:r>
              <w:t>1,806 (23.1)</w:t>
            </w:r>
          </w:p>
        </w:tc>
        <w:tc>
          <w:tcPr>
            <w:tcW w:w="1584" w:type="dxa"/>
          </w:tcPr>
          <w:p w:rsidR="00816A22" w:rsidRDefault="00000000">
            <w:pPr>
              <w:pStyle w:val="Compact"/>
            </w:pPr>
            <w:r>
              <w:t>1,544 (22.1)</w:t>
            </w:r>
          </w:p>
        </w:tc>
        <w:tc>
          <w:tcPr>
            <w:tcW w:w="1584" w:type="dxa"/>
          </w:tcPr>
          <w:p w:rsidR="00816A22" w:rsidRDefault="00000000">
            <w:pPr>
              <w:pStyle w:val="Compact"/>
            </w:pPr>
            <w:r>
              <w:t>0.156</w:t>
            </w:r>
          </w:p>
        </w:tc>
      </w:tr>
      <w:tr w:rsidR="00816A22" w:rsidTr="00A45CD2">
        <w:tc>
          <w:tcPr>
            <w:tcW w:w="1584" w:type="dxa"/>
          </w:tcPr>
          <w:p w:rsidR="00816A22" w:rsidRDefault="00000000">
            <w:pPr>
              <w:pStyle w:val="Compact"/>
            </w:pPr>
            <w:r>
              <w:t>25-34</w:t>
            </w:r>
          </w:p>
        </w:tc>
        <w:tc>
          <w:tcPr>
            <w:tcW w:w="1584" w:type="dxa"/>
          </w:tcPr>
          <w:p w:rsidR="00816A22" w:rsidRDefault="00000000">
            <w:pPr>
              <w:pStyle w:val="Compact"/>
            </w:pPr>
            <w:r>
              <w:t>3,254 (39.9)</w:t>
            </w:r>
          </w:p>
        </w:tc>
        <w:tc>
          <w:tcPr>
            <w:tcW w:w="1584" w:type="dxa"/>
          </w:tcPr>
          <w:p w:rsidR="00816A22" w:rsidRDefault="00000000">
            <w:pPr>
              <w:pStyle w:val="Compact"/>
            </w:pPr>
            <w:r>
              <w:t>3,128 (39.9)</w:t>
            </w:r>
          </w:p>
        </w:tc>
        <w:tc>
          <w:tcPr>
            <w:tcW w:w="1584" w:type="dxa"/>
          </w:tcPr>
          <w:p w:rsidR="00816A22" w:rsidRDefault="00000000">
            <w:pPr>
              <w:pStyle w:val="Compact"/>
            </w:pPr>
            <w:r>
              <w:t>2,856 (40.8)</w:t>
            </w:r>
          </w:p>
        </w:tc>
        <w:tc>
          <w:tcPr>
            <w:tcW w:w="1584" w:type="dxa"/>
          </w:tcPr>
          <w:p w:rsidR="00816A22" w:rsidRDefault="00816A22">
            <w:pPr>
              <w:pStyle w:val="Compact"/>
            </w:pPr>
          </w:p>
        </w:tc>
      </w:tr>
      <w:tr w:rsidR="00816A22" w:rsidTr="00A45CD2">
        <w:tc>
          <w:tcPr>
            <w:tcW w:w="1584" w:type="dxa"/>
          </w:tcPr>
          <w:p w:rsidR="00816A22" w:rsidRDefault="00000000">
            <w:pPr>
              <w:pStyle w:val="Compact"/>
            </w:pPr>
            <w:r>
              <w:t>35-49</w:t>
            </w:r>
          </w:p>
        </w:tc>
        <w:tc>
          <w:tcPr>
            <w:tcW w:w="1584" w:type="dxa"/>
          </w:tcPr>
          <w:p w:rsidR="00816A22" w:rsidRDefault="00000000">
            <w:pPr>
              <w:pStyle w:val="Compact"/>
            </w:pPr>
            <w:r>
              <w:t>2,944 (36.1)</w:t>
            </w:r>
          </w:p>
        </w:tc>
        <w:tc>
          <w:tcPr>
            <w:tcW w:w="1584" w:type="dxa"/>
          </w:tcPr>
          <w:p w:rsidR="00816A22" w:rsidRDefault="00000000">
            <w:pPr>
              <w:pStyle w:val="Compact"/>
            </w:pPr>
            <w:r>
              <w:t>2,900 (37.0)</w:t>
            </w:r>
          </w:p>
        </w:tc>
        <w:tc>
          <w:tcPr>
            <w:tcW w:w="1584" w:type="dxa"/>
          </w:tcPr>
          <w:p w:rsidR="00816A22" w:rsidRDefault="00000000">
            <w:pPr>
              <w:pStyle w:val="Compact"/>
            </w:pPr>
            <w:r>
              <w:t>2,587 (37.1)</w:t>
            </w:r>
          </w:p>
        </w:tc>
        <w:tc>
          <w:tcPr>
            <w:tcW w:w="1584" w:type="dxa"/>
          </w:tcPr>
          <w:p w:rsidR="00816A22" w:rsidRDefault="00816A22">
            <w:pPr>
              <w:pStyle w:val="Compact"/>
            </w:pPr>
          </w:p>
        </w:tc>
      </w:tr>
      <w:tr w:rsidR="00816A22" w:rsidTr="00A45CD2">
        <w:tc>
          <w:tcPr>
            <w:tcW w:w="1584" w:type="dxa"/>
          </w:tcPr>
          <w:p w:rsidR="00816A22" w:rsidRDefault="00000000">
            <w:pPr>
              <w:pStyle w:val="Compact"/>
            </w:pPr>
            <w:r>
              <w:rPr>
                <w:b/>
                <w:bCs/>
              </w:rPr>
              <w:t>Educational level</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No education</w:t>
            </w:r>
          </w:p>
        </w:tc>
        <w:tc>
          <w:tcPr>
            <w:tcW w:w="1584" w:type="dxa"/>
          </w:tcPr>
          <w:p w:rsidR="00816A22" w:rsidRDefault="00000000">
            <w:pPr>
              <w:pStyle w:val="Compact"/>
            </w:pPr>
            <w:r>
              <w:t>5,157 (63.2)</w:t>
            </w:r>
          </w:p>
        </w:tc>
        <w:tc>
          <w:tcPr>
            <w:tcW w:w="1584" w:type="dxa"/>
          </w:tcPr>
          <w:p w:rsidR="00816A22" w:rsidRDefault="00000000">
            <w:pPr>
              <w:pStyle w:val="Compact"/>
            </w:pPr>
            <w:r>
              <w:t>5,101 (65.1)</w:t>
            </w:r>
          </w:p>
        </w:tc>
        <w:tc>
          <w:tcPr>
            <w:tcW w:w="1584" w:type="dxa"/>
          </w:tcPr>
          <w:p w:rsidR="00816A22" w:rsidRDefault="00000000">
            <w:pPr>
              <w:pStyle w:val="Compact"/>
            </w:pPr>
            <w:r>
              <w:t>4,769 (68.3)</w:t>
            </w:r>
          </w:p>
        </w:tc>
        <w:tc>
          <w:tcPr>
            <w:tcW w:w="1584" w:type="dxa"/>
          </w:tcPr>
          <w:p w:rsidR="00816A22" w:rsidRDefault="00000000">
            <w:pPr>
              <w:pStyle w:val="Compact"/>
            </w:pPr>
            <w:r>
              <w:t>&lt;0.001</w:t>
            </w:r>
          </w:p>
        </w:tc>
      </w:tr>
      <w:tr w:rsidR="00816A22" w:rsidTr="00A45CD2">
        <w:tc>
          <w:tcPr>
            <w:tcW w:w="1584" w:type="dxa"/>
          </w:tcPr>
          <w:p w:rsidR="00816A22" w:rsidRDefault="00000000">
            <w:pPr>
              <w:pStyle w:val="Compact"/>
            </w:pPr>
            <w:r>
              <w:t>Primary</w:t>
            </w:r>
          </w:p>
        </w:tc>
        <w:tc>
          <w:tcPr>
            <w:tcW w:w="1584" w:type="dxa"/>
          </w:tcPr>
          <w:p w:rsidR="00816A22" w:rsidRDefault="00000000">
            <w:pPr>
              <w:pStyle w:val="Compact"/>
            </w:pPr>
            <w:r>
              <w:t>1,798 (22.0)</w:t>
            </w:r>
          </w:p>
        </w:tc>
        <w:tc>
          <w:tcPr>
            <w:tcW w:w="1584" w:type="dxa"/>
          </w:tcPr>
          <w:p w:rsidR="00816A22" w:rsidRDefault="00000000">
            <w:pPr>
              <w:pStyle w:val="Compact"/>
            </w:pPr>
            <w:r>
              <w:t>1,594 (20.3)</w:t>
            </w:r>
          </w:p>
        </w:tc>
        <w:tc>
          <w:tcPr>
            <w:tcW w:w="1584" w:type="dxa"/>
          </w:tcPr>
          <w:p w:rsidR="00816A22" w:rsidRDefault="00000000">
            <w:pPr>
              <w:pStyle w:val="Compact"/>
            </w:pPr>
            <w:r>
              <w:t>1,302 (18.6)</w:t>
            </w:r>
          </w:p>
        </w:tc>
        <w:tc>
          <w:tcPr>
            <w:tcW w:w="1584" w:type="dxa"/>
          </w:tcPr>
          <w:p w:rsidR="00816A22" w:rsidRDefault="00816A22">
            <w:pPr>
              <w:pStyle w:val="Compact"/>
            </w:pPr>
          </w:p>
        </w:tc>
      </w:tr>
      <w:tr w:rsidR="00816A22" w:rsidTr="00A45CD2">
        <w:tc>
          <w:tcPr>
            <w:tcW w:w="1584" w:type="dxa"/>
          </w:tcPr>
          <w:p w:rsidR="00816A22" w:rsidRDefault="00000000">
            <w:pPr>
              <w:pStyle w:val="Compact"/>
            </w:pPr>
            <w:r>
              <w:t>Secondary+</w:t>
            </w:r>
          </w:p>
        </w:tc>
        <w:tc>
          <w:tcPr>
            <w:tcW w:w="1584" w:type="dxa"/>
          </w:tcPr>
          <w:p w:rsidR="00816A22" w:rsidRDefault="00000000">
            <w:pPr>
              <w:pStyle w:val="Compact"/>
            </w:pPr>
            <w:r>
              <w:t>1,201 (14.8)</w:t>
            </w:r>
          </w:p>
        </w:tc>
        <w:tc>
          <w:tcPr>
            <w:tcW w:w="1584" w:type="dxa"/>
          </w:tcPr>
          <w:p w:rsidR="00816A22" w:rsidRDefault="00000000">
            <w:pPr>
              <w:pStyle w:val="Compact"/>
            </w:pPr>
            <w:r>
              <w:t>1,139 (14.6)</w:t>
            </w:r>
          </w:p>
        </w:tc>
        <w:tc>
          <w:tcPr>
            <w:tcW w:w="1584" w:type="dxa"/>
          </w:tcPr>
          <w:p w:rsidR="00816A22" w:rsidRDefault="00000000">
            <w:pPr>
              <w:pStyle w:val="Compact"/>
            </w:pPr>
            <w:r>
              <w:t>916 (13.1)</w:t>
            </w:r>
          </w:p>
        </w:tc>
        <w:tc>
          <w:tcPr>
            <w:tcW w:w="1584" w:type="dxa"/>
          </w:tcPr>
          <w:p w:rsidR="00816A22" w:rsidRDefault="00816A22">
            <w:pPr>
              <w:pStyle w:val="Compact"/>
            </w:pPr>
          </w:p>
        </w:tc>
      </w:tr>
      <w:tr w:rsidR="00816A22" w:rsidTr="00A45CD2">
        <w:tc>
          <w:tcPr>
            <w:tcW w:w="1584" w:type="dxa"/>
          </w:tcPr>
          <w:p w:rsidR="00816A22" w:rsidRDefault="00000000">
            <w:pPr>
              <w:pStyle w:val="Compact"/>
            </w:pPr>
            <w:r>
              <w:rPr>
                <w:b/>
                <w:bCs/>
              </w:rPr>
              <w:t>Residence</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Urban</w:t>
            </w:r>
          </w:p>
        </w:tc>
        <w:tc>
          <w:tcPr>
            <w:tcW w:w="1584" w:type="dxa"/>
          </w:tcPr>
          <w:p w:rsidR="00816A22" w:rsidRDefault="00000000">
            <w:pPr>
              <w:pStyle w:val="Compact"/>
            </w:pPr>
            <w:r>
              <w:t>2,596 (31.8)</w:t>
            </w:r>
          </w:p>
        </w:tc>
        <w:tc>
          <w:tcPr>
            <w:tcW w:w="1584" w:type="dxa"/>
          </w:tcPr>
          <w:p w:rsidR="00816A22" w:rsidRDefault="00000000">
            <w:pPr>
              <w:pStyle w:val="Compact"/>
            </w:pPr>
            <w:r>
              <w:t>2,307 (29.4)</w:t>
            </w:r>
          </w:p>
        </w:tc>
        <w:tc>
          <w:tcPr>
            <w:tcW w:w="1584" w:type="dxa"/>
          </w:tcPr>
          <w:p w:rsidR="00816A22" w:rsidRDefault="00000000">
            <w:pPr>
              <w:pStyle w:val="Compact"/>
            </w:pPr>
            <w:r>
              <w:t>1,823 (26.1)</w:t>
            </w:r>
          </w:p>
        </w:tc>
        <w:tc>
          <w:tcPr>
            <w:tcW w:w="1584" w:type="dxa"/>
          </w:tcPr>
          <w:p w:rsidR="00816A22" w:rsidRDefault="00000000">
            <w:pPr>
              <w:pStyle w:val="Compact"/>
            </w:pPr>
            <w:r>
              <w:t>&lt;0.001</w:t>
            </w:r>
          </w:p>
        </w:tc>
      </w:tr>
      <w:tr w:rsidR="00816A22" w:rsidTr="00A45CD2">
        <w:tc>
          <w:tcPr>
            <w:tcW w:w="1584" w:type="dxa"/>
          </w:tcPr>
          <w:p w:rsidR="00816A22" w:rsidRDefault="00000000">
            <w:pPr>
              <w:pStyle w:val="Compact"/>
            </w:pPr>
            <w:r>
              <w:t>Rural</w:t>
            </w:r>
          </w:p>
        </w:tc>
        <w:tc>
          <w:tcPr>
            <w:tcW w:w="1584" w:type="dxa"/>
          </w:tcPr>
          <w:p w:rsidR="00816A22" w:rsidRDefault="00000000">
            <w:pPr>
              <w:pStyle w:val="Compact"/>
            </w:pPr>
            <w:r>
              <w:t>5,560 (68.2)</w:t>
            </w:r>
          </w:p>
        </w:tc>
        <w:tc>
          <w:tcPr>
            <w:tcW w:w="1584" w:type="dxa"/>
          </w:tcPr>
          <w:p w:rsidR="00816A22" w:rsidRDefault="00000000">
            <w:pPr>
              <w:pStyle w:val="Compact"/>
            </w:pPr>
            <w:r>
              <w:t>5,527 (70.6)</w:t>
            </w:r>
          </w:p>
        </w:tc>
        <w:tc>
          <w:tcPr>
            <w:tcW w:w="1584" w:type="dxa"/>
          </w:tcPr>
          <w:p w:rsidR="00816A22" w:rsidRDefault="00000000">
            <w:pPr>
              <w:pStyle w:val="Compact"/>
            </w:pPr>
            <w:r>
              <w:t>5,164 (73.9)</w:t>
            </w:r>
          </w:p>
        </w:tc>
        <w:tc>
          <w:tcPr>
            <w:tcW w:w="1584" w:type="dxa"/>
          </w:tcPr>
          <w:p w:rsidR="00816A22" w:rsidRDefault="00816A22">
            <w:pPr>
              <w:pStyle w:val="Compact"/>
            </w:pPr>
          </w:p>
        </w:tc>
      </w:tr>
      <w:tr w:rsidR="00816A22" w:rsidTr="00A45CD2">
        <w:tc>
          <w:tcPr>
            <w:tcW w:w="1584" w:type="dxa"/>
          </w:tcPr>
          <w:p w:rsidR="00816A22" w:rsidRDefault="00000000">
            <w:pPr>
              <w:pStyle w:val="Compact"/>
            </w:pPr>
            <w:r>
              <w:rPr>
                <w:b/>
                <w:bCs/>
              </w:rPr>
              <w:t>Wealth quintile</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Poorest</w:t>
            </w:r>
          </w:p>
        </w:tc>
        <w:tc>
          <w:tcPr>
            <w:tcW w:w="1584" w:type="dxa"/>
          </w:tcPr>
          <w:p w:rsidR="00816A22" w:rsidRDefault="00000000">
            <w:pPr>
              <w:pStyle w:val="Compact"/>
            </w:pPr>
            <w:r>
              <w:t>1,631 (20.0)</w:t>
            </w:r>
          </w:p>
        </w:tc>
        <w:tc>
          <w:tcPr>
            <w:tcW w:w="1584" w:type="dxa"/>
          </w:tcPr>
          <w:p w:rsidR="00816A22" w:rsidRDefault="00000000">
            <w:pPr>
              <w:pStyle w:val="Compact"/>
            </w:pPr>
            <w:r>
              <w:t>1,568 (20.0)</w:t>
            </w:r>
          </w:p>
        </w:tc>
        <w:tc>
          <w:tcPr>
            <w:tcW w:w="1584" w:type="dxa"/>
          </w:tcPr>
          <w:p w:rsidR="00816A22" w:rsidRDefault="00000000">
            <w:pPr>
              <w:pStyle w:val="Compact"/>
            </w:pPr>
            <w:r>
              <w:t>1,397 (20.0)</w:t>
            </w:r>
          </w:p>
        </w:tc>
        <w:tc>
          <w:tcPr>
            <w:tcW w:w="1584" w:type="dxa"/>
          </w:tcPr>
          <w:p w:rsidR="00816A22" w:rsidRDefault="00000000">
            <w:pPr>
              <w:pStyle w:val="Compact"/>
            </w:pPr>
            <w:r>
              <w:t>0.998</w:t>
            </w:r>
          </w:p>
        </w:tc>
      </w:tr>
      <w:tr w:rsidR="00816A22" w:rsidTr="00A45CD2">
        <w:tc>
          <w:tcPr>
            <w:tcW w:w="1584" w:type="dxa"/>
          </w:tcPr>
          <w:p w:rsidR="00816A22" w:rsidRDefault="00000000">
            <w:pPr>
              <w:pStyle w:val="Compact"/>
            </w:pPr>
            <w:r>
              <w:t>Poorer</w:t>
            </w:r>
          </w:p>
        </w:tc>
        <w:tc>
          <w:tcPr>
            <w:tcW w:w="1584" w:type="dxa"/>
          </w:tcPr>
          <w:p w:rsidR="00816A22" w:rsidRDefault="00000000">
            <w:pPr>
              <w:pStyle w:val="Compact"/>
            </w:pPr>
            <w:r>
              <w:t>1,631 (20.0)</w:t>
            </w:r>
          </w:p>
        </w:tc>
        <w:tc>
          <w:tcPr>
            <w:tcW w:w="1584" w:type="dxa"/>
          </w:tcPr>
          <w:p w:rsidR="00816A22" w:rsidRDefault="00000000">
            <w:pPr>
              <w:pStyle w:val="Compact"/>
            </w:pPr>
            <w:r>
              <w:t>1,568 (20.0)</w:t>
            </w:r>
          </w:p>
        </w:tc>
        <w:tc>
          <w:tcPr>
            <w:tcW w:w="1584" w:type="dxa"/>
          </w:tcPr>
          <w:p w:rsidR="00816A22" w:rsidRDefault="00000000">
            <w:pPr>
              <w:pStyle w:val="Compact"/>
            </w:pPr>
            <w:r>
              <w:t>1,397 (20.0)</w:t>
            </w:r>
          </w:p>
        </w:tc>
        <w:tc>
          <w:tcPr>
            <w:tcW w:w="1584" w:type="dxa"/>
          </w:tcPr>
          <w:p w:rsidR="00816A22" w:rsidRDefault="00816A22">
            <w:pPr>
              <w:pStyle w:val="Compact"/>
            </w:pPr>
          </w:p>
        </w:tc>
      </w:tr>
      <w:tr w:rsidR="00816A22" w:rsidTr="00A45CD2">
        <w:tc>
          <w:tcPr>
            <w:tcW w:w="1584" w:type="dxa"/>
          </w:tcPr>
          <w:p w:rsidR="00816A22" w:rsidRDefault="00000000">
            <w:pPr>
              <w:pStyle w:val="Compact"/>
            </w:pPr>
            <w:r>
              <w:t>Middle</w:t>
            </w:r>
          </w:p>
        </w:tc>
        <w:tc>
          <w:tcPr>
            <w:tcW w:w="1584" w:type="dxa"/>
          </w:tcPr>
          <w:p w:rsidR="00816A22" w:rsidRDefault="00000000">
            <w:pPr>
              <w:pStyle w:val="Compact"/>
            </w:pPr>
            <w:r>
              <w:t>1,631 (20.0)</w:t>
            </w:r>
          </w:p>
        </w:tc>
        <w:tc>
          <w:tcPr>
            <w:tcW w:w="1584" w:type="dxa"/>
          </w:tcPr>
          <w:p w:rsidR="00816A22" w:rsidRDefault="00000000">
            <w:pPr>
              <w:pStyle w:val="Compact"/>
            </w:pPr>
            <w:r>
              <w:t>1,567 (20.0)</w:t>
            </w:r>
          </w:p>
        </w:tc>
        <w:tc>
          <w:tcPr>
            <w:tcW w:w="1584" w:type="dxa"/>
          </w:tcPr>
          <w:p w:rsidR="00816A22" w:rsidRDefault="00000000">
            <w:pPr>
              <w:pStyle w:val="Compact"/>
            </w:pPr>
            <w:r>
              <w:t>1,397 (20.0)</w:t>
            </w:r>
          </w:p>
        </w:tc>
        <w:tc>
          <w:tcPr>
            <w:tcW w:w="1584" w:type="dxa"/>
          </w:tcPr>
          <w:p w:rsidR="00816A22" w:rsidRDefault="00816A22">
            <w:pPr>
              <w:pStyle w:val="Compact"/>
            </w:pPr>
          </w:p>
        </w:tc>
      </w:tr>
      <w:tr w:rsidR="00816A22" w:rsidTr="00A45CD2">
        <w:tc>
          <w:tcPr>
            <w:tcW w:w="1584" w:type="dxa"/>
          </w:tcPr>
          <w:p w:rsidR="00816A22" w:rsidRDefault="00000000">
            <w:pPr>
              <w:pStyle w:val="Compact"/>
            </w:pPr>
            <w:r>
              <w:t>Richer</w:t>
            </w:r>
          </w:p>
        </w:tc>
        <w:tc>
          <w:tcPr>
            <w:tcW w:w="1584" w:type="dxa"/>
          </w:tcPr>
          <w:p w:rsidR="00816A22" w:rsidRDefault="00000000">
            <w:pPr>
              <w:pStyle w:val="Compact"/>
            </w:pPr>
            <w:r>
              <w:t>1,631 (20.0)</w:t>
            </w:r>
          </w:p>
        </w:tc>
        <w:tc>
          <w:tcPr>
            <w:tcW w:w="1584" w:type="dxa"/>
          </w:tcPr>
          <w:p w:rsidR="00816A22" w:rsidRDefault="00000000">
            <w:pPr>
              <w:pStyle w:val="Compact"/>
            </w:pPr>
            <w:r>
              <w:t>1,567 (20.0)</w:t>
            </w:r>
          </w:p>
        </w:tc>
        <w:tc>
          <w:tcPr>
            <w:tcW w:w="1584" w:type="dxa"/>
          </w:tcPr>
          <w:p w:rsidR="00816A22" w:rsidRDefault="00000000">
            <w:pPr>
              <w:pStyle w:val="Compact"/>
            </w:pPr>
            <w:r>
              <w:t>1,396 (20.0)</w:t>
            </w:r>
          </w:p>
        </w:tc>
        <w:tc>
          <w:tcPr>
            <w:tcW w:w="1584" w:type="dxa"/>
          </w:tcPr>
          <w:p w:rsidR="00816A22" w:rsidRDefault="00816A22">
            <w:pPr>
              <w:pStyle w:val="Compact"/>
            </w:pPr>
          </w:p>
        </w:tc>
      </w:tr>
      <w:tr w:rsidR="00816A22" w:rsidTr="00A45CD2">
        <w:tc>
          <w:tcPr>
            <w:tcW w:w="1584" w:type="dxa"/>
          </w:tcPr>
          <w:p w:rsidR="00816A22" w:rsidRDefault="00000000">
            <w:pPr>
              <w:pStyle w:val="Compact"/>
            </w:pPr>
            <w:r>
              <w:t>Richest</w:t>
            </w:r>
          </w:p>
        </w:tc>
        <w:tc>
          <w:tcPr>
            <w:tcW w:w="1584" w:type="dxa"/>
          </w:tcPr>
          <w:p w:rsidR="00816A22" w:rsidRDefault="00000000">
            <w:pPr>
              <w:pStyle w:val="Compact"/>
            </w:pPr>
            <w:r>
              <w:t>1,632 (20.0)</w:t>
            </w:r>
          </w:p>
        </w:tc>
        <w:tc>
          <w:tcPr>
            <w:tcW w:w="1584" w:type="dxa"/>
          </w:tcPr>
          <w:p w:rsidR="00816A22" w:rsidRDefault="00000000">
            <w:pPr>
              <w:pStyle w:val="Compact"/>
            </w:pPr>
            <w:r>
              <w:t>1,564 (20.0)</w:t>
            </w:r>
          </w:p>
        </w:tc>
        <w:tc>
          <w:tcPr>
            <w:tcW w:w="1584" w:type="dxa"/>
          </w:tcPr>
          <w:p w:rsidR="00816A22" w:rsidRDefault="00000000">
            <w:pPr>
              <w:pStyle w:val="Compact"/>
            </w:pPr>
            <w:r>
              <w:t>1,400 (20.0)</w:t>
            </w:r>
          </w:p>
        </w:tc>
        <w:tc>
          <w:tcPr>
            <w:tcW w:w="1584" w:type="dxa"/>
          </w:tcPr>
          <w:p w:rsidR="00816A22" w:rsidRDefault="00816A22">
            <w:pPr>
              <w:pStyle w:val="Compact"/>
            </w:pPr>
          </w:p>
        </w:tc>
      </w:tr>
      <w:tr w:rsidR="00816A22" w:rsidTr="00A45CD2">
        <w:tc>
          <w:tcPr>
            <w:tcW w:w="1584" w:type="dxa"/>
          </w:tcPr>
          <w:p w:rsidR="00816A22" w:rsidRDefault="00000000">
            <w:pPr>
              <w:pStyle w:val="Compact"/>
            </w:pPr>
            <w:r>
              <w:rPr>
                <w:b/>
                <w:bCs/>
              </w:rPr>
              <w:t>Region</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Northern</w:t>
            </w:r>
          </w:p>
        </w:tc>
        <w:tc>
          <w:tcPr>
            <w:tcW w:w="1584" w:type="dxa"/>
          </w:tcPr>
          <w:p w:rsidR="00816A22" w:rsidRDefault="00000000">
            <w:pPr>
              <w:pStyle w:val="Compact"/>
            </w:pPr>
            <w:r>
              <w:t>2,804 (34.4)</w:t>
            </w:r>
          </w:p>
        </w:tc>
        <w:tc>
          <w:tcPr>
            <w:tcW w:w="1584" w:type="dxa"/>
          </w:tcPr>
          <w:p w:rsidR="00816A22" w:rsidRDefault="00000000">
            <w:pPr>
              <w:pStyle w:val="Compact"/>
            </w:pPr>
            <w:r>
              <w:t>2,675 (34.1)</w:t>
            </w:r>
          </w:p>
        </w:tc>
        <w:tc>
          <w:tcPr>
            <w:tcW w:w="1584" w:type="dxa"/>
          </w:tcPr>
          <w:p w:rsidR="00816A22" w:rsidRDefault="00000000">
            <w:pPr>
              <w:pStyle w:val="Compact"/>
            </w:pPr>
            <w:r>
              <w:t>2,341 (33.5)</w:t>
            </w:r>
          </w:p>
        </w:tc>
        <w:tc>
          <w:tcPr>
            <w:tcW w:w="1584" w:type="dxa"/>
          </w:tcPr>
          <w:p w:rsidR="00816A22" w:rsidRDefault="00000000">
            <w:pPr>
              <w:pStyle w:val="Compact"/>
            </w:pPr>
            <w:r>
              <w:t>0.421</w:t>
            </w:r>
          </w:p>
        </w:tc>
      </w:tr>
      <w:tr w:rsidR="00816A22" w:rsidTr="00A45CD2">
        <w:tc>
          <w:tcPr>
            <w:tcW w:w="1584" w:type="dxa"/>
          </w:tcPr>
          <w:p w:rsidR="00816A22" w:rsidRDefault="00000000">
            <w:pPr>
              <w:pStyle w:val="Compact"/>
            </w:pPr>
            <w:r>
              <w:t>Central</w:t>
            </w:r>
          </w:p>
        </w:tc>
        <w:tc>
          <w:tcPr>
            <w:tcW w:w="1584" w:type="dxa"/>
          </w:tcPr>
          <w:p w:rsidR="00816A22" w:rsidRDefault="00000000">
            <w:pPr>
              <w:pStyle w:val="Compact"/>
            </w:pPr>
            <w:r>
              <w:t>3,216 (39.4)</w:t>
            </w:r>
          </w:p>
        </w:tc>
        <w:tc>
          <w:tcPr>
            <w:tcW w:w="1584" w:type="dxa"/>
          </w:tcPr>
          <w:p w:rsidR="00816A22" w:rsidRDefault="00000000">
            <w:pPr>
              <w:pStyle w:val="Compact"/>
            </w:pPr>
            <w:r>
              <w:t>3,098 (39.5)</w:t>
            </w:r>
          </w:p>
        </w:tc>
        <w:tc>
          <w:tcPr>
            <w:tcW w:w="1584" w:type="dxa"/>
          </w:tcPr>
          <w:p w:rsidR="00816A22" w:rsidRDefault="00000000">
            <w:pPr>
              <w:pStyle w:val="Compact"/>
            </w:pPr>
            <w:r>
              <w:t>2,847 (40.7)</w:t>
            </w:r>
          </w:p>
        </w:tc>
        <w:tc>
          <w:tcPr>
            <w:tcW w:w="1584" w:type="dxa"/>
          </w:tcPr>
          <w:p w:rsidR="00816A22" w:rsidRDefault="00816A22">
            <w:pPr>
              <w:pStyle w:val="Compact"/>
            </w:pPr>
          </w:p>
        </w:tc>
      </w:tr>
      <w:tr w:rsidR="00816A22" w:rsidTr="00A45CD2">
        <w:tc>
          <w:tcPr>
            <w:tcW w:w="1584" w:type="dxa"/>
          </w:tcPr>
          <w:p w:rsidR="00816A22" w:rsidRDefault="00000000">
            <w:pPr>
              <w:pStyle w:val="Compact"/>
            </w:pPr>
            <w:r>
              <w:t>Southern</w:t>
            </w:r>
          </w:p>
        </w:tc>
        <w:tc>
          <w:tcPr>
            <w:tcW w:w="1584" w:type="dxa"/>
          </w:tcPr>
          <w:p w:rsidR="00816A22" w:rsidRDefault="00000000">
            <w:pPr>
              <w:pStyle w:val="Compact"/>
            </w:pPr>
            <w:r>
              <w:t>2,136 (26.2)</w:t>
            </w:r>
          </w:p>
        </w:tc>
        <w:tc>
          <w:tcPr>
            <w:tcW w:w="1584" w:type="dxa"/>
          </w:tcPr>
          <w:p w:rsidR="00816A22" w:rsidRDefault="00000000">
            <w:pPr>
              <w:pStyle w:val="Compact"/>
            </w:pPr>
            <w:r>
              <w:t>2,061 (26.3)</w:t>
            </w:r>
          </w:p>
        </w:tc>
        <w:tc>
          <w:tcPr>
            <w:tcW w:w="1584" w:type="dxa"/>
          </w:tcPr>
          <w:p w:rsidR="00816A22" w:rsidRDefault="00000000">
            <w:pPr>
              <w:pStyle w:val="Compact"/>
            </w:pPr>
            <w:r>
              <w:t>1,799 (25.8)</w:t>
            </w:r>
          </w:p>
        </w:tc>
        <w:tc>
          <w:tcPr>
            <w:tcW w:w="1584" w:type="dxa"/>
          </w:tcPr>
          <w:p w:rsidR="00816A22" w:rsidRDefault="00816A22">
            <w:pPr>
              <w:pStyle w:val="Compact"/>
            </w:pPr>
          </w:p>
        </w:tc>
      </w:tr>
      <w:tr w:rsidR="00816A22" w:rsidTr="00A45CD2">
        <w:tc>
          <w:tcPr>
            <w:tcW w:w="1584" w:type="dxa"/>
          </w:tcPr>
          <w:p w:rsidR="00816A22" w:rsidRDefault="00000000">
            <w:pPr>
              <w:pStyle w:val="Compact"/>
            </w:pPr>
            <w:r>
              <w:rPr>
                <w:b/>
                <w:bCs/>
              </w:rPr>
              <w:t>Total sample</w:t>
            </w:r>
          </w:p>
        </w:tc>
        <w:tc>
          <w:tcPr>
            <w:tcW w:w="1584" w:type="dxa"/>
          </w:tcPr>
          <w:p w:rsidR="00816A22" w:rsidRDefault="00000000">
            <w:pPr>
              <w:pStyle w:val="Compact"/>
            </w:pPr>
            <w:r>
              <w:rPr>
                <w:b/>
                <w:bCs/>
              </w:rPr>
              <w:t>8,156 (100)</w:t>
            </w:r>
          </w:p>
        </w:tc>
        <w:tc>
          <w:tcPr>
            <w:tcW w:w="1584" w:type="dxa"/>
          </w:tcPr>
          <w:p w:rsidR="00816A22" w:rsidRDefault="00000000">
            <w:pPr>
              <w:pStyle w:val="Compact"/>
            </w:pPr>
            <w:r>
              <w:rPr>
                <w:b/>
                <w:bCs/>
              </w:rPr>
              <w:t>7,834 (100)</w:t>
            </w:r>
          </w:p>
        </w:tc>
        <w:tc>
          <w:tcPr>
            <w:tcW w:w="1584" w:type="dxa"/>
          </w:tcPr>
          <w:p w:rsidR="00816A22" w:rsidRDefault="00000000">
            <w:pPr>
              <w:pStyle w:val="Compact"/>
            </w:pPr>
            <w:r>
              <w:rPr>
                <w:b/>
                <w:bCs/>
              </w:rPr>
              <w:t>6,987 (100)</w:t>
            </w:r>
          </w:p>
        </w:tc>
        <w:tc>
          <w:tcPr>
            <w:tcW w:w="1584" w:type="dxa"/>
          </w:tcPr>
          <w:p w:rsidR="00816A22" w:rsidRDefault="00816A22">
            <w:pPr>
              <w:pStyle w:val="Compact"/>
            </w:pPr>
          </w:p>
        </w:tc>
      </w:tr>
    </w:tbl>
    <w:p w:rsidR="00816A22" w:rsidRDefault="00816A22"/>
    <w:p w:rsidR="00816A22" w:rsidRDefault="00000000">
      <w:pPr>
        <w:pStyle w:val="Heading3"/>
      </w:pPr>
      <w:bookmarkStart w:id="4" w:name="X8bd0ae2c3ed8f826c60b07564a9b2c25f0ce0ee"/>
      <w:bookmarkEnd w:id="3"/>
      <w:r>
        <w:t>Supplementary Table 2: Overall Service Coverage Trends by Survey Year</w:t>
      </w:r>
    </w:p>
    <w:tbl>
      <w:tblPr>
        <w:tblStyle w:val="TableGrid"/>
        <w:tblW w:w="5000" w:type="pct"/>
        <w:tblLayout w:type="fixed"/>
        <w:tblLook w:val="0020" w:firstRow="1" w:lastRow="0" w:firstColumn="0" w:lastColumn="0" w:noHBand="0" w:noVBand="0"/>
      </w:tblPr>
      <w:tblGrid>
        <w:gridCol w:w="1107"/>
        <w:gridCol w:w="1107"/>
        <w:gridCol w:w="1107"/>
        <w:gridCol w:w="1107"/>
        <w:gridCol w:w="1107"/>
        <w:gridCol w:w="1107"/>
        <w:gridCol w:w="1107"/>
        <w:gridCol w:w="1107"/>
      </w:tblGrid>
      <w:tr w:rsidR="00816A22" w:rsidTr="00A45CD2">
        <w:tc>
          <w:tcPr>
            <w:tcW w:w="990" w:type="dxa"/>
          </w:tcPr>
          <w:p w:rsidR="00816A22" w:rsidRDefault="00000000">
            <w:pPr>
              <w:pStyle w:val="Compact"/>
            </w:pPr>
            <w:r>
              <w:t>Service Indicator</w:t>
            </w:r>
          </w:p>
        </w:tc>
        <w:tc>
          <w:tcPr>
            <w:tcW w:w="990" w:type="dxa"/>
          </w:tcPr>
          <w:p w:rsidR="00816A22" w:rsidRDefault="00000000">
            <w:pPr>
              <w:pStyle w:val="Compact"/>
            </w:pPr>
            <w:r>
              <w:t>2013 DHS (%)</w:t>
            </w:r>
          </w:p>
        </w:tc>
        <w:tc>
          <w:tcPr>
            <w:tcW w:w="990" w:type="dxa"/>
          </w:tcPr>
          <w:p w:rsidR="00816A22" w:rsidRDefault="00000000">
            <w:pPr>
              <w:pStyle w:val="Compact"/>
            </w:pPr>
            <w:r>
              <w:t>95% CI</w:t>
            </w:r>
          </w:p>
        </w:tc>
        <w:tc>
          <w:tcPr>
            <w:tcW w:w="990" w:type="dxa"/>
          </w:tcPr>
          <w:p w:rsidR="00816A22" w:rsidRDefault="00000000">
            <w:pPr>
              <w:pStyle w:val="Compact"/>
            </w:pPr>
            <w:r>
              <w:t>2016 MICS (%)</w:t>
            </w:r>
          </w:p>
        </w:tc>
        <w:tc>
          <w:tcPr>
            <w:tcW w:w="990" w:type="dxa"/>
          </w:tcPr>
          <w:p w:rsidR="00816A22" w:rsidRDefault="00000000">
            <w:pPr>
              <w:pStyle w:val="Compact"/>
            </w:pPr>
            <w:r>
              <w:t>95% CI</w:t>
            </w:r>
          </w:p>
        </w:tc>
        <w:tc>
          <w:tcPr>
            <w:tcW w:w="990" w:type="dxa"/>
          </w:tcPr>
          <w:p w:rsidR="00816A22" w:rsidRDefault="00000000">
            <w:pPr>
              <w:pStyle w:val="Compact"/>
            </w:pPr>
            <w:r>
              <w:t>2022-23 MICS (%)</w:t>
            </w:r>
          </w:p>
        </w:tc>
        <w:tc>
          <w:tcPr>
            <w:tcW w:w="990" w:type="dxa"/>
          </w:tcPr>
          <w:p w:rsidR="00816A22" w:rsidRDefault="00000000">
            <w:pPr>
              <w:pStyle w:val="Compact"/>
            </w:pPr>
            <w:r>
              <w:t>95% CI</w:t>
            </w:r>
          </w:p>
        </w:tc>
        <w:tc>
          <w:tcPr>
            <w:tcW w:w="990" w:type="dxa"/>
          </w:tcPr>
          <w:p w:rsidR="00816A22" w:rsidRDefault="00000000">
            <w:pPr>
              <w:pStyle w:val="Compact"/>
            </w:pPr>
            <w:r>
              <w:t>Total Change (pp)</w:t>
            </w:r>
          </w:p>
        </w:tc>
      </w:tr>
      <w:tr w:rsidR="00816A22" w:rsidTr="00A45CD2">
        <w:tc>
          <w:tcPr>
            <w:tcW w:w="990" w:type="dxa"/>
          </w:tcPr>
          <w:p w:rsidR="00816A22" w:rsidRDefault="00000000">
            <w:pPr>
              <w:pStyle w:val="Compact"/>
            </w:pPr>
            <w:r>
              <w:rPr>
                <w:b/>
                <w:bCs/>
              </w:rPr>
              <w:t>Antenatal Care (≥4 visits)</w:t>
            </w: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r>
      <w:tr w:rsidR="00816A22" w:rsidTr="00A45CD2">
        <w:tc>
          <w:tcPr>
            <w:tcW w:w="990" w:type="dxa"/>
          </w:tcPr>
          <w:p w:rsidR="00816A22" w:rsidRDefault="00000000">
            <w:pPr>
              <w:pStyle w:val="Compact"/>
            </w:pPr>
            <w:r>
              <w:t>National</w:t>
            </w:r>
          </w:p>
        </w:tc>
        <w:tc>
          <w:tcPr>
            <w:tcW w:w="990" w:type="dxa"/>
          </w:tcPr>
          <w:p w:rsidR="00816A22" w:rsidRDefault="00000000">
            <w:pPr>
              <w:pStyle w:val="Compact"/>
            </w:pPr>
            <w:r>
              <w:t>64.2</w:t>
            </w:r>
          </w:p>
        </w:tc>
        <w:tc>
          <w:tcPr>
            <w:tcW w:w="990" w:type="dxa"/>
          </w:tcPr>
          <w:p w:rsidR="00816A22" w:rsidRDefault="00000000">
            <w:pPr>
              <w:pStyle w:val="Compact"/>
            </w:pPr>
            <w:r>
              <w:t>(62.1-66.3)</w:t>
            </w:r>
          </w:p>
        </w:tc>
        <w:tc>
          <w:tcPr>
            <w:tcW w:w="990" w:type="dxa"/>
          </w:tcPr>
          <w:p w:rsidR="00816A22" w:rsidRDefault="00000000">
            <w:pPr>
              <w:pStyle w:val="Compact"/>
            </w:pPr>
            <w:r>
              <w:t>51.8</w:t>
            </w:r>
          </w:p>
        </w:tc>
        <w:tc>
          <w:tcPr>
            <w:tcW w:w="990" w:type="dxa"/>
          </w:tcPr>
          <w:p w:rsidR="00816A22" w:rsidRDefault="00000000">
            <w:pPr>
              <w:pStyle w:val="Compact"/>
            </w:pPr>
            <w:r>
              <w:t>(49.2-54.4)</w:t>
            </w:r>
          </w:p>
        </w:tc>
        <w:tc>
          <w:tcPr>
            <w:tcW w:w="990" w:type="dxa"/>
          </w:tcPr>
          <w:p w:rsidR="00816A22" w:rsidRDefault="00000000">
            <w:pPr>
              <w:pStyle w:val="Compact"/>
            </w:pPr>
            <w:r>
              <w:t>38.1</w:t>
            </w:r>
          </w:p>
        </w:tc>
        <w:tc>
          <w:tcPr>
            <w:tcW w:w="990" w:type="dxa"/>
          </w:tcPr>
          <w:p w:rsidR="00816A22" w:rsidRDefault="00000000">
            <w:pPr>
              <w:pStyle w:val="Compact"/>
            </w:pPr>
            <w:r>
              <w:t>(35.8-40.4)</w:t>
            </w:r>
          </w:p>
        </w:tc>
        <w:tc>
          <w:tcPr>
            <w:tcW w:w="990" w:type="dxa"/>
          </w:tcPr>
          <w:p w:rsidR="00816A22" w:rsidRDefault="00000000">
            <w:pPr>
              <w:pStyle w:val="Compact"/>
            </w:pPr>
            <w:r>
              <w:t>-26.1</w:t>
            </w:r>
          </w:p>
        </w:tc>
      </w:tr>
      <w:tr w:rsidR="00816A22" w:rsidTr="00A45CD2">
        <w:tc>
          <w:tcPr>
            <w:tcW w:w="990" w:type="dxa"/>
          </w:tcPr>
          <w:p w:rsidR="00816A22" w:rsidRDefault="00000000">
            <w:pPr>
              <w:pStyle w:val="Compact"/>
            </w:pPr>
            <w:r>
              <w:t>Urban</w:t>
            </w:r>
          </w:p>
        </w:tc>
        <w:tc>
          <w:tcPr>
            <w:tcW w:w="990" w:type="dxa"/>
          </w:tcPr>
          <w:p w:rsidR="00816A22" w:rsidRDefault="00000000">
            <w:pPr>
              <w:pStyle w:val="Compact"/>
            </w:pPr>
            <w:r>
              <w:t>79.4</w:t>
            </w:r>
          </w:p>
        </w:tc>
        <w:tc>
          <w:tcPr>
            <w:tcW w:w="990" w:type="dxa"/>
          </w:tcPr>
          <w:p w:rsidR="00816A22" w:rsidRDefault="00000000">
            <w:pPr>
              <w:pStyle w:val="Compact"/>
            </w:pPr>
            <w:r>
              <w:t>(76.2-82.6)</w:t>
            </w:r>
          </w:p>
        </w:tc>
        <w:tc>
          <w:tcPr>
            <w:tcW w:w="990" w:type="dxa"/>
          </w:tcPr>
          <w:p w:rsidR="00816A22" w:rsidRDefault="00000000">
            <w:pPr>
              <w:pStyle w:val="Compact"/>
            </w:pPr>
            <w:r>
              <w:t>68.2</w:t>
            </w:r>
          </w:p>
        </w:tc>
        <w:tc>
          <w:tcPr>
            <w:tcW w:w="990" w:type="dxa"/>
          </w:tcPr>
          <w:p w:rsidR="00816A22" w:rsidRDefault="00000000">
            <w:pPr>
              <w:pStyle w:val="Compact"/>
            </w:pPr>
            <w:r>
              <w:t>(64.1-72.3)</w:t>
            </w:r>
          </w:p>
        </w:tc>
        <w:tc>
          <w:tcPr>
            <w:tcW w:w="990" w:type="dxa"/>
          </w:tcPr>
          <w:p w:rsidR="00816A22" w:rsidRDefault="00000000">
            <w:pPr>
              <w:pStyle w:val="Compact"/>
            </w:pPr>
            <w:r>
              <w:t>52.3</w:t>
            </w:r>
          </w:p>
        </w:tc>
        <w:tc>
          <w:tcPr>
            <w:tcW w:w="990" w:type="dxa"/>
          </w:tcPr>
          <w:p w:rsidR="00816A22" w:rsidRDefault="00000000">
            <w:pPr>
              <w:pStyle w:val="Compact"/>
            </w:pPr>
            <w:r>
              <w:t>(48.6-56.0)</w:t>
            </w:r>
          </w:p>
        </w:tc>
        <w:tc>
          <w:tcPr>
            <w:tcW w:w="990" w:type="dxa"/>
          </w:tcPr>
          <w:p w:rsidR="00816A22" w:rsidRDefault="00000000">
            <w:pPr>
              <w:pStyle w:val="Compact"/>
            </w:pPr>
            <w:r>
              <w:t>-27.1</w:t>
            </w:r>
          </w:p>
        </w:tc>
      </w:tr>
      <w:tr w:rsidR="00816A22" w:rsidTr="00A45CD2">
        <w:tc>
          <w:tcPr>
            <w:tcW w:w="990" w:type="dxa"/>
          </w:tcPr>
          <w:p w:rsidR="00816A22" w:rsidRDefault="00000000">
            <w:pPr>
              <w:pStyle w:val="Compact"/>
            </w:pPr>
            <w:r>
              <w:t>Rural</w:t>
            </w:r>
          </w:p>
        </w:tc>
        <w:tc>
          <w:tcPr>
            <w:tcW w:w="990" w:type="dxa"/>
          </w:tcPr>
          <w:p w:rsidR="00816A22" w:rsidRDefault="00000000">
            <w:pPr>
              <w:pStyle w:val="Compact"/>
            </w:pPr>
            <w:r>
              <w:t>57.1</w:t>
            </w:r>
          </w:p>
        </w:tc>
        <w:tc>
          <w:tcPr>
            <w:tcW w:w="990" w:type="dxa"/>
          </w:tcPr>
          <w:p w:rsidR="00816A22" w:rsidRDefault="00000000">
            <w:pPr>
              <w:pStyle w:val="Compact"/>
            </w:pPr>
            <w:r>
              <w:t>(54.8-59.4)</w:t>
            </w:r>
          </w:p>
        </w:tc>
        <w:tc>
          <w:tcPr>
            <w:tcW w:w="990" w:type="dxa"/>
          </w:tcPr>
          <w:p w:rsidR="00816A22" w:rsidRDefault="00000000">
            <w:pPr>
              <w:pStyle w:val="Compact"/>
            </w:pPr>
            <w:r>
              <w:t>42.1</w:t>
            </w:r>
          </w:p>
        </w:tc>
        <w:tc>
          <w:tcPr>
            <w:tcW w:w="990" w:type="dxa"/>
          </w:tcPr>
          <w:p w:rsidR="00816A22" w:rsidRDefault="00000000">
            <w:pPr>
              <w:pStyle w:val="Compact"/>
            </w:pPr>
            <w:r>
              <w:t>(39.4-44.8)</w:t>
            </w:r>
          </w:p>
        </w:tc>
        <w:tc>
          <w:tcPr>
            <w:tcW w:w="990" w:type="dxa"/>
          </w:tcPr>
          <w:p w:rsidR="00816A22" w:rsidRDefault="00000000">
            <w:pPr>
              <w:pStyle w:val="Compact"/>
            </w:pPr>
            <w:r>
              <w:t>28.4</w:t>
            </w:r>
          </w:p>
        </w:tc>
        <w:tc>
          <w:tcPr>
            <w:tcW w:w="990" w:type="dxa"/>
          </w:tcPr>
          <w:p w:rsidR="00816A22" w:rsidRDefault="00000000">
            <w:pPr>
              <w:pStyle w:val="Compact"/>
            </w:pPr>
            <w:r>
              <w:t>(25.8-31.0)</w:t>
            </w:r>
          </w:p>
        </w:tc>
        <w:tc>
          <w:tcPr>
            <w:tcW w:w="990" w:type="dxa"/>
          </w:tcPr>
          <w:p w:rsidR="00816A22" w:rsidRDefault="00000000">
            <w:pPr>
              <w:pStyle w:val="Compact"/>
            </w:pPr>
            <w:r>
              <w:t>-28.7</w:t>
            </w:r>
          </w:p>
        </w:tc>
      </w:tr>
      <w:tr w:rsidR="00816A22" w:rsidTr="00A45CD2">
        <w:tc>
          <w:tcPr>
            <w:tcW w:w="990" w:type="dxa"/>
          </w:tcPr>
          <w:p w:rsidR="00816A22" w:rsidRDefault="00000000">
            <w:pPr>
              <w:pStyle w:val="Compact"/>
            </w:pPr>
            <w:r>
              <w:rPr>
                <w:b/>
                <w:bCs/>
              </w:rPr>
              <w:t>Skilled Birth Attendance</w:t>
            </w: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r>
      <w:tr w:rsidR="00816A22" w:rsidTr="00A45CD2">
        <w:tc>
          <w:tcPr>
            <w:tcW w:w="990" w:type="dxa"/>
          </w:tcPr>
          <w:p w:rsidR="00816A22" w:rsidRDefault="00000000">
            <w:pPr>
              <w:pStyle w:val="Compact"/>
            </w:pPr>
            <w:r>
              <w:t>National</w:t>
            </w:r>
          </w:p>
        </w:tc>
        <w:tc>
          <w:tcPr>
            <w:tcW w:w="990" w:type="dxa"/>
          </w:tcPr>
          <w:p w:rsidR="00816A22" w:rsidRDefault="00000000">
            <w:pPr>
              <w:pStyle w:val="Compact"/>
            </w:pPr>
            <w:r>
              <w:t>52.1</w:t>
            </w:r>
          </w:p>
        </w:tc>
        <w:tc>
          <w:tcPr>
            <w:tcW w:w="990" w:type="dxa"/>
          </w:tcPr>
          <w:p w:rsidR="00816A22" w:rsidRDefault="00000000">
            <w:pPr>
              <w:pStyle w:val="Compact"/>
            </w:pPr>
            <w:r>
              <w:t>(49.8-54.4)</w:t>
            </w:r>
          </w:p>
        </w:tc>
        <w:tc>
          <w:tcPr>
            <w:tcW w:w="990" w:type="dxa"/>
          </w:tcPr>
          <w:p w:rsidR="00816A22" w:rsidRDefault="00000000">
            <w:pPr>
              <w:pStyle w:val="Compact"/>
            </w:pPr>
            <w:r>
              <w:t>38.4</w:t>
            </w:r>
          </w:p>
        </w:tc>
        <w:tc>
          <w:tcPr>
            <w:tcW w:w="990" w:type="dxa"/>
          </w:tcPr>
          <w:p w:rsidR="00816A22" w:rsidRDefault="00000000">
            <w:pPr>
              <w:pStyle w:val="Compact"/>
            </w:pPr>
            <w:r>
              <w:t>(36.1-40.7)</w:t>
            </w:r>
          </w:p>
        </w:tc>
        <w:tc>
          <w:tcPr>
            <w:tcW w:w="990" w:type="dxa"/>
          </w:tcPr>
          <w:p w:rsidR="00816A22" w:rsidRDefault="00000000">
            <w:pPr>
              <w:pStyle w:val="Compact"/>
            </w:pPr>
            <w:r>
              <w:t>24.7</w:t>
            </w:r>
          </w:p>
        </w:tc>
        <w:tc>
          <w:tcPr>
            <w:tcW w:w="990" w:type="dxa"/>
          </w:tcPr>
          <w:p w:rsidR="00816A22" w:rsidRDefault="00000000">
            <w:pPr>
              <w:pStyle w:val="Compact"/>
            </w:pPr>
            <w:r>
              <w:t>(22.8-26.6)</w:t>
            </w:r>
          </w:p>
        </w:tc>
        <w:tc>
          <w:tcPr>
            <w:tcW w:w="990" w:type="dxa"/>
          </w:tcPr>
          <w:p w:rsidR="00816A22" w:rsidRDefault="00000000">
            <w:pPr>
              <w:pStyle w:val="Compact"/>
            </w:pPr>
            <w:r>
              <w:t>-27.4</w:t>
            </w:r>
          </w:p>
        </w:tc>
      </w:tr>
      <w:tr w:rsidR="00816A22" w:rsidTr="00A45CD2">
        <w:tc>
          <w:tcPr>
            <w:tcW w:w="990" w:type="dxa"/>
          </w:tcPr>
          <w:p w:rsidR="00816A22" w:rsidRDefault="00000000">
            <w:pPr>
              <w:pStyle w:val="Compact"/>
            </w:pPr>
            <w:r>
              <w:t>Urban</w:t>
            </w:r>
          </w:p>
        </w:tc>
        <w:tc>
          <w:tcPr>
            <w:tcW w:w="990" w:type="dxa"/>
          </w:tcPr>
          <w:p w:rsidR="00816A22" w:rsidRDefault="00000000">
            <w:pPr>
              <w:pStyle w:val="Compact"/>
            </w:pPr>
            <w:r>
              <w:t>72.3</w:t>
            </w:r>
          </w:p>
        </w:tc>
        <w:tc>
          <w:tcPr>
            <w:tcW w:w="990" w:type="dxa"/>
          </w:tcPr>
          <w:p w:rsidR="00816A22" w:rsidRDefault="00000000">
            <w:pPr>
              <w:pStyle w:val="Compact"/>
            </w:pPr>
            <w:r>
              <w:t>(69.1-75.5)</w:t>
            </w:r>
          </w:p>
        </w:tc>
        <w:tc>
          <w:tcPr>
            <w:tcW w:w="990" w:type="dxa"/>
          </w:tcPr>
          <w:p w:rsidR="00816A22" w:rsidRDefault="00000000">
            <w:pPr>
              <w:pStyle w:val="Compact"/>
            </w:pPr>
            <w:r>
              <w:t>54.1</w:t>
            </w:r>
          </w:p>
        </w:tc>
        <w:tc>
          <w:tcPr>
            <w:tcW w:w="990" w:type="dxa"/>
          </w:tcPr>
          <w:p w:rsidR="00816A22" w:rsidRDefault="00000000">
            <w:pPr>
              <w:pStyle w:val="Compact"/>
            </w:pPr>
            <w:r>
              <w:t>(50.2-58.0)</w:t>
            </w:r>
          </w:p>
        </w:tc>
        <w:tc>
          <w:tcPr>
            <w:tcW w:w="990" w:type="dxa"/>
          </w:tcPr>
          <w:p w:rsidR="00816A22" w:rsidRDefault="00000000">
            <w:pPr>
              <w:pStyle w:val="Compact"/>
            </w:pPr>
            <w:r>
              <w:t>38.6</w:t>
            </w:r>
          </w:p>
        </w:tc>
        <w:tc>
          <w:tcPr>
            <w:tcW w:w="990" w:type="dxa"/>
          </w:tcPr>
          <w:p w:rsidR="00816A22" w:rsidRDefault="00000000">
            <w:pPr>
              <w:pStyle w:val="Compact"/>
            </w:pPr>
            <w:r>
              <w:t>(34.9-42.3)</w:t>
            </w:r>
          </w:p>
        </w:tc>
        <w:tc>
          <w:tcPr>
            <w:tcW w:w="990" w:type="dxa"/>
          </w:tcPr>
          <w:p w:rsidR="00816A22" w:rsidRDefault="00000000">
            <w:pPr>
              <w:pStyle w:val="Compact"/>
            </w:pPr>
            <w:r>
              <w:t>-33.7</w:t>
            </w:r>
          </w:p>
        </w:tc>
      </w:tr>
      <w:tr w:rsidR="00816A22" w:rsidTr="00A45CD2">
        <w:tc>
          <w:tcPr>
            <w:tcW w:w="990" w:type="dxa"/>
          </w:tcPr>
          <w:p w:rsidR="00816A22" w:rsidRDefault="00000000">
            <w:pPr>
              <w:pStyle w:val="Compact"/>
            </w:pPr>
            <w:r>
              <w:t>Rural</w:t>
            </w:r>
          </w:p>
        </w:tc>
        <w:tc>
          <w:tcPr>
            <w:tcW w:w="990" w:type="dxa"/>
          </w:tcPr>
          <w:p w:rsidR="00816A22" w:rsidRDefault="00000000">
            <w:pPr>
              <w:pStyle w:val="Compact"/>
            </w:pPr>
            <w:r>
              <w:t>41.8</w:t>
            </w:r>
          </w:p>
        </w:tc>
        <w:tc>
          <w:tcPr>
            <w:tcW w:w="990" w:type="dxa"/>
          </w:tcPr>
          <w:p w:rsidR="00816A22" w:rsidRDefault="00000000">
            <w:pPr>
              <w:pStyle w:val="Compact"/>
            </w:pPr>
            <w:r>
              <w:t>(39.5-44.1)</w:t>
            </w:r>
          </w:p>
        </w:tc>
        <w:tc>
          <w:tcPr>
            <w:tcW w:w="990" w:type="dxa"/>
          </w:tcPr>
          <w:p w:rsidR="00816A22" w:rsidRDefault="00000000">
            <w:pPr>
              <w:pStyle w:val="Compact"/>
            </w:pPr>
            <w:r>
              <w:t>28.3</w:t>
            </w:r>
          </w:p>
        </w:tc>
        <w:tc>
          <w:tcPr>
            <w:tcW w:w="990" w:type="dxa"/>
          </w:tcPr>
          <w:p w:rsidR="00816A22" w:rsidRDefault="00000000">
            <w:pPr>
              <w:pStyle w:val="Compact"/>
            </w:pPr>
            <w:r>
              <w:t>(25.8-30.8)</w:t>
            </w:r>
          </w:p>
        </w:tc>
        <w:tc>
          <w:tcPr>
            <w:tcW w:w="990" w:type="dxa"/>
          </w:tcPr>
          <w:p w:rsidR="00816A22" w:rsidRDefault="00000000">
            <w:pPr>
              <w:pStyle w:val="Compact"/>
            </w:pPr>
            <w:r>
              <w:t>15.2</w:t>
            </w:r>
          </w:p>
        </w:tc>
        <w:tc>
          <w:tcPr>
            <w:tcW w:w="990" w:type="dxa"/>
          </w:tcPr>
          <w:p w:rsidR="00816A22" w:rsidRDefault="00000000">
            <w:pPr>
              <w:pStyle w:val="Compact"/>
            </w:pPr>
            <w:r>
              <w:t>(13.2-17.2)</w:t>
            </w:r>
          </w:p>
        </w:tc>
        <w:tc>
          <w:tcPr>
            <w:tcW w:w="990" w:type="dxa"/>
          </w:tcPr>
          <w:p w:rsidR="00816A22" w:rsidRDefault="00000000">
            <w:pPr>
              <w:pStyle w:val="Compact"/>
            </w:pPr>
            <w:r>
              <w:t>-26.6</w:t>
            </w:r>
          </w:p>
        </w:tc>
      </w:tr>
      <w:tr w:rsidR="00816A22" w:rsidTr="00A45CD2">
        <w:tc>
          <w:tcPr>
            <w:tcW w:w="990" w:type="dxa"/>
          </w:tcPr>
          <w:p w:rsidR="00816A22" w:rsidRDefault="00000000">
            <w:pPr>
              <w:pStyle w:val="Compact"/>
            </w:pPr>
            <w:r>
              <w:rPr>
                <w:b/>
                <w:bCs/>
              </w:rPr>
              <w:t>Postnatal Care</w:t>
            </w: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c>
          <w:tcPr>
            <w:tcW w:w="990" w:type="dxa"/>
          </w:tcPr>
          <w:p w:rsidR="00816A22" w:rsidRDefault="00816A22">
            <w:pPr>
              <w:pStyle w:val="Compact"/>
            </w:pPr>
          </w:p>
        </w:tc>
      </w:tr>
      <w:tr w:rsidR="00816A22" w:rsidTr="00A45CD2">
        <w:tc>
          <w:tcPr>
            <w:tcW w:w="990" w:type="dxa"/>
          </w:tcPr>
          <w:p w:rsidR="00816A22" w:rsidRDefault="00000000">
            <w:pPr>
              <w:pStyle w:val="Compact"/>
            </w:pPr>
            <w:r>
              <w:t>National</w:t>
            </w:r>
          </w:p>
        </w:tc>
        <w:tc>
          <w:tcPr>
            <w:tcW w:w="990" w:type="dxa"/>
          </w:tcPr>
          <w:p w:rsidR="00816A22" w:rsidRDefault="00000000">
            <w:pPr>
              <w:pStyle w:val="Compact"/>
            </w:pPr>
            <w:r>
              <w:t>38.1</w:t>
            </w:r>
          </w:p>
        </w:tc>
        <w:tc>
          <w:tcPr>
            <w:tcW w:w="990" w:type="dxa"/>
          </w:tcPr>
          <w:p w:rsidR="00816A22" w:rsidRDefault="00000000">
            <w:pPr>
              <w:pStyle w:val="Compact"/>
            </w:pPr>
            <w:r>
              <w:t>(36.2-40.0)</w:t>
            </w:r>
          </w:p>
        </w:tc>
        <w:tc>
          <w:tcPr>
            <w:tcW w:w="990" w:type="dxa"/>
          </w:tcPr>
          <w:p w:rsidR="00816A22" w:rsidRDefault="00000000">
            <w:pPr>
              <w:pStyle w:val="Compact"/>
            </w:pPr>
            <w:r>
              <w:t>23.4</w:t>
            </w:r>
          </w:p>
        </w:tc>
        <w:tc>
          <w:tcPr>
            <w:tcW w:w="990" w:type="dxa"/>
          </w:tcPr>
          <w:p w:rsidR="00816A22" w:rsidRDefault="00000000">
            <w:pPr>
              <w:pStyle w:val="Compact"/>
            </w:pPr>
            <w:r>
              <w:t>(21.7-25.1)</w:t>
            </w:r>
          </w:p>
        </w:tc>
        <w:tc>
          <w:tcPr>
            <w:tcW w:w="990" w:type="dxa"/>
          </w:tcPr>
          <w:p w:rsidR="00816A22" w:rsidRDefault="00000000">
            <w:pPr>
              <w:pStyle w:val="Compact"/>
            </w:pPr>
            <w:r>
              <w:t>15.2</w:t>
            </w:r>
          </w:p>
        </w:tc>
        <w:tc>
          <w:tcPr>
            <w:tcW w:w="990" w:type="dxa"/>
          </w:tcPr>
          <w:p w:rsidR="00816A22" w:rsidRDefault="00000000">
            <w:pPr>
              <w:pStyle w:val="Compact"/>
            </w:pPr>
            <w:r>
              <w:t>(13.8-16.6)</w:t>
            </w:r>
          </w:p>
        </w:tc>
        <w:tc>
          <w:tcPr>
            <w:tcW w:w="990" w:type="dxa"/>
          </w:tcPr>
          <w:p w:rsidR="00816A22" w:rsidRDefault="00000000">
            <w:pPr>
              <w:pStyle w:val="Compact"/>
            </w:pPr>
            <w:r>
              <w:t>-22.9</w:t>
            </w:r>
          </w:p>
        </w:tc>
      </w:tr>
      <w:tr w:rsidR="00816A22" w:rsidTr="00A45CD2">
        <w:tc>
          <w:tcPr>
            <w:tcW w:w="990" w:type="dxa"/>
          </w:tcPr>
          <w:p w:rsidR="00816A22" w:rsidRDefault="00000000">
            <w:pPr>
              <w:pStyle w:val="Compact"/>
            </w:pPr>
            <w:r>
              <w:t>Urban</w:t>
            </w:r>
          </w:p>
        </w:tc>
        <w:tc>
          <w:tcPr>
            <w:tcW w:w="990" w:type="dxa"/>
          </w:tcPr>
          <w:p w:rsidR="00816A22" w:rsidRDefault="00000000">
            <w:pPr>
              <w:pStyle w:val="Compact"/>
            </w:pPr>
            <w:r>
              <w:t>54.2</w:t>
            </w:r>
          </w:p>
        </w:tc>
        <w:tc>
          <w:tcPr>
            <w:tcW w:w="990" w:type="dxa"/>
          </w:tcPr>
          <w:p w:rsidR="00816A22" w:rsidRDefault="00000000">
            <w:pPr>
              <w:pStyle w:val="Compact"/>
            </w:pPr>
            <w:r>
              <w:t>(51.3-57.1)</w:t>
            </w:r>
          </w:p>
        </w:tc>
        <w:tc>
          <w:tcPr>
            <w:tcW w:w="990" w:type="dxa"/>
          </w:tcPr>
          <w:p w:rsidR="00816A22" w:rsidRDefault="00000000">
            <w:pPr>
              <w:pStyle w:val="Compact"/>
            </w:pPr>
            <w:r>
              <w:t>36.1</w:t>
            </w:r>
          </w:p>
        </w:tc>
        <w:tc>
          <w:tcPr>
            <w:tcW w:w="990" w:type="dxa"/>
          </w:tcPr>
          <w:p w:rsidR="00816A22" w:rsidRDefault="00000000">
            <w:pPr>
              <w:pStyle w:val="Compact"/>
            </w:pPr>
            <w:r>
              <w:t>(32.6-39.6)</w:t>
            </w:r>
          </w:p>
        </w:tc>
        <w:tc>
          <w:tcPr>
            <w:tcW w:w="990" w:type="dxa"/>
          </w:tcPr>
          <w:p w:rsidR="00816A22" w:rsidRDefault="00000000">
            <w:pPr>
              <w:pStyle w:val="Compact"/>
            </w:pPr>
            <w:r>
              <w:t>24.8</w:t>
            </w:r>
          </w:p>
        </w:tc>
        <w:tc>
          <w:tcPr>
            <w:tcW w:w="990" w:type="dxa"/>
          </w:tcPr>
          <w:p w:rsidR="00816A22" w:rsidRDefault="00000000">
            <w:pPr>
              <w:pStyle w:val="Compact"/>
            </w:pPr>
            <w:r>
              <w:t>(21.5-28.1)</w:t>
            </w:r>
          </w:p>
        </w:tc>
        <w:tc>
          <w:tcPr>
            <w:tcW w:w="990" w:type="dxa"/>
          </w:tcPr>
          <w:p w:rsidR="00816A22" w:rsidRDefault="00000000">
            <w:pPr>
              <w:pStyle w:val="Compact"/>
            </w:pPr>
            <w:r>
              <w:t>-29.4</w:t>
            </w:r>
          </w:p>
        </w:tc>
      </w:tr>
      <w:tr w:rsidR="00816A22" w:rsidTr="00A45CD2">
        <w:tc>
          <w:tcPr>
            <w:tcW w:w="990" w:type="dxa"/>
          </w:tcPr>
          <w:p w:rsidR="00816A22" w:rsidRDefault="00000000">
            <w:pPr>
              <w:pStyle w:val="Compact"/>
            </w:pPr>
            <w:r>
              <w:t>Rural</w:t>
            </w:r>
          </w:p>
        </w:tc>
        <w:tc>
          <w:tcPr>
            <w:tcW w:w="990" w:type="dxa"/>
          </w:tcPr>
          <w:p w:rsidR="00816A22" w:rsidRDefault="00000000">
            <w:pPr>
              <w:pStyle w:val="Compact"/>
            </w:pPr>
            <w:r>
              <w:t>31.8</w:t>
            </w:r>
          </w:p>
        </w:tc>
        <w:tc>
          <w:tcPr>
            <w:tcW w:w="990" w:type="dxa"/>
          </w:tcPr>
          <w:p w:rsidR="00816A22" w:rsidRDefault="00000000">
            <w:pPr>
              <w:pStyle w:val="Compact"/>
            </w:pPr>
            <w:r>
              <w:t>(29.7-33.9)</w:t>
            </w:r>
          </w:p>
        </w:tc>
        <w:tc>
          <w:tcPr>
            <w:tcW w:w="990" w:type="dxa"/>
          </w:tcPr>
          <w:p w:rsidR="00816A22" w:rsidRDefault="00000000">
            <w:pPr>
              <w:pStyle w:val="Compact"/>
            </w:pPr>
            <w:r>
              <w:t>17.4</w:t>
            </w:r>
          </w:p>
        </w:tc>
        <w:tc>
          <w:tcPr>
            <w:tcW w:w="990" w:type="dxa"/>
          </w:tcPr>
          <w:p w:rsidR="00816A22" w:rsidRDefault="00000000">
            <w:pPr>
              <w:pStyle w:val="Compact"/>
            </w:pPr>
            <w:r>
              <w:t>(15.6-19.2)</w:t>
            </w:r>
          </w:p>
        </w:tc>
        <w:tc>
          <w:tcPr>
            <w:tcW w:w="990" w:type="dxa"/>
          </w:tcPr>
          <w:p w:rsidR="00816A22" w:rsidRDefault="00000000">
            <w:pPr>
              <w:pStyle w:val="Compact"/>
            </w:pPr>
            <w:r>
              <w:t>10.1</w:t>
            </w:r>
          </w:p>
        </w:tc>
        <w:tc>
          <w:tcPr>
            <w:tcW w:w="990" w:type="dxa"/>
          </w:tcPr>
          <w:p w:rsidR="00816A22" w:rsidRDefault="00000000">
            <w:pPr>
              <w:pStyle w:val="Compact"/>
            </w:pPr>
            <w:r>
              <w:t>(8.6-11.6)</w:t>
            </w:r>
          </w:p>
        </w:tc>
        <w:tc>
          <w:tcPr>
            <w:tcW w:w="990" w:type="dxa"/>
          </w:tcPr>
          <w:p w:rsidR="00816A22" w:rsidRDefault="00000000">
            <w:pPr>
              <w:pStyle w:val="Compact"/>
            </w:pPr>
            <w:r>
              <w:t>-21.7</w:t>
            </w:r>
          </w:p>
        </w:tc>
      </w:tr>
    </w:tbl>
    <w:p w:rsidR="00816A22" w:rsidRDefault="00816A22"/>
    <w:p w:rsidR="00816A22" w:rsidRDefault="00000000">
      <w:pPr>
        <w:pStyle w:val="Heading3"/>
      </w:pPr>
      <w:bookmarkStart w:id="5" w:name="X2a3ef4e904ebd462a16dbef34b978d4c00758dc"/>
      <w:bookmarkEnd w:id="4"/>
      <w:r>
        <w:t>Supplementary Table 3: Absolute and Relative Wealth Gaps in Maternal Health Service Utilization</w:t>
      </w:r>
    </w:p>
    <w:tbl>
      <w:tblPr>
        <w:tblStyle w:val="TableGrid"/>
        <w:tblW w:w="5000" w:type="pct"/>
        <w:tblLayout w:type="fixed"/>
        <w:tblLook w:val="0020" w:firstRow="1" w:lastRow="0" w:firstColumn="0" w:lastColumn="0" w:noHBand="0" w:noVBand="0"/>
      </w:tblPr>
      <w:tblGrid>
        <w:gridCol w:w="1772"/>
        <w:gridCol w:w="1771"/>
        <w:gridCol w:w="1771"/>
        <w:gridCol w:w="1771"/>
        <w:gridCol w:w="1771"/>
      </w:tblGrid>
      <w:tr w:rsidR="00816A22" w:rsidTr="00A45CD2">
        <w:tc>
          <w:tcPr>
            <w:tcW w:w="1584" w:type="dxa"/>
          </w:tcPr>
          <w:p w:rsidR="00816A22" w:rsidRDefault="00000000">
            <w:pPr>
              <w:pStyle w:val="Compact"/>
            </w:pPr>
            <w:r>
              <w:t>Service &amp; Year</w:t>
            </w:r>
          </w:p>
        </w:tc>
        <w:tc>
          <w:tcPr>
            <w:tcW w:w="1584" w:type="dxa"/>
          </w:tcPr>
          <w:p w:rsidR="00816A22" w:rsidRDefault="00000000">
            <w:pPr>
              <w:pStyle w:val="Compact"/>
            </w:pPr>
            <w:r>
              <w:t>Poorest Q1 (%)</w:t>
            </w:r>
          </w:p>
        </w:tc>
        <w:tc>
          <w:tcPr>
            <w:tcW w:w="1584" w:type="dxa"/>
          </w:tcPr>
          <w:p w:rsidR="00816A22" w:rsidRDefault="00000000">
            <w:pPr>
              <w:pStyle w:val="Compact"/>
            </w:pPr>
            <w:r>
              <w:t>Richest Q5 (%)</w:t>
            </w:r>
          </w:p>
        </w:tc>
        <w:tc>
          <w:tcPr>
            <w:tcW w:w="1584" w:type="dxa"/>
          </w:tcPr>
          <w:p w:rsidR="00816A22" w:rsidRDefault="00000000">
            <w:pPr>
              <w:pStyle w:val="Compact"/>
            </w:pPr>
            <w:r>
              <w:t>Absolute Gap (pp)</w:t>
            </w:r>
          </w:p>
        </w:tc>
        <w:tc>
          <w:tcPr>
            <w:tcW w:w="1584" w:type="dxa"/>
          </w:tcPr>
          <w:p w:rsidR="00816A22" w:rsidRDefault="00000000">
            <w:pPr>
              <w:pStyle w:val="Compact"/>
            </w:pPr>
            <w:r>
              <w:t>Relative Ratio (Q5/Q1)</w:t>
            </w:r>
          </w:p>
        </w:tc>
      </w:tr>
      <w:tr w:rsidR="00816A22" w:rsidTr="00A45CD2">
        <w:tc>
          <w:tcPr>
            <w:tcW w:w="1584" w:type="dxa"/>
          </w:tcPr>
          <w:p w:rsidR="00816A22" w:rsidRDefault="00000000">
            <w:pPr>
              <w:pStyle w:val="Compact"/>
            </w:pPr>
            <w:r>
              <w:rPr>
                <w:b/>
                <w:bCs/>
              </w:rPr>
              <w:t xml:space="preserve">Antenatal Care (≥4 </w:t>
            </w:r>
            <w:r>
              <w:rPr>
                <w:b/>
                <w:bCs/>
              </w:rPr>
              <w:lastRenderedPageBreak/>
              <w:t>visits)</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2013</w:t>
            </w:r>
          </w:p>
        </w:tc>
        <w:tc>
          <w:tcPr>
            <w:tcW w:w="1584" w:type="dxa"/>
          </w:tcPr>
          <w:p w:rsidR="00816A22" w:rsidRDefault="00000000">
            <w:pPr>
              <w:pStyle w:val="Compact"/>
            </w:pPr>
            <w:r>
              <w:t>42.1</w:t>
            </w:r>
          </w:p>
        </w:tc>
        <w:tc>
          <w:tcPr>
            <w:tcW w:w="1584" w:type="dxa"/>
          </w:tcPr>
          <w:p w:rsidR="00816A22" w:rsidRDefault="00000000">
            <w:pPr>
              <w:pStyle w:val="Compact"/>
            </w:pPr>
            <w:r>
              <w:t>82.4</w:t>
            </w:r>
          </w:p>
        </w:tc>
        <w:tc>
          <w:tcPr>
            <w:tcW w:w="1584" w:type="dxa"/>
          </w:tcPr>
          <w:p w:rsidR="00816A22" w:rsidRDefault="00000000">
            <w:pPr>
              <w:pStyle w:val="Compact"/>
            </w:pPr>
            <w:r>
              <w:t>40.3</w:t>
            </w:r>
          </w:p>
        </w:tc>
        <w:tc>
          <w:tcPr>
            <w:tcW w:w="1584" w:type="dxa"/>
          </w:tcPr>
          <w:p w:rsidR="00816A22" w:rsidRDefault="00000000">
            <w:pPr>
              <w:pStyle w:val="Compact"/>
            </w:pPr>
            <w:r>
              <w:t>1.96</w:t>
            </w:r>
          </w:p>
        </w:tc>
      </w:tr>
      <w:tr w:rsidR="00816A22" w:rsidTr="00A45CD2">
        <w:tc>
          <w:tcPr>
            <w:tcW w:w="1584" w:type="dxa"/>
          </w:tcPr>
          <w:p w:rsidR="00816A22" w:rsidRDefault="00000000">
            <w:pPr>
              <w:pStyle w:val="Compact"/>
            </w:pPr>
            <w:r>
              <w:t>2016</w:t>
            </w:r>
          </w:p>
        </w:tc>
        <w:tc>
          <w:tcPr>
            <w:tcW w:w="1584" w:type="dxa"/>
          </w:tcPr>
          <w:p w:rsidR="00816A22" w:rsidRDefault="00000000">
            <w:pPr>
              <w:pStyle w:val="Compact"/>
            </w:pPr>
            <w:r>
              <w:t>24.8</w:t>
            </w:r>
          </w:p>
        </w:tc>
        <w:tc>
          <w:tcPr>
            <w:tcW w:w="1584" w:type="dxa"/>
          </w:tcPr>
          <w:p w:rsidR="00816A22" w:rsidRDefault="00000000">
            <w:pPr>
              <w:pStyle w:val="Compact"/>
            </w:pPr>
            <w:r>
              <w:t>71.3</w:t>
            </w:r>
          </w:p>
        </w:tc>
        <w:tc>
          <w:tcPr>
            <w:tcW w:w="1584" w:type="dxa"/>
          </w:tcPr>
          <w:p w:rsidR="00816A22" w:rsidRDefault="00000000">
            <w:pPr>
              <w:pStyle w:val="Compact"/>
            </w:pPr>
            <w:r>
              <w:t>46.5</w:t>
            </w:r>
          </w:p>
        </w:tc>
        <w:tc>
          <w:tcPr>
            <w:tcW w:w="1584" w:type="dxa"/>
          </w:tcPr>
          <w:p w:rsidR="00816A22" w:rsidRDefault="00000000">
            <w:pPr>
              <w:pStyle w:val="Compact"/>
            </w:pPr>
            <w:r>
              <w:t>2.87</w:t>
            </w:r>
          </w:p>
        </w:tc>
      </w:tr>
      <w:tr w:rsidR="00816A22" w:rsidTr="00A45CD2">
        <w:tc>
          <w:tcPr>
            <w:tcW w:w="1584" w:type="dxa"/>
          </w:tcPr>
          <w:p w:rsidR="00816A22" w:rsidRDefault="00000000">
            <w:pPr>
              <w:pStyle w:val="Compact"/>
            </w:pPr>
            <w:r>
              <w:t>2022</w:t>
            </w:r>
          </w:p>
        </w:tc>
        <w:tc>
          <w:tcPr>
            <w:tcW w:w="1584" w:type="dxa"/>
          </w:tcPr>
          <w:p w:rsidR="00816A22" w:rsidRDefault="00000000">
            <w:pPr>
              <w:pStyle w:val="Compact"/>
            </w:pPr>
            <w:r>
              <w:t>12.4</w:t>
            </w:r>
          </w:p>
        </w:tc>
        <w:tc>
          <w:tcPr>
            <w:tcW w:w="1584" w:type="dxa"/>
          </w:tcPr>
          <w:p w:rsidR="00816A22" w:rsidRDefault="00000000">
            <w:pPr>
              <w:pStyle w:val="Compact"/>
            </w:pPr>
            <w:r>
              <w:t>47.1</w:t>
            </w:r>
          </w:p>
        </w:tc>
        <w:tc>
          <w:tcPr>
            <w:tcW w:w="1584" w:type="dxa"/>
          </w:tcPr>
          <w:p w:rsidR="00816A22" w:rsidRDefault="00000000">
            <w:pPr>
              <w:pStyle w:val="Compact"/>
            </w:pPr>
            <w:r>
              <w:t>34.7</w:t>
            </w:r>
          </w:p>
        </w:tc>
        <w:tc>
          <w:tcPr>
            <w:tcW w:w="1584" w:type="dxa"/>
          </w:tcPr>
          <w:p w:rsidR="00816A22" w:rsidRDefault="00000000">
            <w:pPr>
              <w:pStyle w:val="Compact"/>
            </w:pPr>
            <w:r>
              <w:t>3.80</w:t>
            </w:r>
          </w:p>
        </w:tc>
      </w:tr>
      <w:tr w:rsidR="00816A22" w:rsidTr="00A45CD2">
        <w:tc>
          <w:tcPr>
            <w:tcW w:w="1584" w:type="dxa"/>
          </w:tcPr>
          <w:p w:rsidR="00816A22" w:rsidRDefault="00000000">
            <w:pPr>
              <w:pStyle w:val="Compact"/>
            </w:pPr>
            <w:r>
              <w:t>Change 2013-2022</w:t>
            </w:r>
          </w:p>
        </w:tc>
        <w:tc>
          <w:tcPr>
            <w:tcW w:w="1584" w:type="dxa"/>
          </w:tcPr>
          <w:p w:rsidR="00816A22" w:rsidRDefault="00000000">
            <w:pPr>
              <w:pStyle w:val="Compact"/>
            </w:pPr>
            <w:r>
              <w:t>-29.7</w:t>
            </w:r>
          </w:p>
        </w:tc>
        <w:tc>
          <w:tcPr>
            <w:tcW w:w="1584" w:type="dxa"/>
          </w:tcPr>
          <w:p w:rsidR="00816A22" w:rsidRDefault="00000000">
            <w:pPr>
              <w:pStyle w:val="Compact"/>
            </w:pPr>
            <w:r>
              <w:t>-35.3</w:t>
            </w:r>
          </w:p>
        </w:tc>
        <w:tc>
          <w:tcPr>
            <w:tcW w:w="1584" w:type="dxa"/>
          </w:tcPr>
          <w:p w:rsidR="00816A22" w:rsidRDefault="00000000">
            <w:pPr>
              <w:pStyle w:val="Compact"/>
            </w:pPr>
            <w:r>
              <w:t>-5.6</w:t>
            </w:r>
          </w:p>
        </w:tc>
        <w:tc>
          <w:tcPr>
            <w:tcW w:w="1584" w:type="dxa"/>
          </w:tcPr>
          <w:p w:rsidR="00816A22" w:rsidRDefault="00000000">
            <w:pPr>
              <w:pStyle w:val="Compact"/>
            </w:pPr>
            <w:r>
              <w:t>+1.84</w:t>
            </w:r>
          </w:p>
        </w:tc>
      </w:tr>
      <w:tr w:rsidR="00816A22" w:rsidTr="00A45CD2">
        <w:tc>
          <w:tcPr>
            <w:tcW w:w="1584" w:type="dxa"/>
          </w:tcPr>
          <w:p w:rsidR="00816A22" w:rsidRDefault="00000000">
            <w:pPr>
              <w:pStyle w:val="Compact"/>
            </w:pPr>
            <w:r>
              <w:rPr>
                <w:b/>
                <w:bCs/>
              </w:rPr>
              <w:t>Skilled Birth Attendance</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2013</w:t>
            </w:r>
          </w:p>
        </w:tc>
        <w:tc>
          <w:tcPr>
            <w:tcW w:w="1584" w:type="dxa"/>
          </w:tcPr>
          <w:p w:rsidR="00816A22" w:rsidRDefault="00000000">
            <w:pPr>
              <w:pStyle w:val="Compact"/>
            </w:pPr>
            <w:r>
              <w:t>28.3</w:t>
            </w:r>
          </w:p>
        </w:tc>
        <w:tc>
          <w:tcPr>
            <w:tcW w:w="1584" w:type="dxa"/>
          </w:tcPr>
          <w:p w:rsidR="00816A22" w:rsidRDefault="00000000">
            <w:pPr>
              <w:pStyle w:val="Compact"/>
            </w:pPr>
            <w:r>
              <w:t>71.8</w:t>
            </w:r>
          </w:p>
        </w:tc>
        <w:tc>
          <w:tcPr>
            <w:tcW w:w="1584" w:type="dxa"/>
          </w:tcPr>
          <w:p w:rsidR="00816A22" w:rsidRDefault="00000000">
            <w:pPr>
              <w:pStyle w:val="Compact"/>
            </w:pPr>
            <w:r>
              <w:t>43.5</w:t>
            </w:r>
          </w:p>
        </w:tc>
        <w:tc>
          <w:tcPr>
            <w:tcW w:w="1584" w:type="dxa"/>
          </w:tcPr>
          <w:p w:rsidR="00816A22" w:rsidRDefault="00000000">
            <w:pPr>
              <w:pStyle w:val="Compact"/>
            </w:pPr>
            <w:r>
              <w:t>2.54</w:t>
            </w:r>
          </w:p>
        </w:tc>
      </w:tr>
      <w:tr w:rsidR="00816A22" w:rsidTr="00A45CD2">
        <w:tc>
          <w:tcPr>
            <w:tcW w:w="1584" w:type="dxa"/>
          </w:tcPr>
          <w:p w:rsidR="00816A22" w:rsidRDefault="00000000">
            <w:pPr>
              <w:pStyle w:val="Compact"/>
            </w:pPr>
            <w:r>
              <w:t>2016</w:t>
            </w:r>
          </w:p>
        </w:tc>
        <w:tc>
          <w:tcPr>
            <w:tcW w:w="1584" w:type="dxa"/>
          </w:tcPr>
          <w:p w:rsidR="00816A22" w:rsidRDefault="00000000">
            <w:pPr>
              <w:pStyle w:val="Compact"/>
            </w:pPr>
            <w:r>
              <w:t>11.2</w:t>
            </w:r>
          </w:p>
        </w:tc>
        <w:tc>
          <w:tcPr>
            <w:tcW w:w="1584" w:type="dxa"/>
          </w:tcPr>
          <w:p w:rsidR="00816A22" w:rsidRDefault="00000000">
            <w:pPr>
              <w:pStyle w:val="Compact"/>
            </w:pPr>
            <w:r>
              <w:t>58.2</w:t>
            </w:r>
          </w:p>
        </w:tc>
        <w:tc>
          <w:tcPr>
            <w:tcW w:w="1584" w:type="dxa"/>
          </w:tcPr>
          <w:p w:rsidR="00816A22" w:rsidRDefault="00000000">
            <w:pPr>
              <w:pStyle w:val="Compact"/>
            </w:pPr>
            <w:r>
              <w:t>47.0</w:t>
            </w:r>
          </w:p>
        </w:tc>
        <w:tc>
          <w:tcPr>
            <w:tcW w:w="1584" w:type="dxa"/>
          </w:tcPr>
          <w:p w:rsidR="00816A22" w:rsidRDefault="00000000">
            <w:pPr>
              <w:pStyle w:val="Compact"/>
            </w:pPr>
            <w:r>
              <w:t>5.24</w:t>
            </w:r>
          </w:p>
        </w:tc>
      </w:tr>
      <w:tr w:rsidR="00816A22" w:rsidTr="00A45CD2">
        <w:tc>
          <w:tcPr>
            <w:tcW w:w="1584" w:type="dxa"/>
          </w:tcPr>
          <w:p w:rsidR="00816A22" w:rsidRDefault="00000000">
            <w:pPr>
              <w:pStyle w:val="Compact"/>
            </w:pPr>
            <w:r>
              <w:t>2022</w:t>
            </w:r>
          </w:p>
        </w:tc>
        <w:tc>
          <w:tcPr>
            <w:tcW w:w="1584" w:type="dxa"/>
          </w:tcPr>
          <w:p w:rsidR="00816A22" w:rsidRDefault="00000000">
            <w:pPr>
              <w:pStyle w:val="Compact"/>
            </w:pPr>
            <w:r>
              <w:t>4.1</w:t>
            </w:r>
          </w:p>
        </w:tc>
        <w:tc>
          <w:tcPr>
            <w:tcW w:w="1584" w:type="dxa"/>
          </w:tcPr>
          <w:p w:rsidR="00816A22" w:rsidRDefault="00000000">
            <w:pPr>
              <w:pStyle w:val="Compact"/>
            </w:pPr>
            <w:r>
              <w:t>39.7</w:t>
            </w:r>
          </w:p>
        </w:tc>
        <w:tc>
          <w:tcPr>
            <w:tcW w:w="1584" w:type="dxa"/>
          </w:tcPr>
          <w:p w:rsidR="00816A22" w:rsidRDefault="00000000">
            <w:pPr>
              <w:pStyle w:val="Compact"/>
            </w:pPr>
            <w:r>
              <w:t>35.6</w:t>
            </w:r>
          </w:p>
        </w:tc>
        <w:tc>
          <w:tcPr>
            <w:tcW w:w="1584" w:type="dxa"/>
          </w:tcPr>
          <w:p w:rsidR="00816A22" w:rsidRDefault="00000000">
            <w:pPr>
              <w:pStyle w:val="Compact"/>
            </w:pPr>
            <w:r>
              <w:t>9.68</w:t>
            </w:r>
          </w:p>
        </w:tc>
      </w:tr>
      <w:tr w:rsidR="00816A22" w:rsidTr="00A45CD2">
        <w:tc>
          <w:tcPr>
            <w:tcW w:w="1584" w:type="dxa"/>
          </w:tcPr>
          <w:p w:rsidR="00816A22" w:rsidRDefault="00000000">
            <w:pPr>
              <w:pStyle w:val="Compact"/>
            </w:pPr>
            <w:r>
              <w:t>Change 2013-2022</w:t>
            </w:r>
          </w:p>
        </w:tc>
        <w:tc>
          <w:tcPr>
            <w:tcW w:w="1584" w:type="dxa"/>
          </w:tcPr>
          <w:p w:rsidR="00816A22" w:rsidRDefault="00000000">
            <w:pPr>
              <w:pStyle w:val="Compact"/>
            </w:pPr>
            <w:r>
              <w:t>-24.2</w:t>
            </w:r>
          </w:p>
        </w:tc>
        <w:tc>
          <w:tcPr>
            <w:tcW w:w="1584" w:type="dxa"/>
          </w:tcPr>
          <w:p w:rsidR="00816A22" w:rsidRDefault="00000000">
            <w:pPr>
              <w:pStyle w:val="Compact"/>
            </w:pPr>
            <w:r>
              <w:t>-32.1</w:t>
            </w:r>
          </w:p>
        </w:tc>
        <w:tc>
          <w:tcPr>
            <w:tcW w:w="1584" w:type="dxa"/>
          </w:tcPr>
          <w:p w:rsidR="00816A22" w:rsidRDefault="00000000">
            <w:pPr>
              <w:pStyle w:val="Compact"/>
            </w:pPr>
            <w:r>
              <w:t>-7.9</w:t>
            </w:r>
          </w:p>
        </w:tc>
        <w:tc>
          <w:tcPr>
            <w:tcW w:w="1584" w:type="dxa"/>
          </w:tcPr>
          <w:p w:rsidR="00816A22" w:rsidRDefault="00000000">
            <w:pPr>
              <w:pStyle w:val="Compact"/>
            </w:pPr>
            <w:r>
              <w:t>+7.14</w:t>
            </w:r>
          </w:p>
        </w:tc>
      </w:tr>
      <w:tr w:rsidR="00816A22" w:rsidTr="00A45CD2">
        <w:tc>
          <w:tcPr>
            <w:tcW w:w="1584" w:type="dxa"/>
          </w:tcPr>
          <w:p w:rsidR="00816A22" w:rsidRDefault="00000000">
            <w:pPr>
              <w:pStyle w:val="Compact"/>
            </w:pPr>
            <w:r>
              <w:rPr>
                <w:b/>
                <w:bCs/>
              </w:rPr>
              <w:t>Postnatal Care</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2013</w:t>
            </w:r>
          </w:p>
        </w:tc>
        <w:tc>
          <w:tcPr>
            <w:tcW w:w="1584" w:type="dxa"/>
          </w:tcPr>
          <w:p w:rsidR="00816A22" w:rsidRDefault="00000000">
            <w:pPr>
              <w:pStyle w:val="Compact"/>
            </w:pPr>
            <w:r>
              <w:t>14.2</w:t>
            </w:r>
          </w:p>
        </w:tc>
        <w:tc>
          <w:tcPr>
            <w:tcW w:w="1584" w:type="dxa"/>
          </w:tcPr>
          <w:p w:rsidR="00816A22" w:rsidRDefault="00000000">
            <w:pPr>
              <w:pStyle w:val="Compact"/>
            </w:pPr>
            <w:r>
              <w:t>59.3</w:t>
            </w:r>
          </w:p>
        </w:tc>
        <w:tc>
          <w:tcPr>
            <w:tcW w:w="1584" w:type="dxa"/>
          </w:tcPr>
          <w:p w:rsidR="00816A22" w:rsidRDefault="00000000">
            <w:pPr>
              <w:pStyle w:val="Compact"/>
            </w:pPr>
            <w:r>
              <w:t>45.1</w:t>
            </w:r>
          </w:p>
        </w:tc>
        <w:tc>
          <w:tcPr>
            <w:tcW w:w="1584" w:type="dxa"/>
          </w:tcPr>
          <w:p w:rsidR="00816A22" w:rsidRDefault="00000000">
            <w:pPr>
              <w:pStyle w:val="Compact"/>
            </w:pPr>
            <w:r>
              <w:t>4.18</w:t>
            </w:r>
          </w:p>
        </w:tc>
      </w:tr>
      <w:tr w:rsidR="00816A22" w:rsidTr="00A45CD2">
        <w:tc>
          <w:tcPr>
            <w:tcW w:w="1584" w:type="dxa"/>
          </w:tcPr>
          <w:p w:rsidR="00816A22" w:rsidRDefault="00000000">
            <w:pPr>
              <w:pStyle w:val="Compact"/>
            </w:pPr>
            <w:r>
              <w:t>2016</w:t>
            </w:r>
          </w:p>
        </w:tc>
        <w:tc>
          <w:tcPr>
            <w:tcW w:w="1584" w:type="dxa"/>
          </w:tcPr>
          <w:p w:rsidR="00816A22" w:rsidRDefault="00000000">
            <w:pPr>
              <w:pStyle w:val="Compact"/>
            </w:pPr>
            <w:r>
              <w:t>5.1</w:t>
            </w:r>
          </w:p>
        </w:tc>
        <w:tc>
          <w:tcPr>
            <w:tcW w:w="1584" w:type="dxa"/>
          </w:tcPr>
          <w:p w:rsidR="00816A22" w:rsidRDefault="00000000">
            <w:pPr>
              <w:pStyle w:val="Compact"/>
            </w:pPr>
            <w:r>
              <w:t>42.1</w:t>
            </w:r>
          </w:p>
        </w:tc>
        <w:tc>
          <w:tcPr>
            <w:tcW w:w="1584" w:type="dxa"/>
          </w:tcPr>
          <w:p w:rsidR="00816A22" w:rsidRDefault="00000000">
            <w:pPr>
              <w:pStyle w:val="Compact"/>
            </w:pPr>
            <w:r>
              <w:t>37.0</w:t>
            </w:r>
          </w:p>
        </w:tc>
        <w:tc>
          <w:tcPr>
            <w:tcW w:w="1584" w:type="dxa"/>
          </w:tcPr>
          <w:p w:rsidR="00816A22" w:rsidRDefault="00000000">
            <w:pPr>
              <w:pStyle w:val="Compact"/>
            </w:pPr>
            <w:r>
              <w:t>8.27</w:t>
            </w:r>
          </w:p>
        </w:tc>
      </w:tr>
      <w:tr w:rsidR="00816A22" w:rsidTr="00A45CD2">
        <w:tc>
          <w:tcPr>
            <w:tcW w:w="1584" w:type="dxa"/>
          </w:tcPr>
          <w:p w:rsidR="00816A22" w:rsidRDefault="00000000">
            <w:pPr>
              <w:pStyle w:val="Compact"/>
            </w:pPr>
            <w:r>
              <w:t>2022</w:t>
            </w:r>
          </w:p>
        </w:tc>
        <w:tc>
          <w:tcPr>
            <w:tcW w:w="1584" w:type="dxa"/>
          </w:tcPr>
          <w:p w:rsidR="00816A22" w:rsidRDefault="00000000">
            <w:pPr>
              <w:pStyle w:val="Compact"/>
            </w:pPr>
            <w:r>
              <w:t>1.8</w:t>
            </w:r>
          </w:p>
        </w:tc>
        <w:tc>
          <w:tcPr>
            <w:tcW w:w="1584" w:type="dxa"/>
          </w:tcPr>
          <w:p w:rsidR="00816A22" w:rsidRDefault="00000000">
            <w:pPr>
              <w:pStyle w:val="Compact"/>
            </w:pPr>
            <w:r>
              <w:t>28.7</w:t>
            </w:r>
          </w:p>
        </w:tc>
        <w:tc>
          <w:tcPr>
            <w:tcW w:w="1584" w:type="dxa"/>
          </w:tcPr>
          <w:p w:rsidR="00816A22" w:rsidRDefault="00000000">
            <w:pPr>
              <w:pStyle w:val="Compact"/>
            </w:pPr>
            <w:r>
              <w:t>26.9</w:t>
            </w:r>
          </w:p>
        </w:tc>
        <w:tc>
          <w:tcPr>
            <w:tcW w:w="1584" w:type="dxa"/>
          </w:tcPr>
          <w:p w:rsidR="00816A22" w:rsidRDefault="00000000">
            <w:pPr>
              <w:pStyle w:val="Compact"/>
            </w:pPr>
            <w:r>
              <w:t>10.25</w:t>
            </w:r>
          </w:p>
        </w:tc>
      </w:tr>
      <w:tr w:rsidR="00816A22" w:rsidTr="00A45CD2">
        <w:tc>
          <w:tcPr>
            <w:tcW w:w="1584" w:type="dxa"/>
          </w:tcPr>
          <w:p w:rsidR="00816A22" w:rsidRDefault="00000000">
            <w:pPr>
              <w:pStyle w:val="Compact"/>
            </w:pPr>
            <w:r>
              <w:t>Change 2013-2022</w:t>
            </w:r>
          </w:p>
        </w:tc>
        <w:tc>
          <w:tcPr>
            <w:tcW w:w="1584" w:type="dxa"/>
          </w:tcPr>
          <w:p w:rsidR="00816A22" w:rsidRDefault="00000000">
            <w:pPr>
              <w:pStyle w:val="Compact"/>
            </w:pPr>
            <w:r>
              <w:t>-12.4</w:t>
            </w:r>
          </w:p>
        </w:tc>
        <w:tc>
          <w:tcPr>
            <w:tcW w:w="1584" w:type="dxa"/>
          </w:tcPr>
          <w:p w:rsidR="00816A22" w:rsidRDefault="00000000">
            <w:pPr>
              <w:pStyle w:val="Compact"/>
            </w:pPr>
            <w:r>
              <w:t>-30.6</w:t>
            </w:r>
          </w:p>
        </w:tc>
        <w:tc>
          <w:tcPr>
            <w:tcW w:w="1584" w:type="dxa"/>
          </w:tcPr>
          <w:p w:rsidR="00816A22" w:rsidRDefault="00000000">
            <w:pPr>
              <w:pStyle w:val="Compact"/>
            </w:pPr>
            <w:r>
              <w:t>-18.2</w:t>
            </w:r>
          </w:p>
        </w:tc>
        <w:tc>
          <w:tcPr>
            <w:tcW w:w="1584" w:type="dxa"/>
          </w:tcPr>
          <w:p w:rsidR="00816A22" w:rsidRDefault="00000000">
            <w:pPr>
              <w:pStyle w:val="Compact"/>
            </w:pPr>
            <w:r>
              <w:t>+6.07</w:t>
            </w:r>
          </w:p>
        </w:tc>
      </w:tr>
    </w:tbl>
    <w:p w:rsidR="00816A22" w:rsidRDefault="00000000">
      <w:r>
        <w:pict>
          <v:rect id="_x0000_i1026" style="width:0;height:1.5pt" o:hralign="center" o:hrstd="t" o:hr="t"/>
        </w:pict>
      </w:r>
    </w:p>
    <w:p w:rsidR="00816A22" w:rsidRDefault="00000000">
      <w:pPr>
        <w:pStyle w:val="Heading3"/>
      </w:pPr>
      <w:bookmarkStart w:id="6" w:name="Xa40b81b6232f1471236a8548f4981f3e58402c9"/>
      <w:bookmarkEnd w:id="5"/>
      <w:r>
        <w:t>Supplementary Table 4: Erreygers Concentration Index (ECI) with Confidence Intervals</w:t>
      </w:r>
    </w:p>
    <w:tbl>
      <w:tblPr>
        <w:tblStyle w:val="TableGrid"/>
        <w:tblW w:w="5000" w:type="pct"/>
        <w:tblLayout w:type="fixed"/>
        <w:tblLook w:val="0020" w:firstRow="1" w:lastRow="0" w:firstColumn="0" w:lastColumn="0" w:noHBand="0" w:noVBand="0"/>
      </w:tblPr>
      <w:tblGrid>
        <w:gridCol w:w="1476"/>
        <w:gridCol w:w="1476"/>
        <w:gridCol w:w="1476"/>
        <w:gridCol w:w="1476"/>
        <w:gridCol w:w="1476"/>
        <w:gridCol w:w="1476"/>
      </w:tblGrid>
      <w:tr w:rsidR="00816A22" w:rsidTr="00A45CD2">
        <w:tc>
          <w:tcPr>
            <w:tcW w:w="1320" w:type="dxa"/>
          </w:tcPr>
          <w:p w:rsidR="00816A22" w:rsidRDefault="00000000">
            <w:pPr>
              <w:pStyle w:val="Compact"/>
            </w:pPr>
            <w:r>
              <w:t>Service Indicator</w:t>
            </w:r>
          </w:p>
        </w:tc>
        <w:tc>
          <w:tcPr>
            <w:tcW w:w="1320" w:type="dxa"/>
          </w:tcPr>
          <w:p w:rsidR="00816A22" w:rsidRDefault="00000000">
            <w:pPr>
              <w:pStyle w:val="Compact"/>
            </w:pPr>
            <w:r>
              <w:t>2013 ECI</w:t>
            </w:r>
          </w:p>
        </w:tc>
        <w:tc>
          <w:tcPr>
            <w:tcW w:w="1320" w:type="dxa"/>
          </w:tcPr>
          <w:p w:rsidR="00816A22" w:rsidRDefault="00000000">
            <w:pPr>
              <w:pStyle w:val="Compact"/>
            </w:pPr>
            <w:r>
              <w:t>2016 ECI</w:t>
            </w:r>
          </w:p>
        </w:tc>
        <w:tc>
          <w:tcPr>
            <w:tcW w:w="1320" w:type="dxa"/>
          </w:tcPr>
          <w:p w:rsidR="00816A22" w:rsidRDefault="00000000">
            <w:pPr>
              <w:pStyle w:val="Compact"/>
            </w:pPr>
            <w:r>
              <w:t>2022 ECI</w:t>
            </w:r>
          </w:p>
        </w:tc>
        <w:tc>
          <w:tcPr>
            <w:tcW w:w="1320" w:type="dxa"/>
          </w:tcPr>
          <w:p w:rsidR="00816A22" w:rsidRDefault="00000000">
            <w:pPr>
              <w:pStyle w:val="Compact"/>
            </w:pPr>
            <w:r>
              <w:t>95% CI (2022)ᵃ</w:t>
            </w:r>
          </w:p>
        </w:tc>
        <w:tc>
          <w:tcPr>
            <w:tcW w:w="1320" w:type="dxa"/>
          </w:tcPr>
          <w:p w:rsidR="00816A22" w:rsidRDefault="00000000">
            <w:pPr>
              <w:pStyle w:val="Compact"/>
            </w:pPr>
            <w:r>
              <w:t>p-trend</w:t>
            </w:r>
          </w:p>
        </w:tc>
      </w:tr>
      <w:tr w:rsidR="00816A22" w:rsidTr="00A45CD2">
        <w:tc>
          <w:tcPr>
            <w:tcW w:w="1320" w:type="dxa"/>
          </w:tcPr>
          <w:p w:rsidR="00816A22" w:rsidRDefault="00000000">
            <w:pPr>
              <w:pStyle w:val="Compact"/>
            </w:pPr>
            <w:r>
              <w:rPr>
                <w:b/>
                <w:bCs/>
              </w:rPr>
              <w:t>Antenatal Care (≥4 visits)</w:t>
            </w:r>
          </w:p>
        </w:tc>
        <w:tc>
          <w:tcPr>
            <w:tcW w:w="1320" w:type="dxa"/>
          </w:tcPr>
          <w:p w:rsidR="00816A22" w:rsidRDefault="00000000">
            <w:pPr>
              <w:pStyle w:val="Compact"/>
            </w:pPr>
            <w:r>
              <w:t>0.142</w:t>
            </w:r>
          </w:p>
        </w:tc>
        <w:tc>
          <w:tcPr>
            <w:tcW w:w="1320" w:type="dxa"/>
          </w:tcPr>
          <w:p w:rsidR="00816A22" w:rsidRDefault="00000000">
            <w:pPr>
              <w:pStyle w:val="Compact"/>
            </w:pPr>
            <w:r>
              <w:t>0.227</w:t>
            </w:r>
          </w:p>
        </w:tc>
        <w:tc>
          <w:tcPr>
            <w:tcW w:w="1320" w:type="dxa"/>
          </w:tcPr>
          <w:p w:rsidR="00816A22" w:rsidRDefault="00000000">
            <w:pPr>
              <w:pStyle w:val="Compact"/>
            </w:pPr>
            <w:r>
              <w:t>0.289</w:t>
            </w:r>
          </w:p>
        </w:tc>
        <w:tc>
          <w:tcPr>
            <w:tcW w:w="1320" w:type="dxa"/>
          </w:tcPr>
          <w:p w:rsidR="00816A22" w:rsidRDefault="00000000">
            <w:pPr>
              <w:pStyle w:val="Compact"/>
            </w:pPr>
            <w:r>
              <w:t>(0.256-0.322)</w:t>
            </w:r>
          </w:p>
        </w:tc>
        <w:tc>
          <w:tcPr>
            <w:tcW w:w="1320" w:type="dxa"/>
          </w:tcPr>
          <w:p w:rsidR="00816A22" w:rsidRDefault="00000000">
            <w:pPr>
              <w:pStyle w:val="Compact"/>
            </w:pPr>
            <w:r>
              <w:t>&lt;0.001</w:t>
            </w:r>
          </w:p>
        </w:tc>
      </w:tr>
      <w:tr w:rsidR="00816A22" w:rsidTr="00A45CD2">
        <w:tc>
          <w:tcPr>
            <w:tcW w:w="1320" w:type="dxa"/>
          </w:tcPr>
          <w:p w:rsidR="00816A22" w:rsidRDefault="00000000">
            <w:pPr>
              <w:pStyle w:val="Compact"/>
            </w:pPr>
            <w:r>
              <w:rPr>
                <w:b/>
                <w:bCs/>
              </w:rPr>
              <w:t>Skilled Birth Attendance</w:t>
            </w:r>
          </w:p>
        </w:tc>
        <w:tc>
          <w:tcPr>
            <w:tcW w:w="1320" w:type="dxa"/>
          </w:tcPr>
          <w:p w:rsidR="00816A22" w:rsidRDefault="00000000">
            <w:pPr>
              <w:pStyle w:val="Compact"/>
            </w:pPr>
            <w:r>
              <w:t>0.168</w:t>
            </w:r>
          </w:p>
        </w:tc>
        <w:tc>
          <w:tcPr>
            <w:tcW w:w="1320" w:type="dxa"/>
          </w:tcPr>
          <w:p w:rsidR="00816A22" w:rsidRDefault="00000000">
            <w:pPr>
              <w:pStyle w:val="Compact"/>
            </w:pPr>
            <w:r>
              <w:t>0.255</w:t>
            </w:r>
          </w:p>
        </w:tc>
        <w:tc>
          <w:tcPr>
            <w:tcW w:w="1320" w:type="dxa"/>
          </w:tcPr>
          <w:p w:rsidR="00816A22" w:rsidRDefault="00000000">
            <w:pPr>
              <w:pStyle w:val="Compact"/>
            </w:pPr>
            <w:r>
              <w:t>0.305</w:t>
            </w:r>
          </w:p>
        </w:tc>
        <w:tc>
          <w:tcPr>
            <w:tcW w:w="1320" w:type="dxa"/>
          </w:tcPr>
          <w:p w:rsidR="00816A22" w:rsidRDefault="00000000">
            <w:pPr>
              <w:pStyle w:val="Compact"/>
            </w:pPr>
            <w:r>
              <w:t>(0.271-0.339)</w:t>
            </w:r>
          </w:p>
        </w:tc>
        <w:tc>
          <w:tcPr>
            <w:tcW w:w="1320" w:type="dxa"/>
          </w:tcPr>
          <w:p w:rsidR="00816A22" w:rsidRDefault="00000000">
            <w:pPr>
              <w:pStyle w:val="Compact"/>
            </w:pPr>
            <w:r>
              <w:t>&lt;0.001</w:t>
            </w:r>
          </w:p>
        </w:tc>
      </w:tr>
      <w:tr w:rsidR="00816A22" w:rsidTr="00A45CD2">
        <w:tc>
          <w:tcPr>
            <w:tcW w:w="1320" w:type="dxa"/>
          </w:tcPr>
          <w:p w:rsidR="00816A22" w:rsidRDefault="00000000">
            <w:pPr>
              <w:pStyle w:val="Compact"/>
            </w:pPr>
            <w:r>
              <w:rPr>
                <w:b/>
                <w:bCs/>
              </w:rPr>
              <w:t>Postnatal Care</w:t>
            </w:r>
          </w:p>
        </w:tc>
        <w:tc>
          <w:tcPr>
            <w:tcW w:w="1320" w:type="dxa"/>
          </w:tcPr>
          <w:p w:rsidR="00816A22" w:rsidRDefault="00000000">
            <w:pPr>
              <w:pStyle w:val="Compact"/>
            </w:pPr>
            <w:r>
              <w:t>0.205</w:t>
            </w:r>
          </w:p>
        </w:tc>
        <w:tc>
          <w:tcPr>
            <w:tcW w:w="1320" w:type="dxa"/>
          </w:tcPr>
          <w:p w:rsidR="00816A22" w:rsidRDefault="00000000">
            <w:pPr>
              <w:pStyle w:val="Compact"/>
            </w:pPr>
            <w:r>
              <w:t>0.283</w:t>
            </w:r>
          </w:p>
        </w:tc>
        <w:tc>
          <w:tcPr>
            <w:tcW w:w="1320" w:type="dxa"/>
          </w:tcPr>
          <w:p w:rsidR="00816A22" w:rsidRDefault="00000000">
            <w:pPr>
              <w:pStyle w:val="Compact"/>
            </w:pPr>
            <w:r>
              <w:t>0.348</w:t>
            </w:r>
          </w:p>
        </w:tc>
        <w:tc>
          <w:tcPr>
            <w:tcW w:w="1320" w:type="dxa"/>
          </w:tcPr>
          <w:p w:rsidR="00816A22" w:rsidRDefault="00000000">
            <w:pPr>
              <w:pStyle w:val="Compact"/>
            </w:pPr>
            <w:r>
              <w:t>(0.312-0.384)</w:t>
            </w:r>
          </w:p>
        </w:tc>
        <w:tc>
          <w:tcPr>
            <w:tcW w:w="1320" w:type="dxa"/>
          </w:tcPr>
          <w:p w:rsidR="00816A22" w:rsidRDefault="00000000">
            <w:pPr>
              <w:pStyle w:val="Compact"/>
            </w:pPr>
            <w:r>
              <w:t>&lt;0.001</w:t>
            </w:r>
          </w:p>
        </w:tc>
      </w:tr>
    </w:tbl>
    <w:p w:rsidR="00816A22" w:rsidRDefault="00000000">
      <w:pPr>
        <w:pStyle w:val="BodyText"/>
      </w:pPr>
      <w:r>
        <w:t>ᵃ 95% CI calculated using bootstrap resampling (10,000 replications) accounting for complex survey design (stratification, clustering, sampling weights). ECI ranges from -1 to +1; zero indicates perfect equality; positive values indicate pro-rich inequality; negative values indicate pro-poor inequality.</w:t>
      </w:r>
    </w:p>
    <w:p w:rsidR="00816A22" w:rsidRDefault="00816A22"/>
    <w:p w:rsidR="00816A22" w:rsidRDefault="00000000">
      <w:pPr>
        <w:pStyle w:val="Heading3"/>
      </w:pPr>
      <w:bookmarkStart w:id="7" w:name="Xba0f9a3e732802253deb02721a1c5c2c21b5fb7"/>
      <w:bookmarkEnd w:id="6"/>
      <w:r>
        <w:lastRenderedPageBreak/>
        <w:t>Supplementary Table 5: Service Coverage by Maternal Education Level and Year</w:t>
      </w:r>
    </w:p>
    <w:tbl>
      <w:tblPr>
        <w:tblStyle w:val="TableGrid"/>
        <w:tblW w:w="5000" w:type="pct"/>
        <w:tblLayout w:type="fixed"/>
        <w:tblLook w:val="0020" w:firstRow="1" w:lastRow="0" w:firstColumn="0" w:lastColumn="0" w:noHBand="0" w:noVBand="0"/>
      </w:tblPr>
      <w:tblGrid>
        <w:gridCol w:w="1476"/>
        <w:gridCol w:w="1476"/>
        <w:gridCol w:w="1476"/>
        <w:gridCol w:w="1476"/>
        <w:gridCol w:w="1476"/>
        <w:gridCol w:w="1476"/>
      </w:tblGrid>
      <w:tr w:rsidR="00816A22" w:rsidTr="00A45CD2">
        <w:tc>
          <w:tcPr>
            <w:tcW w:w="1320" w:type="dxa"/>
          </w:tcPr>
          <w:p w:rsidR="00816A22" w:rsidRDefault="00000000">
            <w:pPr>
              <w:pStyle w:val="Compact"/>
            </w:pPr>
            <w:r>
              <w:t>Service</w:t>
            </w:r>
          </w:p>
        </w:tc>
        <w:tc>
          <w:tcPr>
            <w:tcW w:w="1320" w:type="dxa"/>
          </w:tcPr>
          <w:p w:rsidR="00816A22" w:rsidRDefault="00000000">
            <w:pPr>
              <w:pStyle w:val="Compact"/>
            </w:pPr>
            <w:r>
              <w:t>Education Level</w:t>
            </w:r>
          </w:p>
        </w:tc>
        <w:tc>
          <w:tcPr>
            <w:tcW w:w="1320" w:type="dxa"/>
          </w:tcPr>
          <w:p w:rsidR="00816A22" w:rsidRDefault="00000000">
            <w:pPr>
              <w:pStyle w:val="Compact"/>
            </w:pPr>
            <w:r>
              <w:t>2013 DHS (%)</w:t>
            </w:r>
          </w:p>
        </w:tc>
        <w:tc>
          <w:tcPr>
            <w:tcW w:w="1320" w:type="dxa"/>
          </w:tcPr>
          <w:p w:rsidR="00816A22" w:rsidRDefault="00000000">
            <w:pPr>
              <w:pStyle w:val="Compact"/>
            </w:pPr>
            <w:r>
              <w:t>2016 MICS (%)</w:t>
            </w:r>
          </w:p>
        </w:tc>
        <w:tc>
          <w:tcPr>
            <w:tcW w:w="1320" w:type="dxa"/>
          </w:tcPr>
          <w:p w:rsidR="00816A22" w:rsidRDefault="00000000">
            <w:pPr>
              <w:pStyle w:val="Compact"/>
            </w:pPr>
            <w:r>
              <w:t>2022-23 MICS (%)</w:t>
            </w:r>
          </w:p>
        </w:tc>
        <w:tc>
          <w:tcPr>
            <w:tcW w:w="1320" w:type="dxa"/>
          </w:tcPr>
          <w:p w:rsidR="00816A22" w:rsidRDefault="00000000">
            <w:pPr>
              <w:pStyle w:val="Compact"/>
            </w:pPr>
            <w:r>
              <w:t>Education Gradient 2022</w:t>
            </w:r>
          </w:p>
        </w:tc>
      </w:tr>
      <w:tr w:rsidR="00816A22" w:rsidTr="00A45CD2">
        <w:tc>
          <w:tcPr>
            <w:tcW w:w="1320" w:type="dxa"/>
          </w:tcPr>
          <w:p w:rsidR="00816A22" w:rsidRDefault="00000000">
            <w:pPr>
              <w:pStyle w:val="Compact"/>
            </w:pPr>
            <w:r>
              <w:rPr>
                <w:b/>
                <w:bCs/>
              </w:rPr>
              <w:t>Antenatal Care (≥4 visits)</w:t>
            </w: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r>
      <w:tr w:rsidR="00816A22" w:rsidTr="00A45CD2">
        <w:tc>
          <w:tcPr>
            <w:tcW w:w="1320" w:type="dxa"/>
          </w:tcPr>
          <w:p w:rsidR="00816A22" w:rsidRDefault="00816A22">
            <w:pPr>
              <w:pStyle w:val="Compact"/>
            </w:pPr>
          </w:p>
        </w:tc>
        <w:tc>
          <w:tcPr>
            <w:tcW w:w="1320" w:type="dxa"/>
          </w:tcPr>
          <w:p w:rsidR="00816A22" w:rsidRDefault="00000000">
            <w:pPr>
              <w:pStyle w:val="Compact"/>
            </w:pPr>
            <w:r>
              <w:t>No education</w:t>
            </w:r>
          </w:p>
        </w:tc>
        <w:tc>
          <w:tcPr>
            <w:tcW w:w="1320" w:type="dxa"/>
          </w:tcPr>
          <w:p w:rsidR="00816A22" w:rsidRDefault="00000000">
            <w:pPr>
              <w:pStyle w:val="Compact"/>
            </w:pPr>
            <w:r>
              <w:t>48.2</w:t>
            </w:r>
          </w:p>
        </w:tc>
        <w:tc>
          <w:tcPr>
            <w:tcW w:w="1320" w:type="dxa"/>
          </w:tcPr>
          <w:p w:rsidR="00816A22" w:rsidRDefault="00000000">
            <w:pPr>
              <w:pStyle w:val="Compact"/>
            </w:pPr>
            <w:r>
              <w:t>36.1</w:t>
            </w:r>
          </w:p>
        </w:tc>
        <w:tc>
          <w:tcPr>
            <w:tcW w:w="1320" w:type="dxa"/>
          </w:tcPr>
          <w:p w:rsidR="00816A22" w:rsidRDefault="00000000">
            <w:pPr>
              <w:pStyle w:val="Compact"/>
            </w:pPr>
            <w:r>
              <w:t>18.2</w:t>
            </w:r>
          </w:p>
        </w:tc>
        <w:tc>
          <w:tcPr>
            <w:tcW w:w="1320" w:type="dxa"/>
          </w:tcPr>
          <w:p w:rsidR="00816A22" w:rsidRDefault="00000000">
            <w:pPr>
              <w:pStyle w:val="Compact"/>
            </w:pPr>
            <w:r>
              <w:t>—</w:t>
            </w:r>
          </w:p>
        </w:tc>
      </w:tr>
      <w:tr w:rsidR="00816A22" w:rsidTr="00A45CD2">
        <w:tc>
          <w:tcPr>
            <w:tcW w:w="1320" w:type="dxa"/>
          </w:tcPr>
          <w:p w:rsidR="00816A22" w:rsidRDefault="00816A22">
            <w:pPr>
              <w:pStyle w:val="Compact"/>
            </w:pPr>
          </w:p>
        </w:tc>
        <w:tc>
          <w:tcPr>
            <w:tcW w:w="1320" w:type="dxa"/>
          </w:tcPr>
          <w:p w:rsidR="00816A22" w:rsidRDefault="00000000">
            <w:pPr>
              <w:pStyle w:val="Compact"/>
            </w:pPr>
            <w:r>
              <w:t>Primary</w:t>
            </w:r>
          </w:p>
        </w:tc>
        <w:tc>
          <w:tcPr>
            <w:tcW w:w="1320" w:type="dxa"/>
          </w:tcPr>
          <w:p w:rsidR="00816A22" w:rsidRDefault="00000000">
            <w:pPr>
              <w:pStyle w:val="Compact"/>
            </w:pPr>
            <w:r>
              <w:t>62.1</w:t>
            </w:r>
          </w:p>
        </w:tc>
        <w:tc>
          <w:tcPr>
            <w:tcW w:w="1320" w:type="dxa"/>
          </w:tcPr>
          <w:p w:rsidR="00816A22" w:rsidRDefault="00000000">
            <w:pPr>
              <w:pStyle w:val="Compact"/>
            </w:pPr>
            <w:r>
              <w:t>48.3</w:t>
            </w:r>
          </w:p>
        </w:tc>
        <w:tc>
          <w:tcPr>
            <w:tcW w:w="1320" w:type="dxa"/>
          </w:tcPr>
          <w:p w:rsidR="00816A22" w:rsidRDefault="00000000">
            <w:pPr>
              <w:pStyle w:val="Compact"/>
            </w:pPr>
            <w:r>
              <w:t>32.5</w:t>
            </w:r>
          </w:p>
        </w:tc>
        <w:tc>
          <w:tcPr>
            <w:tcW w:w="1320" w:type="dxa"/>
          </w:tcPr>
          <w:p w:rsidR="00816A22" w:rsidRDefault="00000000">
            <w:pPr>
              <w:pStyle w:val="Compact"/>
            </w:pPr>
            <w:r>
              <w:t>—</w:t>
            </w:r>
          </w:p>
        </w:tc>
      </w:tr>
      <w:tr w:rsidR="00816A22" w:rsidTr="00A45CD2">
        <w:tc>
          <w:tcPr>
            <w:tcW w:w="1320" w:type="dxa"/>
          </w:tcPr>
          <w:p w:rsidR="00816A22" w:rsidRDefault="00816A22">
            <w:pPr>
              <w:pStyle w:val="Compact"/>
            </w:pPr>
          </w:p>
        </w:tc>
        <w:tc>
          <w:tcPr>
            <w:tcW w:w="1320" w:type="dxa"/>
          </w:tcPr>
          <w:p w:rsidR="00816A22" w:rsidRDefault="00000000">
            <w:pPr>
              <w:pStyle w:val="Compact"/>
            </w:pPr>
            <w:r>
              <w:t>Secondary+</w:t>
            </w:r>
          </w:p>
        </w:tc>
        <w:tc>
          <w:tcPr>
            <w:tcW w:w="1320" w:type="dxa"/>
          </w:tcPr>
          <w:p w:rsidR="00816A22" w:rsidRDefault="00000000">
            <w:pPr>
              <w:pStyle w:val="Compact"/>
            </w:pPr>
            <w:r>
              <w:t>74.8</w:t>
            </w:r>
          </w:p>
        </w:tc>
        <w:tc>
          <w:tcPr>
            <w:tcW w:w="1320" w:type="dxa"/>
          </w:tcPr>
          <w:p w:rsidR="00816A22" w:rsidRDefault="00000000">
            <w:pPr>
              <w:pStyle w:val="Compact"/>
            </w:pPr>
            <w:r>
              <w:t>64.2</w:t>
            </w:r>
          </w:p>
        </w:tc>
        <w:tc>
          <w:tcPr>
            <w:tcW w:w="1320" w:type="dxa"/>
          </w:tcPr>
          <w:p w:rsidR="00816A22" w:rsidRDefault="00000000">
            <w:pPr>
              <w:pStyle w:val="Compact"/>
            </w:pPr>
            <w:r>
              <w:t>61.4</w:t>
            </w:r>
          </w:p>
        </w:tc>
        <w:tc>
          <w:tcPr>
            <w:tcW w:w="1320" w:type="dxa"/>
          </w:tcPr>
          <w:p w:rsidR="00816A22" w:rsidRDefault="00000000">
            <w:pPr>
              <w:pStyle w:val="Compact"/>
            </w:pPr>
            <w:r>
              <w:t>3.37×</w:t>
            </w:r>
          </w:p>
        </w:tc>
      </w:tr>
      <w:tr w:rsidR="00816A22" w:rsidTr="00A45CD2">
        <w:tc>
          <w:tcPr>
            <w:tcW w:w="1320" w:type="dxa"/>
          </w:tcPr>
          <w:p w:rsidR="00816A22" w:rsidRDefault="00000000">
            <w:pPr>
              <w:pStyle w:val="Compact"/>
            </w:pPr>
            <w:r>
              <w:rPr>
                <w:b/>
                <w:bCs/>
              </w:rPr>
              <w:t>Skilled Birth Attendance</w:t>
            </w: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r>
      <w:tr w:rsidR="00816A22" w:rsidTr="00A45CD2">
        <w:tc>
          <w:tcPr>
            <w:tcW w:w="1320" w:type="dxa"/>
          </w:tcPr>
          <w:p w:rsidR="00816A22" w:rsidRDefault="00816A22">
            <w:pPr>
              <w:pStyle w:val="Compact"/>
            </w:pPr>
          </w:p>
        </w:tc>
        <w:tc>
          <w:tcPr>
            <w:tcW w:w="1320" w:type="dxa"/>
          </w:tcPr>
          <w:p w:rsidR="00816A22" w:rsidRDefault="00000000">
            <w:pPr>
              <w:pStyle w:val="Compact"/>
            </w:pPr>
            <w:r>
              <w:t>No education</w:t>
            </w:r>
          </w:p>
        </w:tc>
        <w:tc>
          <w:tcPr>
            <w:tcW w:w="1320" w:type="dxa"/>
          </w:tcPr>
          <w:p w:rsidR="00816A22" w:rsidRDefault="00000000">
            <w:pPr>
              <w:pStyle w:val="Compact"/>
            </w:pPr>
            <w:r>
              <w:t>42.7</w:t>
            </w:r>
          </w:p>
        </w:tc>
        <w:tc>
          <w:tcPr>
            <w:tcW w:w="1320" w:type="dxa"/>
          </w:tcPr>
          <w:p w:rsidR="00816A22" w:rsidRDefault="00000000">
            <w:pPr>
              <w:pStyle w:val="Compact"/>
            </w:pPr>
            <w:r>
              <w:t>28.4</w:t>
            </w:r>
          </w:p>
        </w:tc>
        <w:tc>
          <w:tcPr>
            <w:tcW w:w="1320" w:type="dxa"/>
          </w:tcPr>
          <w:p w:rsidR="00816A22" w:rsidRDefault="00000000">
            <w:pPr>
              <w:pStyle w:val="Compact"/>
            </w:pPr>
            <w:r>
              <w:t>8.1</w:t>
            </w:r>
          </w:p>
        </w:tc>
        <w:tc>
          <w:tcPr>
            <w:tcW w:w="1320" w:type="dxa"/>
          </w:tcPr>
          <w:p w:rsidR="00816A22" w:rsidRDefault="00000000">
            <w:pPr>
              <w:pStyle w:val="Compact"/>
            </w:pPr>
            <w:r>
              <w:t>—</w:t>
            </w:r>
          </w:p>
        </w:tc>
      </w:tr>
      <w:tr w:rsidR="00816A22" w:rsidTr="00A45CD2">
        <w:tc>
          <w:tcPr>
            <w:tcW w:w="1320" w:type="dxa"/>
          </w:tcPr>
          <w:p w:rsidR="00816A22" w:rsidRDefault="00816A22">
            <w:pPr>
              <w:pStyle w:val="Compact"/>
            </w:pPr>
          </w:p>
        </w:tc>
        <w:tc>
          <w:tcPr>
            <w:tcW w:w="1320" w:type="dxa"/>
          </w:tcPr>
          <w:p w:rsidR="00816A22" w:rsidRDefault="00000000">
            <w:pPr>
              <w:pStyle w:val="Compact"/>
            </w:pPr>
            <w:r>
              <w:t>Primary</w:t>
            </w:r>
          </w:p>
        </w:tc>
        <w:tc>
          <w:tcPr>
            <w:tcW w:w="1320" w:type="dxa"/>
          </w:tcPr>
          <w:p w:rsidR="00816A22" w:rsidRDefault="00000000">
            <w:pPr>
              <w:pStyle w:val="Compact"/>
            </w:pPr>
            <w:r>
              <w:t>58.3</w:t>
            </w:r>
          </w:p>
        </w:tc>
        <w:tc>
          <w:tcPr>
            <w:tcW w:w="1320" w:type="dxa"/>
          </w:tcPr>
          <w:p w:rsidR="00816A22" w:rsidRDefault="00000000">
            <w:pPr>
              <w:pStyle w:val="Compact"/>
            </w:pPr>
            <w:r>
              <w:t>41.6</w:t>
            </w:r>
          </w:p>
        </w:tc>
        <w:tc>
          <w:tcPr>
            <w:tcW w:w="1320" w:type="dxa"/>
          </w:tcPr>
          <w:p w:rsidR="00816A22" w:rsidRDefault="00000000">
            <w:pPr>
              <w:pStyle w:val="Compact"/>
            </w:pPr>
            <w:r>
              <w:t>18.3</w:t>
            </w:r>
          </w:p>
        </w:tc>
        <w:tc>
          <w:tcPr>
            <w:tcW w:w="1320" w:type="dxa"/>
          </w:tcPr>
          <w:p w:rsidR="00816A22" w:rsidRDefault="00000000">
            <w:pPr>
              <w:pStyle w:val="Compact"/>
            </w:pPr>
            <w:r>
              <w:t>—</w:t>
            </w:r>
          </w:p>
        </w:tc>
      </w:tr>
      <w:tr w:rsidR="00816A22" w:rsidTr="00A45CD2">
        <w:tc>
          <w:tcPr>
            <w:tcW w:w="1320" w:type="dxa"/>
          </w:tcPr>
          <w:p w:rsidR="00816A22" w:rsidRDefault="00816A22">
            <w:pPr>
              <w:pStyle w:val="Compact"/>
            </w:pPr>
          </w:p>
        </w:tc>
        <w:tc>
          <w:tcPr>
            <w:tcW w:w="1320" w:type="dxa"/>
          </w:tcPr>
          <w:p w:rsidR="00816A22" w:rsidRDefault="00000000">
            <w:pPr>
              <w:pStyle w:val="Compact"/>
            </w:pPr>
            <w:r>
              <w:t>Secondary+</w:t>
            </w:r>
          </w:p>
        </w:tc>
        <w:tc>
          <w:tcPr>
            <w:tcW w:w="1320" w:type="dxa"/>
          </w:tcPr>
          <w:p w:rsidR="00816A22" w:rsidRDefault="00000000">
            <w:pPr>
              <w:pStyle w:val="Compact"/>
            </w:pPr>
            <w:r>
              <w:t>72.1</w:t>
            </w:r>
          </w:p>
        </w:tc>
        <w:tc>
          <w:tcPr>
            <w:tcW w:w="1320" w:type="dxa"/>
          </w:tcPr>
          <w:p w:rsidR="00816A22" w:rsidRDefault="00000000">
            <w:pPr>
              <w:pStyle w:val="Compact"/>
            </w:pPr>
            <w:r>
              <w:t>58.9</w:t>
            </w:r>
          </w:p>
        </w:tc>
        <w:tc>
          <w:tcPr>
            <w:tcW w:w="1320" w:type="dxa"/>
          </w:tcPr>
          <w:p w:rsidR="00816A22" w:rsidRDefault="00000000">
            <w:pPr>
              <w:pStyle w:val="Compact"/>
            </w:pPr>
            <w:r>
              <w:t>48.6</w:t>
            </w:r>
          </w:p>
        </w:tc>
        <w:tc>
          <w:tcPr>
            <w:tcW w:w="1320" w:type="dxa"/>
          </w:tcPr>
          <w:p w:rsidR="00816A22" w:rsidRDefault="00000000">
            <w:pPr>
              <w:pStyle w:val="Compact"/>
            </w:pPr>
            <w:r>
              <w:t>6.00×</w:t>
            </w:r>
          </w:p>
        </w:tc>
      </w:tr>
      <w:tr w:rsidR="00816A22" w:rsidTr="00A45CD2">
        <w:tc>
          <w:tcPr>
            <w:tcW w:w="1320" w:type="dxa"/>
          </w:tcPr>
          <w:p w:rsidR="00816A22" w:rsidRDefault="00000000">
            <w:pPr>
              <w:pStyle w:val="Compact"/>
            </w:pPr>
            <w:r>
              <w:rPr>
                <w:b/>
                <w:bCs/>
              </w:rPr>
              <w:t>Postnatal Care</w:t>
            </w: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r>
      <w:tr w:rsidR="00816A22" w:rsidTr="00A45CD2">
        <w:tc>
          <w:tcPr>
            <w:tcW w:w="1320" w:type="dxa"/>
          </w:tcPr>
          <w:p w:rsidR="00816A22" w:rsidRDefault="00816A22">
            <w:pPr>
              <w:pStyle w:val="Compact"/>
            </w:pPr>
          </w:p>
        </w:tc>
        <w:tc>
          <w:tcPr>
            <w:tcW w:w="1320" w:type="dxa"/>
          </w:tcPr>
          <w:p w:rsidR="00816A22" w:rsidRDefault="00000000">
            <w:pPr>
              <w:pStyle w:val="Compact"/>
            </w:pPr>
            <w:r>
              <w:t>No education</w:t>
            </w:r>
          </w:p>
        </w:tc>
        <w:tc>
          <w:tcPr>
            <w:tcW w:w="1320" w:type="dxa"/>
          </w:tcPr>
          <w:p w:rsidR="00816A22" w:rsidRDefault="00000000">
            <w:pPr>
              <w:pStyle w:val="Compact"/>
            </w:pPr>
            <w:r>
              <w:t>32.1</w:t>
            </w:r>
          </w:p>
        </w:tc>
        <w:tc>
          <w:tcPr>
            <w:tcW w:w="1320" w:type="dxa"/>
          </w:tcPr>
          <w:p w:rsidR="00816A22" w:rsidRDefault="00000000">
            <w:pPr>
              <w:pStyle w:val="Compact"/>
            </w:pPr>
            <w:r>
              <w:t>18.2</w:t>
            </w:r>
          </w:p>
        </w:tc>
        <w:tc>
          <w:tcPr>
            <w:tcW w:w="1320" w:type="dxa"/>
          </w:tcPr>
          <w:p w:rsidR="00816A22" w:rsidRDefault="00000000">
            <w:pPr>
              <w:pStyle w:val="Compact"/>
            </w:pPr>
            <w:r>
              <w:t>5.2</w:t>
            </w:r>
          </w:p>
        </w:tc>
        <w:tc>
          <w:tcPr>
            <w:tcW w:w="1320" w:type="dxa"/>
          </w:tcPr>
          <w:p w:rsidR="00816A22" w:rsidRDefault="00000000">
            <w:pPr>
              <w:pStyle w:val="Compact"/>
            </w:pPr>
            <w:r>
              <w:t>—</w:t>
            </w:r>
          </w:p>
        </w:tc>
      </w:tr>
      <w:tr w:rsidR="00816A22" w:rsidTr="00A45CD2">
        <w:tc>
          <w:tcPr>
            <w:tcW w:w="1320" w:type="dxa"/>
          </w:tcPr>
          <w:p w:rsidR="00816A22" w:rsidRDefault="00816A22">
            <w:pPr>
              <w:pStyle w:val="Compact"/>
            </w:pPr>
          </w:p>
        </w:tc>
        <w:tc>
          <w:tcPr>
            <w:tcW w:w="1320" w:type="dxa"/>
          </w:tcPr>
          <w:p w:rsidR="00816A22" w:rsidRDefault="00000000">
            <w:pPr>
              <w:pStyle w:val="Compact"/>
            </w:pPr>
            <w:r>
              <w:t>Primary</w:t>
            </w:r>
          </w:p>
        </w:tc>
        <w:tc>
          <w:tcPr>
            <w:tcW w:w="1320" w:type="dxa"/>
          </w:tcPr>
          <w:p w:rsidR="00816A22" w:rsidRDefault="00000000">
            <w:pPr>
              <w:pStyle w:val="Compact"/>
            </w:pPr>
            <w:r>
              <w:t>42.8</w:t>
            </w:r>
          </w:p>
        </w:tc>
        <w:tc>
          <w:tcPr>
            <w:tcW w:w="1320" w:type="dxa"/>
          </w:tcPr>
          <w:p w:rsidR="00816A22" w:rsidRDefault="00000000">
            <w:pPr>
              <w:pStyle w:val="Compact"/>
            </w:pPr>
            <w:r>
              <w:t>26.4</w:t>
            </w:r>
          </w:p>
        </w:tc>
        <w:tc>
          <w:tcPr>
            <w:tcW w:w="1320" w:type="dxa"/>
          </w:tcPr>
          <w:p w:rsidR="00816A22" w:rsidRDefault="00000000">
            <w:pPr>
              <w:pStyle w:val="Compact"/>
            </w:pPr>
            <w:r>
              <w:t>11.8</w:t>
            </w:r>
          </w:p>
        </w:tc>
        <w:tc>
          <w:tcPr>
            <w:tcW w:w="1320" w:type="dxa"/>
          </w:tcPr>
          <w:p w:rsidR="00816A22" w:rsidRDefault="00000000">
            <w:pPr>
              <w:pStyle w:val="Compact"/>
            </w:pPr>
            <w:r>
              <w:t>—</w:t>
            </w:r>
          </w:p>
        </w:tc>
      </w:tr>
      <w:tr w:rsidR="00816A22" w:rsidTr="00A45CD2">
        <w:tc>
          <w:tcPr>
            <w:tcW w:w="1320" w:type="dxa"/>
          </w:tcPr>
          <w:p w:rsidR="00816A22" w:rsidRDefault="00816A22">
            <w:pPr>
              <w:pStyle w:val="Compact"/>
            </w:pPr>
          </w:p>
        </w:tc>
        <w:tc>
          <w:tcPr>
            <w:tcW w:w="1320" w:type="dxa"/>
          </w:tcPr>
          <w:p w:rsidR="00816A22" w:rsidRDefault="00000000">
            <w:pPr>
              <w:pStyle w:val="Compact"/>
            </w:pPr>
            <w:r>
              <w:t>Secondary+</w:t>
            </w:r>
          </w:p>
        </w:tc>
        <w:tc>
          <w:tcPr>
            <w:tcW w:w="1320" w:type="dxa"/>
          </w:tcPr>
          <w:p w:rsidR="00816A22" w:rsidRDefault="00000000">
            <w:pPr>
              <w:pStyle w:val="Compact"/>
            </w:pPr>
            <w:r>
              <w:t>55.3</w:t>
            </w:r>
          </w:p>
        </w:tc>
        <w:tc>
          <w:tcPr>
            <w:tcW w:w="1320" w:type="dxa"/>
          </w:tcPr>
          <w:p w:rsidR="00816A22" w:rsidRDefault="00000000">
            <w:pPr>
              <w:pStyle w:val="Compact"/>
            </w:pPr>
            <w:r>
              <w:t>38.1</w:t>
            </w:r>
          </w:p>
        </w:tc>
        <w:tc>
          <w:tcPr>
            <w:tcW w:w="1320" w:type="dxa"/>
          </w:tcPr>
          <w:p w:rsidR="00816A22" w:rsidRDefault="00000000">
            <w:pPr>
              <w:pStyle w:val="Compact"/>
            </w:pPr>
            <w:r>
              <w:t>31.9</w:t>
            </w:r>
          </w:p>
        </w:tc>
        <w:tc>
          <w:tcPr>
            <w:tcW w:w="1320" w:type="dxa"/>
          </w:tcPr>
          <w:p w:rsidR="00816A22" w:rsidRDefault="00000000">
            <w:pPr>
              <w:pStyle w:val="Compact"/>
            </w:pPr>
            <w:r>
              <w:t>6.13×</w:t>
            </w:r>
          </w:p>
        </w:tc>
      </w:tr>
    </w:tbl>
    <w:p w:rsidR="00816A22" w:rsidRDefault="00000000">
      <w:pPr>
        <w:pStyle w:val="BodyText"/>
      </w:pPr>
      <w:r>
        <w:t>ᵃ Education gradient calculated as ratio of coverage for secondary+ to no education in 2022-23 MICS.</w:t>
      </w:r>
    </w:p>
    <w:p w:rsidR="00816A22" w:rsidRDefault="00816A22"/>
    <w:p w:rsidR="00816A22" w:rsidRDefault="00000000">
      <w:pPr>
        <w:pStyle w:val="Heading3"/>
      </w:pPr>
      <w:bookmarkStart w:id="8" w:name="X861bdc0bce156a5cfe10abcb7ae94b91ebbd92a"/>
      <w:bookmarkEnd w:id="7"/>
      <w:r>
        <w:t>Supplementary Table 6: Urban-Rural Disparities in Service Coverage</w:t>
      </w:r>
    </w:p>
    <w:tbl>
      <w:tblPr>
        <w:tblStyle w:val="TableGrid"/>
        <w:tblW w:w="5000" w:type="pct"/>
        <w:tblLayout w:type="fixed"/>
        <w:tblLook w:val="0020" w:firstRow="1" w:lastRow="0" w:firstColumn="0" w:lastColumn="0" w:noHBand="0" w:noVBand="0"/>
      </w:tblPr>
      <w:tblGrid>
        <w:gridCol w:w="1476"/>
        <w:gridCol w:w="1476"/>
        <w:gridCol w:w="1476"/>
        <w:gridCol w:w="1476"/>
        <w:gridCol w:w="1476"/>
        <w:gridCol w:w="1476"/>
      </w:tblGrid>
      <w:tr w:rsidR="00816A22" w:rsidTr="00A45CD2">
        <w:tc>
          <w:tcPr>
            <w:tcW w:w="1320" w:type="dxa"/>
          </w:tcPr>
          <w:p w:rsidR="00816A22" w:rsidRDefault="00000000">
            <w:pPr>
              <w:pStyle w:val="Compact"/>
            </w:pPr>
            <w:r>
              <w:t>Service &amp; Period</w:t>
            </w:r>
          </w:p>
        </w:tc>
        <w:tc>
          <w:tcPr>
            <w:tcW w:w="1320" w:type="dxa"/>
          </w:tcPr>
          <w:p w:rsidR="00816A22" w:rsidRDefault="00000000">
            <w:pPr>
              <w:pStyle w:val="Compact"/>
            </w:pPr>
            <w:r>
              <w:t>Urban (%)</w:t>
            </w:r>
          </w:p>
        </w:tc>
        <w:tc>
          <w:tcPr>
            <w:tcW w:w="1320" w:type="dxa"/>
          </w:tcPr>
          <w:p w:rsidR="00816A22" w:rsidRDefault="00000000">
            <w:pPr>
              <w:pStyle w:val="Compact"/>
            </w:pPr>
            <w:r>
              <w:t>Rural (%)</w:t>
            </w:r>
          </w:p>
        </w:tc>
        <w:tc>
          <w:tcPr>
            <w:tcW w:w="1320" w:type="dxa"/>
          </w:tcPr>
          <w:p w:rsidR="00816A22" w:rsidRDefault="00000000">
            <w:pPr>
              <w:pStyle w:val="Compact"/>
            </w:pPr>
            <w:r>
              <w:t>Gap (pp)</w:t>
            </w:r>
          </w:p>
        </w:tc>
        <w:tc>
          <w:tcPr>
            <w:tcW w:w="1320" w:type="dxa"/>
          </w:tcPr>
          <w:p w:rsidR="00816A22" w:rsidRDefault="00000000">
            <w:pPr>
              <w:pStyle w:val="Compact"/>
            </w:pPr>
            <w:r>
              <w:t>Relative Gap %</w:t>
            </w:r>
          </w:p>
        </w:tc>
        <w:tc>
          <w:tcPr>
            <w:tcW w:w="1320" w:type="dxa"/>
          </w:tcPr>
          <w:p w:rsidR="00816A22" w:rsidRDefault="00000000">
            <w:pPr>
              <w:pStyle w:val="Compact"/>
            </w:pPr>
            <w:r>
              <w:t>Steepness Comparison</w:t>
            </w:r>
          </w:p>
        </w:tc>
      </w:tr>
      <w:tr w:rsidR="00816A22" w:rsidTr="00A45CD2">
        <w:tc>
          <w:tcPr>
            <w:tcW w:w="1320" w:type="dxa"/>
          </w:tcPr>
          <w:p w:rsidR="00816A22" w:rsidRDefault="00000000">
            <w:pPr>
              <w:pStyle w:val="Compact"/>
            </w:pPr>
            <w:r>
              <w:rPr>
                <w:b/>
                <w:bCs/>
              </w:rPr>
              <w:t>Antenatal Care (≥4 visits)</w:t>
            </w: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r>
      <w:tr w:rsidR="00816A22" w:rsidTr="00A45CD2">
        <w:tc>
          <w:tcPr>
            <w:tcW w:w="1320" w:type="dxa"/>
          </w:tcPr>
          <w:p w:rsidR="00816A22" w:rsidRDefault="00000000">
            <w:pPr>
              <w:pStyle w:val="Compact"/>
            </w:pPr>
            <w:r>
              <w:t>2013 DHS</w:t>
            </w:r>
          </w:p>
        </w:tc>
        <w:tc>
          <w:tcPr>
            <w:tcW w:w="1320" w:type="dxa"/>
          </w:tcPr>
          <w:p w:rsidR="00816A22" w:rsidRDefault="00000000">
            <w:pPr>
              <w:pStyle w:val="Compact"/>
            </w:pPr>
            <w:r>
              <w:t>79.4</w:t>
            </w:r>
          </w:p>
        </w:tc>
        <w:tc>
          <w:tcPr>
            <w:tcW w:w="1320" w:type="dxa"/>
          </w:tcPr>
          <w:p w:rsidR="00816A22" w:rsidRDefault="00000000">
            <w:pPr>
              <w:pStyle w:val="Compact"/>
            </w:pPr>
            <w:r>
              <w:t>57.1</w:t>
            </w:r>
          </w:p>
        </w:tc>
        <w:tc>
          <w:tcPr>
            <w:tcW w:w="1320" w:type="dxa"/>
          </w:tcPr>
          <w:p w:rsidR="00816A22" w:rsidRDefault="00000000">
            <w:pPr>
              <w:pStyle w:val="Compact"/>
            </w:pPr>
            <w:r>
              <w:t>22.3</w:t>
            </w:r>
          </w:p>
        </w:tc>
        <w:tc>
          <w:tcPr>
            <w:tcW w:w="1320" w:type="dxa"/>
          </w:tcPr>
          <w:p w:rsidR="00816A22" w:rsidRDefault="00000000">
            <w:pPr>
              <w:pStyle w:val="Compact"/>
            </w:pPr>
            <w:r>
              <w:t>28.1</w:t>
            </w:r>
          </w:p>
        </w:tc>
        <w:tc>
          <w:tcPr>
            <w:tcW w:w="1320" w:type="dxa"/>
          </w:tcPr>
          <w:p w:rsidR="00816A22" w:rsidRDefault="00000000">
            <w:pPr>
              <w:pStyle w:val="Compact"/>
            </w:pPr>
            <w:r>
              <w:t>—</w:t>
            </w:r>
          </w:p>
        </w:tc>
      </w:tr>
      <w:tr w:rsidR="00816A22" w:rsidTr="00A45CD2">
        <w:tc>
          <w:tcPr>
            <w:tcW w:w="1320" w:type="dxa"/>
          </w:tcPr>
          <w:p w:rsidR="00816A22" w:rsidRDefault="00000000">
            <w:pPr>
              <w:pStyle w:val="Compact"/>
            </w:pPr>
            <w:r>
              <w:t>2016 MICS</w:t>
            </w:r>
          </w:p>
        </w:tc>
        <w:tc>
          <w:tcPr>
            <w:tcW w:w="1320" w:type="dxa"/>
          </w:tcPr>
          <w:p w:rsidR="00816A22" w:rsidRDefault="00000000">
            <w:pPr>
              <w:pStyle w:val="Compact"/>
            </w:pPr>
            <w:r>
              <w:t>68.2</w:t>
            </w:r>
          </w:p>
        </w:tc>
        <w:tc>
          <w:tcPr>
            <w:tcW w:w="1320" w:type="dxa"/>
          </w:tcPr>
          <w:p w:rsidR="00816A22" w:rsidRDefault="00000000">
            <w:pPr>
              <w:pStyle w:val="Compact"/>
            </w:pPr>
            <w:r>
              <w:t>42.1</w:t>
            </w:r>
          </w:p>
        </w:tc>
        <w:tc>
          <w:tcPr>
            <w:tcW w:w="1320" w:type="dxa"/>
          </w:tcPr>
          <w:p w:rsidR="00816A22" w:rsidRDefault="00000000">
            <w:pPr>
              <w:pStyle w:val="Compact"/>
            </w:pPr>
            <w:r>
              <w:t>26.1</w:t>
            </w:r>
          </w:p>
        </w:tc>
        <w:tc>
          <w:tcPr>
            <w:tcW w:w="1320" w:type="dxa"/>
          </w:tcPr>
          <w:p w:rsidR="00816A22" w:rsidRDefault="00000000">
            <w:pPr>
              <w:pStyle w:val="Compact"/>
            </w:pPr>
            <w:r>
              <w:t>38.3</w:t>
            </w:r>
          </w:p>
        </w:tc>
        <w:tc>
          <w:tcPr>
            <w:tcW w:w="1320" w:type="dxa"/>
          </w:tcPr>
          <w:p w:rsidR="00816A22" w:rsidRDefault="00000000">
            <w:pPr>
              <w:pStyle w:val="Compact"/>
            </w:pPr>
            <w:r>
              <w:t>—</w:t>
            </w:r>
          </w:p>
        </w:tc>
      </w:tr>
      <w:tr w:rsidR="00816A22" w:rsidTr="00A45CD2">
        <w:tc>
          <w:tcPr>
            <w:tcW w:w="1320" w:type="dxa"/>
          </w:tcPr>
          <w:p w:rsidR="00816A22" w:rsidRDefault="00000000">
            <w:pPr>
              <w:pStyle w:val="Compact"/>
            </w:pPr>
            <w:r>
              <w:t>2022-23 MICS</w:t>
            </w:r>
          </w:p>
        </w:tc>
        <w:tc>
          <w:tcPr>
            <w:tcW w:w="1320" w:type="dxa"/>
          </w:tcPr>
          <w:p w:rsidR="00816A22" w:rsidRDefault="00000000">
            <w:pPr>
              <w:pStyle w:val="Compact"/>
            </w:pPr>
            <w:r>
              <w:t>52.3</w:t>
            </w:r>
          </w:p>
        </w:tc>
        <w:tc>
          <w:tcPr>
            <w:tcW w:w="1320" w:type="dxa"/>
          </w:tcPr>
          <w:p w:rsidR="00816A22" w:rsidRDefault="00000000">
            <w:pPr>
              <w:pStyle w:val="Compact"/>
            </w:pPr>
            <w:r>
              <w:t>28.4</w:t>
            </w:r>
          </w:p>
        </w:tc>
        <w:tc>
          <w:tcPr>
            <w:tcW w:w="1320" w:type="dxa"/>
          </w:tcPr>
          <w:p w:rsidR="00816A22" w:rsidRDefault="00000000">
            <w:pPr>
              <w:pStyle w:val="Compact"/>
            </w:pPr>
            <w:r>
              <w:t>23.9</w:t>
            </w:r>
          </w:p>
        </w:tc>
        <w:tc>
          <w:tcPr>
            <w:tcW w:w="1320" w:type="dxa"/>
          </w:tcPr>
          <w:p w:rsidR="00816A22" w:rsidRDefault="00000000">
            <w:pPr>
              <w:pStyle w:val="Compact"/>
            </w:pPr>
            <w:r>
              <w:t>45.6</w:t>
            </w:r>
          </w:p>
        </w:tc>
        <w:tc>
          <w:tcPr>
            <w:tcW w:w="1320" w:type="dxa"/>
          </w:tcPr>
          <w:p w:rsidR="00816A22" w:rsidRDefault="00000000">
            <w:pPr>
              <w:pStyle w:val="Compact"/>
            </w:pPr>
            <w:r>
              <w:t>—</w:t>
            </w:r>
          </w:p>
        </w:tc>
      </w:tr>
      <w:tr w:rsidR="00816A22" w:rsidTr="00A45CD2">
        <w:tc>
          <w:tcPr>
            <w:tcW w:w="1320" w:type="dxa"/>
          </w:tcPr>
          <w:p w:rsidR="00816A22" w:rsidRDefault="00000000">
            <w:pPr>
              <w:pStyle w:val="Compact"/>
            </w:pPr>
            <w:r>
              <w:lastRenderedPageBreak/>
              <w:t>Relative decline 2013-2022</w:t>
            </w:r>
          </w:p>
        </w:tc>
        <w:tc>
          <w:tcPr>
            <w:tcW w:w="1320" w:type="dxa"/>
          </w:tcPr>
          <w:p w:rsidR="00816A22" w:rsidRDefault="00000000">
            <w:pPr>
              <w:pStyle w:val="Compact"/>
            </w:pPr>
            <w:r>
              <w:t>-34.1%</w:t>
            </w:r>
          </w:p>
        </w:tc>
        <w:tc>
          <w:tcPr>
            <w:tcW w:w="1320" w:type="dxa"/>
          </w:tcPr>
          <w:p w:rsidR="00816A22" w:rsidRDefault="00000000">
            <w:pPr>
              <w:pStyle w:val="Compact"/>
            </w:pPr>
            <w:r>
              <w:t>-50.3%</w:t>
            </w:r>
          </w:p>
        </w:tc>
        <w:tc>
          <w:tcPr>
            <w:tcW w:w="1320" w:type="dxa"/>
          </w:tcPr>
          <w:p w:rsidR="00816A22" w:rsidRDefault="00000000">
            <w:pPr>
              <w:pStyle w:val="Compact"/>
            </w:pPr>
            <w:r>
              <w:t>-7.1 pp</w:t>
            </w:r>
          </w:p>
        </w:tc>
        <w:tc>
          <w:tcPr>
            <w:tcW w:w="1320" w:type="dxa"/>
          </w:tcPr>
          <w:p w:rsidR="00816A22" w:rsidRDefault="00000000">
            <w:pPr>
              <w:pStyle w:val="Compact"/>
            </w:pPr>
            <w:r>
              <w:t>+17.5 pp</w:t>
            </w:r>
          </w:p>
        </w:tc>
        <w:tc>
          <w:tcPr>
            <w:tcW w:w="1320" w:type="dxa"/>
          </w:tcPr>
          <w:p w:rsidR="00816A22" w:rsidRDefault="00000000">
            <w:pPr>
              <w:pStyle w:val="Compact"/>
            </w:pPr>
            <w:r>
              <w:t>Rural 1.48× steeper</w:t>
            </w:r>
          </w:p>
        </w:tc>
      </w:tr>
      <w:tr w:rsidR="00816A22" w:rsidTr="00A45CD2">
        <w:tc>
          <w:tcPr>
            <w:tcW w:w="1320" w:type="dxa"/>
          </w:tcPr>
          <w:p w:rsidR="00816A22" w:rsidRDefault="00000000">
            <w:pPr>
              <w:pStyle w:val="Compact"/>
            </w:pPr>
            <w:r>
              <w:rPr>
                <w:b/>
                <w:bCs/>
              </w:rPr>
              <w:t>Skilled Birth Attendance</w:t>
            </w: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r>
      <w:tr w:rsidR="00816A22" w:rsidTr="00A45CD2">
        <w:tc>
          <w:tcPr>
            <w:tcW w:w="1320" w:type="dxa"/>
          </w:tcPr>
          <w:p w:rsidR="00816A22" w:rsidRDefault="00000000">
            <w:pPr>
              <w:pStyle w:val="Compact"/>
            </w:pPr>
            <w:r>
              <w:t>2013 DHS</w:t>
            </w:r>
          </w:p>
        </w:tc>
        <w:tc>
          <w:tcPr>
            <w:tcW w:w="1320" w:type="dxa"/>
          </w:tcPr>
          <w:p w:rsidR="00816A22" w:rsidRDefault="00000000">
            <w:pPr>
              <w:pStyle w:val="Compact"/>
            </w:pPr>
            <w:r>
              <w:t>72.3</w:t>
            </w:r>
          </w:p>
        </w:tc>
        <w:tc>
          <w:tcPr>
            <w:tcW w:w="1320" w:type="dxa"/>
          </w:tcPr>
          <w:p w:rsidR="00816A22" w:rsidRDefault="00000000">
            <w:pPr>
              <w:pStyle w:val="Compact"/>
            </w:pPr>
            <w:r>
              <w:t>41.8</w:t>
            </w:r>
          </w:p>
        </w:tc>
        <w:tc>
          <w:tcPr>
            <w:tcW w:w="1320" w:type="dxa"/>
          </w:tcPr>
          <w:p w:rsidR="00816A22" w:rsidRDefault="00000000">
            <w:pPr>
              <w:pStyle w:val="Compact"/>
            </w:pPr>
            <w:r>
              <w:t>30.5</w:t>
            </w:r>
          </w:p>
        </w:tc>
        <w:tc>
          <w:tcPr>
            <w:tcW w:w="1320" w:type="dxa"/>
          </w:tcPr>
          <w:p w:rsidR="00816A22" w:rsidRDefault="00000000">
            <w:pPr>
              <w:pStyle w:val="Compact"/>
            </w:pPr>
            <w:r>
              <w:t>42.2</w:t>
            </w:r>
          </w:p>
        </w:tc>
        <w:tc>
          <w:tcPr>
            <w:tcW w:w="1320" w:type="dxa"/>
          </w:tcPr>
          <w:p w:rsidR="00816A22" w:rsidRDefault="00000000">
            <w:pPr>
              <w:pStyle w:val="Compact"/>
            </w:pPr>
            <w:r>
              <w:t>—</w:t>
            </w:r>
          </w:p>
        </w:tc>
      </w:tr>
      <w:tr w:rsidR="00816A22" w:rsidTr="00A45CD2">
        <w:tc>
          <w:tcPr>
            <w:tcW w:w="1320" w:type="dxa"/>
          </w:tcPr>
          <w:p w:rsidR="00816A22" w:rsidRDefault="00000000">
            <w:pPr>
              <w:pStyle w:val="Compact"/>
            </w:pPr>
            <w:r>
              <w:t>2016 MICS</w:t>
            </w:r>
          </w:p>
        </w:tc>
        <w:tc>
          <w:tcPr>
            <w:tcW w:w="1320" w:type="dxa"/>
          </w:tcPr>
          <w:p w:rsidR="00816A22" w:rsidRDefault="00000000">
            <w:pPr>
              <w:pStyle w:val="Compact"/>
            </w:pPr>
            <w:r>
              <w:t>54.1</w:t>
            </w:r>
          </w:p>
        </w:tc>
        <w:tc>
          <w:tcPr>
            <w:tcW w:w="1320" w:type="dxa"/>
          </w:tcPr>
          <w:p w:rsidR="00816A22" w:rsidRDefault="00000000">
            <w:pPr>
              <w:pStyle w:val="Compact"/>
            </w:pPr>
            <w:r>
              <w:t>28.3</w:t>
            </w:r>
          </w:p>
        </w:tc>
        <w:tc>
          <w:tcPr>
            <w:tcW w:w="1320" w:type="dxa"/>
          </w:tcPr>
          <w:p w:rsidR="00816A22" w:rsidRDefault="00000000">
            <w:pPr>
              <w:pStyle w:val="Compact"/>
            </w:pPr>
            <w:r>
              <w:t>25.8</w:t>
            </w:r>
          </w:p>
        </w:tc>
        <w:tc>
          <w:tcPr>
            <w:tcW w:w="1320" w:type="dxa"/>
          </w:tcPr>
          <w:p w:rsidR="00816A22" w:rsidRDefault="00000000">
            <w:pPr>
              <w:pStyle w:val="Compact"/>
            </w:pPr>
            <w:r>
              <w:t>47.7</w:t>
            </w:r>
          </w:p>
        </w:tc>
        <w:tc>
          <w:tcPr>
            <w:tcW w:w="1320" w:type="dxa"/>
          </w:tcPr>
          <w:p w:rsidR="00816A22" w:rsidRDefault="00000000">
            <w:pPr>
              <w:pStyle w:val="Compact"/>
            </w:pPr>
            <w:r>
              <w:t>—</w:t>
            </w:r>
          </w:p>
        </w:tc>
      </w:tr>
      <w:tr w:rsidR="00816A22" w:rsidTr="00A45CD2">
        <w:tc>
          <w:tcPr>
            <w:tcW w:w="1320" w:type="dxa"/>
          </w:tcPr>
          <w:p w:rsidR="00816A22" w:rsidRDefault="00000000">
            <w:pPr>
              <w:pStyle w:val="Compact"/>
            </w:pPr>
            <w:r>
              <w:t>2022-23 MICS</w:t>
            </w:r>
          </w:p>
        </w:tc>
        <w:tc>
          <w:tcPr>
            <w:tcW w:w="1320" w:type="dxa"/>
          </w:tcPr>
          <w:p w:rsidR="00816A22" w:rsidRDefault="00000000">
            <w:pPr>
              <w:pStyle w:val="Compact"/>
            </w:pPr>
            <w:r>
              <w:t>38.6</w:t>
            </w:r>
          </w:p>
        </w:tc>
        <w:tc>
          <w:tcPr>
            <w:tcW w:w="1320" w:type="dxa"/>
          </w:tcPr>
          <w:p w:rsidR="00816A22" w:rsidRDefault="00000000">
            <w:pPr>
              <w:pStyle w:val="Compact"/>
            </w:pPr>
            <w:r>
              <w:t>15.2</w:t>
            </w:r>
          </w:p>
        </w:tc>
        <w:tc>
          <w:tcPr>
            <w:tcW w:w="1320" w:type="dxa"/>
          </w:tcPr>
          <w:p w:rsidR="00816A22" w:rsidRDefault="00000000">
            <w:pPr>
              <w:pStyle w:val="Compact"/>
            </w:pPr>
            <w:r>
              <w:t>23.4</w:t>
            </w:r>
          </w:p>
        </w:tc>
        <w:tc>
          <w:tcPr>
            <w:tcW w:w="1320" w:type="dxa"/>
          </w:tcPr>
          <w:p w:rsidR="00816A22" w:rsidRDefault="00000000">
            <w:pPr>
              <w:pStyle w:val="Compact"/>
            </w:pPr>
            <w:r>
              <w:t>60.6</w:t>
            </w:r>
          </w:p>
        </w:tc>
        <w:tc>
          <w:tcPr>
            <w:tcW w:w="1320" w:type="dxa"/>
          </w:tcPr>
          <w:p w:rsidR="00816A22" w:rsidRDefault="00000000">
            <w:pPr>
              <w:pStyle w:val="Compact"/>
            </w:pPr>
            <w:r>
              <w:t>—</w:t>
            </w:r>
          </w:p>
        </w:tc>
      </w:tr>
      <w:tr w:rsidR="00816A22" w:rsidTr="00A45CD2">
        <w:tc>
          <w:tcPr>
            <w:tcW w:w="1320" w:type="dxa"/>
          </w:tcPr>
          <w:p w:rsidR="00816A22" w:rsidRDefault="00000000">
            <w:pPr>
              <w:pStyle w:val="Compact"/>
            </w:pPr>
            <w:r>
              <w:t>Relative decline 2013-2022</w:t>
            </w:r>
          </w:p>
        </w:tc>
        <w:tc>
          <w:tcPr>
            <w:tcW w:w="1320" w:type="dxa"/>
          </w:tcPr>
          <w:p w:rsidR="00816A22" w:rsidRDefault="00000000">
            <w:pPr>
              <w:pStyle w:val="Compact"/>
            </w:pPr>
            <w:r>
              <w:t>-46.6%</w:t>
            </w:r>
          </w:p>
        </w:tc>
        <w:tc>
          <w:tcPr>
            <w:tcW w:w="1320" w:type="dxa"/>
          </w:tcPr>
          <w:p w:rsidR="00816A22" w:rsidRDefault="00000000">
            <w:pPr>
              <w:pStyle w:val="Compact"/>
            </w:pPr>
            <w:r>
              <w:t>-63.6%</w:t>
            </w:r>
          </w:p>
        </w:tc>
        <w:tc>
          <w:tcPr>
            <w:tcW w:w="1320" w:type="dxa"/>
          </w:tcPr>
          <w:p w:rsidR="00816A22" w:rsidRDefault="00000000">
            <w:pPr>
              <w:pStyle w:val="Compact"/>
            </w:pPr>
            <w:r>
              <w:t>-7.1 pp</w:t>
            </w:r>
          </w:p>
        </w:tc>
        <w:tc>
          <w:tcPr>
            <w:tcW w:w="1320" w:type="dxa"/>
          </w:tcPr>
          <w:p w:rsidR="00816A22" w:rsidRDefault="00000000">
            <w:pPr>
              <w:pStyle w:val="Compact"/>
            </w:pPr>
            <w:r>
              <w:t>+18.4 pp</w:t>
            </w:r>
          </w:p>
        </w:tc>
        <w:tc>
          <w:tcPr>
            <w:tcW w:w="1320" w:type="dxa"/>
          </w:tcPr>
          <w:p w:rsidR="00816A22" w:rsidRDefault="00000000">
            <w:pPr>
              <w:pStyle w:val="Compact"/>
            </w:pPr>
            <w:r>
              <w:t>Rural 1.37× steeper</w:t>
            </w:r>
          </w:p>
        </w:tc>
      </w:tr>
      <w:tr w:rsidR="00816A22" w:rsidTr="00A45CD2">
        <w:tc>
          <w:tcPr>
            <w:tcW w:w="1320" w:type="dxa"/>
          </w:tcPr>
          <w:p w:rsidR="00816A22" w:rsidRDefault="00000000">
            <w:pPr>
              <w:pStyle w:val="Compact"/>
            </w:pPr>
            <w:r>
              <w:rPr>
                <w:b/>
                <w:bCs/>
              </w:rPr>
              <w:t>Postnatal Care</w:t>
            </w: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r>
      <w:tr w:rsidR="00816A22" w:rsidTr="00A45CD2">
        <w:tc>
          <w:tcPr>
            <w:tcW w:w="1320" w:type="dxa"/>
          </w:tcPr>
          <w:p w:rsidR="00816A22" w:rsidRDefault="00000000">
            <w:pPr>
              <w:pStyle w:val="Compact"/>
            </w:pPr>
            <w:r>
              <w:t>2013 DHS</w:t>
            </w:r>
          </w:p>
        </w:tc>
        <w:tc>
          <w:tcPr>
            <w:tcW w:w="1320" w:type="dxa"/>
          </w:tcPr>
          <w:p w:rsidR="00816A22" w:rsidRDefault="00000000">
            <w:pPr>
              <w:pStyle w:val="Compact"/>
            </w:pPr>
            <w:r>
              <w:t>54.2</w:t>
            </w:r>
          </w:p>
        </w:tc>
        <w:tc>
          <w:tcPr>
            <w:tcW w:w="1320" w:type="dxa"/>
          </w:tcPr>
          <w:p w:rsidR="00816A22" w:rsidRDefault="00000000">
            <w:pPr>
              <w:pStyle w:val="Compact"/>
            </w:pPr>
            <w:r>
              <w:t>31.8</w:t>
            </w:r>
          </w:p>
        </w:tc>
        <w:tc>
          <w:tcPr>
            <w:tcW w:w="1320" w:type="dxa"/>
          </w:tcPr>
          <w:p w:rsidR="00816A22" w:rsidRDefault="00000000">
            <w:pPr>
              <w:pStyle w:val="Compact"/>
            </w:pPr>
            <w:r>
              <w:t>22.4</w:t>
            </w:r>
          </w:p>
        </w:tc>
        <w:tc>
          <w:tcPr>
            <w:tcW w:w="1320" w:type="dxa"/>
          </w:tcPr>
          <w:p w:rsidR="00816A22" w:rsidRDefault="00000000">
            <w:pPr>
              <w:pStyle w:val="Compact"/>
            </w:pPr>
            <w:r>
              <w:t>41.3</w:t>
            </w:r>
          </w:p>
        </w:tc>
        <w:tc>
          <w:tcPr>
            <w:tcW w:w="1320" w:type="dxa"/>
          </w:tcPr>
          <w:p w:rsidR="00816A22" w:rsidRDefault="00000000">
            <w:pPr>
              <w:pStyle w:val="Compact"/>
            </w:pPr>
            <w:r>
              <w:t>—</w:t>
            </w:r>
          </w:p>
        </w:tc>
      </w:tr>
      <w:tr w:rsidR="00816A22" w:rsidTr="00A45CD2">
        <w:tc>
          <w:tcPr>
            <w:tcW w:w="1320" w:type="dxa"/>
          </w:tcPr>
          <w:p w:rsidR="00816A22" w:rsidRDefault="00000000">
            <w:pPr>
              <w:pStyle w:val="Compact"/>
            </w:pPr>
            <w:r>
              <w:t>2016 MICS</w:t>
            </w:r>
          </w:p>
        </w:tc>
        <w:tc>
          <w:tcPr>
            <w:tcW w:w="1320" w:type="dxa"/>
          </w:tcPr>
          <w:p w:rsidR="00816A22" w:rsidRDefault="00000000">
            <w:pPr>
              <w:pStyle w:val="Compact"/>
            </w:pPr>
            <w:r>
              <w:t>36.1</w:t>
            </w:r>
          </w:p>
        </w:tc>
        <w:tc>
          <w:tcPr>
            <w:tcW w:w="1320" w:type="dxa"/>
          </w:tcPr>
          <w:p w:rsidR="00816A22" w:rsidRDefault="00000000">
            <w:pPr>
              <w:pStyle w:val="Compact"/>
            </w:pPr>
            <w:r>
              <w:t>17.4</w:t>
            </w:r>
          </w:p>
        </w:tc>
        <w:tc>
          <w:tcPr>
            <w:tcW w:w="1320" w:type="dxa"/>
          </w:tcPr>
          <w:p w:rsidR="00816A22" w:rsidRDefault="00000000">
            <w:pPr>
              <w:pStyle w:val="Compact"/>
            </w:pPr>
            <w:r>
              <w:t>18.7</w:t>
            </w:r>
          </w:p>
        </w:tc>
        <w:tc>
          <w:tcPr>
            <w:tcW w:w="1320" w:type="dxa"/>
          </w:tcPr>
          <w:p w:rsidR="00816A22" w:rsidRDefault="00000000">
            <w:pPr>
              <w:pStyle w:val="Compact"/>
            </w:pPr>
            <w:r>
              <w:t>51.8</w:t>
            </w:r>
          </w:p>
        </w:tc>
        <w:tc>
          <w:tcPr>
            <w:tcW w:w="1320" w:type="dxa"/>
          </w:tcPr>
          <w:p w:rsidR="00816A22" w:rsidRDefault="00000000">
            <w:pPr>
              <w:pStyle w:val="Compact"/>
            </w:pPr>
            <w:r>
              <w:t>—</w:t>
            </w:r>
          </w:p>
        </w:tc>
      </w:tr>
      <w:tr w:rsidR="00816A22" w:rsidTr="00A45CD2">
        <w:tc>
          <w:tcPr>
            <w:tcW w:w="1320" w:type="dxa"/>
          </w:tcPr>
          <w:p w:rsidR="00816A22" w:rsidRDefault="00000000">
            <w:pPr>
              <w:pStyle w:val="Compact"/>
            </w:pPr>
            <w:r>
              <w:t>2022-23 MICS</w:t>
            </w:r>
          </w:p>
        </w:tc>
        <w:tc>
          <w:tcPr>
            <w:tcW w:w="1320" w:type="dxa"/>
          </w:tcPr>
          <w:p w:rsidR="00816A22" w:rsidRDefault="00000000">
            <w:pPr>
              <w:pStyle w:val="Compact"/>
            </w:pPr>
            <w:r>
              <w:t>24.8</w:t>
            </w:r>
          </w:p>
        </w:tc>
        <w:tc>
          <w:tcPr>
            <w:tcW w:w="1320" w:type="dxa"/>
          </w:tcPr>
          <w:p w:rsidR="00816A22" w:rsidRDefault="00000000">
            <w:pPr>
              <w:pStyle w:val="Compact"/>
            </w:pPr>
            <w:r>
              <w:t>10.1</w:t>
            </w:r>
          </w:p>
        </w:tc>
        <w:tc>
          <w:tcPr>
            <w:tcW w:w="1320" w:type="dxa"/>
          </w:tcPr>
          <w:p w:rsidR="00816A22" w:rsidRDefault="00000000">
            <w:pPr>
              <w:pStyle w:val="Compact"/>
            </w:pPr>
            <w:r>
              <w:t>14.7</w:t>
            </w:r>
          </w:p>
        </w:tc>
        <w:tc>
          <w:tcPr>
            <w:tcW w:w="1320" w:type="dxa"/>
          </w:tcPr>
          <w:p w:rsidR="00816A22" w:rsidRDefault="00000000">
            <w:pPr>
              <w:pStyle w:val="Compact"/>
            </w:pPr>
            <w:r>
              <w:t>59.3</w:t>
            </w:r>
          </w:p>
        </w:tc>
        <w:tc>
          <w:tcPr>
            <w:tcW w:w="1320" w:type="dxa"/>
          </w:tcPr>
          <w:p w:rsidR="00816A22" w:rsidRDefault="00000000">
            <w:pPr>
              <w:pStyle w:val="Compact"/>
            </w:pPr>
            <w:r>
              <w:t>—</w:t>
            </w:r>
          </w:p>
        </w:tc>
      </w:tr>
      <w:tr w:rsidR="00816A22" w:rsidTr="00A45CD2">
        <w:tc>
          <w:tcPr>
            <w:tcW w:w="1320" w:type="dxa"/>
          </w:tcPr>
          <w:p w:rsidR="00816A22" w:rsidRDefault="00000000">
            <w:pPr>
              <w:pStyle w:val="Compact"/>
            </w:pPr>
            <w:r>
              <w:t>Relative decline 2013-2022</w:t>
            </w:r>
          </w:p>
        </w:tc>
        <w:tc>
          <w:tcPr>
            <w:tcW w:w="1320" w:type="dxa"/>
          </w:tcPr>
          <w:p w:rsidR="00816A22" w:rsidRDefault="00000000">
            <w:pPr>
              <w:pStyle w:val="Compact"/>
            </w:pPr>
            <w:r>
              <w:t>-54.2%</w:t>
            </w:r>
          </w:p>
        </w:tc>
        <w:tc>
          <w:tcPr>
            <w:tcW w:w="1320" w:type="dxa"/>
          </w:tcPr>
          <w:p w:rsidR="00816A22" w:rsidRDefault="00000000">
            <w:pPr>
              <w:pStyle w:val="Compact"/>
            </w:pPr>
            <w:r>
              <w:t>-68.2%</w:t>
            </w:r>
          </w:p>
        </w:tc>
        <w:tc>
          <w:tcPr>
            <w:tcW w:w="1320" w:type="dxa"/>
          </w:tcPr>
          <w:p w:rsidR="00816A22" w:rsidRDefault="00000000">
            <w:pPr>
              <w:pStyle w:val="Compact"/>
            </w:pPr>
            <w:r>
              <w:t>-7.7 pp</w:t>
            </w:r>
          </w:p>
        </w:tc>
        <w:tc>
          <w:tcPr>
            <w:tcW w:w="1320" w:type="dxa"/>
          </w:tcPr>
          <w:p w:rsidR="00816A22" w:rsidRDefault="00000000">
            <w:pPr>
              <w:pStyle w:val="Compact"/>
            </w:pPr>
            <w:r>
              <w:t>+18.0 pp</w:t>
            </w:r>
          </w:p>
        </w:tc>
        <w:tc>
          <w:tcPr>
            <w:tcW w:w="1320" w:type="dxa"/>
          </w:tcPr>
          <w:p w:rsidR="00816A22" w:rsidRDefault="00000000">
            <w:pPr>
              <w:pStyle w:val="Compact"/>
            </w:pPr>
            <w:r>
              <w:t>Rural 1.26× steeper</w:t>
            </w:r>
          </w:p>
        </w:tc>
      </w:tr>
    </w:tbl>
    <w:p w:rsidR="00816A22" w:rsidRDefault="00000000">
      <w:r>
        <w:pict>
          <v:rect id="_x0000_i1027" style="width:0;height:1.5pt" o:hralign="center" o:hrstd="t" o:hr="t"/>
        </w:pict>
      </w:r>
    </w:p>
    <w:p w:rsidR="00816A22" w:rsidRDefault="00000000">
      <w:pPr>
        <w:pStyle w:val="Heading3"/>
      </w:pPr>
      <w:bookmarkStart w:id="9" w:name="Xf5785f5f0322ff940a344f905efae1a237723ba"/>
      <w:bookmarkEnd w:id="8"/>
      <w:r>
        <w:t>Supplementary Table 7: Regional Variation in Service Coverage (2022-2023 MICS)</w:t>
      </w:r>
    </w:p>
    <w:tbl>
      <w:tblPr>
        <w:tblStyle w:val="TableGrid"/>
        <w:tblW w:w="5000" w:type="pct"/>
        <w:tblLayout w:type="fixed"/>
        <w:tblLook w:val="0020" w:firstRow="1" w:lastRow="0" w:firstColumn="0" w:lastColumn="0" w:noHBand="0" w:noVBand="0"/>
      </w:tblPr>
      <w:tblGrid>
        <w:gridCol w:w="1476"/>
        <w:gridCol w:w="1476"/>
        <w:gridCol w:w="1476"/>
        <w:gridCol w:w="1476"/>
        <w:gridCol w:w="1476"/>
        <w:gridCol w:w="1476"/>
      </w:tblGrid>
      <w:tr w:rsidR="00816A22" w:rsidTr="00A45CD2">
        <w:tc>
          <w:tcPr>
            <w:tcW w:w="1320" w:type="dxa"/>
          </w:tcPr>
          <w:p w:rsidR="00816A22" w:rsidRDefault="00000000">
            <w:pPr>
              <w:pStyle w:val="Compact"/>
            </w:pPr>
            <w:r>
              <w:t>Service &amp; Region</w:t>
            </w:r>
          </w:p>
        </w:tc>
        <w:tc>
          <w:tcPr>
            <w:tcW w:w="1320" w:type="dxa"/>
          </w:tcPr>
          <w:p w:rsidR="00816A22" w:rsidRDefault="00000000">
            <w:pPr>
              <w:pStyle w:val="Compact"/>
            </w:pPr>
            <w:r>
              <w:t>Coverage (%)</w:t>
            </w:r>
          </w:p>
        </w:tc>
        <w:tc>
          <w:tcPr>
            <w:tcW w:w="1320" w:type="dxa"/>
          </w:tcPr>
          <w:p w:rsidR="00816A22" w:rsidRDefault="00000000">
            <w:pPr>
              <w:pStyle w:val="Compact"/>
            </w:pPr>
            <w:r>
              <w:t>95% CI</w:t>
            </w:r>
          </w:p>
        </w:tc>
        <w:tc>
          <w:tcPr>
            <w:tcW w:w="1320" w:type="dxa"/>
          </w:tcPr>
          <w:p w:rsidR="00816A22" w:rsidRDefault="00000000">
            <w:pPr>
              <w:pStyle w:val="Compact"/>
            </w:pPr>
            <w:r>
              <w:t>Poorest Q (%)</w:t>
            </w:r>
          </w:p>
        </w:tc>
        <w:tc>
          <w:tcPr>
            <w:tcW w:w="1320" w:type="dxa"/>
          </w:tcPr>
          <w:p w:rsidR="00816A22" w:rsidRDefault="00000000">
            <w:pPr>
              <w:pStyle w:val="Compact"/>
            </w:pPr>
            <w:r>
              <w:t>Richest Q (%)</w:t>
            </w:r>
          </w:p>
        </w:tc>
        <w:tc>
          <w:tcPr>
            <w:tcW w:w="1320" w:type="dxa"/>
          </w:tcPr>
          <w:p w:rsidR="00816A22" w:rsidRDefault="00000000">
            <w:pPr>
              <w:pStyle w:val="Compact"/>
            </w:pPr>
            <w:r>
              <w:t>Wealth Gap (pp)</w:t>
            </w:r>
          </w:p>
        </w:tc>
      </w:tr>
      <w:tr w:rsidR="00816A22" w:rsidTr="00A45CD2">
        <w:tc>
          <w:tcPr>
            <w:tcW w:w="1320" w:type="dxa"/>
          </w:tcPr>
          <w:p w:rsidR="00816A22" w:rsidRDefault="00000000">
            <w:pPr>
              <w:pStyle w:val="Compact"/>
            </w:pPr>
            <w:r>
              <w:rPr>
                <w:b/>
                <w:bCs/>
              </w:rPr>
              <w:t>Antenatal Care (≥4 visits)</w:t>
            </w: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r>
      <w:tr w:rsidR="00816A22" w:rsidTr="00A45CD2">
        <w:tc>
          <w:tcPr>
            <w:tcW w:w="1320" w:type="dxa"/>
          </w:tcPr>
          <w:p w:rsidR="00816A22" w:rsidRDefault="00000000">
            <w:pPr>
              <w:pStyle w:val="Compact"/>
            </w:pPr>
            <w:r>
              <w:t>Northern</w:t>
            </w:r>
          </w:p>
        </w:tc>
        <w:tc>
          <w:tcPr>
            <w:tcW w:w="1320" w:type="dxa"/>
          </w:tcPr>
          <w:p w:rsidR="00816A22" w:rsidRDefault="00000000">
            <w:pPr>
              <w:pStyle w:val="Compact"/>
            </w:pPr>
            <w:r>
              <w:t>35.2</w:t>
            </w:r>
          </w:p>
        </w:tc>
        <w:tc>
          <w:tcPr>
            <w:tcW w:w="1320" w:type="dxa"/>
          </w:tcPr>
          <w:p w:rsidR="00816A22" w:rsidRDefault="00000000">
            <w:pPr>
              <w:pStyle w:val="Compact"/>
            </w:pPr>
            <w:r>
              <w:t>(31.4-39.0)</w:t>
            </w:r>
          </w:p>
        </w:tc>
        <w:tc>
          <w:tcPr>
            <w:tcW w:w="1320" w:type="dxa"/>
          </w:tcPr>
          <w:p w:rsidR="00816A22" w:rsidRDefault="00000000">
            <w:pPr>
              <w:pStyle w:val="Compact"/>
            </w:pPr>
            <w:r>
              <w:t>9.8</w:t>
            </w:r>
          </w:p>
        </w:tc>
        <w:tc>
          <w:tcPr>
            <w:tcW w:w="1320" w:type="dxa"/>
          </w:tcPr>
          <w:p w:rsidR="00816A22" w:rsidRDefault="00000000">
            <w:pPr>
              <w:pStyle w:val="Compact"/>
            </w:pPr>
            <w:r>
              <w:t>44.2</w:t>
            </w:r>
          </w:p>
        </w:tc>
        <w:tc>
          <w:tcPr>
            <w:tcW w:w="1320" w:type="dxa"/>
          </w:tcPr>
          <w:p w:rsidR="00816A22" w:rsidRDefault="00000000">
            <w:pPr>
              <w:pStyle w:val="Compact"/>
            </w:pPr>
            <w:r>
              <w:t>34.4</w:t>
            </w:r>
          </w:p>
        </w:tc>
      </w:tr>
      <w:tr w:rsidR="00816A22" w:rsidTr="00A45CD2">
        <w:tc>
          <w:tcPr>
            <w:tcW w:w="1320" w:type="dxa"/>
          </w:tcPr>
          <w:p w:rsidR="00816A22" w:rsidRDefault="00000000">
            <w:pPr>
              <w:pStyle w:val="Compact"/>
            </w:pPr>
            <w:r>
              <w:t>Central</w:t>
            </w:r>
          </w:p>
        </w:tc>
        <w:tc>
          <w:tcPr>
            <w:tcW w:w="1320" w:type="dxa"/>
          </w:tcPr>
          <w:p w:rsidR="00816A22" w:rsidRDefault="00000000">
            <w:pPr>
              <w:pStyle w:val="Compact"/>
            </w:pPr>
            <w:r>
              <w:t>38.6</w:t>
            </w:r>
          </w:p>
        </w:tc>
        <w:tc>
          <w:tcPr>
            <w:tcW w:w="1320" w:type="dxa"/>
          </w:tcPr>
          <w:p w:rsidR="00816A22" w:rsidRDefault="00000000">
            <w:pPr>
              <w:pStyle w:val="Compact"/>
            </w:pPr>
            <w:r>
              <w:t>(34.8-42.4)</w:t>
            </w:r>
          </w:p>
        </w:tc>
        <w:tc>
          <w:tcPr>
            <w:tcW w:w="1320" w:type="dxa"/>
          </w:tcPr>
          <w:p w:rsidR="00816A22" w:rsidRDefault="00000000">
            <w:pPr>
              <w:pStyle w:val="Compact"/>
            </w:pPr>
            <w:r>
              <w:t>13.1</w:t>
            </w:r>
          </w:p>
        </w:tc>
        <w:tc>
          <w:tcPr>
            <w:tcW w:w="1320" w:type="dxa"/>
          </w:tcPr>
          <w:p w:rsidR="00816A22" w:rsidRDefault="00000000">
            <w:pPr>
              <w:pStyle w:val="Compact"/>
            </w:pPr>
            <w:r>
              <w:t>48.3</w:t>
            </w:r>
          </w:p>
        </w:tc>
        <w:tc>
          <w:tcPr>
            <w:tcW w:w="1320" w:type="dxa"/>
          </w:tcPr>
          <w:p w:rsidR="00816A22" w:rsidRDefault="00000000">
            <w:pPr>
              <w:pStyle w:val="Compact"/>
            </w:pPr>
            <w:r>
              <w:t>35.2</w:t>
            </w:r>
          </w:p>
        </w:tc>
      </w:tr>
      <w:tr w:rsidR="00816A22" w:rsidTr="00A45CD2">
        <w:tc>
          <w:tcPr>
            <w:tcW w:w="1320" w:type="dxa"/>
          </w:tcPr>
          <w:p w:rsidR="00816A22" w:rsidRDefault="00000000">
            <w:pPr>
              <w:pStyle w:val="Compact"/>
            </w:pPr>
            <w:r>
              <w:t>Southern</w:t>
            </w:r>
          </w:p>
        </w:tc>
        <w:tc>
          <w:tcPr>
            <w:tcW w:w="1320" w:type="dxa"/>
          </w:tcPr>
          <w:p w:rsidR="00816A22" w:rsidRDefault="00000000">
            <w:pPr>
              <w:pStyle w:val="Compact"/>
            </w:pPr>
            <w:r>
              <w:t>40.8</w:t>
            </w:r>
          </w:p>
        </w:tc>
        <w:tc>
          <w:tcPr>
            <w:tcW w:w="1320" w:type="dxa"/>
          </w:tcPr>
          <w:p w:rsidR="00816A22" w:rsidRDefault="00000000">
            <w:pPr>
              <w:pStyle w:val="Compact"/>
            </w:pPr>
            <w:r>
              <w:t>(36.1-45.5)</w:t>
            </w:r>
          </w:p>
        </w:tc>
        <w:tc>
          <w:tcPr>
            <w:tcW w:w="1320" w:type="dxa"/>
          </w:tcPr>
          <w:p w:rsidR="00816A22" w:rsidRDefault="00000000">
            <w:pPr>
              <w:pStyle w:val="Compact"/>
            </w:pPr>
            <w:r>
              <w:t>14.6</w:t>
            </w:r>
          </w:p>
        </w:tc>
        <w:tc>
          <w:tcPr>
            <w:tcW w:w="1320" w:type="dxa"/>
          </w:tcPr>
          <w:p w:rsidR="00816A22" w:rsidRDefault="00000000">
            <w:pPr>
              <w:pStyle w:val="Compact"/>
            </w:pPr>
            <w:r>
              <w:t>51.7</w:t>
            </w:r>
          </w:p>
        </w:tc>
        <w:tc>
          <w:tcPr>
            <w:tcW w:w="1320" w:type="dxa"/>
          </w:tcPr>
          <w:p w:rsidR="00816A22" w:rsidRDefault="00000000">
            <w:pPr>
              <w:pStyle w:val="Compact"/>
            </w:pPr>
            <w:r>
              <w:t>37.1</w:t>
            </w:r>
          </w:p>
        </w:tc>
      </w:tr>
      <w:tr w:rsidR="00816A22" w:rsidTr="00A45CD2">
        <w:tc>
          <w:tcPr>
            <w:tcW w:w="1320" w:type="dxa"/>
          </w:tcPr>
          <w:p w:rsidR="00816A22" w:rsidRDefault="00000000">
            <w:pPr>
              <w:pStyle w:val="Compact"/>
            </w:pPr>
            <w:r>
              <w:t>Overall</w:t>
            </w:r>
          </w:p>
        </w:tc>
        <w:tc>
          <w:tcPr>
            <w:tcW w:w="1320" w:type="dxa"/>
          </w:tcPr>
          <w:p w:rsidR="00816A22" w:rsidRDefault="00000000">
            <w:pPr>
              <w:pStyle w:val="Compact"/>
            </w:pPr>
            <w:r>
              <w:t>38.1</w:t>
            </w:r>
          </w:p>
        </w:tc>
        <w:tc>
          <w:tcPr>
            <w:tcW w:w="1320" w:type="dxa"/>
          </w:tcPr>
          <w:p w:rsidR="00816A22" w:rsidRDefault="00000000">
            <w:pPr>
              <w:pStyle w:val="Compact"/>
            </w:pPr>
            <w:r>
              <w:t>(35.8-40.4)</w:t>
            </w:r>
          </w:p>
        </w:tc>
        <w:tc>
          <w:tcPr>
            <w:tcW w:w="1320" w:type="dxa"/>
          </w:tcPr>
          <w:p w:rsidR="00816A22" w:rsidRDefault="00000000">
            <w:pPr>
              <w:pStyle w:val="Compact"/>
            </w:pPr>
            <w:r>
              <w:t>12.4</w:t>
            </w:r>
          </w:p>
        </w:tc>
        <w:tc>
          <w:tcPr>
            <w:tcW w:w="1320" w:type="dxa"/>
          </w:tcPr>
          <w:p w:rsidR="00816A22" w:rsidRDefault="00000000">
            <w:pPr>
              <w:pStyle w:val="Compact"/>
            </w:pPr>
            <w:r>
              <w:t>47.1</w:t>
            </w:r>
          </w:p>
        </w:tc>
        <w:tc>
          <w:tcPr>
            <w:tcW w:w="1320" w:type="dxa"/>
          </w:tcPr>
          <w:p w:rsidR="00816A22" w:rsidRDefault="00000000">
            <w:pPr>
              <w:pStyle w:val="Compact"/>
            </w:pPr>
            <w:r>
              <w:t>34.7</w:t>
            </w:r>
          </w:p>
        </w:tc>
      </w:tr>
      <w:tr w:rsidR="00816A22" w:rsidTr="00A45CD2">
        <w:tc>
          <w:tcPr>
            <w:tcW w:w="1320" w:type="dxa"/>
          </w:tcPr>
          <w:p w:rsidR="00816A22" w:rsidRDefault="00000000">
            <w:pPr>
              <w:pStyle w:val="Compact"/>
            </w:pPr>
            <w:r>
              <w:rPr>
                <w:b/>
                <w:bCs/>
              </w:rPr>
              <w:t>Skilled Birth Attendance</w:t>
            </w: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r>
      <w:tr w:rsidR="00816A22" w:rsidTr="00A45CD2">
        <w:tc>
          <w:tcPr>
            <w:tcW w:w="1320" w:type="dxa"/>
          </w:tcPr>
          <w:p w:rsidR="00816A22" w:rsidRDefault="00000000">
            <w:pPr>
              <w:pStyle w:val="Compact"/>
            </w:pPr>
            <w:r>
              <w:t>Northern</w:t>
            </w:r>
          </w:p>
        </w:tc>
        <w:tc>
          <w:tcPr>
            <w:tcW w:w="1320" w:type="dxa"/>
          </w:tcPr>
          <w:p w:rsidR="00816A22" w:rsidRDefault="00000000">
            <w:pPr>
              <w:pStyle w:val="Compact"/>
            </w:pPr>
            <w:r>
              <w:t>22.4</w:t>
            </w:r>
          </w:p>
        </w:tc>
        <w:tc>
          <w:tcPr>
            <w:tcW w:w="1320" w:type="dxa"/>
          </w:tcPr>
          <w:p w:rsidR="00816A22" w:rsidRDefault="00000000">
            <w:pPr>
              <w:pStyle w:val="Compact"/>
            </w:pPr>
            <w:r>
              <w:t>(19.1-25.7)</w:t>
            </w:r>
          </w:p>
        </w:tc>
        <w:tc>
          <w:tcPr>
            <w:tcW w:w="1320" w:type="dxa"/>
          </w:tcPr>
          <w:p w:rsidR="00816A22" w:rsidRDefault="00000000">
            <w:pPr>
              <w:pStyle w:val="Compact"/>
            </w:pPr>
            <w:r>
              <w:t>2.8</w:t>
            </w:r>
          </w:p>
        </w:tc>
        <w:tc>
          <w:tcPr>
            <w:tcW w:w="1320" w:type="dxa"/>
          </w:tcPr>
          <w:p w:rsidR="00816A22" w:rsidRDefault="00000000">
            <w:pPr>
              <w:pStyle w:val="Compact"/>
            </w:pPr>
            <w:r>
              <w:t>36.2</w:t>
            </w:r>
          </w:p>
        </w:tc>
        <w:tc>
          <w:tcPr>
            <w:tcW w:w="1320" w:type="dxa"/>
          </w:tcPr>
          <w:p w:rsidR="00816A22" w:rsidRDefault="00000000">
            <w:pPr>
              <w:pStyle w:val="Compact"/>
            </w:pPr>
            <w:r>
              <w:t>33.4</w:t>
            </w:r>
          </w:p>
        </w:tc>
      </w:tr>
      <w:tr w:rsidR="00816A22" w:rsidTr="00A45CD2">
        <w:tc>
          <w:tcPr>
            <w:tcW w:w="1320" w:type="dxa"/>
          </w:tcPr>
          <w:p w:rsidR="00816A22" w:rsidRDefault="00000000">
            <w:pPr>
              <w:pStyle w:val="Compact"/>
            </w:pPr>
            <w:r>
              <w:lastRenderedPageBreak/>
              <w:t>Central</w:t>
            </w:r>
          </w:p>
        </w:tc>
        <w:tc>
          <w:tcPr>
            <w:tcW w:w="1320" w:type="dxa"/>
          </w:tcPr>
          <w:p w:rsidR="00816A22" w:rsidRDefault="00000000">
            <w:pPr>
              <w:pStyle w:val="Compact"/>
            </w:pPr>
            <w:r>
              <w:t>25.1</w:t>
            </w:r>
          </w:p>
        </w:tc>
        <w:tc>
          <w:tcPr>
            <w:tcW w:w="1320" w:type="dxa"/>
          </w:tcPr>
          <w:p w:rsidR="00816A22" w:rsidRDefault="00000000">
            <w:pPr>
              <w:pStyle w:val="Compact"/>
            </w:pPr>
            <w:r>
              <w:t>(21.8-28.4)</w:t>
            </w:r>
          </w:p>
        </w:tc>
        <w:tc>
          <w:tcPr>
            <w:tcW w:w="1320" w:type="dxa"/>
          </w:tcPr>
          <w:p w:rsidR="00816A22" w:rsidRDefault="00000000">
            <w:pPr>
              <w:pStyle w:val="Compact"/>
            </w:pPr>
            <w:r>
              <w:t>4.2</w:t>
            </w:r>
          </w:p>
        </w:tc>
        <w:tc>
          <w:tcPr>
            <w:tcW w:w="1320" w:type="dxa"/>
          </w:tcPr>
          <w:p w:rsidR="00816A22" w:rsidRDefault="00000000">
            <w:pPr>
              <w:pStyle w:val="Compact"/>
            </w:pPr>
            <w:r>
              <w:t>40.1</w:t>
            </w:r>
          </w:p>
        </w:tc>
        <w:tc>
          <w:tcPr>
            <w:tcW w:w="1320" w:type="dxa"/>
          </w:tcPr>
          <w:p w:rsidR="00816A22" w:rsidRDefault="00000000">
            <w:pPr>
              <w:pStyle w:val="Compact"/>
            </w:pPr>
            <w:r>
              <w:t>35.9</w:t>
            </w:r>
          </w:p>
        </w:tc>
      </w:tr>
      <w:tr w:rsidR="00816A22" w:rsidTr="00A45CD2">
        <w:tc>
          <w:tcPr>
            <w:tcW w:w="1320" w:type="dxa"/>
          </w:tcPr>
          <w:p w:rsidR="00816A22" w:rsidRDefault="00000000">
            <w:pPr>
              <w:pStyle w:val="Compact"/>
            </w:pPr>
            <w:r>
              <w:t>Southern</w:t>
            </w:r>
          </w:p>
        </w:tc>
        <w:tc>
          <w:tcPr>
            <w:tcW w:w="1320" w:type="dxa"/>
          </w:tcPr>
          <w:p w:rsidR="00816A22" w:rsidRDefault="00000000">
            <w:pPr>
              <w:pStyle w:val="Compact"/>
            </w:pPr>
            <w:r>
              <w:t>27.3</w:t>
            </w:r>
          </w:p>
        </w:tc>
        <w:tc>
          <w:tcPr>
            <w:tcW w:w="1320" w:type="dxa"/>
          </w:tcPr>
          <w:p w:rsidR="00816A22" w:rsidRDefault="00000000">
            <w:pPr>
              <w:pStyle w:val="Compact"/>
            </w:pPr>
            <w:r>
              <w:t>(23.2-31.4)</w:t>
            </w:r>
          </w:p>
        </w:tc>
        <w:tc>
          <w:tcPr>
            <w:tcW w:w="1320" w:type="dxa"/>
          </w:tcPr>
          <w:p w:rsidR="00816A22" w:rsidRDefault="00000000">
            <w:pPr>
              <w:pStyle w:val="Compact"/>
            </w:pPr>
            <w:r>
              <w:t>5.3</w:t>
            </w:r>
          </w:p>
        </w:tc>
        <w:tc>
          <w:tcPr>
            <w:tcW w:w="1320" w:type="dxa"/>
          </w:tcPr>
          <w:p w:rsidR="00816A22" w:rsidRDefault="00000000">
            <w:pPr>
              <w:pStyle w:val="Compact"/>
            </w:pPr>
            <w:r>
              <w:t>42.8</w:t>
            </w:r>
          </w:p>
        </w:tc>
        <w:tc>
          <w:tcPr>
            <w:tcW w:w="1320" w:type="dxa"/>
          </w:tcPr>
          <w:p w:rsidR="00816A22" w:rsidRDefault="00000000">
            <w:pPr>
              <w:pStyle w:val="Compact"/>
            </w:pPr>
            <w:r>
              <w:t>37.5</w:t>
            </w:r>
          </w:p>
        </w:tc>
      </w:tr>
      <w:tr w:rsidR="00816A22" w:rsidTr="00A45CD2">
        <w:tc>
          <w:tcPr>
            <w:tcW w:w="1320" w:type="dxa"/>
          </w:tcPr>
          <w:p w:rsidR="00816A22" w:rsidRDefault="00000000">
            <w:pPr>
              <w:pStyle w:val="Compact"/>
            </w:pPr>
            <w:r>
              <w:t>Overall</w:t>
            </w:r>
          </w:p>
        </w:tc>
        <w:tc>
          <w:tcPr>
            <w:tcW w:w="1320" w:type="dxa"/>
          </w:tcPr>
          <w:p w:rsidR="00816A22" w:rsidRDefault="00000000">
            <w:pPr>
              <w:pStyle w:val="Compact"/>
            </w:pPr>
            <w:r>
              <w:t>24.7</w:t>
            </w:r>
          </w:p>
        </w:tc>
        <w:tc>
          <w:tcPr>
            <w:tcW w:w="1320" w:type="dxa"/>
          </w:tcPr>
          <w:p w:rsidR="00816A22" w:rsidRDefault="00000000">
            <w:pPr>
              <w:pStyle w:val="Compact"/>
            </w:pPr>
            <w:r>
              <w:t>(22.8-26.6)</w:t>
            </w:r>
          </w:p>
        </w:tc>
        <w:tc>
          <w:tcPr>
            <w:tcW w:w="1320" w:type="dxa"/>
          </w:tcPr>
          <w:p w:rsidR="00816A22" w:rsidRDefault="00000000">
            <w:pPr>
              <w:pStyle w:val="Compact"/>
            </w:pPr>
            <w:r>
              <w:t>4.1</w:t>
            </w:r>
          </w:p>
        </w:tc>
        <w:tc>
          <w:tcPr>
            <w:tcW w:w="1320" w:type="dxa"/>
          </w:tcPr>
          <w:p w:rsidR="00816A22" w:rsidRDefault="00000000">
            <w:pPr>
              <w:pStyle w:val="Compact"/>
            </w:pPr>
            <w:r>
              <w:t>39.7</w:t>
            </w:r>
          </w:p>
        </w:tc>
        <w:tc>
          <w:tcPr>
            <w:tcW w:w="1320" w:type="dxa"/>
          </w:tcPr>
          <w:p w:rsidR="00816A22" w:rsidRDefault="00000000">
            <w:pPr>
              <w:pStyle w:val="Compact"/>
            </w:pPr>
            <w:r>
              <w:t>35.6</w:t>
            </w:r>
          </w:p>
        </w:tc>
      </w:tr>
      <w:tr w:rsidR="00816A22" w:rsidTr="00A45CD2">
        <w:tc>
          <w:tcPr>
            <w:tcW w:w="1320" w:type="dxa"/>
          </w:tcPr>
          <w:p w:rsidR="00816A22" w:rsidRDefault="00000000">
            <w:pPr>
              <w:pStyle w:val="Compact"/>
            </w:pPr>
            <w:r>
              <w:rPr>
                <w:b/>
                <w:bCs/>
              </w:rPr>
              <w:t>Postnatal Care</w:t>
            </w: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c>
          <w:tcPr>
            <w:tcW w:w="1320" w:type="dxa"/>
          </w:tcPr>
          <w:p w:rsidR="00816A22" w:rsidRDefault="00816A22">
            <w:pPr>
              <w:pStyle w:val="Compact"/>
            </w:pPr>
          </w:p>
        </w:tc>
      </w:tr>
      <w:tr w:rsidR="00816A22" w:rsidTr="00A45CD2">
        <w:tc>
          <w:tcPr>
            <w:tcW w:w="1320" w:type="dxa"/>
          </w:tcPr>
          <w:p w:rsidR="00816A22" w:rsidRDefault="00000000">
            <w:pPr>
              <w:pStyle w:val="Compact"/>
            </w:pPr>
            <w:r>
              <w:t>Northern</w:t>
            </w:r>
          </w:p>
        </w:tc>
        <w:tc>
          <w:tcPr>
            <w:tcW w:w="1320" w:type="dxa"/>
          </w:tcPr>
          <w:p w:rsidR="00816A22" w:rsidRDefault="00000000">
            <w:pPr>
              <w:pStyle w:val="Compact"/>
            </w:pPr>
            <w:r>
              <w:t>13.8</w:t>
            </w:r>
          </w:p>
        </w:tc>
        <w:tc>
          <w:tcPr>
            <w:tcW w:w="1320" w:type="dxa"/>
          </w:tcPr>
          <w:p w:rsidR="00816A22" w:rsidRDefault="00000000">
            <w:pPr>
              <w:pStyle w:val="Compact"/>
            </w:pPr>
            <w:r>
              <w:t>(11.2-16.4)</w:t>
            </w:r>
          </w:p>
        </w:tc>
        <w:tc>
          <w:tcPr>
            <w:tcW w:w="1320" w:type="dxa"/>
          </w:tcPr>
          <w:p w:rsidR="00816A22" w:rsidRDefault="00000000">
            <w:pPr>
              <w:pStyle w:val="Compact"/>
            </w:pPr>
            <w:r>
              <w:t>0.9</w:t>
            </w:r>
          </w:p>
        </w:tc>
        <w:tc>
          <w:tcPr>
            <w:tcW w:w="1320" w:type="dxa"/>
          </w:tcPr>
          <w:p w:rsidR="00816A22" w:rsidRDefault="00000000">
            <w:pPr>
              <w:pStyle w:val="Compact"/>
            </w:pPr>
            <w:r>
              <w:t>18.4</w:t>
            </w:r>
          </w:p>
        </w:tc>
        <w:tc>
          <w:tcPr>
            <w:tcW w:w="1320" w:type="dxa"/>
          </w:tcPr>
          <w:p w:rsidR="00816A22" w:rsidRDefault="00000000">
            <w:pPr>
              <w:pStyle w:val="Compact"/>
            </w:pPr>
            <w:r>
              <w:t>17.5</w:t>
            </w:r>
          </w:p>
        </w:tc>
      </w:tr>
      <w:tr w:rsidR="00816A22" w:rsidTr="00A45CD2">
        <w:tc>
          <w:tcPr>
            <w:tcW w:w="1320" w:type="dxa"/>
          </w:tcPr>
          <w:p w:rsidR="00816A22" w:rsidRDefault="00000000">
            <w:pPr>
              <w:pStyle w:val="Compact"/>
            </w:pPr>
            <w:r>
              <w:t>Central</w:t>
            </w:r>
          </w:p>
        </w:tc>
        <w:tc>
          <w:tcPr>
            <w:tcW w:w="1320" w:type="dxa"/>
          </w:tcPr>
          <w:p w:rsidR="00816A22" w:rsidRDefault="00000000">
            <w:pPr>
              <w:pStyle w:val="Compact"/>
            </w:pPr>
            <w:r>
              <w:t>15.6</w:t>
            </w:r>
          </w:p>
        </w:tc>
        <w:tc>
          <w:tcPr>
            <w:tcW w:w="1320" w:type="dxa"/>
          </w:tcPr>
          <w:p w:rsidR="00816A22" w:rsidRDefault="00000000">
            <w:pPr>
              <w:pStyle w:val="Compact"/>
            </w:pPr>
            <w:r>
              <w:t>(13.1-18.1)</w:t>
            </w:r>
          </w:p>
        </w:tc>
        <w:tc>
          <w:tcPr>
            <w:tcW w:w="1320" w:type="dxa"/>
          </w:tcPr>
          <w:p w:rsidR="00816A22" w:rsidRDefault="00000000">
            <w:pPr>
              <w:pStyle w:val="Compact"/>
            </w:pPr>
            <w:r>
              <w:t>1.5</w:t>
            </w:r>
          </w:p>
        </w:tc>
        <w:tc>
          <w:tcPr>
            <w:tcW w:w="1320" w:type="dxa"/>
          </w:tcPr>
          <w:p w:rsidR="00816A22" w:rsidRDefault="00000000">
            <w:pPr>
              <w:pStyle w:val="Compact"/>
            </w:pPr>
            <w:r>
              <w:t>20.2</w:t>
            </w:r>
          </w:p>
        </w:tc>
        <w:tc>
          <w:tcPr>
            <w:tcW w:w="1320" w:type="dxa"/>
          </w:tcPr>
          <w:p w:rsidR="00816A22" w:rsidRDefault="00000000">
            <w:pPr>
              <w:pStyle w:val="Compact"/>
            </w:pPr>
            <w:r>
              <w:t>18.7</w:t>
            </w:r>
          </w:p>
        </w:tc>
      </w:tr>
      <w:tr w:rsidR="00816A22" w:rsidTr="00A45CD2">
        <w:tc>
          <w:tcPr>
            <w:tcW w:w="1320" w:type="dxa"/>
          </w:tcPr>
          <w:p w:rsidR="00816A22" w:rsidRDefault="00000000">
            <w:pPr>
              <w:pStyle w:val="Compact"/>
            </w:pPr>
            <w:r>
              <w:t>Southern</w:t>
            </w:r>
          </w:p>
        </w:tc>
        <w:tc>
          <w:tcPr>
            <w:tcW w:w="1320" w:type="dxa"/>
          </w:tcPr>
          <w:p w:rsidR="00816A22" w:rsidRDefault="00000000">
            <w:pPr>
              <w:pStyle w:val="Compact"/>
            </w:pPr>
            <w:r>
              <w:t>16.9</w:t>
            </w:r>
          </w:p>
        </w:tc>
        <w:tc>
          <w:tcPr>
            <w:tcW w:w="1320" w:type="dxa"/>
          </w:tcPr>
          <w:p w:rsidR="00816A22" w:rsidRDefault="00000000">
            <w:pPr>
              <w:pStyle w:val="Compact"/>
            </w:pPr>
            <w:r>
              <w:t>(13.8-20.0)</w:t>
            </w:r>
          </w:p>
        </w:tc>
        <w:tc>
          <w:tcPr>
            <w:tcW w:w="1320" w:type="dxa"/>
          </w:tcPr>
          <w:p w:rsidR="00816A22" w:rsidRDefault="00000000">
            <w:pPr>
              <w:pStyle w:val="Compact"/>
            </w:pPr>
            <w:r>
              <w:t>2.1</w:t>
            </w:r>
          </w:p>
        </w:tc>
        <w:tc>
          <w:tcPr>
            <w:tcW w:w="1320" w:type="dxa"/>
          </w:tcPr>
          <w:p w:rsidR="00816A22" w:rsidRDefault="00000000">
            <w:pPr>
              <w:pStyle w:val="Compact"/>
            </w:pPr>
            <w:r>
              <w:t>21.8</w:t>
            </w:r>
          </w:p>
        </w:tc>
        <w:tc>
          <w:tcPr>
            <w:tcW w:w="1320" w:type="dxa"/>
          </w:tcPr>
          <w:p w:rsidR="00816A22" w:rsidRDefault="00000000">
            <w:pPr>
              <w:pStyle w:val="Compact"/>
            </w:pPr>
            <w:r>
              <w:t>19.7</w:t>
            </w:r>
          </w:p>
        </w:tc>
      </w:tr>
      <w:tr w:rsidR="00816A22" w:rsidTr="00A45CD2">
        <w:tc>
          <w:tcPr>
            <w:tcW w:w="1320" w:type="dxa"/>
          </w:tcPr>
          <w:p w:rsidR="00816A22" w:rsidRDefault="00000000">
            <w:pPr>
              <w:pStyle w:val="Compact"/>
            </w:pPr>
            <w:r>
              <w:t>Overall</w:t>
            </w:r>
          </w:p>
        </w:tc>
        <w:tc>
          <w:tcPr>
            <w:tcW w:w="1320" w:type="dxa"/>
          </w:tcPr>
          <w:p w:rsidR="00816A22" w:rsidRDefault="00000000">
            <w:pPr>
              <w:pStyle w:val="Compact"/>
            </w:pPr>
            <w:r>
              <w:t>15.2</w:t>
            </w:r>
          </w:p>
        </w:tc>
        <w:tc>
          <w:tcPr>
            <w:tcW w:w="1320" w:type="dxa"/>
          </w:tcPr>
          <w:p w:rsidR="00816A22" w:rsidRDefault="00000000">
            <w:pPr>
              <w:pStyle w:val="Compact"/>
            </w:pPr>
            <w:r>
              <w:t>(13.8-16.6)</w:t>
            </w:r>
          </w:p>
        </w:tc>
        <w:tc>
          <w:tcPr>
            <w:tcW w:w="1320" w:type="dxa"/>
          </w:tcPr>
          <w:p w:rsidR="00816A22" w:rsidRDefault="00000000">
            <w:pPr>
              <w:pStyle w:val="Compact"/>
            </w:pPr>
            <w:r>
              <w:t>1.8</w:t>
            </w:r>
          </w:p>
        </w:tc>
        <w:tc>
          <w:tcPr>
            <w:tcW w:w="1320" w:type="dxa"/>
          </w:tcPr>
          <w:p w:rsidR="00816A22" w:rsidRDefault="00000000">
            <w:pPr>
              <w:pStyle w:val="Compact"/>
            </w:pPr>
            <w:r>
              <w:t>28.7</w:t>
            </w:r>
          </w:p>
        </w:tc>
        <w:tc>
          <w:tcPr>
            <w:tcW w:w="1320" w:type="dxa"/>
          </w:tcPr>
          <w:p w:rsidR="00816A22" w:rsidRDefault="00000000">
            <w:pPr>
              <w:pStyle w:val="Compact"/>
            </w:pPr>
            <w:r>
              <w:t>26.9</w:t>
            </w:r>
          </w:p>
        </w:tc>
      </w:tr>
    </w:tbl>
    <w:p w:rsidR="00816A22" w:rsidRDefault="00000000">
      <w:r>
        <w:pict>
          <v:rect id="_x0000_i1028" style="width:0;height:1.5pt" o:hralign="center" o:hrstd="t" o:hr="t"/>
        </w:pict>
      </w:r>
    </w:p>
    <w:p w:rsidR="00816A22" w:rsidRDefault="00000000">
      <w:pPr>
        <w:pStyle w:val="Heading3"/>
      </w:pPr>
      <w:bookmarkStart w:id="10" w:name="Xbcdd2c1c017e9e29b6a9d71543f5f1b53f7e587"/>
      <w:bookmarkEnd w:id="9"/>
      <w:r>
        <w:t>Supplementary Table 8: Wagstaff Decomposition Analysis—Determinants of Wealth-Based Inequality in ANC (2022-2023 MICS)</w:t>
      </w:r>
    </w:p>
    <w:tbl>
      <w:tblPr>
        <w:tblStyle w:val="TableGrid"/>
        <w:tblW w:w="5000" w:type="pct"/>
        <w:tblLayout w:type="fixed"/>
        <w:tblLook w:val="0020" w:firstRow="1" w:lastRow="0" w:firstColumn="0" w:lastColumn="0" w:noHBand="0" w:noVBand="0"/>
      </w:tblPr>
      <w:tblGrid>
        <w:gridCol w:w="1772"/>
        <w:gridCol w:w="1771"/>
        <w:gridCol w:w="1771"/>
        <w:gridCol w:w="1771"/>
        <w:gridCol w:w="1771"/>
      </w:tblGrid>
      <w:tr w:rsidR="00816A22" w:rsidTr="00A45CD2">
        <w:tc>
          <w:tcPr>
            <w:tcW w:w="1584" w:type="dxa"/>
          </w:tcPr>
          <w:p w:rsidR="00816A22" w:rsidRDefault="00000000">
            <w:pPr>
              <w:pStyle w:val="Compact"/>
            </w:pPr>
            <w:r>
              <w:t>Variable</w:t>
            </w:r>
          </w:p>
        </w:tc>
        <w:tc>
          <w:tcPr>
            <w:tcW w:w="1584" w:type="dxa"/>
          </w:tcPr>
          <w:p w:rsidR="00816A22" w:rsidRDefault="00000000">
            <w:pPr>
              <w:pStyle w:val="Compact"/>
            </w:pPr>
            <w:r>
              <w:t>Elasticity</w:t>
            </w:r>
          </w:p>
        </w:tc>
        <w:tc>
          <w:tcPr>
            <w:tcW w:w="1584" w:type="dxa"/>
          </w:tcPr>
          <w:p w:rsidR="00816A22" w:rsidRDefault="00000000">
            <w:pPr>
              <w:pStyle w:val="Compact"/>
            </w:pPr>
            <w:r>
              <w:t>Concentration Index</w:t>
            </w:r>
          </w:p>
        </w:tc>
        <w:tc>
          <w:tcPr>
            <w:tcW w:w="1584" w:type="dxa"/>
          </w:tcPr>
          <w:p w:rsidR="00816A22" w:rsidRDefault="00000000">
            <w:pPr>
              <w:pStyle w:val="Compact"/>
            </w:pPr>
            <w:r>
              <w:t>Contribution (%)</w:t>
            </w:r>
          </w:p>
        </w:tc>
        <w:tc>
          <w:tcPr>
            <w:tcW w:w="1584" w:type="dxa"/>
          </w:tcPr>
          <w:p w:rsidR="00816A22" w:rsidRDefault="00000000">
            <w:pPr>
              <w:pStyle w:val="Compact"/>
            </w:pPr>
            <w:r>
              <w:t>Factor Category</w:t>
            </w:r>
          </w:p>
        </w:tc>
      </w:tr>
      <w:tr w:rsidR="00816A22" w:rsidTr="00A45CD2">
        <w:tc>
          <w:tcPr>
            <w:tcW w:w="1584" w:type="dxa"/>
          </w:tcPr>
          <w:p w:rsidR="00816A22" w:rsidRDefault="00000000">
            <w:pPr>
              <w:pStyle w:val="Compact"/>
            </w:pPr>
            <w:r>
              <w:rPr>
                <w:b/>
                <w:bCs/>
              </w:rPr>
              <w:t>Modifiable Factors</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Wealth quintile</w:t>
            </w:r>
          </w:p>
        </w:tc>
        <w:tc>
          <w:tcPr>
            <w:tcW w:w="1584" w:type="dxa"/>
          </w:tcPr>
          <w:p w:rsidR="00816A22" w:rsidRDefault="00000000">
            <w:pPr>
              <w:pStyle w:val="Compact"/>
            </w:pPr>
            <w:r>
              <w:t>0.342</w:t>
            </w:r>
          </w:p>
        </w:tc>
        <w:tc>
          <w:tcPr>
            <w:tcW w:w="1584" w:type="dxa"/>
          </w:tcPr>
          <w:p w:rsidR="00816A22" w:rsidRDefault="00000000">
            <w:pPr>
              <w:pStyle w:val="Compact"/>
            </w:pPr>
            <w:r>
              <w:t>0.891</w:t>
            </w:r>
          </w:p>
        </w:tc>
        <w:tc>
          <w:tcPr>
            <w:tcW w:w="1584" w:type="dxa"/>
          </w:tcPr>
          <w:p w:rsidR="00816A22" w:rsidRDefault="00000000">
            <w:pPr>
              <w:pStyle w:val="Compact"/>
            </w:pPr>
            <w:r>
              <w:t>39.2</w:t>
            </w:r>
          </w:p>
        </w:tc>
        <w:tc>
          <w:tcPr>
            <w:tcW w:w="1584" w:type="dxa"/>
          </w:tcPr>
          <w:p w:rsidR="00816A22" w:rsidRDefault="00000000">
            <w:pPr>
              <w:pStyle w:val="Compact"/>
            </w:pPr>
            <w:r>
              <w:t>Wealth/SES</w:t>
            </w:r>
          </w:p>
        </w:tc>
      </w:tr>
      <w:tr w:rsidR="00816A22" w:rsidTr="00A45CD2">
        <w:tc>
          <w:tcPr>
            <w:tcW w:w="1584" w:type="dxa"/>
          </w:tcPr>
          <w:p w:rsidR="00816A22" w:rsidRDefault="00000000">
            <w:pPr>
              <w:pStyle w:val="Compact"/>
            </w:pPr>
            <w:r>
              <w:t>Maternal education</w:t>
            </w:r>
          </w:p>
        </w:tc>
        <w:tc>
          <w:tcPr>
            <w:tcW w:w="1584" w:type="dxa"/>
          </w:tcPr>
          <w:p w:rsidR="00816A22" w:rsidRDefault="00000000">
            <w:pPr>
              <w:pStyle w:val="Compact"/>
            </w:pPr>
            <w:r>
              <w:t>0.124</w:t>
            </w:r>
          </w:p>
        </w:tc>
        <w:tc>
          <w:tcPr>
            <w:tcW w:w="1584" w:type="dxa"/>
          </w:tcPr>
          <w:p w:rsidR="00816A22" w:rsidRDefault="00000000">
            <w:pPr>
              <w:pStyle w:val="Compact"/>
            </w:pPr>
            <w:r>
              <w:t>0.687</w:t>
            </w:r>
          </w:p>
        </w:tc>
        <w:tc>
          <w:tcPr>
            <w:tcW w:w="1584" w:type="dxa"/>
          </w:tcPr>
          <w:p w:rsidR="00816A22" w:rsidRDefault="00000000">
            <w:pPr>
              <w:pStyle w:val="Compact"/>
            </w:pPr>
            <w:r>
              <w:t>12.8</w:t>
            </w:r>
          </w:p>
        </w:tc>
        <w:tc>
          <w:tcPr>
            <w:tcW w:w="1584" w:type="dxa"/>
          </w:tcPr>
          <w:p w:rsidR="00816A22" w:rsidRDefault="00000000">
            <w:pPr>
              <w:pStyle w:val="Compact"/>
            </w:pPr>
            <w:r>
              <w:t>Education</w:t>
            </w:r>
          </w:p>
        </w:tc>
      </w:tr>
      <w:tr w:rsidR="00816A22" w:rsidTr="00A45CD2">
        <w:tc>
          <w:tcPr>
            <w:tcW w:w="1584" w:type="dxa"/>
          </w:tcPr>
          <w:p w:rsidR="00816A22" w:rsidRDefault="00000000">
            <w:pPr>
              <w:pStyle w:val="Compact"/>
            </w:pPr>
            <w:r>
              <w:t>Media exposure</w:t>
            </w:r>
          </w:p>
        </w:tc>
        <w:tc>
          <w:tcPr>
            <w:tcW w:w="1584" w:type="dxa"/>
          </w:tcPr>
          <w:p w:rsidR="00816A22" w:rsidRDefault="00000000">
            <w:pPr>
              <w:pStyle w:val="Compact"/>
            </w:pPr>
            <w:r>
              <w:t>0.056</w:t>
            </w:r>
          </w:p>
        </w:tc>
        <w:tc>
          <w:tcPr>
            <w:tcW w:w="1584" w:type="dxa"/>
          </w:tcPr>
          <w:p w:rsidR="00816A22" w:rsidRDefault="00000000">
            <w:pPr>
              <w:pStyle w:val="Compact"/>
            </w:pPr>
            <w:r>
              <w:t>0.587</w:t>
            </w:r>
          </w:p>
        </w:tc>
        <w:tc>
          <w:tcPr>
            <w:tcW w:w="1584" w:type="dxa"/>
          </w:tcPr>
          <w:p w:rsidR="00816A22" w:rsidRDefault="00000000">
            <w:pPr>
              <w:pStyle w:val="Compact"/>
            </w:pPr>
            <w:r>
              <w:t>6.1</w:t>
            </w:r>
          </w:p>
        </w:tc>
        <w:tc>
          <w:tcPr>
            <w:tcW w:w="1584" w:type="dxa"/>
          </w:tcPr>
          <w:p w:rsidR="00816A22" w:rsidRDefault="00000000">
            <w:pPr>
              <w:pStyle w:val="Compact"/>
            </w:pPr>
            <w:r>
              <w:t>Information access</w:t>
            </w:r>
          </w:p>
        </w:tc>
      </w:tr>
      <w:tr w:rsidR="00816A22" w:rsidTr="00A45CD2">
        <w:tc>
          <w:tcPr>
            <w:tcW w:w="1584" w:type="dxa"/>
          </w:tcPr>
          <w:p w:rsidR="00816A22" w:rsidRDefault="00000000">
            <w:pPr>
              <w:pStyle w:val="Compact"/>
            </w:pPr>
            <w:r>
              <w:t>Occupation (formal)</w:t>
            </w:r>
          </w:p>
        </w:tc>
        <w:tc>
          <w:tcPr>
            <w:tcW w:w="1584" w:type="dxa"/>
          </w:tcPr>
          <w:p w:rsidR="00816A22" w:rsidRDefault="00000000">
            <w:pPr>
              <w:pStyle w:val="Compact"/>
            </w:pPr>
            <w:r>
              <w:t>0.031</w:t>
            </w:r>
          </w:p>
        </w:tc>
        <w:tc>
          <w:tcPr>
            <w:tcW w:w="1584" w:type="dxa"/>
          </w:tcPr>
          <w:p w:rsidR="00816A22" w:rsidRDefault="00000000">
            <w:pPr>
              <w:pStyle w:val="Compact"/>
            </w:pPr>
            <w:r>
              <w:t>0.542</w:t>
            </w:r>
          </w:p>
        </w:tc>
        <w:tc>
          <w:tcPr>
            <w:tcW w:w="1584" w:type="dxa"/>
          </w:tcPr>
          <w:p w:rsidR="00816A22" w:rsidRDefault="00000000">
            <w:pPr>
              <w:pStyle w:val="Compact"/>
            </w:pPr>
            <w:r>
              <w:t>2.8</w:t>
            </w:r>
          </w:p>
        </w:tc>
        <w:tc>
          <w:tcPr>
            <w:tcW w:w="1584" w:type="dxa"/>
          </w:tcPr>
          <w:p w:rsidR="00816A22" w:rsidRDefault="00000000">
            <w:pPr>
              <w:pStyle w:val="Compact"/>
            </w:pPr>
            <w:r>
              <w:t>Economic activity</w:t>
            </w:r>
          </w:p>
        </w:tc>
      </w:tr>
      <w:tr w:rsidR="00816A22" w:rsidTr="00A45CD2">
        <w:tc>
          <w:tcPr>
            <w:tcW w:w="1584" w:type="dxa"/>
          </w:tcPr>
          <w:p w:rsidR="00816A22" w:rsidRDefault="00000000">
            <w:pPr>
              <w:pStyle w:val="Compact"/>
            </w:pPr>
            <w:r>
              <w:rPr>
                <w:b/>
                <w:bCs/>
              </w:rPr>
              <w:t>Subtotal Modifiable Factors</w:t>
            </w:r>
          </w:p>
        </w:tc>
        <w:tc>
          <w:tcPr>
            <w:tcW w:w="1584" w:type="dxa"/>
          </w:tcPr>
          <w:p w:rsidR="00816A22" w:rsidRDefault="00000000">
            <w:pPr>
              <w:pStyle w:val="Compact"/>
            </w:pPr>
            <w:r>
              <w:t>—</w:t>
            </w:r>
          </w:p>
        </w:tc>
        <w:tc>
          <w:tcPr>
            <w:tcW w:w="1584" w:type="dxa"/>
          </w:tcPr>
          <w:p w:rsidR="00816A22" w:rsidRDefault="00000000">
            <w:pPr>
              <w:pStyle w:val="Compact"/>
            </w:pPr>
            <w:r>
              <w:t>—</w:t>
            </w:r>
          </w:p>
        </w:tc>
        <w:tc>
          <w:tcPr>
            <w:tcW w:w="1584" w:type="dxa"/>
          </w:tcPr>
          <w:p w:rsidR="00816A22" w:rsidRDefault="00000000">
            <w:pPr>
              <w:pStyle w:val="Compact"/>
            </w:pPr>
            <w:r>
              <w:rPr>
                <w:b/>
                <w:bCs/>
              </w:rPr>
              <w:t>58.1%</w:t>
            </w:r>
          </w:p>
        </w:tc>
        <w:tc>
          <w:tcPr>
            <w:tcW w:w="1584" w:type="dxa"/>
          </w:tcPr>
          <w:p w:rsidR="00816A22" w:rsidRDefault="00816A22">
            <w:pPr>
              <w:pStyle w:val="Compact"/>
            </w:pPr>
          </w:p>
        </w:tc>
      </w:tr>
      <w:tr w:rsidR="00816A22" w:rsidTr="00A45CD2">
        <w:tc>
          <w:tcPr>
            <w:tcW w:w="1584" w:type="dxa"/>
          </w:tcPr>
          <w:p w:rsidR="00816A22" w:rsidRDefault="00000000">
            <w:pPr>
              <w:pStyle w:val="Compact"/>
            </w:pPr>
            <w:r>
              <w:rPr>
                <w:b/>
                <w:bCs/>
              </w:rPr>
              <w:t>Non-Modifiable Factors</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Age (15-24 years ref.)</w:t>
            </w:r>
          </w:p>
        </w:tc>
        <w:tc>
          <w:tcPr>
            <w:tcW w:w="1584" w:type="dxa"/>
          </w:tcPr>
          <w:p w:rsidR="00816A22" w:rsidRDefault="00000000">
            <w:pPr>
              <w:pStyle w:val="Compact"/>
            </w:pPr>
            <w:r>
              <w:t>0.084</w:t>
            </w:r>
          </w:p>
        </w:tc>
        <w:tc>
          <w:tcPr>
            <w:tcW w:w="1584" w:type="dxa"/>
          </w:tcPr>
          <w:p w:rsidR="00816A22" w:rsidRDefault="00000000">
            <w:pPr>
              <w:pStyle w:val="Compact"/>
            </w:pPr>
            <w:r>
              <w:t>0.562</w:t>
            </w:r>
          </w:p>
        </w:tc>
        <w:tc>
          <w:tcPr>
            <w:tcW w:w="1584" w:type="dxa"/>
          </w:tcPr>
          <w:p w:rsidR="00816A22" w:rsidRDefault="00000000">
            <w:pPr>
              <w:pStyle w:val="Compact"/>
            </w:pPr>
            <w:r>
              <w:t>8.4</w:t>
            </w:r>
          </w:p>
        </w:tc>
        <w:tc>
          <w:tcPr>
            <w:tcW w:w="1584" w:type="dxa"/>
          </w:tcPr>
          <w:p w:rsidR="00816A22" w:rsidRDefault="00000000">
            <w:pPr>
              <w:pStyle w:val="Compact"/>
            </w:pPr>
            <w:r>
              <w:t>Demographic</w:t>
            </w:r>
          </w:p>
        </w:tc>
      </w:tr>
      <w:tr w:rsidR="00816A22" w:rsidTr="00A45CD2">
        <w:tc>
          <w:tcPr>
            <w:tcW w:w="1584" w:type="dxa"/>
          </w:tcPr>
          <w:p w:rsidR="00816A22" w:rsidRDefault="00000000">
            <w:pPr>
              <w:pStyle w:val="Compact"/>
            </w:pPr>
            <w:r>
              <w:t>Parity</w:t>
            </w:r>
          </w:p>
        </w:tc>
        <w:tc>
          <w:tcPr>
            <w:tcW w:w="1584" w:type="dxa"/>
          </w:tcPr>
          <w:p w:rsidR="00816A22" w:rsidRDefault="00000000">
            <w:pPr>
              <w:pStyle w:val="Compact"/>
            </w:pPr>
            <w:r>
              <w:t>0.153</w:t>
            </w:r>
          </w:p>
        </w:tc>
        <w:tc>
          <w:tcPr>
            <w:tcW w:w="1584" w:type="dxa"/>
          </w:tcPr>
          <w:p w:rsidR="00816A22" w:rsidRDefault="00000000">
            <w:pPr>
              <w:pStyle w:val="Compact"/>
            </w:pPr>
            <w:r>
              <w:t>0.654</w:t>
            </w:r>
          </w:p>
        </w:tc>
        <w:tc>
          <w:tcPr>
            <w:tcW w:w="1584" w:type="dxa"/>
          </w:tcPr>
          <w:p w:rsidR="00816A22" w:rsidRDefault="00000000">
            <w:pPr>
              <w:pStyle w:val="Compact"/>
            </w:pPr>
            <w:r>
              <w:t>15.3</w:t>
            </w:r>
          </w:p>
        </w:tc>
        <w:tc>
          <w:tcPr>
            <w:tcW w:w="1584" w:type="dxa"/>
          </w:tcPr>
          <w:p w:rsidR="00816A22" w:rsidRDefault="00000000">
            <w:pPr>
              <w:pStyle w:val="Compact"/>
            </w:pPr>
            <w:r>
              <w:t>Reproductive history</w:t>
            </w:r>
          </w:p>
        </w:tc>
      </w:tr>
      <w:tr w:rsidR="00816A22" w:rsidTr="00A45CD2">
        <w:tc>
          <w:tcPr>
            <w:tcW w:w="1584" w:type="dxa"/>
          </w:tcPr>
          <w:p w:rsidR="00816A22" w:rsidRDefault="00000000">
            <w:pPr>
              <w:pStyle w:val="Compact"/>
            </w:pPr>
            <w:r>
              <w:t>Region</w:t>
            </w:r>
          </w:p>
        </w:tc>
        <w:tc>
          <w:tcPr>
            <w:tcW w:w="1584" w:type="dxa"/>
          </w:tcPr>
          <w:p w:rsidR="00816A22" w:rsidRDefault="00000000">
            <w:pPr>
              <w:pStyle w:val="Compact"/>
            </w:pPr>
            <w:r>
              <w:t>0.182</w:t>
            </w:r>
          </w:p>
        </w:tc>
        <w:tc>
          <w:tcPr>
            <w:tcW w:w="1584" w:type="dxa"/>
          </w:tcPr>
          <w:p w:rsidR="00816A22" w:rsidRDefault="00000000">
            <w:pPr>
              <w:pStyle w:val="Compact"/>
            </w:pPr>
            <w:r>
              <w:t>0.689</w:t>
            </w:r>
          </w:p>
        </w:tc>
        <w:tc>
          <w:tcPr>
            <w:tcW w:w="1584" w:type="dxa"/>
          </w:tcPr>
          <w:p w:rsidR="00816A22" w:rsidRDefault="00000000">
            <w:pPr>
              <w:pStyle w:val="Compact"/>
            </w:pPr>
            <w:r>
              <w:t>18.2</w:t>
            </w:r>
          </w:p>
        </w:tc>
        <w:tc>
          <w:tcPr>
            <w:tcW w:w="1584" w:type="dxa"/>
          </w:tcPr>
          <w:p w:rsidR="00816A22" w:rsidRDefault="00000000">
            <w:pPr>
              <w:pStyle w:val="Compact"/>
            </w:pPr>
            <w:r>
              <w:t>Geographic</w:t>
            </w:r>
          </w:p>
        </w:tc>
      </w:tr>
      <w:tr w:rsidR="00816A22" w:rsidTr="00A45CD2">
        <w:tc>
          <w:tcPr>
            <w:tcW w:w="1584" w:type="dxa"/>
          </w:tcPr>
          <w:p w:rsidR="00816A22" w:rsidRDefault="00000000">
            <w:pPr>
              <w:pStyle w:val="Compact"/>
            </w:pPr>
            <w:r>
              <w:rPr>
                <w:b/>
                <w:bCs/>
              </w:rPr>
              <w:t>Subtotal Non-Modifiable Factors</w:t>
            </w:r>
          </w:p>
        </w:tc>
        <w:tc>
          <w:tcPr>
            <w:tcW w:w="1584" w:type="dxa"/>
          </w:tcPr>
          <w:p w:rsidR="00816A22" w:rsidRDefault="00000000">
            <w:pPr>
              <w:pStyle w:val="Compact"/>
            </w:pPr>
            <w:r>
              <w:t>—</w:t>
            </w:r>
          </w:p>
        </w:tc>
        <w:tc>
          <w:tcPr>
            <w:tcW w:w="1584" w:type="dxa"/>
          </w:tcPr>
          <w:p w:rsidR="00816A22" w:rsidRDefault="00000000">
            <w:pPr>
              <w:pStyle w:val="Compact"/>
            </w:pPr>
            <w:r>
              <w:t>—</w:t>
            </w:r>
          </w:p>
        </w:tc>
        <w:tc>
          <w:tcPr>
            <w:tcW w:w="1584" w:type="dxa"/>
          </w:tcPr>
          <w:p w:rsidR="00816A22" w:rsidRDefault="00000000">
            <w:pPr>
              <w:pStyle w:val="Compact"/>
            </w:pPr>
            <w:r>
              <w:rPr>
                <w:b/>
                <w:bCs/>
              </w:rPr>
              <w:t>41.9%</w:t>
            </w:r>
          </w:p>
        </w:tc>
        <w:tc>
          <w:tcPr>
            <w:tcW w:w="1584" w:type="dxa"/>
          </w:tcPr>
          <w:p w:rsidR="00816A22" w:rsidRDefault="00816A22">
            <w:pPr>
              <w:pStyle w:val="Compact"/>
            </w:pPr>
          </w:p>
        </w:tc>
      </w:tr>
      <w:tr w:rsidR="00816A22" w:rsidTr="00A45CD2">
        <w:tc>
          <w:tcPr>
            <w:tcW w:w="1584" w:type="dxa"/>
          </w:tcPr>
          <w:p w:rsidR="00816A22" w:rsidRDefault="00000000">
            <w:pPr>
              <w:pStyle w:val="Compact"/>
            </w:pPr>
            <w:r>
              <w:rPr>
                <w:b/>
                <w:bCs/>
              </w:rPr>
              <w:t>TOTAL</w:t>
            </w:r>
          </w:p>
        </w:tc>
        <w:tc>
          <w:tcPr>
            <w:tcW w:w="1584" w:type="dxa"/>
          </w:tcPr>
          <w:p w:rsidR="00816A22" w:rsidRDefault="00000000">
            <w:pPr>
              <w:pStyle w:val="Compact"/>
            </w:pPr>
            <w:r>
              <w:t>—</w:t>
            </w:r>
          </w:p>
        </w:tc>
        <w:tc>
          <w:tcPr>
            <w:tcW w:w="1584" w:type="dxa"/>
          </w:tcPr>
          <w:p w:rsidR="00816A22" w:rsidRDefault="00000000">
            <w:pPr>
              <w:pStyle w:val="Compact"/>
            </w:pPr>
            <w:r>
              <w:t>—</w:t>
            </w:r>
          </w:p>
        </w:tc>
        <w:tc>
          <w:tcPr>
            <w:tcW w:w="1584" w:type="dxa"/>
          </w:tcPr>
          <w:p w:rsidR="00816A22" w:rsidRDefault="00000000">
            <w:pPr>
              <w:pStyle w:val="Compact"/>
            </w:pPr>
            <w:r>
              <w:rPr>
                <w:b/>
                <w:bCs/>
              </w:rPr>
              <w:t>100.0%</w:t>
            </w:r>
          </w:p>
        </w:tc>
        <w:tc>
          <w:tcPr>
            <w:tcW w:w="1584" w:type="dxa"/>
          </w:tcPr>
          <w:p w:rsidR="00816A22" w:rsidRDefault="00816A22">
            <w:pPr>
              <w:pStyle w:val="Compact"/>
            </w:pPr>
          </w:p>
        </w:tc>
      </w:tr>
    </w:tbl>
    <w:p w:rsidR="00816A22" w:rsidRDefault="00000000">
      <w:pPr>
        <w:pStyle w:val="BodyText"/>
      </w:pPr>
      <w:r>
        <w:rPr>
          <w:b/>
          <w:bCs/>
        </w:rPr>
        <w:lastRenderedPageBreak/>
        <w:t>Interpretation:</w:t>
      </w:r>
      <w:r>
        <w:t xml:space="preserve"> 58.1% of observed wealth-based inequality could theoretically be reduced through interventions targeting modifiable factors (wealth barriers, education, media/information access, employment). Non-modifiable factors account for 41.9% of inequality. This decomposition analysis was conducted using Wagstaff method with probit regression on complex survey design.</w:t>
      </w:r>
    </w:p>
    <w:p w:rsidR="00816A22" w:rsidRDefault="00000000">
      <w:r>
        <w:pict>
          <v:rect id="_x0000_i1029" style="width:0;height:1.5pt" o:hralign="center" o:hrstd="t" o:hr="t"/>
        </w:pict>
      </w:r>
    </w:p>
    <w:p w:rsidR="00816A22" w:rsidRDefault="00000000">
      <w:pPr>
        <w:pStyle w:val="Heading3"/>
      </w:pPr>
      <w:bookmarkStart w:id="11" w:name="X939e54567a51e91c9fbf4f56b0178b1596df6f0"/>
      <w:bookmarkEnd w:id="10"/>
      <w:r>
        <w:t>Supplementary Table 9: Sensitivity Analyses—Robustness Testing of Main Results</w:t>
      </w:r>
    </w:p>
    <w:tbl>
      <w:tblPr>
        <w:tblStyle w:val="TableGrid"/>
        <w:tblW w:w="5000" w:type="pct"/>
        <w:tblLayout w:type="fixed"/>
        <w:tblLook w:val="0020" w:firstRow="1" w:lastRow="0" w:firstColumn="0" w:lastColumn="0" w:noHBand="0" w:noVBand="0"/>
      </w:tblPr>
      <w:tblGrid>
        <w:gridCol w:w="1772"/>
        <w:gridCol w:w="1771"/>
        <w:gridCol w:w="1771"/>
        <w:gridCol w:w="1771"/>
        <w:gridCol w:w="1771"/>
      </w:tblGrid>
      <w:tr w:rsidR="00816A22" w:rsidTr="00A45CD2">
        <w:tc>
          <w:tcPr>
            <w:tcW w:w="1584" w:type="dxa"/>
          </w:tcPr>
          <w:p w:rsidR="00816A22" w:rsidRDefault="00000000">
            <w:pPr>
              <w:pStyle w:val="Compact"/>
            </w:pPr>
            <w:r>
              <w:t>Specification Tested</w:t>
            </w:r>
          </w:p>
        </w:tc>
        <w:tc>
          <w:tcPr>
            <w:tcW w:w="1584" w:type="dxa"/>
          </w:tcPr>
          <w:p w:rsidR="00816A22" w:rsidRDefault="00000000">
            <w:pPr>
              <w:pStyle w:val="Compact"/>
            </w:pPr>
            <w:r>
              <w:t>ANC ECI</w:t>
            </w:r>
          </w:p>
        </w:tc>
        <w:tc>
          <w:tcPr>
            <w:tcW w:w="1584" w:type="dxa"/>
          </w:tcPr>
          <w:p w:rsidR="00816A22" w:rsidRDefault="00000000">
            <w:pPr>
              <w:pStyle w:val="Compact"/>
            </w:pPr>
            <w:r>
              <w:t>SBA ECI</w:t>
            </w:r>
          </w:p>
        </w:tc>
        <w:tc>
          <w:tcPr>
            <w:tcW w:w="1584" w:type="dxa"/>
          </w:tcPr>
          <w:p w:rsidR="00816A22" w:rsidRDefault="00000000">
            <w:pPr>
              <w:pStyle w:val="Compact"/>
            </w:pPr>
            <w:r>
              <w:t>PNC ECI</w:t>
            </w:r>
          </w:p>
        </w:tc>
        <w:tc>
          <w:tcPr>
            <w:tcW w:w="1584" w:type="dxa"/>
          </w:tcPr>
          <w:p w:rsidR="00816A22" w:rsidRDefault="00000000">
            <w:pPr>
              <w:pStyle w:val="Compact"/>
            </w:pPr>
            <w:r>
              <w:t>Robustness Assessment</w:t>
            </w:r>
          </w:p>
        </w:tc>
      </w:tr>
      <w:tr w:rsidR="00816A22" w:rsidTr="00A45CD2">
        <w:tc>
          <w:tcPr>
            <w:tcW w:w="1584" w:type="dxa"/>
          </w:tcPr>
          <w:p w:rsidR="00816A22" w:rsidRDefault="00000000">
            <w:pPr>
              <w:pStyle w:val="Compact"/>
            </w:pPr>
            <w:r>
              <w:rPr>
                <w:b/>
                <w:bCs/>
              </w:rPr>
              <w:t>Main Analysis</w:t>
            </w:r>
          </w:p>
        </w:tc>
        <w:tc>
          <w:tcPr>
            <w:tcW w:w="1584" w:type="dxa"/>
          </w:tcPr>
          <w:p w:rsidR="00816A22" w:rsidRDefault="00000000">
            <w:pPr>
              <w:pStyle w:val="Compact"/>
            </w:pPr>
            <w:r>
              <w:t>0.289</w:t>
            </w:r>
          </w:p>
        </w:tc>
        <w:tc>
          <w:tcPr>
            <w:tcW w:w="1584" w:type="dxa"/>
          </w:tcPr>
          <w:p w:rsidR="00816A22" w:rsidRDefault="00000000">
            <w:pPr>
              <w:pStyle w:val="Compact"/>
            </w:pPr>
            <w:r>
              <w:t>0.305</w:t>
            </w:r>
          </w:p>
        </w:tc>
        <w:tc>
          <w:tcPr>
            <w:tcW w:w="1584" w:type="dxa"/>
          </w:tcPr>
          <w:p w:rsidR="00816A22" w:rsidRDefault="00000000">
            <w:pPr>
              <w:pStyle w:val="Compact"/>
            </w:pPr>
            <w:r>
              <w:t>0.348</w:t>
            </w:r>
          </w:p>
        </w:tc>
        <w:tc>
          <w:tcPr>
            <w:tcW w:w="1584" w:type="dxa"/>
          </w:tcPr>
          <w:p w:rsidR="00816A22" w:rsidRDefault="00000000">
            <w:pPr>
              <w:pStyle w:val="Compact"/>
            </w:pPr>
            <w:r>
              <w:t>Baseline</w:t>
            </w:r>
          </w:p>
        </w:tc>
      </w:tr>
      <w:tr w:rsidR="00816A22" w:rsidTr="00A45CD2">
        <w:tc>
          <w:tcPr>
            <w:tcW w:w="1584" w:type="dxa"/>
          </w:tcPr>
          <w:p w:rsidR="00816A22" w:rsidRDefault="00000000">
            <w:pPr>
              <w:pStyle w:val="Compact"/>
            </w:pPr>
            <w:r>
              <w:rPr>
                <w:b/>
                <w:bCs/>
              </w:rPr>
              <w:t>Alternative Wealth Definitions</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Consumption-based quintile</w:t>
            </w:r>
          </w:p>
        </w:tc>
        <w:tc>
          <w:tcPr>
            <w:tcW w:w="1584" w:type="dxa"/>
          </w:tcPr>
          <w:p w:rsidR="00816A22" w:rsidRDefault="00000000">
            <w:pPr>
              <w:pStyle w:val="Compact"/>
            </w:pPr>
            <w:r>
              <w:t>0.281</w:t>
            </w:r>
          </w:p>
        </w:tc>
        <w:tc>
          <w:tcPr>
            <w:tcW w:w="1584" w:type="dxa"/>
          </w:tcPr>
          <w:p w:rsidR="00816A22" w:rsidRDefault="00000000">
            <w:pPr>
              <w:pStyle w:val="Compact"/>
            </w:pPr>
            <w:r>
              <w:t>0.298</w:t>
            </w:r>
          </w:p>
        </w:tc>
        <w:tc>
          <w:tcPr>
            <w:tcW w:w="1584" w:type="dxa"/>
          </w:tcPr>
          <w:p w:rsidR="00816A22" w:rsidRDefault="00000000">
            <w:pPr>
              <w:pStyle w:val="Compact"/>
            </w:pPr>
            <w:r>
              <w:t>0.342</w:t>
            </w:r>
          </w:p>
        </w:tc>
        <w:tc>
          <w:tcPr>
            <w:tcW w:w="1584" w:type="dxa"/>
          </w:tcPr>
          <w:p w:rsidR="00816A22" w:rsidRDefault="00000000">
            <w:pPr>
              <w:pStyle w:val="Compact"/>
            </w:pPr>
            <w:r>
              <w:t>Robust (diff: -0.008 to -0.006)</w:t>
            </w:r>
          </w:p>
        </w:tc>
      </w:tr>
      <w:tr w:rsidR="00816A22" w:rsidTr="00A45CD2">
        <w:tc>
          <w:tcPr>
            <w:tcW w:w="1584" w:type="dxa"/>
          </w:tcPr>
          <w:p w:rsidR="00816A22" w:rsidRDefault="00000000">
            <w:pPr>
              <w:pStyle w:val="Compact"/>
            </w:pPr>
            <w:r>
              <w:t>Principal components method</w:t>
            </w:r>
          </w:p>
        </w:tc>
        <w:tc>
          <w:tcPr>
            <w:tcW w:w="1584" w:type="dxa"/>
          </w:tcPr>
          <w:p w:rsidR="00816A22" w:rsidRDefault="00000000">
            <w:pPr>
              <w:pStyle w:val="Compact"/>
            </w:pPr>
            <w:r>
              <w:t>0.284</w:t>
            </w:r>
          </w:p>
        </w:tc>
        <w:tc>
          <w:tcPr>
            <w:tcW w:w="1584" w:type="dxa"/>
          </w:tcPr>
          <w:p w:rsidR="00816A22" w:rsidRDefault="00000000">
            <w:pPr>
              <w:pStyle w:val="Compact"/>
            </w:pPr>
            <w:r>
              <w:t>0.302</w:t>
            </w:r>
          </w:p>
        </w:tc>
        <w:tc>
          <w:tcPr>
            <w:tcW w:w="1584" w:type="dxa"/>
          </w:tcPr>
          <w:p w:rsidR="00816A22" w:rsidRDefault="00000000">
            <w:pPr>
              <w:pStyle w:val="Compact"/>
            </w:pPr>
            <w:r>
              <w:t>0.346</w:t>
            </w:r>
          </w:p>
        </w:tc>
        <w:tc>
          <w:tcPr>
            <w:tcW w:w="1584" w:type="dxa"/>
          </w:tcPr>
          <w:p w:rsidR="00816A22" w:rsidRDefault="00000000">
            <w:pPr>
              <w:pStyle w:val="Compact"/>
            </w:pPr>
            <w:r>
              <w:t>Robust (diff: -0.005 to -0.002)</w:t>
            </w:r>
          </w:p>
        </w:tc>
      </w:tr>
      <w:tr w:rsidR="00816A22" w:rsidTr="00A45CD2">
        <w:tc>
          <w:tcPr>
            <w:tcW w:w="1584" w:type="dxa"/>
          </w:tcPr>
          <w:p w:rsidR="00816A22" w:rsidRDefault="00000000">
            <w:pPr>
              <w:pStyle w:val="Compact"/>
            </w:pPr>
            <w:r>
              <w:rPr>
                <w:b/>
                <w:bCs/>
              </w:rPr>
              <w:t>Varying Reference Periods</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2-year reference period</w:t>
            </w:r>
          </w:p>
        </w:tc>
        <w:tc>
          <w:tcPr>
            <w:tcW w:w="1584" w:type="dxa"/>
          </w:tcPr>
          <w:p w:rsidR="00816A22" w:rsidRDefault="00000000">
            <w:pPr>
              <w:pStyle w:val="Compact"/>
            </w:pPr>
            <w:r>
              <w:t>0.293</w:t>
            </w:r>
          </w:p>
        </w:tc>
        <w:tc>
          <w:tcPr>
            <w:tcW w:w="1584" w:type="dxa"/>
          </w:tcPr>
          <w:p w:rsidR="00816A22" w:rsidRDefault="00000000">
            <w:pPr>
              <w:pStyle w:val="Compact"/>
            </w:pPr>
            <w:r>
              <w:t>0.308</w:t>
            </w:r>
          </w:p>
        </w:tc>
        <w:tc>
          <w:tcPr>
            <w:tcW w:w="1584" w:type="dxa"/>
          </w:tcPr>
          <w:p w:rsidR="00816A22" w:rsidRDefault="00000000">
            <w:pPr>
              <w:pStyle w:val="Compact"/>
            </w:pPr>
            <w:r>
              <w:t>0.351</w:t>
            </w:r>
          </w:p>
        </w:tc>
        <w:tc>
          <w:tcPr>
            <w:tcW w:w="1584" w:type="dxa"/>
          </w:tcPr>
          <w:p w:rsidR="00816A22" w:rsidRDefault="00000000">
            <w:pPr>
              <w:pStyle w:val="Compact"/>
            </w:pPr>
            <w:r>
              <w:t>Robust (diff: +0.004 to +0.003)</w:t>
            </w:r>
          </w:p>
        </w:tc>
      </w:tr>
      <w:tr w:rsidR="00816A22" w:rsidTr="00A45CD2">
        <w:tc>
          <w:tcPr>
            <w:tcW w:w="1584" w:type="dxa"/>
          </w:tcPr>
          <w:p w:rsidR="00816A22" w:rsidRDefault="00000000">
            <w:pPr>
              <w:pStyle w:val="Compact"/>
            </w:pPr>
            <w:r>
              <w:t>3-year reference period</w:t>
            </w:r>
          </w:p>
        </w:tc>
        <w:tc>
          <w:tcPr>
            <w:tcW w:w="1584" w:type="dxa"/>
          </w:tcPr>
          <w:p w:rsidR="00816A22" w:rsidRDefault="00000000">
            <w:pPr>
              <w:pStyle w:val="Compact"/>
            </w:pPr>
            <w:r>
              <w:t>0.291</w:t>
            </w:r>
          </w:p>
        </w:tc>
        <w:tc>
          <w:tcPr>
            <w:tcW w:w="1584" w:type="dxa"/>
          </w:tcPr>
          <w:p w:rsidR="00816A22" w:rsidRDefault="00000000">
            <w:pPr>
              <w:pStyle w:val="Compact"/>
            </w:pPr>
            <w:r>
              <w:t>0.306</w:t>
            </w:r>
          </w:p>
        </w:tc>
        <w:tc>
          <w:tcPr>
            <w:tcW w:w="1584" w:type="dxa"/>
          </w:tcPr>
          <w:p w:rsidR="00816A22" w:rsidRDefault="00000000">
            <w:pPr>
              <w:pStyle w:val="Compact"/>
            </w:pPr>
            <w:r>
              <w:t>0.349</w:t>
            </w:r>
          </w:p>
        </w:tc>
        <w:tc>
          <w:tcPr>
            <w:tcW w:w="1584" w:type="dxa"/>
          </w:tcPr>
          <w:p w:rsidR="00816A22" w:rsidRDefault="00000000">
            <w:pPr>
              <w:pStyle w:val="Compact"/>
            </w:pPr>
            <w:r>
              <w:t>Robust (diff: +0.002 to +0.001)</w:t>
            </w:r>
          </w:p>
        </w:tc>
      </w:tr>
      <w:tr w:rsidR="00816A22" w:rsidTr="00A45CD2">
        <w:tc>
          <w:tcPr>
            <w:tcW w:w="1584" w:type="dxa"/>
          </w:tcPr>
          <w:p w:rsidR="00816A22" w:rsidRDefault="00000000">
            <w:pPr>
              <w:pStyle w:val="Compact"/>
            </w:pPr>
            <w:r>
              <w:t>5-year reference period (main)</w:t>
            </w:r>
          </w:p>
        </w:tc>
        <w:tc>
          <w:tcPr>
            <w:tcW w:w="1584" w:type="dxa"/>
          </w:tcPr>
          <w:p w:rsidR="00816A22" w:rsidRDefault="00000000">
            <w:pPr>
              <w:pStyle w:val="Compact"/>
            </w:pPr>
            <w:r>
              <w:t>0.289</w:t>
            </w:r>
          </w:p>
        </w:tc>
        <w:tc>
          <w:tcPr>
            <w:tcW w:w="1584" w:type="dxa"/>
          </w:tcPr>
          <w:p w:rsidR="00816A22" w:rsidRDefault="00000000">
            <w:pPr>
              <w:pStyle w:val="Compact"/>
            </w:pPr>
            <w:r>
              <w:t>0.305</w:t>
            </w:r>
          </w:p>
        </w:tc>
        <w:tc>
          <w:tcPr>
            <w:tcW w:w="1584" w:type="dxa"/>
          </w:tcPr>
          <w:p w:rsidR="00816A22" w:rsidRDefault="00000000">
            <w:pPr>
              <w:pStyle w:val="Compact"/>
            </w:pPr>
            <w:r>
              <w:t>0.348</w:t>
            </w:r>
          </w:p>
        </w:tc>
        <w:tc>
          <w:tcPr>
            <w:tcW w:w="1584" w:type="dxa"/>
          </w:tcPr>
          <w:p w:rsidR="00816A22" w:rsidRDefault="00000000">
            <w:pPr>
              <w:pStyle w:val="Compact"/>
            </w:pPr>
            <w:r>
              <w:t>—</w:t>
            </w:r>
          </w:p>
        </w:tc>
      </w:tr>
      <w:tr w:rsidR="00816A22" w:rsidTr="00A45CD2">
        <w:tc>
          <w:tcPr>
            <w:tcW w:w="1584" w:type="dxa"/>
          </w:tcPr>
          <w:p w:rsidR="00816A22" w:rsidRDefault="00000000">
            <w:pPr>
              <w:pStyle w:val="Compact"/>
            </w:pPr>
            <w:r>
              <w:rPr>
                <w:b/>
                <w:bCs/>
              </w:rPr>
              <w:t>Survey Weights</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Unweighted analysis</w:t>
            </w:r>
          </w:p>
        </w:tc>
        <w:tc>
          <w:tcPr>
            <w:tcW w:w="1584" w:type="dxa"/>
          </w:tcPr>
          <w:p w:rsidR="00816A22" w:rsidRDefault="00000000">
            <w:pPr>
              <w:pStyle w:val="Compact"/>
            </w:pPr>
            <w:r>
              <w:t>0.295</w:t>
            </w:r>
          </w:p>
        </w:tc>
        <w:tc>
          <w:tcPr>
            <w:tcW w:w="1584" w:type="dxa"/>
          </w:tcPr>
          <w:p w:rsidR="00816A22" w:rsidRDefault="00000000">
            <w:pPr>
              <w:pStyle w:val="Compact"/>
            </w:pPr>
            <w:r>
              <w:t>0.312</w:t>
            </w:r>
          </w:p>
        </w:tc>
        <w:tc>
          <w:tcPr>
            <w:tcW w:w="1584" w:type="dxa"/>
          </w:tcPr>
          <w:p w:rsidR="00816A22" w:rsidRDefault="00000000">
            <w:pPr>
              <w:pStyle w:val="Compact"/>
            </w:pPr>
            <w:r>
              <w:t>0.354</w:t>
            </w:r>
          </w:p>
        </w:tc>
        <w:tc>
          <w:tcPr>
            <w:tcW w:w="1584" w:type="dxa"/>
          </w:tcPr>
          <w:p w:rsidR="00816A22" w:rsidRDefault="00000000">
            <w:pPr>
              <w:pStyle w:val="Compact"/>
            </w:pPr>
            <w:r>
              <w:t>Slightly higher (diff: +0.006 to +0.006)</w:t>
            </w:r>
          </w:p>
        </w:tc>
      </w:tr>
      <w:tr w:rsidR="00816A22" w:rsidTr="00A45CD2">
        <w:tc>
          <w:tcPr>
            <w:tcW w:w="1584" w:type="dxa"/>
          </w:tcPr>
          <w:p w:rsidR="00816A22" w:rsidRDefault="00000000">
            <w:pPr>
              <w:pStyle w:val="Compact"/>
            </w:pPr>
            <w:r>
              <w:t>Weighted analysis (main)</w:t>
            </w:r>
          </w:p>
        </w:tc>
        <w:tc>
          <w:tcPr>
            <w:tcW w:w="1584" w:type="dxa"/>
          </w:tcPr>
          <w:p w:rsidR="00816A22" w:rsidRDefault="00000000">
            <w:pPr>
              <w:pStyle w:val="Compact"/>
            </w:pPr>
            <w:r>
              <w:t>0.289</w:t>
            </w:r>
          </w:p>
        </w:tc>
        <w:tc>
          <w:tcPr>
            <w:tcW w:w="1584" w:type="dxa"/>
          </w:tcPr>
          <w:p w:rsidR="00816A22" w:rsidRDefault="00000000">
            <w:pPr>
              <w:pStyle w:val="Compact"/>
            </w:pPr>
            <w:r>
              <w:t>0.305</w:t>
            </w:r>
          </w:p>
        </w:tc>
        <w:tc>
          <w:tcPr>
            <w:tcW w:w="1584" w:type="dxa"/>
          </w:tcPr>
          <w:p w:rsidR="00816A22" w:rsidRDefault="00000000">
            <w:pPr>
              <w:pStyle w:val="Compact"/>
            </w:pPr>
            <w:r>
              <w:t>0.348</w:t>
            </w:r>
          </w:p>
        </w:tc>
        <w:tc>
          <w:tcPr>
            <w:tcW w:w="1584" w:type="dxa"/>
          </w:tcPr>
          <w:p w:rsidR="00816A22" w:rsidRDefault="00000000">
            <w:pPr>
              <w:pStyle w:val="Compact"/>
            </w:pPr>
            <w:r>
              <w:t>—</w:t>
            </w:r>
          </w:p>
        </w:tc>
      </w:tr>
      <w:tr w:rsidR="00816A22" w:rsidTr="00A45CD2">
        <w:tc>
          <w:tcPr>
            <w:tcW w:w="1584" w:type="dxa"/>
          </w:tcPr>
          <w:p w:rsidR="00816A22" w:rsidRDefault="00000000">
            <w:pPr>
              <w:pStyle w:val="Compact"/>
            </w:pPr>
            <w:r>
              <w:rPr>
                <w:b/>
                <w:bCs/>
              </w:rPr>
              <w:t xml:space="preserve">Missing Data </w:t>
            </w:r>
            <w:r>
              <w:rPr>
                <w:b/>
                <w:bCs/>
              </w:rPr>
              <w:lastRenderedPageBreak/>
              <w:t>Impact</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Complete case analysis (main)</w:t>
            </w:r>
          </w:p>
        </w:tc>
        <w:tc>
          <w:tcPr>
            <w:tcW w:w="1584" w:type="dxa"/>
          </w:tcPr>
          <w:p w:rsidR="00816A22" w:rsidRDefault="00000000">
            <w:pPr>
              <w:pStyle w:val="Compact"/>
            </w:pPr>
            <w:r>
              <w:t>0.289</w:t>
            </w:r>
          </w:p>
        </w:tc>
        <w:tc>
          <w:tcPr>
            <w:tcW w:w="1584" w:type="dxa"/>
          </w:tcPr>
          <w:p w:rsidR="00816A22" w:rsidRDefault="00000000">
            <w:pPr>
              <w:pStyle w:val="Compact"/>
            </w:pPr>
            <w:r>
              <w:t>0.305</w:t>
            </w:r>
          </w:p>
        </w:tc>
        <w:tc>
          <w:tcPr>
            <w:tcW w:w="1584" w:type="dxa"/>
          </w:tcPr>
          <w:p w:rsidR="00816A22" w:rsidRDefault="00000000">
            <w:pPr>
              <w:pStyle w:val="Compact"/>
            </w:pPr>
            <w:r>
              <w:t>0.348</w:t>
            </w:r>
          </w:p>
        </w:tc>
        <w:tc>
          <w:tcPr>
            <w:tcW w:w="1584" w:type="dxa"/>
          </w:tcPr>
          <w:p w:rsidR="00816A22" w:rsidRDefault="00000000">
            <w:pPr>
              <w:pStyle w:val="Compact"/>
            </w:pPr>
            <w:r>
              <w:t>—</w:t>
            </w:r>
          </w:p>
        </w:tc>
      </w:tr>
      <w:tr w:rsidR="00816A22" w:rsidTr="00A45CD2">
        <w:tc>
          <w:tcPr>
            <w:tcW w:w="1584" w:type="dxa"/>
          </w:tcPr>
          <w:p w:rsidR="00816A22" w:rsidRDefault="00000000">
            <w:pPr>
              <w:pStyle w:val="Compact"/>
            </w:pPr>
            <w:r>
              <w:t>Multiple imputation (5 imputations)</w:t>
            </w:r>
          </w:p>
        </w:tc>
        <w:tc>
          <w:tcPr>
            <w:tcW w:w="1584" w:type="dxa"/>
          </w:tcPr>
          <w:p w:rsidR="00816A22" w:rsidRDefault="00000000">
            <w:pPr>
              <w:pStyle w:val="Compact"/>
            </w:pPr>
            <w:r>
              <w:t>0.286</w:t>
            </w:r>
          </w:p>
        </w:tc>
        <w:tc>
          <w:tcPr>
            <w:tcW w:w="1584" w:type="dxa"/>
          </w:tcPr>
          <w:p w:rsidR="00816A22" w:rsidRDefault="00000000">
            <w:pPr>
              <w:pStyle w:val="Compact"/>
            </w:pPr>
            <w:r>
              <w:t>0.302</w:t>
            </w:r>
          </w:p>
        </w:tc>
        <w:tc>
          <w:tcPr>
            <w:tcW w:w="1584" w:type="dxa"/>
          </w:tcPr>
          <w:p w:rsidR="00816A22" w:rsidRDefault="00000000">
            <w:pPr>
              <w:pStyle w:val="Compact"/>
            </w:pPr>
            <w:r>
              <w:t>0.345</w:t>
            </w:r>
          </w:p>
        </w:tc>
        <w:tc>
          <w:tcPr>
            <w:tcW w:w="1584" w:type="dxa"/>
          </w:tcPr>
          <w:p w:rsidR="00816A22" w:rsidRDefault="00000000">
            <w:pPr>
              <w:pStyle w:val="Compact"/>
            </w:pPr>
            <w:r>
              <w:t>Robust (diff: -0.003 to -0.003)</w:t>
            </w:r>
          </w:p>
        </w:tc>
      </w:tr>
      <w:tr w:rsidR="00816A22" w:rsidTr="00A45CD2">
        <w:tc>
          <w:tcPr>
            <w:tcW w:w="1584" w:type="dxa"/>
          </w:tcPr>
          <w:p w:rsidR="00816A22" w:rsidRDefault="00000000">
            <w:pPr>
              <w:pStyle w:val="Compact"/>
            </w:pPr>
            <w:r>
              <w:rPr>
                <w:b/>
                <w:bCs/>
              </w:rPr>
              <w:t>Regional Stratification</w:t>
            </w: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c>
          <w:tcPr>
            <w:tcW w:w="1584" w:type="dxa"/>
          </w:tcPr>
          <w:p w:rsidR="00816A22" w:rsidRDefault="00816A22">
            <w:pPr>
              <w:pStyle w:val="Compact"/>
            </w:pPr>
          </w:p>
        </w:tc>
      </w:tr>
      <w:tr w:rsidR="00816A22" w:rsidTr="00A45CD2">
        <w:tc>
          <w:tcPr>
            <w:tcW w:w="1584" w:type="dxa"/>
          </w:tcPr>
          <w:p w:rsidR="00816A22" w:rsidRDefault="00000000">
            <w:pPr>
              <w:pStyle w:val="Compact"/>
            </w:pPr>
            <w:r>
              <w:t>Northern region only</w:t>
            </w:r>
          </w:p>
        </w:tc>
        <w:tc>
          <w:tcPr>
            <w:tcW w:w="1584" w:type="dxa"/>
          </w:tcPr>
          <w:p w:rsidR="00816A22" w:rsidRDefault="00000000">
            <w:pPr>
              <w:pStyle w:val="Compact"/>
            </w:pPr>
            <w:r>
              <w:t>0.276</w:t>
            </w:r>
          </w:p>
        </w:tc>
        <w:tc>
          <w:tcPr>
            <w:tcW w:w="1584" w:type="dxa"/>
          </w:tcPr>
          <w:p w:rsidR="00816A22" w:rsidRDefault="00000000">
            <w:pPr>
              <w:pStyle w:val="Compact"/>
            </w:pPr>
            <w:r>
              <w:t>0.289</w:t>
            </w:r>
          </w:p>
        </w:tc>
        <w:tc>
          <w:tcPr>
            <w:tcW w:w="1584" w:type="dxa"/>
          </w:tcPr>
          <w:p w:rsidR="00816A22" w:rsidRDefault="00000000">
            <w:pPr>
              <w:pStyle w:val="Compact"/>
            </w:pPr>
            <w:r>
              <w:t>0.331</w:t>
            </w:r>
          </w:p>
        </w:tc>
        <w:tc>
          <w:tcPr>
            <w:tcW w:w="1584" w:type="dxa"/>
          </w:tcPr>
          <w:p w:rsidR="00816A22" w:rsidRDefault="00000000">
            <w:pPr>
              <w:pStyle w:val="Compact"/>
            </w:pPr>
            <w:r>
              <w:t>Similar to overall</w:t>
            </w:r>
          </w:p>
        </w:tc>
      </w:tr>
      <w:tr w:rsidR="00816A22" w:rsidTr="00A45CD2">
        <w:tc>
          <w:tcPr>
            <w:tcW w:w="1584" w:type="dxa"/>
          </w:tcPr>
          <w:p w:rsidR="00816A22" w:rsidRDefault="00000000">
            <w:pPr>
              <w:pStyle w:val="Compact"/>
            </w:pPr>
            <w:r>
              <w:t>Central region only</w:t>
            </w:r>
          </w:p>
        </w:tc>
        <w:tc>
          <w:tcPr>
            <w:tcW w:w="1584" w:type="dxa"/>
          </w:tcPr>
          <w:p w:rsidR="00816A22" w:rsidRDefault="00000000">
            <w:pPr>
              <w:pStyle w:val="Compact"/>
            </w:pPr>
            <w:r>
              <w:t>0.292</w:t>
            </w:r>
          </w:p>
        </w:tc>
        <w:tc>
          <w:tcPr>
            <w:tcW w:w="1584" w:type="dxa"/>
          </w:tcPr>
          <w:p w:rsidR="00816A22" w:rsidRDefault="00000000">
            <w:pPr>
              <w:pStyle w:val="Compact"/>
            </w:pPr>
            <w:r>
              <w:t>0.308</w:t>
            </w:r>
          </w:p>
        </w:tc>
        <w:tc>
          <w:tcPr>
            <w:tcW w:w="1584" w:type="dxa"/>
          </w:tcPr>
          <w:p w:rsidR="00816A22" w:rsidRDefault="00000000">
            <w:pPr>
              <w:pStyle w:val="Compact"/>
            </w:pPr>
            <w:r>
              <w:t>0.351</w:t>
            </w:r>
          </w:p>
        </w:tc>
        <w:tc>
          <w:tcPr>
            <w:tcW w:w="1584" w:type="dxa"/>
          </w:tcPr>
          <w:p w:rsidR="00816A22" w:rsidRDefault="00000000">
            <w:pPr>
              <w:pStyle w:val="Compact"/>
            </w:pPr>
            <w:r>
              <w:t>Similar to overall</w:t>
            </w:r>
          </w:p>
        </w:tc>
      </w:tr>
      <w:tr w:rsidR="00816A22" w:rsidTr="00A45CD2">
        <w:tc>
          <w:tcPr>
            <w:tcW w:w="1584" w:type="dxa"/>
          </w:tcPr>
          <w:p w:rsidR="00816A22" w:rsidRDefault="00000000">
            <w:pPr>
              <w:pStyle w:val="Compact"/>
            </w:pPr>
            <w:r>
              <w:t>Southern region only</w:t>
            </w:r>
          </w:p>
        </w:tc>
        <w:tc>
          <w:tcPr>
            <w:tcW w:w="1584" w:type="dxa"/>
          </w:tcPr>
          <w:p w:rsidR="00816A22" w:rsidRDefault="00000000">
            <w:pPr>
              <w:pStyle w:val="Compact"/>
            </w:pPr>
            <w:r>
              <w:t>0.301</w:t>
            </w:r>
          </w:p>
        </w:tc>
        <w:tc>
          <w:tcPr>
            <w:tcW w:w="1584" w:type="dxa"/>
          </w:tcPr>
          <w:p w:rsidR="00816A22" w:rsidRDefault="00000000">
            <w:pPr>
              <w:pStyle w:val="Compact"/>
            </w:pPr>
            <w:r>
              <w:t>0.318</w:t>
            </w:r>
          </w:p>
        </w:tc>
        <w:tc>
          <w:tcPr>
            <w:tcW w:w="1584" w:type="dxa"/>
          </w:tcPr>
          <w:p w:rsidR="00816A22" w:rsidRDefault="00000000">
            <w:pPr>
              <w:pStyle w:val="Compact"/>
            </w:pPr>
            <w:r>
              <w:t>0.362</w:t>
            </w:r>
          </w:p>
        </w:tc>
        <w:tc>
          <w:tcPr>
            <w:tcW w:w="1584" w:type="dxa"/>
          </w:tcPr>
          <w:p w:rsidR="00816A22" w:rsidRDefault="00000000">
            <w:pPr>
              <w:pStyle w:val="Compact"/>
            </w:pPr>
            <w:r>
              <w:t>Similar to overall</w:t>
            </w:r>
          </w:p>
        </w:tc>
      </w:tr>
      <w:tr w:rsidR="00816A22" w:rsidTr="00A45CD2">
        <w:tc>
          <w:tcPr>
            <w:tcW w:w="1584" w:type="dxa"/>
          </w:tcPr>
          <w:p w:rsidR="00816A22" w:rsidRDefault="00000000">
            <w:pPr>
              <w:pStyle w:val="Compact"/>
            </w:pPr>
            <w:r>
              <w:t>All regions combined (main)</w:t>
            </w:r>
          </w:p>
        </w:tc>
        <w:tc>
          <w:tcPr>
            <w:tcW w:w="1584" w:type="dxa"/>
          </w:tcPr>
          <w:p w:rsidR="00816A22" w:rsidRDefault="00000000">
            <w:pPr>
              <w:pStyle w:val="Compact"/>
            </w:pPr>
            <w:r>
              <w:t>0.289</w:t>
            </w:r>
          </w:p>
        </w:tc>
        <w:tc>
          <w:tcPr>
            <w:tcW w:w="1584" w:type="dxa"/>
          </w:tcPr>
          <w:p w:rsidR="00816A22" w:rsidRDefault="00000000">
            <w:pPr>
              <w:pStyle w:val="Compact"/>
            </w:pPr>
            <w:r>
              <w:t>0.305</w:t>
            </w:r>
          </w:p>
        </w:tc>
        <w:tc>
          <w:tcPr>
            <w:tcW w:w="1584" w:type="dxa"/>
          </w:tcPr>
          <w:p w:rsidR="00816A22" w:rsidRDefault="00000000">
            <w:pPr>
              <w:pStyle w:val="Compact"/>
            </w:pPr>
            <w:r>
              <w:t>0.348</w:t>
            </w:r>
          </w:p>
        </w:tc>
        <w:tc>
          <w:tcPr>
            <w:tcW w:w="1584" w:type="dxa"/>
          </w:tcPr>
          <w:p w:rsidR="00816A22" w:rsidRDefault="00000000">
            <w:pPr>
              <w:pStyle w:val="Compact"/>
            </w:pPr>
            <w:r>
              <w:t>—</w:t>
            </w:r>
          </w:p>
        </w:tc>
      </w:tr>
    </w:tbl>
    <w:p w:rsidR="00816A22" w:rsidRDefault="00000000">
      <w:pPr>
        <w:pStyle w:val="BodyText"/>
      </w:pPr>
      <w:r>
        <w:rPr>
          <w:b/>
          <w:bCs/>
        </w:rPr>
        <w:t>Conclusion:</w:t>
      </w:r>
      <w:r>
        <w:t xml:space="preserve"> Main findings demonstrate robust results across alternative specifications. No material change in conclusions when using alternative methodological approaches or assumptions.</w:t>
      </w:r>
    </w:p>
    <w:p w:rsidR="00816A22" w:rsidRDefault="00000000">
      <w:r>
        <w:pict>
          <v:rect id="_x0000_i1030" style="width:0;height:1.5pt" o:hralign="center" o:hrstd="t" o:hr="t"/>
        </w:pict>
      </w:r>
    </w:p>
    <w:p w:rsidR="00816A22" w:rsidRDefault="00000000">
      <w:pPr>
        <w:pStyle w:val="Heading2"/>
      </w:pPr>
      <w:bookmarkStart w:id="12" w:name="appendix-b-detailed-methodological-notes"/>
      <w:bookmarkEnd w:id="2"/>
      <w:bookmarkEnd w:id="11"/>
      <w:r>
        <w:t>APPENDIX B: DETAILED METHODOLOGICAL NOTES</w:t>
      </w:r>
    </w:p>
    <w:p w:rsidR="00816A22" w:rsidRDefault="00000000">
      <w:pPr>
        <w:pStyle w:val="Heading3"/>
      </w:pPr>
      <w:bookmarkStart w:id="13" w:name="Xbe5c1a3f14960fc938a986804cdb5b4b0ab6475"/>
      <w:r>
        <w:t>B.1 Erreygers Normalized Concentration Index (ECI) Calculation</w:t>
      </w:r>
    </w:p>
    <w:p w:rsidR="00816A22" w:rsidRDefault="00000000">
      <w:pPr>
        <w:pStyle w:val="FirstParagraph"/>
      </w:pPr>
      <w:r>
        <w:t>The Erreygers Normalized Concentration Index is calculated as:</w:t>
      </w:r>
    </w:p>
    <w:p w:rsidR="00816A22" w:rsidRDefault="00000000">
      <w:pPr>
        <w:pStyle w:val="BodyText"/>
      </w:pPr>
      <w:r>
        <w:rPr>
          <w:b/>
          <w:bCs/>
        </w:rPr>
        <w:t>ECI = (4/μ) × Cov(h, r)</w:t>
      </w:r>
    </w:p>
    <w:p w:rsidR="00816A22" w:rsidRDefault="00000000">
      <w:pPr>
        <w:pStyle w:val="BodyText"/>
      </w:pPr>
      <w:r>
        <w:t xml:space="preserve">Where: - </w:t>
      </w:r>
      <w:r>
        <w:rPr>
          <w:b/>
          <w:bCs/>
        </w:rPr>
        <w:t>h</w:t>
      </w:r>
      <w:r>
        <w:t xml:space="preserve"> = health outcome (service coverage: 1=access, 0=no access) for individual i - </w:t>
      </w:r>
      <w:r>
        <w:rPr>
          <w:b/>
          <w:bCs/>
        </w:rPr>
        <w:t>r</w:t>
      </w:r>
      <w:r>
        <w:t xml:space="preserve"> = cumulative rank of individual i from poorest (r=0) to richest (r=1) - </w:t>
      </w:r>
      <w:r>
        <w:rPr>
          <w:b/>
          <w:bCs/>
        </w:rPr>
        <w:t>μ</w:t>
      </w:r>
      <w:r>
        <w:t xml:space="preserve"> = mean coverage in population - </w:t>
      </w:r>
      <w:r>
        <w:rPr>
          <w:b/>
          <w:bCs/>
        </w:rPr>
        <w:t>Cov</w:t>
      </w:r>
      <w:r>
        <w:t xml:space="preserve"> = covariance between outcome and rank</w:t>
      </w:r>
    </w:p>
    <w:p w:rsidR="00816A22" w:rsidRDefault="00000000">
      <w:pPr>
        <w:pStyle w:val="BodyText"/>
      </w:pPr>
      <w:r>
        <w:rPr>
          <w:b/>
          <w:bCs/>
        </w:rPr>
        <w:t>Key Properties:</w:t>
      </w:r>
      <w:r>
        <w:t xml:space="preserve"> - Ranges from -1 to +1 (bounded scale) - Zero indicates perfect equality - Positive values (0 to +1) indicate pro-rich inequality - Negative values (-1 to 0) indicate pro-poor inequality - Comparable across outcomes and populations with different coverage levels - Normalized for mean health outcome, enabling fair comparisons</w:t>
      </w:r>
    </w:p>
    <w:p w:rsidR="00816A22" w:rsidRDefault="00000000">
      <w:pPr>
        <w:pStyle w:val="BodyText"/>
      </w:pPr>
      <w:r>
        <w:rPr>
          <w:b/>
          <w:bCs/>
        </w:rPr>
        <w:t>Advantages over alternative measures:</w:t>
      </w:r>
      <w:r>
        <w:t xml:space="preserve"> - Accounts for both gap size and coverage level - International standard recommended by WHO - Enables longitudinal comparison - More interpretable than unnormalized concentration index</w:t>
      </w:r>
    </w:p>
    <w:p w:rsidR="00816A22" w:rsidRDefault="00000000">
      <w:pPr>
        <w:pStyle w:val="Heading3"/>
      </w:pPr>
      <w:bookmarkStart w:id="14" w:name="b.2-complex-survey-design-considerations"/>
      <w:bookmarkEnd w:id="13"/>
      <w:r>
        <w:lastRenderedPageBreak/>
        <w:t>B.2 Complex Survey Design Considerations</w:t>
      </w:r>
    </w:p>
    <w:p w:rsidR="00816A22" w:rsidRDefault="00000000">
      <w:pPr>
        <w:pStyle w:val="FirstParagraph"/>
      </w:pPr>
      <w:r>
        <w:t>All three surveys employed multi-stage stratified cluster sampling with:</w:t>
      </w:r>
    </w:p>
    <w:p w:rsidR="00816A22" w:rsidRDefault="00000000">
      <w:pPr>
        <w:pStyle w:val="BodyText"/>
      </w:pPr>
      <w:r>
        <w:rPr>
          <w:b/>
          <w:bCs/>
        </w:rPr>
        <w:t>Stage 1:</w:t>
      </w:r>
      <w:r>
        <w:t xml:space="preserve"> Selection of enumeration areas stratified by: - Urban/rural residence - Geographic governorate - Socioeconomic characteristics (DHS 2013)</w:t>
      </w:r>
    </w:p>
    <w:p w:rsidR="00816A22" w:rsidRDefault="00000000">
      <w:pPr>
        <w:pStyle w:val="BodyText"/>
      </w:pPr>
      <w:r>
        <w:rPr>
          <w:b/>
          <w:bCs/>
        </w:rPr>
        <w:t>Stage 2:</w:t>
      </w:r>
      <w:r>
        <w:t xml:space="preserve"> Random selection of approximately 30 households per enumeration area</w:t>
      </w:r>
    </w:p>
    <w:p w:rsidR="00816A22" w:rsidRDefault="00000000">
      <w:pPr>
        <w:pStyle w:val="BodyText"/>
      </w:pPr>
      <w:r>
        <w:rPr>
          <w:b/>
          <w:bCs/>
        </w:rPr>
        <w:t>Stage 3:</w:t>
      </w:r>
      <w:r>
        <w:t xml:space="preserve"> All women aged 15-49 in selected households</w:t>
      </w:r>
    </w:p>
    <w:p w:rsidR="00816A22" w:rsidRDefault="00000000">
      <w:pPr>
        <w:pStyle w:val="BodyText"/>
      </w:pPr>
      <w:r>
        <w:rPr>
          <w:b/>
          <w:bCs/>
        </w:rPr>
        <w:t>Sampling Weights:</w:t>
      </w:r>
      <w:r>
        <w:t xml:space="preserve"> Incorporated: - Inverse probability of cluster selection - Inverse probability of household selection within cluster - Non-response adjustments by district and urban/rural stratum - Poststratification by known population age and geographic distribution</w:t>
      </w:r>
    </w:p>
    <w:p w:rsidR="00816A22" w:rsidRDefault="00000000">
      <w:pPr>
        <w:pStyle w:val="BodyText"/>
      </w:pPr>
      <w:r>
        <w:rPr>
          <w:b/>
          <w:bCs/>
        </w:rPr>
        <w:t>All analyses accounted for complex survey design using:</w:t>
      </w:r>
      <w:r>
        <w:t xml:space="preserve"> - Svyset commands in Stata 17.0 - Stratification and clustering parameters - Sampling weights - Bootstrap resampling (10,000 replications) for confidence intervals</w:t>
      </w:r>
    </w:p>
    <w:p w:rsidR="00816A22" w:rsidRDefault="00000000">
      <w:pPr>
        <w:pStyle w:val="Heading3"/>
      </w:pPr>
      <w:bookmarkStart w:id="15" w:name="b.3-missing-data-handling"/>
      <w:bookmarkEnd w:id="14"/>
      <w:r>
        <w:t>B.3 Missing Data Handling</w:t>
      </w:r>
    </w:p>
    <w:p w:rsidR="00816A22" w:rsidRDefault="00000000">
      <w:pPr>
        <w:pStyle w:val="FirstParagraph"/>
      </w:pPr>
      <w:r>
        <w:rPr>
          <w:b/>
          <w:bCs/>
        </w:rPr>
        <w:t>Missing Data Patterns:</w:t>
      </w:r>
      <w:r>
        <w:t xml:space="preserve"> - Antenatal care indicators: &lt;2% missing across surveys - Skilled birth attendance: &lt;1% missing - Postnatal care: &lt;3% missing - Wealth quintile construction: &lt;1% missing (built from asset questions with &lt;5% item-level missing) - Maternal education: &lt;2% missing</w:t>
      </w:r>
    </w:p>
    <w:p w:rsidR="00816A22" w:rsidRDefault="00000000">
      <w:pPr>
        <w:pStyle w:val="BodyText"/>
      </w:pPr>
      <w:r>
        <w:rPr>
          <w:b/>
          <w:bCs/>
        </w:rPr>
        <w:t>Approach:</w:t>
      </w:r>
      <w:r>
        <w:t xml:space="preserve"> Complete case analysis was used (excluded observations with missing outcome or key stratification variables). Sensitivity analysis with multiple imputation (5 imputations using chained equations) produced substantively identical results (ECI estimates within 0.003 of main analysis).</w:t>
      </w:r>
    </w:p>
    <w:p w:rsidR="00816A22" w:rsidRDefault="00000000">
      <w:pPr>
        <w:pStyle w:val="Heading3"/>
      </w:pPr>
      <w:bookmarkStart w:id="16" w:name="b.4-decomposition-analysis-methodology"/>
      <w:bookmarkEnd w:id="15"/>
      <w:r>
        <w:t>B.4 Decomposition Analysis Methodology</w:t>
      </w:r>
    </w:p>
    <w:p w:rsidR="00816A22" w:rsidRDefault="00000000">
      <w:pPr>
        <w:pStyle w:val="FirstParagraph"/>
      </w:pPr>
      <w:r>
        <w:t>Wagstaff-type decomposition analysis was conducted to partition inequality into contributions from specific factors:</w:t>
      </w:r>
    </w:p>
    <w:p w:rsidR="00816A22" w:rsidRDefault="00000000">
      <w:pPr>
        <w:pStyle w:val="BodyText"/>
      </w:pPr>
      <w:r>
        <w:rPr>
          <w:b/>
          <w:bCs/>
        </w:rPr>
        <w:t>Step 1:</w:t>
      </w:r>
      <w:r>
        <w:t xml:space="preserve"> Probit regression of binary outcome (service access) on: - Modifiable factors: wealth quintile, maternal education, media exposure (radio/TV), occupation (formal vs. informal) - Non-modifiable factors: age group (categorical), parity (continuous), region (categorical)</w:t>
      </w:r>
    </w:p>
    <w:p w:rsidR="00816A22" w:rsidRDefault="00000000">
      <w:pPr>
        <w:pStyle w:val="BodyText"/>
      </w:pPr>
      <w:r>
        <w:rPr>
          <w:b/>
          <w:bCs/>
        </w:rPr>
        <w:t>Step 2:</w:t>
      </w:r>
      <w:r>
        <w:t xml:space="preserve"> Calculate elasticity (∂y/∂x) × (x/ȳ) for each variable</w:t>
      </w:r>
    </w:p>
    <w:p w:rsidR="00816A22" w:rsidRDefault="00000000">
      <w:pPr>
        <w:pStyle w:val="BodyText"/>
      </w:pPr>
      <w:r>
        <w:rPr>
          <w:b/>
          <w:bCs/>
        </w:rPr>
        <w:t>Step 3:</w:t>
      </w:r>
      <w:r>
        <w:t xml:space="preserve"> Calculate concentration index (CI) for each factor</w:t>
      </w:r>
    </w:p>
    <w:p w:rsidR="00816A22" w:rsidRDefault="00000000">
      <w:pPr>
        <w:pStyle w:val="BodyText"/>
      </w:pPr>
      <w:r>
        <w:rPr>
          <w:b/>
          <w:bCs/>
        </w:rPr>
        <w:t>Step 4:</w:t>
      </w:r>
      <w:r>
        <w:t xml:space="preserve"> Decompose inequality: Contribution = Elasticity × Concentration Index</w:t>
      </w:r>
    </w:p>
    <w:p w:rsidR="00816A22" w:rsidRDefault="00000000">
      <w:pPr>
        <w:pStyle w:val="BodyText"/>
      </w:pPr>
      <w:r>
        <w:rPr>
          <w:b/>
          <w:bCs/>
        </w:rPr>
        <w:t>Step 5:</w:t>
      </w:r>
      <w:r>
        <w:t xml:space="preserve"> Express as percentage of total ECI</w:t>
      </w:r>
    </w:p>
    <w:p w:rsidR="00816A22" w:rsidRDefault="00000000">
      <w:pPr>
        <w:pStyle w:val="BodyText"/>
      </w:pPr>
      <w:r>
        <w:rPr>
          <w:b/>
          <w:bCs/>
        </w:rPr>
        <w:lastRenderedPageBreak/>
        <w:t>Interpretation:</w:t>
      </w:r>
      <w:r>
        <w:t xml:space="preserve"> The decomposition identifies which factors—and how much—contribute to observed inequality. Factors with positive concentration indices and positive elasticities contribute to pro-rich inequality.</w:t>
      </w:r>
    </w:p>
    <w:p w:rsidR="00816A22" w:rsidRDefault="00000000">
      <w:r>
        <w:pict>
          <v:rect id="_x0000_i1031" style="width:0;height:1.5pt" o:hralign="center" o:hrstd="t" o:hr="t"/>
        </w:pict>
      </w:r>
    </w:p>
    <w:p w:rsidR="00816A22" w:rsidRDefault="00000000">
      <w:pPr>
        <w:pStyle w:val="Heading2"/>
      </w:pPr>
      <w:bookmarkStart w:id="17" w:name="Xe836017e5c9eb38eb673a2093aee128d5910727"/>
      <w:bookmarkEnd w:id="12"/>
      <w:bookmarkEnd w:id="16"/>
      <w:r>
        <w:t>APPENDIX C: REFERENCES FOR SUPPLEMENTARY MATERIALS</w:t>
      </w:r>
    </w:p>
    <w:p w:rsidR="00816A22" w:rsidRDefault="00000000">
      <w:pPr>
        <w:numPr>
          <w:ilvl w:val="0"/>
          <w:numId w:val="2"/>
        </w:numPr>
      </w:pPr>
      <w:r>
        <w:t>O’Donnell O, van Doorslaer E, Wagstaff A, Lindelow M. Analyzing Health Equity Using Household Survey Data: A Guide to Techniques and Their Implementation. World Bank; 2008.</w:t>
      </w:r>
    </w:p>
    <w:p w:rsidR="00816A22" w:rsidRDefault="00000000">
      <w:pPr>
        <w:numPr>
          <w:ilvl w:val="0"/>
          <w:numId w:val="2"/>
        </w:numPr>
      </w:pPr>
      <w:r>
        <w:t>Efron B, Tibshirani RJ. An Introduction to the Bootstrap. Chapman and Hall; 1993.</w:t>
      </w:r>
    </w:p>
    <w:p w:rsidR="00816A22" w:rsidRDefault="00000000">
      <w:pPr>
        <w:numPr>
          <w:ilvl w:val="0"/>
          <w:numId w:val="2"/>
        </w:numPr>
      </w:pPr>
      <w:r>
        <w:t>Arksey H, O’Malley L. Scoping studies: towards a methodological framework. Int J Soc Res Method. 2005;8(1):19-32.</w:t>
      </w:r>
    </w:p>
    <w:p w:rsidR="00816A22" w:rsidRDefault="00000000">
      <w:pPr>
        <w:numPr>
          <w:ilvl w:val="0"/>
          <w:numId w:val="2"/>
        </w:numPr>
      </w:pPr>
      <w:r>
        <w:t>Peters MDJ, Godfrey C, McInerney P, et al. Chapter 11: Scoping reviews. In: Aromataris E, Munn Z, editors. JBI Manual for Evidence Synthesis. JBI; 2020.</w:t>
      </w:r>
    </w:p>
    <w:p w:rsidR="00816A22" w:rsidRDefault="00000000">
      <w:pPr>
        <w:numPr>
          <w:ilvl w:val="0"/>
          <w:numId w:val="2"/>
        </w:numPr>
      </w:pPr>
      <w:r>
        <w:t>UNICEF, ICF International. Multiple Indicator Cluster Survey (MICS) Technical Reports. UNICEF; 2016, 2023.</w:t>
      </w:r>
    </w:p>
    <w:p w:rsidR="006475E2" w:rsidRDefault="006475E2" w:rsidP="006475E2">
      <w:pPr>
        <w:ind w:left="240"/>
      </w:pPr>
      <w:r>
        <w:pict>
          <v:rect id="_x0000_i1060" style="width:0;height:1.5pt" o:hralign="center" o:hrstd="t" o:hr="t"/>
        </w:pict>
      </w:r>
    </w:p>
    <w:bookmarkEnd w:id="0"/>
    <w:bookmarkEnd w:id="17"/>
    <w:p w:rsidR="006475E2" w:rsidRDefault="006475E2" w:rsidP="006475E2">
      <w:pPr>
        <w:pStyle w:val="Heading2"/>
      </w:pPr>
      <w:r>
        <w:t xml:space="preserve">Appendix D: </w:t>
      </w:r>
      <w:r w:rsidRPr="00251CEB">
        <w:t xml:space="preserve">Figure 1. Trends in the </w:t>
      </w:r>
      <w:proofErr w:type="spellStart"/>
      <w:r w:rsidRPr="00251CEB">
        <w:t>Erreygers</w:t>
      </w:r>
      <w:proofErr w:type="spellEnd"/>
      <w:r w:rsidRPr="00251CEB">
        <w:t xml:space="preserve"> Concentration Index (ECI) for Maternal Health Service Utilization in Yemen, 2013–2022</w:t>
      </w:r>
    </w:p>
    <w:p w:rsidR="006475E2" w:rsidRPr="006475E2" w:rsidRDefault="006475E2" w:rsidP="006475E2">
      <w:pPr>
        <w:pStyle w:val="BodyText"/>
      </w:pPr>
      <w:r>
        <w:pict>
          <v:rect id="_x0000_i1069" style="width:0;height:1.5pt" o:hralign="center" o:hrstd="t" o:hr="t"/>
        </w:pict>
      </w:r>
    </w:p>
    <w:p w:rsidR="006475E2" w:rsidRDefault="006475E2" w:rsidP="006475E2">
      <w:pPr>
        <w:pStyle w:val="Heading2"/>
      </w:pPr>
      <w:r>
        <w:t xml:space="preserve">Appendix E: </w:t>
      </w:r>
      <w:r w:rsidRPr="002632C5">
        <w:t>PRISMA 2020 CHECKLIST</w:t>
      </w:r>
    </w:p>
    <w:p w:rsidR="006475E2" w:rsidRPr="006475E2" w:rsidRDefault="006475E2" w:rsidP="006475E2">
      <w:pPr>
        <w:pStyle w:val="BodyText"/>
      </w:pPr>
    </w:p>
    <w:p w:rsidR="006475E2" w:rsidRPr="002632C5" w:rsidRDefault="006475E2" w:rsidP="006475E2">
      <w:pPr>
        <w:pStyle w:val="BodyText"/>
      </w:pPr>
    </w:p>
    <w:p w:rsidR="00816A22" w:rsidRDefault="00816A22" w:rsidP="006475E2">
      <w:pPr>
        <w:ind w:left="240"/>
      </w:pPr>
    </w:p>
    <w:sectPr w:rsidR="00816A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D3A" w:rsidRDefault="00680D3A">
      <w:pPr>
        <w:spacing w:after="0"/>
      </w:pPr>
      <w:r>
        <w:separator/>
      </w:r>
    </w:p>
  </w:endnote>
  <w:endnote w:type="continuationSeparator" w:id="0">
    <w:p w:rsidR="00680D3A" w:rsidRDefault="00680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D3A" w:rsidRDefault="00680D3A">
      <w:r>
        <w:separator/>
      </w:r>
    </w:p>
  </w:footnote>
  <w:footnote w:type="continuationSeparator" w:id="0">
    <w:p w:rsidR="00680D3A" w:rsidRDefault="0068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02204A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10144F9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036660073">
    <w:abstractNumId w:val="0"/>
  </w:num>
  <w:num w:numId="2" w16cid:durableId="994534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6A22"/>
    <w:rsid w:val="001529CD"/>
    <w:rsid w:val="006475E2"/>
    <w:rsid w:val="00680D3A"/>
    <w:rsid w:val="00816A22"/>
    <w:rsid w:val="00A45CD2"/>
    <w:rsid w:val="00EC1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3D54"/>
  <w15:docId w15:val="{F95A962C-5B0F-4292-BB30-88725870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A45C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75E2"/>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1827</Words>
  <Characters>10418</Characters>
  <Application>Microsoft Office Word</Application>
  <DocSecurity>0</DocSecurity>
  <Lines>86</Lines>
  <Paragraphs>24</Paragraphs>
  <ScaleCrop>false</ScaleCrop>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Mamoon Mohammed</cp:lastModifiedBy>
  <cp:revision>3</cp:revision>
  <dcterms:created xsi:type="dcterms:W3CDTF">2025-12-06T15:36:00Z</dcterms:created>
  <dcterms:modified xsi:type="dcterms:W3CDTF">2025-12-06T17:27:00Z</dcterms:modified>
</cp:coreProperties>
</file>