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60339" w14:textId="77777777" w:rsidR="00087CED" w:rsidRPr="00057E23" w:rsidRDefault="00087CED" w:rsidP="00087CED">
      <w:pPr>
        <w:jc w:val="center"/>
        <w:rPr>
          <w:rFonts w:ascii="Times New Roman" w:hAnsi="Times New Roman" w:cs="Times New Roman"/>
        </w:rPr>
      </w:pPr>
      <w:r w:rsidRPr="00057E23">
        <w:rPr>
          <w:rFonts w:ascii="Times New Roman" w:hAnsi="Times New Roman" w:cs="Times New Roman"/>
          <w:b/>
          <w:bCs/>
        </w:rPr>
        <w:t>Deuterium Concentration as a Dual Regulator: Depletion Suppresses While Enrichment Amplifies Oncogenic Hallmarks in Lung Adenocarcinoma</w:t>
      </w:r>
    </w:p>
    <w:p w14:paraId="4C5B8017" w14:textId="245DBC96" w:rsidR="00087CED" w:rsidRDefault="00087CED">
      <w:pPr>
        <w:rPr>
          <w:rFonts w:ascii="Times New Roman" w:hAnsi="Times New Roman" w:cs="Times New Roman"/>
        </w:rPr>
      </w:pPr>
    </w:p>
    <w:p w14:paraId="069A219D" w14:textId="77777777" w:rsidR="009459C0" w:rsidRPr="00A52478" w:rsidRDefault="009459C0" w:rsidP="009459C0">
      <w:pPr>
        <w:jc w:val="both"/>
        <w:rPr>
          <w:rFonts w:ascii="Times New Roman" w:hAnsi="Times New Roman" w:cs="Times New Roman"/>
        </w:rPr>
      </w:pPr>
      <w:r w:rsidRPr="00A52478">
        <w:rPr>
          <w:rFonts w:ascii="Times New Roman" w:hAnsi="Times New Roman" w:cs="Times New Roman"/>
        </w:rPr>
        <w:t xml:space="preserve">Gabor I. Csonka </w:t>
      </w:r>
      <w:r w:rsidRPr="00A52478">
        <w:rPr>
          <w:rFonts w:ascii="Times New Roman" w:hAnsi="Times New Roman" w:cs="Times New Roman"/>
          <w:vertAlign w:val="superscript"/>
        </w:rPr>
        <w:t>1</w:t>
      </w:r>
      <w:r>
        <w:rPr>
          <w:rFonts w:ascii="Times New Roman" w:hAnsi="Times New Roman" w:cs="Times New Roman"/>
          <w:vertAlign w:val="superscript"/>
        </w:rPr>
        <w:t>,2</w:t>
      </w:r>
      <w:r w:rsidRPr="00A52478">
        <w:rPr>
          <w:rFonts w:ascii="Times New Roman" w:hAnsi="Times New Roman" w:cs="Times New Roman"/>
        </w:rPr>
        <w:t xml:space="preserve">, Ildikó Somlyai </w:t>
      </w:r>
      <w:r w:rsidRPr="00A52478">
        <w:rPr>
          <w:rFonts w:ascii="Times New Roman" w:hAnsi="Times New Roman" w:cs="Times New Roman"/>
          <w:vertAlign w:val="superscript"/>
        </w:rPr>
        <w:t>3</w:t>
      </w:r>
      <w:r w:rsidRPr="00A52478">
        <w:rPr>
          <w:rFonts w:ascii="Times New Roman" w:hAnsi="Times New Roman" w:cs="Times New Roman"/>
        </w:rPr>
        <w:t xml:space="preserve"> and Gábor Somlyai </w:t>
      </w:r>
      <w:r w:rsidRPr="00A52478">
        <w:rPr>
          <w:rFonts w:ascii="Times New Roman" w:hAnsi="Times New Roman" w:cs="Times New Roman"/>
          <w:vertAlign w:val="superscript"/>
        </w:rPr>
        <w:t>3</w:t>
      </w:r>
    </w:p>
    <w:p w14:paraId="62082F44" w14:textId="77777777" w:rsidR="009459C0" w:rsidRPr="00A52478" w:rsidRDefault="009459C0" w:rsidP="009459C0">
      <w:pPr>
        <w:jc w:val="both"/>
        <w:rPr>
          <w:rFonts w:ascii="Times New Roman" w:hAnsi="Times New Roman" w:cs="Times New Roman"/>
        </w:rPr>
      </w:pPr>
      <w:r w:rsidRPr="00A52478">
        <w:rPr>
          <w:rFonts w:ascii="Times New Roman" w:hAnsi="Times New Roman" w:cs="Times New Roman"/>
          <w:vertAlign w:val="superscript"/>
        </w:rPr>
        <w:t>1</w:t>
      </w:r>
      <w:r w:rsidRPr="00A52478">
        <w:rPr>
          <w:rFonts w:ascii="Times New Roman" w:hAnsi="Times New Roman" w:cs="Times New Roman"/>
        </w:rPr>
        <w:t xml:space="preserve"> Department of Physics and Engineering Physics, Tulane University New Orleans, LA 70118; csonkagi@gmail.com </w:t>
      </w:r>
    </w:p>
    <w:p w14:paraId="6F0A3C7C" w14:textId="77777777" w:rsidR="009459C0" w:rsidRPr="00A52478" w:rsidRDefault="009459C0" w:rsidP="009459C0">
      <w:pPr>
        <w:jc w:val="both"/>
        <w:rPr>
          <w:rFonts w:ascii="Times New Roman" w:hAnsi="Times New Roman" w:cs="Times New Roman"/>
        </w:rPr>
      </w:pPr>
      <w:r w:rsidRPr="00A52478">
        <w:rPr>
          <w:rFonts w:ascii="Times New Roman" w:hAnsi="Times New Roman" w:cs="Times New Roman"/>
          <w:vertAlign w:val="superscript"/>
        </w:rPr>
        <w:t>2</w:t>
      </w:r>
      <w:r w:rsidRPr="00A52478">
        <w:rPr>
          <w:rFonts w:ascii="Times New Roman" w:hAnsi="Times New Roman" w:cs="Times New Roman"/>
        </w:rPr>
        <w:t xml:space="preserve"> </w:t>
      </w:r>
      <w:r w:rsidRPr="00CB1A53">
        <w:rPr>
          <w:rFonts w:ascii="Times New Roman" w:hAnsi="Times New Roman" w:cs="Times New Roman"/>
        </w:rPr>
        <w:t>Faculty of Chemical Technology and Biotechnology</w:t>
      </w:r>
      <w:r>
        <w:rPr>
          <w:rFonts w:ascii="Times New Roman" w:hAnsi="Times New Roman" w:cs="Times New Roman"/>
        </w:rPr>
        <w:t>,</w:t>
      </w:r>
      <w:r w:rsidRPr="00CB1A53">
        <w:rPr>
          <w:rFonts w:ascii="Times New Roman" w:hAnsi="Times New Roman" w:cs="Times New Roman"/>
        </w:rPr>
        <w:t xml:space="preserve"> Budapest University of Technology and Economics</w:t>
      </w:r>
      <w:r>
        <w:rPr>
          <w:rFonts w:ascii="Times New Roman" w:hAnsi="Times New Roman" w:cs="Times New Roman"/>
        </w:rPr>
        <w:t xml:space="preserve">, </w:t>
      </w:r>
      <w:r w:rsidRPr="00124660">
        <w:rPr>
          <w:rFonts w:ascii="Times New Roman" w:hAnsi="Times New Roman" w:cs="Times New Roman"/>
        </w:rPr>
        <w:t xml:space="preserve">1111 Budapest, </w:t>
      </w:r>
      <w:proofErr w:type="spellStart"/>
      <w:r w:rsidRPr="00124660">
        <w:rPr>
          <w:rFonts w:ascii="Times New Roman" w:hAnsi="Times New Roman" w:cs="Times New Roman"/>
        </w:rPr>
        <w:t>Műegyetem</w:t>
      </w:r>
      <w:proofErr w:type="spellEnd"/>
      <w:r w:rsidRPr="00124660">
        <w:rPr>
          <w:rFonts w:ascii="Times New Roman" w:hAnsi="Times New Roman" w:cs="Times New Roman"/>
        </w:rPr>
        <w:t xml:space="preserve"> </w:t>
      </w:r>
      <w:proofErr w:type="spellStart"/>
      <w:r w:rsidRPr="00124660">
        <w:rPr>
          <w:rFonts w:ascii="Times New Roman" w:hAnsi="Times New Roman" w:cs="Times New Roman"/>
        </w:rPr>
        <w:t>rakpart</w:t>
      </w:r>
      <w:proofErr w:type="spellEnd"/>
      <w:r w:rsidRPr="00124660">
        <w:rPr>
          <w:rFonts w:ascii="Times New Roman" w:hAnsi="Times New Roman" w:cs="Times New Roman"/>
        </w:rPr>
        <w:t xml:space="preserve"> 3</w:t>
      </w:r>
    </w:p>
    <w:p w14:paraId="76BF59C1" w14:textId="77777777" w:rsidR="009459C0" w:rsidRPr="00A52478" w:rsidRDefault="009459C0" w:rsidP="009459C0">
      <w:pPr>
        <w:jc w:val="both"/>
        <w:rPr>
          <w:rFonts w:ascii="Times New Roman" w:hAnsi="Times New Roman" w:cs="Times New Roman"/>
        </w:rPr>
      </w:pPr>
      <w:r w:rsidRPr="00A52478">
        <w:rPr>
          <w:rFonts w:ascii="Times New Roman" w:hAnsi="Times New Roman" w:cs="Times New Roman"/>
          <w:vertAlign w:val="superscript"/>
        </w:rPr>
        <w:t xml:space="preserve">3 </w:t>
      </w:r>
      <w:r w:rsidRPr="00A52478">
        <w:rPr>
          <w:rFonts w:ascii="Times New Roman" w:hAnsi="Times New Roman" w:cs="Times New Roman"/>
        </w:rPr>
        <w:t xml:space="preserve">HYD LLC for Cancer Research and Drug Development, Budapest, Hungary; </w:t>
      </w:r>
      <w:hyperlink r:id="rId5" w:history="1">
        <w:r w:rsidRPr="00A52478">
          <w:rPr>
            <w:rStyle w:val="Hyperlink"/>
            <w:rFonts w:ascii="Times New Roman" w:hAnsi="Times New Roman" w:cs="Times New Roman"/>
          </w:rPr>
          <w:t>isomlyai@hyd.hu</w:t>
        </w:r>
      </w:hyperlink>
      <w:r w:rsidRPr="00A52478">
        <w:rPr>
          <w:rFonts w:ascii="Times New Roman" w:hAnsi="Times New Roman" w:cs="Times New Roman"/>
        </w:rPr>
        <w:t>, </w:t>
      </w:r>
      <w:hyperlink r:id="rId6" w:history="1">
        <w:r w:rsidRPr="00A52478">
          <w:rPr>
            <w:rStyle w:val="Hyperlink"/>
            <w:rFonts w:ascii="Times New Roman" w:hAnsi="Times New Roman" w:cs="Times New Roman"/>
          </w:rPr>
          <w:t>gsomlyai@hyd.hu</w:t>
        </w:r>
      </w:hyperlink>
    </w:p>
    <w:p w14:paraId="25E332EE" w14:textId="77777777" w:rsidR="009459C0" w:rsidRPr="00A52478" w:rsidRDefault="009459C0" w:rsidP="009459C0">
      <w:pPr>
        <w:jc w:val="both"/>
        <w:rPr>
          <w:rFonts w:ascii="Times New Roman" w:hAnsi="Times New Roman" w:cs="Times New Roman"/>
        </w:rPr>
      </w:pPr>
      <w:r w:rsidRPr="00A52478">
        <w:rPr>
          <w:rFonts w:ascii="Times New Roman" w:hAnsi="Times New Roman" w:cs="Times New Roman"/>
        </w:rPr>
        <w:t xml:space="preserve">Correspondence: </w:t>
      </w:r>
      <w:hyperlink r:id="rId7" w:history="1">
        <w:r w:rsidRPr="00A52478">
          <w:rPr>
            <w:rStyle w:val="Hyperlink"/>
            <w:rFonts w:ascii="Times New Roman" w:hAnsi="Times New Roman" w:cs="Times New Roman"/>
          </w:rPr>
          <w:t>csonkagi@gmail.com</w:t>
        </w:r>
      </w:hyperlink>
      <w:r w:rsidRPr="00A52478">
        <w:rPr>
          <w:rFonts w:ascii="Times New Roman" w:hAnsi="Times New Roman" w:cs="Times New Roman"/>
        </w:rPr>
        <w:t xml:space="preserve">, </w:t>
      </w:r>
      <w:hyperlink r:id="rId8" w:history="1">
        <w:r w:rsidRPr="00A52478">
          <w:rPr>
            <w:rStyle w:val="Hyperlink"/>
            <w:rFonts w:ascii="Times New Roman" w:hAnsi="Times New Roman" w:cs="Times New Roman"/>
          </w:rPr>
          <w:t>Gábor I. Csonka (0000-0001-5701-4401) - ORCID</w:t>
        </w:r>
      </w:hyperlink>
      <w:r w:rsidRPr="00A52478">
        <w:rPr>
          <w:rFonts w:ascii="Times New Roman" w:hAnsi="Times New Roman" w:cs="Times New Roman"/>
        </w:rPr>
        <w:t xml:space="preserve">, </w:t>
      </w:r>
    </w:p>
    <w:p w14:paraId="3525CF9A" w14:textId="77777777" w:rsidR="009459C0" w:rsidRPr="00057E23" w:rsidRDefault="009459C0">
      <w:pPr>
        <w:rPr>
          <w:rFonts w:ascii="Times New Roman" w:hAnsi="Times New Roman" w:cs="Times New Roman"/>
        </w:rPr>
      </w:pPr>
    </w:p>
    <w:p w14:paraId="5C602EAE" w14:textId="77777777" w:rsidR="00087CED" w:rsidRPr="00057E23" w:rsidRDefault="00087CED">
      <w:pPr>
        <w:rPr>
          <w:rFonts w:ascii="Times New Roman" w:hAnsi="Times New Roman" w:cs="Times New Roman"/>
        </w:rPr>
      </w:pPr>
    </w:p>
    <w:p w14:paraId="47091825" w14:textId="6D4DCA8B" w:rsidR="007967A4" w:rsidRPr="00057E23" w:rsidRDefault="00C17EA1">
      <w:pPr>
        <w:rPr>
          <w:rFonts w:ascii="Times New Roman" w:hAnsi="Times New Roman" w:cs="Times New Roman"/>
        </w:rPr>
      </w:pPr>
      <w:r w:rsidRPr="00057E23">
        <w:rPr>
          <w:rFonts w:ascii="Times New Roman" w:hAnsi="Times New Roman" w:cs="Times New Roman"/>
        </w:rPr>
        <w:t>Supp</w:t>
      </w:r>
      <w:r w:rsidR="002316B1" w:rsidRPr="00057E23">
        <w:rPr>
          <w:rFonts w:ascii="Times New Roman" w:hAnsi="Times New Roman" w:cs="Times New Roman"/>
        </w:rPr>
        <w:t>orting</w:t>
      </w:r>
      <w:r w:rsidRPr="00057E23">
        <w:rPr>
          <w:rFonts w:ascii="Times New Roman" w:hAnsi="Times New Roman" w:cs="Times New Roman"/>
        </w:rPr>
        <w:t xml:space="preserve"> data</w:t>
      </w:r>
    </w:p>
    <w:p w14:paraId="0347BE36" w14:textId="77777777" w:rsidR="00C17EA1" w:rsidRPr="00057E23" w:rsidRDefault="00C17EA1" w:rsidP="00C17EA1">
      <w:pPr>
        <w:rPr>
          <w:rFonts w:ascii="Times New Roman" w:hAnsi="Times New Roman" w:cs="Times New Roman"/>
        </w:rPr>
      </w:pPr>
    </w:p>
    <w:p w14:paraId="7258D0B7" w14:textId="77777777" w:rsidR="00C17EA1" w:rsidRPr="00057E23" w:rsidRDefault="00C17EA1" w:rsidP="00C17EA1">
      <w:pPr>
        <w:rPr>
          <w:rFonts w:ascii="Times New Roman" w:hAnsi="Times New Roman" w:cs="Times New Roman"/>
        </w:rPr>
      </w:pPr>
      <w:r w:rsidRPr="00057E23">
        <w:rPr>
          <w:rFonts w:ascii="Times New Roman" w:hAnsi="Times New Roman" w:cs="Times New Roman"/>
          <w:noProof/>
        </w:rPr>
        <w:drawing>
          <wp:inline distT="0" distB="0" distL="0" distR="0" wp14:anchorId="5F00F85A" wp14:editId="434472E2">
            <wp:extent cx="5943600" cy="3820795"/>
            <wp:effectExtent l="0" t="0" r="0" b="8255"/>
            <wp:docPr id="1687816044" name="Picture 1" descr="A graph of a graph showing a number of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16044" name="Picture 1" descr="A graph of a graph showing a number of dot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43600" cy="3820795"/>
                    </a:xfrm>
                    <a:prstGeom prst="rect">
                      <a:avLst/>
                    </a:prstGeom>
                  </pic:spPr>
                </pic:pic>
              </a:graphicData>
            </a:graphic>
          </wp:inline>
        </w:drawing>
      </w:r>
    </w:p>
    <w:p w14:paraId="3FAC39CC" w14:textId="77777777" w:rsidR="00F5624F" w:rsidRPr="00F5624F" w:rsidRDefault="00F5624F" w:rsidP="00F5624F">
      <w:pPr>
        <w:rPr>
          <w:rFonts w:ascii="Times New Roman" w:hAnsi="Times New Roman" w:cs="Times New Roman"/>
        </w:rPr>
      </w:pPr>
      <w:r w:rsidRPr="00F5624F">
        <w:rPr>
          <w:rFonts w:ascii="Times New Roman" w:hAnsi="Times New Roman" w:cs="Times New Roman"/>
          <w:b/>
          <w:bCs/>
        </w:rPr>
        <w:lastRenderedPageBreak/>
        <w:t>Fig. S1. Relative gene expression reliability classification (all genes).</w:t>
      </w:r>
      <w:r w:rsidRPr="00F5624F">
        <w:rPr>
          <w:rFonts w:ascii="Times New Roman" w:hAnsi="Times New Roman" w:cs="Times New Roman"/>
        </w:rPr>
        <w:br/>
        <w:t>Three</w:t>
      </w:r>
      <w:r w:rsidRPr="00F5624F">
        <w:rPr>
          <w:rFonts w:ascii="Times New Roman" w:hAnsi="Times New Roman" w:cs="Times New Roman"/>
        </w:rPr>
        <w:noBreakHyphen/>
        <w:t>dimensional scatter plot of summed relative propagated errors for the full set of 236 cancer</w:t>
      </w:r>
      <w:r w:rsidRPr="00F5624F">
        <w:rPr>
          <w:rFonts w:ascii="Times New Roman" w:hAnsi="Times New Roman" w:cs="Times New Roman"/>
        </w:rPr>
        <w:noBreakHyphen/>
        <w:t>related genes measured across 40, 80, and 300 ppm deuterium concentrations. Each point is color</w:t>
      </w:r>
      <w:r w:rsidRPr="00F5624F">
        <w:rPr>
          <w:rFonts w:ascii="Times New Roman" w:hAnsi="Times New Roman" w:cs="Times New Roman"/>
        </w:rPr>
        <w:noBreakHyphen/>
        <w:t>coded by reliability class: ≤ 0.30 (green), ≤ 0.45 (light green), ≤ 0.55 (yellow), ≤ 0.65 (light red), and &gt; 0.65 (red). Axes represent expression ratios at the three concentrations, illustrating the distribution of measurement precision across the dataset.</w:t>
      </w:r>
    </w:p>
    <w:p w14:paraId="2384E0DC" w14:textId="77777777" w:rsidR="00C17EA1" w:rsidRPr="00057E23" w:rsidRDefault="00C17EA1" w:rsidP="00C17EA1">
      <w:pPr>
        <w:rPr>
          <w:rFonts w:ascii="Times New Roman" w:hAnsi="Times New Roman" w:cs="Times New Roman"/>
        </w:rPr>
      </w:pPr>
    </w:p>
    <w:p w14:paraId="3BB31284" w14:textId="77777777" w:rsidR="00C17EA1" w:rsidRPr="00057E23" w:rsidRDefault="00C17EA1" w:rsidP="00C17EA1">
      <w:pPr>
        <w:rPr>
          <w:rFonts w:ascii="Times New Roman" w:hAnsi="Times New Roman" w:cs="Times New Roman"/>
        </w:rPr>
      </w:pPr>
      <w:r w:rsidRPr="00057E23">
        <w:rPr>
          <w:rFonts w:ascii="Times New Roman" w:hAnsi="Times New Roman" w:cs="Times New Roman"/>
          <w:noProof/>
        </w:rPr>
        <w:drawing>
          <wp:inline distT="0" distB="0" distL="0" distR="0" wp14:anchorId="500E1992" wp14:editId="47F7E7DB">
            <wp:extent cx="5943600" cy="3820795"/>
            <wp:effectExtent l="0" t="0" r="0" b="8255"/>
            <wp:docPr id="1932242786" name="Picture 4" descr="A graph of a graph with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42786" name="Picture 4" descr="A graph of a graph with dot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43600" cy="3820795"/>
                    </a:xfrm>
                    <a:prstGeom prst="rect">
                      <a:avLst/>
                    </a:prstGeom>
                  </pic:spPr>
                </pic:pic>
              </a:graphicData>
            </a:graphic>
          </wp:inline>
        </w:drawing>
      </w:r>
    </w:p>
    <w:p w14:paraId="21611898" w14:textId="77777777" w:rsidR="00652958" w:rsidRPr="00652958" w:rsidRDefault="00652958" w:rsidP="00652958">
      <w:pPr>
        <w:jc w:val="both"/>
        <w:rPr>
          <w:rFonts w:ascii="Times New Roman" w:hAnsi="Times New Roman" w:cs="Times New Roman"/>
        </w:rPr>
      </w:pPr>
      <w:r w:rsidRPr="00652958">
        <w:rPr>
          <w:rFonts w:ascii="Times New Roman" w:hAnsi="Times New Roman" w:cs="Times New Roman"/>
          <w:b/>
          <w:bCs/>
        </w:rPr>
        <w:t>Fig. S2. Relative gene expression reliability classification (filtered genes).</w:t>
      </w:r>
      <w:r w:rsidRPr="00652958">
        <w:rPr>
          <w:rFonts w:ascii="Times New Roman" w:hAnsi="Times New Roman" w:cs="Times New Roman"/>
        </w:rPr>
        <w:br/>
        <w:t>Three</w:t>
      </w:r>
      <w:r w:rsidRPr="00652958">
        <w:rPr>
          <w:rFonts w:ascii="Times New Roman" w:hAnsi="Times New Roman" w:cs="Times New Roman"/>
        </w:rPr>
        <w:noBreakHyphen/>
        <w:t>dimensional scatter plot of the 110 genes retained after error</w:t>
      </w:r>
      <w:r w:rsidRPr="00652958">
        <w:rPr>
          <w:rFonts w:ascii="Times New Roman" w:hAnsi="Times New Roman" w:cs="Times New Roman"/>
        </w:rPr>
        <w:noBreakHyphen/>
        <w:t>propagation filtering (total propagated relative error &lt; 0.55). The same color scheme is applied as in Fig. S1. This figure highlights the subset of genes with reproducible, low</w:t>
      </w:r>
      <w:r w:rsidRPr="00652958">
        <w:rPr>
          <w:rFonts w:ascii="Times New Roman" w:hAnsi="Times New Roman" w:cs="Times New Roman"/>
        </w:rPr>
        <w:noBreakHyphen/>
        <w:t>error measurements that form the basis for downstream clustering and pathway analysis.</w:t>
      </w:r>
    </w:p>
    <w:p w14:paraId="4C81F65B" w14:textId="77777777" w:rsidR="003E7028" w:rsidRPr="00057E23" w:rsidRDefault="003E7028" w:rsidP="0036648A">
      <w:pPr>
        <w:jc w:val="both"/>
        <w:rPr>
          <w:rFonts w:ascii="Times New Roman" w:hAnsi="Times New Roman" w:cs="Times New Roman"/>
          <w:b/>
          <w:bCs/>
        </w:rPr>
      </w:pPr>
    </w:p>
    <w:p w14:paraId="4116D205" w14:textId="6B4D9F2E" w:rsidR="0036648A" w:rsidRPr="00057E23" w:rsidRDefault="0036648A" w:rsidP="0036648A">
      <w:pPr>
        <w:jc w:val="both"/>
        <w:rPr>
          <w:rFonts w:ascii="Times New Roman" w:hAnsi="Times New Roman" w:cs="Times New Roman"/>
          <w:b/>
          <w:bCs/>
        </w:rPr>
      </w:pPr>
      <w:r w:rsidRPr="00057E23">
        <w:rPr>
          <w:rFonts w:ascii="Times New Roman" w:hAnsi="Times New Roman" w:cs="Times New Roman"/>
          <w:b/>
          <w:bCs/>
        </w:rPr>
        <w:t xml:space="preserve">Table </w:t>
      </w:r>
      <w:r w:rsidR="00EC2CAF" w:rsidRPr="00057E23">
        <w:rPr>
          <w:rFonts w:ascii="Times New Roman" w:hAnsi="Times New Roman" w:cs="Times New Roman"/>
          <w:b/>
          <w:bCs/>
        </w:rPr>
        <w:t>S</w:t>
      </w:r>
      <w:r w:rsidR="00BA3812" w:rsidRPr="00057E23">
        <w:rPr>
          <w:rFonts w:ascii="Times New Roman" w:hAnsi="Times New Roman" w:cs="Times New Roman"/>
          <w:b/>
          <w:bCs/>
        </w:rPr>
        <w:t>1</w:t>
      </w:r>
      <w:r w:rsidRPr="00057E23">
        <w:rPr>
          <w:rFonts w:ascii="Times New Roman" w:hAnsi="Times New Roman" w:cs="Times New Roman"/>
          <w:b/>
          <w:bCs/>
        </w:rPr>
        <w:t>. Genes excluded from the cancer gene set</w:t>
      </w:r>
    </w:p>
    <w:p w14:paraId="3F634B0F" w14:textId="77777777" w:rsidR="00D77DEB" w:rsidRPr="00D77DEB" w:rsidRDefault="00D77DEB" w:rsidP="00D77DEB">
      <w:pPr>
        <w:jc w:val="both"/>
        <w:rPr>
          <w:rFonts w:ascii="Times New Roman" w:hAnsi="Times New Roman" w:cs="Times New Roman"/>
        </w:rPr>
      </w:pPr>
      <w:r w:rsidRPr="00D77DEB">
        <w:rPr>
          <w:rFonts w:ascii="Times New Roman" w:hAnsi="Times New Roman" w:cs="Times New Roman"/>
        </w:rPr>
        <w:t>Eight genes were removed during filtering against the Cancer Compass Consensus Cancer Genes (15 Databases) list. Although biologically relevant as modifiers of tumor behavior, they lack recurrent driver mutations and multi</w:t>
      </w:r>
      <w:r w:rsidRPr="00D77DEB">
        <w:rPr>
          <w:rFonts w:ascii="Times New Roman" w:hAnsi="Times New Roman" w:cs="Times New Roman"/>
        </w:rPr>
        <w:noBreakHyphen/>
        <w:t>database support. Their exclusion ensures that the final 102</w:t>
      </w:r>
      <w:r w:rsidRPr="00D77DEB">
        <w:rPr>
          <w:rFonts w:ascii="Times New Roman" w:hAnsi="Times New Roman" w:cs="Times New Roman"/>
        </w:rPr>
        <w:noBreakHyphen/>
        <w:t>gene set reflects driver</w:t>
      </w:r>
      <w:r w:rsidRPr="00D77DEB">
        <w:rPr>
          <w:rFonts w:ascii="Times New Roman" w:hAnsi="Times New Roman" w:cs="Times New Roman"/>
        </w:rPr>
        <w:noBreakHyphen/>
        <w:t>level evidence only.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5"/>
        <w:gridCol w:w="3344"/>
        <w:gridCol w:w="5101"/>
      </w:tblGrid>
      <w:tr w:rsidR="0036648A" w:rsidRPr="00057E23" w14:paraId="727E2791" w14:textId="77777777" w:rsidTr="00B91F90">
        <w:trPr>
          <w:tblHeader/>
          <w:tblCellSpacing w:w="15" w:type="dxa"/>
        </w:trPr>
        <w:tc>
          <w:tcPr>
            <w:tcW w:w="0" w:type="auto"/>
            <w:tcBorders>
              <w:top w:val="single" w:sz="4" w:space="0" w:color="auto"/>
              <w:bottom w:val="single" w:sz="4" w:space="0" w:color="auto"/>
            </w:tcBorders>
            <w:vAlign w:val="center"/>
            <w:hideMark/>
          </w:tcPr>
          <w:p w14:paraId="1340728C" w14:textId="77777777" w:rsidR="0036648A" w:rsidRPr="00057E23" w:rsidRDefault="0036648A" w:rsidP="00A36284">
            <w:pPr>
              <w:jc w:val="both"/>
              <w:rPr>
                <w:rFonts w:ascii="Times New Roman" w:hAnsi="Times New Roman" w:cs="Times New Roman"/>
                <w:b/>
                <w:bCs/>
              </w:rPr>
            </w:pPr>
            <w:r w:rsidRPr="00057E23">
              <w:rPr>
                <w:rFonts w:ascii="Times New Roman" w:hAnsi="Times New Roman" w:cs="Times New Roman"/>
                <w:b/>
                <w:bCs/>
              </w:rPr>
              <w:lastRenderedPageBreak/>
              <w:t>Gene</w:t>
            </w:r>
          </w:p>
        </w:tc>
        <w:tc>
          <w:tcPr>
            <w:tcW w:w="0" w:type="auto"/>
            <w:tcBorders>
              <w:top w:val="single" w:sz="4" w:space="0" w:color="auto"/>
              <w:bottom w:val="single" w:sz="4" w:space="0" w:color="auto"/>
            </w:tcBorders>
            <w:vAlign w:val="center"/>
            <w:hideMark/>
          </w:tcPr>
          <w:p w14:paraId="2A77162A" w14:textId="77777777" w:rsidR="0036648A" w:rsidRPr="00057E23" w:rsidRDefault="0036648A" w:rsidP="00A36284">
            <w:pPr>
              <w:jc w:val="both"/>
              <w:rPr>
                <w:rFonts w:ascii="Times New Roman" w:hAnsi="Times New Roman" w:cs="Times New Roman"/>
                <w:b/>
                <w:bCs/>
              </w:rPr>
            </w:pPr>
            <w:r w:rsidRPr="00057E23">
              <w:rPr>
                <w:rFonts w:ascii="Times New Roman" w:hAnsi="Times New Roman" w:cs="Times New Roman"/>
                <w:b/>
                <w:bCs/>
              </w:rPr>
              <w:t>Main Pathway(s)</w:t>
            </w:r>
          </w:p>
        </w:tc>
        <w:tc>
          <w:tcPr>
            <w:tcW w:w="0" w:type="auto"/>
            <w:tcBorders>
              <w:top w:val="single" w:sz="4" w:space="0" w:color="auto"/>
              <w:bottom w:val="single" w:sz="4" w:space="0" w:color="auto"/>
            </w:tcBorders>
            <w:vAlign w:val="center"/>
            <w:hideMark/>
          </w:tcPr>
          <w:p w14:paraId="359A10AA" w14:textId="77777777" w:rsidR="0036648A" w:rsidRPr="00057E23" w:rsidRDefault="0036648A" w:rsidP="00A36284">
            <w:pPr>
              <w:jc w:val="both"/>
              <w:rPr>
                <w:rFonts w:ascii="Times New Roman" w:hAnsi="Times New Roman" w:cs="Times New Roman"/>
                <w:b/>
                <w:bCs/>
              </w:rPr>
            </w:pPr>
            <w:r w:rsidRPr="00057E23">
              <w:rPr>
                <w:rFonts w:ascii="Times New Roman" w:hAnsi="Times New Roman" w:cs="Times New Roman"/>
                <w:b/>
                <w:bCs/>
              </w:rPr>
              <w:t>Rationale for Exclusion</w:t>
            </w:r>
          </w:p>
        </w:tc>
      </w:tr>
      <w:tr w:rsidR="0036648A" w:rsidRPr="00057E23" w14:paraId="3ED7CDED" w14:textId="77777777" w:rsidTr="00A36284">
        <w:trPr>
          <w:tblCellSpacing w:w="15" w:type="dxa"/>
        </w:trPr>
        <w:tc>
          <w:tcPr>
            <w:tcW w:w="0" w:type="auto"/>
            <w:vAlign w:val="center"/>
            <w:hideMark/>
          </w:tcPr>
          <w:p w14:paraId="6CC0CF66" w14:textId="77777777" w:rsidR="0036648A" w:rsidRPr="00057E23" w:rsidRDefault="0036648A" w:rsidP="00A36284">
            <w:pPr>
              <w:jc w:val="both"/>
              <w:rPr>
                <w:rFonts w:ascii="Times New Roman" w:hAnsi="Times New Roman" w:cs="Times New Roman"/>
                <w:i/>
                <w:iCs/>
              </w:rPr>
            </w:pPr>
            <w:r w:rsidRPr="00057E23">
              <w:rPr>
                <w:rFonts w:ascii="Times New Roman" w:hAnsi="Times New Roman" w:cs="Times New Roman"/>
                <w:b/>
                <w:bCs/>
                <w:i/>
                <w:iCs/>
              </w:rPr>
              <w:t>CTGF</w:t>
            </w:r>
          </w:p>
        </w:tc>
        <w:tc>
          <w:tcPr>
            <w:tcW w:w="0" w:type="auto"/>
            <w:vAlign w:val="center"/>
            <w:hideMark/>
          </w:tcPr>
          <w:p w14:paraId="3BE16149" w14:textId="77777777" w:rsidR="0036648A" w:rsidRPr="00057E23" w:rsidRDefault="0036648A" w:rsidP="00877AEA">
            <w:pPr>
              <w:rPr>
                <w:rFonts w:ascii="Times New Roman" w:hAnsi="Times New Roman" w:cs="Times New Roman"/>
              </w:rPr>
            </w:pPr>
            <w:r w:rsidRPr="00057E23">
              <w:rPr>
                <w:rFonts w:ascii="Times New Roman" w:hAnsi="Times New Roman" w:cs="Times New Roman"/>
              </w:rPr>
              <w:t>TGF</w:t>
            </w:r>
            <w:r w:rsidRPr="00057E23">
              <w:rPr>
                <w:rFonts w:ascii="Times New Roman" w:hAnsi="Times New Roman" w:cs="Times New Roman"/>
              </w:rPr>
              <w:noBreakHyphen/>
              <w:t>β signaling, PI3K–AKT, ECM remodeling</w:t>
            </w:r>
          </w:p>
        </w:tc>
        <w:tc>
          <w:tcPr>
            <w:tcW w:w="0" w:type="auto"/>
            <w:vAlign w:val="center"/>
            <w:hideMark/>
          </w:tcPr>
          <w:p w14:paraId="505DF048" w14:textId="02F96AAF" w:rsidR="0036648A" w:rsidRPr="00057E23" w:rsidRDefault="0036648A" w:rsidP="00F578C9">
            <w:pPr>
              <w:rPr>
                <w:rFonts w:ascii="Times New Roman" w:hAnsi="Times New Roman" w:cs="Times New Roman"/>
              </w:rPr>
            </w:pPr>
            <w:r w:rsidRPr="00057E23">
              <w:rPr>
                <w:rFonts w:ascii="Times New Roman" w:hAnsi="Times New Roman" w:cs="Times New Roman"/>
              </w:rPr>
              <w:t>Context</w:t>
            </w:r>
            <w:r w:rsidRPr="00057E23">
              <w:rPr>
                <w:rFonts w:ascii="Times New Roman" w:hAnsi="Times New Roman" w:cs="Times New Roman"/>
              </w:rPr>
              <w:noBreakHyphen/>
              <w:t>dependent effector of invasion/fibrosis; not annotated as a driver gene across databases</w:t>
            </w:r>
          </w:p>
        </w:tc>
      </w:tr>
      <w:tr w:rsidR="0036648A" w:rsidRPr="00057E23" w14:paraId="134FD5FF" w14:textId="77777777" w:rsidTr="00A36284">
        <w:trPr>
          <w:tblCellSpacing w:w="15" w:type="dxa"/>
        </w:trPr>
        <w:tc>
          <w:tcPr>
            <w:tcW w:w="0" w:type="auto"/>
            <w:vAlign w:val="center"/>
            <w:hideMark/>
          </w:tcPr>
          <w:p w14:paraId="7803D9C8" w14:textId="77777777" w:rsidR="0036648A" w:rsidRPr="00057E23" w:rsidRDefault="0036648A" w:rsidP="00A36284">
            <w:pPr>
              <w:jc w:val="both"/>
              <w:rPr>
                <w:rFonts w:ascii="Times New Roman" w:hAnsi="Times New Roman" w:cs="Times New Roman"/>
                <w:i/>
                <w:iCs/>
              </w:rPr>
            </w:pPr>
            <w:r w:rsidRPr="00057E23">
              <w:rPr>
                <w:rFonts w:ascii="Times New Roman" w:hAnsi="Times New Roman" w:cs="Times New Roman"/>
                <w:b/>
                <w:bCs/>
                <w:i/>
                <w:iCs/>
              </w:rPr>
              <w:t>GAPDH</w:t>
            </w:r>
          </w:p>
        </w:tc>
        <w:tc>
          <w:tcPr>
            <w:tcW w:w="0" w:type="auto"/>
            <w:vAlign w:val="center"/>
            <w:hideMark/>
          </w:tcPr>
          <w:p w14:paraId="46C6C1F2" w14:textId="77777777" w:rsidR="0036648A" w:rsidRPr="00057E23" w:rsidRDefault="0036648A" w:rsidP="00877AEA">
            <w:pPr>
              <w:rPr>
                <w:rFonts w:ascii="Times New Roman" w:hAnsi="Times New Roman" w:cs="Times New Roman"/>
              </w:rPr>
            </w:pPr>
            <w:r w:rsidRPr="00057E23">
              <w:rPr>
                <w:rFonts w:ascii="Times New Roman" w:hAnsi="Times New Roman" w:cs="Times New Roman"/>
              </w:rPr>
              <w:t>Glycolysis, metabolic reprogramming, oxidative stress</w:t>
            </w:r>
          </w:p>
        </w:tc>
        <w:tc>
          <w:tcPr>
            <w:tcW w:w="0" w:type="auto"/>
            <w:vAlign w:val="center"/>
            <w:hideMark/>
          </w:tcPr>
          <w:p w14:paraId="520B3728" w14:textId="77777777" w:rsidR="0036648A" w:rsidRPr="00057E23" w:rsidRDefault="0036648A" w:rsidP="00A36284">
            <w:pPr>
              <w:jc w:val="both"/>
              <w:rPr>
                <w:rFonts w:ascii="Times New Roman" w:hAnsi="Times New Roman" w:cs="Times New Roman"/>
              </w:rPr>
            </w:pPr>
            <w:r w:rsidRPr="00057E23">
              <w:rPr>
                <w:rFonts w:ascii="Times New Roman" w:hAnsi="Times New Roman" w:cs="Times New Roman"/>
              </w:rPr>
              <w:t>Housekeeping enzyme with moonlighting roles; not a recurrently mutated cancer driver</w:t>
            </w:r>
          </w:p>
        </w:tc>
      </w:tr>
      <w:tr w:rsidR="0036648A" w:rsidRPr="00057E23" w14:paraId="6DE88A2B" w14:textId="77777777" w:rsidTr="00A36284">
        <w:trPr>
          <w:tblCellSpacing w:w="15" w:type="dxa"/>
        </w:trPr>
        <w:tc>
          <w:tcPr>
            <w:tcW w:w="0" w:type="auto"/>
            <w:vAlign w:val="center"/>
            <w:hideMark/>
          </w:tcPr>
          <w:p w14:paraId="78D150A7" w14:textId="77777777" w:rsidR="0036648A" w:rsidRPr="00057E23" w:rsidRDefault="0036648A" w:rsidP="00A36284">
            <w:pPr>
              <w:jc w:val="both"/>
              <w:rPr>
                <w:rFonts w:ascii="Times New Roman" w:hAnsi="Times New Roman" w:cs="Times New Roman"/>
                <w:i/>
                <w:iCs/>
              </w:rPr>
            </w:pPr>
            <w:r w:rsidRPr="00057E23">
              <w:rPr>
                <w:rFonts w:ascii="Times New Roman" w:hAnsi="Times New Roman" w:cs="Times New Roman"/>
                <w:b/>
                <w:bCs/>
                <w:i/>
                <w:iCs/>
              </w:rPr>
              <w:t>GRB7</w:t>
            </w:r>
          </w:p>
        </w:tc>
        <w:tc>
          <w:tcPr>
            <w:tcW w:w="0" w:type="auto"/>
            <w:vAlign w:val="center"/>
            <w:hideMark/>
          </w:tcPr>
          <w:p w14:paraId="11101FA4" w14:textId="77777777" w:rsidR="0036648A" w:rsidRPr="00057E23" w:rsidRDefault="0036648A" w:rsidP="00877AEA">
            <w:pPr>
              <w:rPr>
                <w:rFonts w:ascii="Times New Roman" w:hAnsi="Times New Roman" w:cs="Times New Roman"/>
              </w:rPr>
            </w:pPr>
            <w:r w:rsidRPr="00057E23">
              <w:rPr>
                <w:rFonts w:ascii="Times New Roman" w:hAnsi="Times New Roman" w:cs="Times New Roman"/>
              </w:rPr>
              <w:t>RTK signaling (HER2/EGFR), PI3K–AKT, MAPK</w:t>
            </w:r>
          </w:p>
        </w:tc>
        <w:tc>
          <w:tcPr>
            <w:tcW w:w="0" w:type="auto"/>
            <w:vAlign w:val="center"/>
            <w:hideMark/>
          </w:tcPr>
          <w:p w14:paraId="329A8B8E" w14:textId="77777777" w:rsidR="0036648A" w:rsidRPr="00057E23" w:rsidRDefault="0036648A" w:rsidP="00A36284">
            <w:pPr>
              <w:jc w:val="both"/>
              <w:rPr>
                <w:rFonts w:ascii="Times New Roman" w:hAnsi="Times New Roman" w:cs="Times New Roman"/>
              </w:rPr>
            </w:pPr>
            <w:r w:rsidRPr="00057E23">
              <w:rPr>
                <w:rFonts w:ascii="Times New Roman" w:hAnsi="Times New Roman" w:cs="Times New Roman"/>
              </w:rPr>
              <w:t>Adaptor protein amplifying oncogenic signaling; lacks consistent driver mutation evidence</w:t>
            </w:r>
          </w:p>
        </w:tc>
      </w:tr>
      <w:tr w:rsidR="009C1E8E" w:rsidRPr="00057E23" w14:paraId="73D8304E" w14:textId="77777777" w:rsidTr="00A36284">
        <w:trPr>
          <w:tblCellSpacing w:w="15" w:type="dxa"/>
        </w:trPr>
        <w:tc>
          <w:tcPr>
            <w:tcW w:w="0" w:type="auto"/>
            <w:vAlign w:val="center"/>
          </w:tcPr>
          <w:p w14:paraId="3101D37B" w14:textId="7342A9D6" w:rsidR="009C1E8E" w:rsidRPr="00057E23" w:rsidRDefault="009C1E8E" w:rsidP="00A36284">
            <w:pPr>
              <w:jc w:val="both"/>
              <w:rPr>
                <w:rFonts w:ascii="Times New Roman" w:hAnsi="Times New Roman" w:cs="Times New Roman"/>
                <w:b/>
                <w:bCs/>
                <w:i/>
                <w:iCs/>
              </w:rPr>
            </w:pPr>
            <w:r w:rsidRPr="00057E23">
              <w:rPr>
                <w:rFonts w:ascii="Times New Roman" w:hAnsi="Times New Roman" w:cs="Times New Roman"/>
                <w:b/>
                <w:bCs/>
                <w:i/>
                <w:iCs/>
              </w:rPr>
              <w:t>GUSB</w:t>
            </w:r>
          </w:p>
        </w:tc>
        <w:tc>
          <w:tcPr>
            <w:tcW w:w="0" w:type="auto"/>
            <w:vAlign w:val="center"/>
          </w:tcPr>
          <w:p w14:paraId="2E1AF42B" w14:textId="77777777" w:rsidR="009C1E8E" w:rsidRPr="00057E23" w:rsidRDefault="009C1E8E" w:rsidP="00877AEA">
            <w:pPr>
              <w:rPr>
                <w:rFonts w:ascii="Times New Roman" w:hAnsi="Times New Roman" w:cs="Times New Roman"/>
              </w:rPr>
            </w:pPr>
          </w:p>
        </w:tc>
        <w:tc>
          <w:tcPr>
            <w:tcW w:w="0" w:type="auto"/>
            <w:vAlign w:val="center"/>
          </w:tcPr>
          <w:p w14:paraId="5B15F155" w14:textId="66B46EDF" w:rsidR="009C1E8E" w:rsidRPr="00057E23" w:rsidRDefault="009C1E8E" w:rsidP="00A36284">
            <w:pPr>
              <w:jc w:val="both"/>
              <w:rPr>
                <w:rFonts w:ascii="Times New Roman" w:hAnsi="Times New Roman" w:cs="Times New Roman"/>
              </w:rPr>
            </w:pPr>
            <w:r w:rsidRPr="00057E23">
              <w:rPr>
                <w:rFonts w:ascii="Times New Roman" w:hAnsi="Times New Roman" w:cs="Times New Roman"/>
              </w:rPr>
              <w:t>Housekeeping enzyme; no recurrent driver role.</w:t>
            </w:r>
          </w:p>
        </w:tc>
      </w:tr>
      <w:tr w:rsidR="0036648A" w:rsidRPr="00057E23" w14:paraId="2D97AFFD" w14:textId="77777777" w:rsidTr="00A36284">
        <w:trPr>
          <w:tblCellSpacing w:w="15" w:type="dxa"/>
        </w:trPr>
        <w:tc>
          <w:tcPr>
            <w:tcW w:w="0" w:type="auto"/>
            <w:vAlign w:val="center"/>
            <w:hideMark/>
          </w:tcPr>
          <w:p w14:paraId="0D098DAF" w14:textId="77777777" w:rsidR="0036648A" w:rsidRPr="00057E23" w:rsidRDefault="0036648A" w:rsidP="00A36284">
            <w:pPr>
              <w:jc w:val="both"/>
              <w:rPr>
                <w:rFonts w:ascii="Times New Roman" w:hAnsi="Times New Roman" w:cs="Times New Roman"/>
                <w:i/>
                <w:iCs/>
              </w:rPr>
            </w:pPr>
            <w:r w:rsidRPr="00057E23">
              <w:rPr>
                <w:rFonts w:ascii="Times New Roman" w:hAnsi="Times New Roman" w:cs="Times New Roman"/>
                <w:b/>
                <w:bCs/>
                <w:i/>
                <w:iCs/>
              </w:rPr>
              <w:t>HMMR</w:t>
            </w:r>
          </w:p>
        </w:tc>
        <w:tc>
          <w:tcPr>
            <w:tcW w:w="0" w:type="auto"/>
            <w:vAlign w:val="center"/>
            <w:hideMark/>
          </w:tcPr>
          <w:p w14:paraId="428D2201" w14:textId="77777777" w:rsidR="0036648A" w:rsidRPr="00057E23" w:rsidRDefault="0036648A" w:rsidP="00877AEA">
            <w:pPr>
              <w:rPr>
                <w:rFonts w:ascii="Times New Roman" w:hAnsi="Times New Roman" w:cs="Times New Roman"/>
              </w:rPr>
            </w:pPr>
            <w:r w:rsidRPr="00057E23">
              <w:rPr>
                <w:rFonts w:ascii="Times New Roman" w:hAnsi="Times New Roman" w:cs="Times New Roman"/>
              </w:rPr>
              <w:t>Cell cycle, spindle assembly, ECM–receptor interaction</w:t>
            </w:r>
          </w:p>
        </w:tc>
        <w:tc>
          <w:tcPr>
            <w:tcW w:w="0" w:type="auto"/>
            <w:vAlign w:val="center"/>
            <w:hideMark/>
          </w:tcPr>
          <w:p w14:paraId="3B5E5961" w14:textId="001546BA" w:rsidR="0036648A" w:rsidRPr="00057E23" w:rsidRDefault="0036648A" w:rsidP="00A36284">
            <w:pPr>
              <w:jc w:val="both"/>
              <w:rPr>
                <w:rFonts w:ascii="Times New Roman" w:hAnsi="Times New Roman" w:cs="Times New Roman"/>
              </w:rPr>
            </w:pPr>
            <w:r w:rsidRPr="00057E23">
              <w:rPr>
                <w:rFonts w:ascii="Times New Roman" w:hAnsi="Times New Roman" w:cs="Times New Roman"/>
              </w:rPr>
              <w:t xml:space="preserve">Overexpressed in </w:t>
            </w:r>
            <w:r w:rsidR="00B37EF6" w:rsidRPr="00057E23">
              <w:rPr>
                <w:rFonts w:ascii="Times New Roman" w:hAnsi="Times New Roman" w:cs="Times New Roman"/>
              </w:rPr>
              <w:t>cancer</w:t>
            </w:r>
            <w:r w:rsidRPr="00057E23">
              <w:rPr>
                <w:rFonts w:ascii="Times New Roman" w:hAnsi="Times New Roman" w:cs="Times New Roman"/>
              </w:rPr>
              <w:t>, but not a consensus driver gene</w:t>
            </w:r>
          </w:p>
        </w:tc>
      </w:tr>
      <w:tr w:rsidR="0036648A" w:rsidRPr="00057E23" w14:paraId="418976D6" w14:textId="77777777" w:rsidTr="00A36284">
        <w:trPr>
          <w:tblCellSpacing w:w="15" w:type="dxa"/>
        </w:trPr>
        <w:tc>
          <w:tcPr>
            <w:tcW w:w="0" w:type="auto"/>
            <w:vAlign w:val="center"/>
            <w:hideMark/>
          </w:tcPr>
          <w:p w14:paraId="2473D5A0" w14:textId="77777777" w:rsidR="0036648A" w:rsidRPr="00057E23" w:rsidRDefault="0036648A" w:rsidP="00A36284">
            <w:pPr>
              <w:jc w:val="both"/>
              <w:rPr>
                <w:rFonts w:ascii="Times New Roman" w:hAnsi="Times New Roman" w:cs="Times New Roman"/>
                <w:i/>
                <w:iCs/>
              </w:rPr>
            </w:pPr>
            <w:r w:rsidRPr="00057E23">
              <w:rPr>
                <w:rFonts w:ascii="Times New Roman" w:hAnsi="Times New Roman" w:cs="Times New Roman"/>
                <w:b/>
                <w:bCs/>
                <w:i/>
                <w:iCs/>
              </w:rPr>
              <w:t>LIF</w:t>
            </w:r>
          </w:p>
        </w:tc>
        <w:tc>
          <w:tcPr>
            <w:tcW w:w="0" w:type="auto"/>
            <w:vAlign w:val="center"/>
            <w:hideMark/>
          </w:tcPr>
          <w:p w14:paraId="0AD73185" w14:textId="77777777" w:rsidR="0036648A" w:rsidRPr="00057E23" w:rsidRDefault="0036648A" w:rsidP="00877AEA">
            <w:pPr>
              <w:rPr>
                <w:rFonts w:ascii="Times New Roman" w:hAnsi="Times New Roman" w:cs="Times New Roman"/>
              </w:rPr>
            </w:pPr>
            <w:r w:rsidRPr="00057E23">
              <w:rPr>
                <w:rFonts w:ascii="Times New Roman" w:hAnsi="Times New Roman" w:cs="Times New Roman"/>
              </w:rPr>
              <w:t>JAK–STAT3 signaling, cytokine signaling</w:t>
            </w:r>
          </w:p>
        </w:tc>
        <w:tc>
          <w:tcPr>
            <w:tcW w:w="0" w:type="auto"/>
            <w:vAlign w:val="center"/>
            <w:hideMark/>
          </w:tcPr>
          <w:p w14:paraId="7C937F59" w14:textId="77777777" w:rsidR="0036648A" w:rsidRPr="00057E23" w:rsidRDefault="0036648A" w:rsidP="00A36284">
            <w:pPr>
              <w:jc w:val="both"/>
              <w:rPr>
                <w:rFonts w:ascii="Times New Roman" w:hAnsi="Times New Roman" w:cs="Times New Roman"/>
              </w:rPr>
            </w:pPr>
            <w:r w:rsidRPr="00057E23">
              <w:rPr>
                <w:rFonts w:ascii="Times New Roman" w:hAnsi="Times New Roman" w:cs="Times New Roman"/>
              </w:rPr>
              <w:t>Promotes stemness and immune modulation; excluded due to lack of recurrent driver mutations</w:t>
            </w:r>
          </w:p>
        </w:tc>
      </w:tr>
      <w:tr w:rsidR="0036648A" w:rsidRPr="00057E23" w14:paraId="59AC27C9" w14:textId="77777777" w:rsidTr="00A36284">
        <w:trPr>
          <w:tblCellSpacing w:w="15" w:type="dxa"/>
        </w:trPr>
        <w:tc>
          <w:tcPr>
            <w:tcW w:w="0" w:type="auto"/>
            <w:vAlign w:val="center"/>
            <w:hideMark/>
          </w:tcPr>
          <w:p w14:paraId="3B3F8393" w14:textId="77777777" w:rsidR="0036648A" w:rsidRPr="00057E23" w:rsidRDefault="0036648A" w:rsidP="00A36284">
            <w:pPr>
              <w:jc w:val="both"/>
              <w:rPr>
                <w:rFonts w:ascii="Times New Roman" w:hAnsi="Times New Roman" w:cs="Times New Roman"/>
                <w:i/>
                <w:iCs/>
              </w:rPr>
            </w:pPr>
            <w:r w:rsidRPr="00057E23">
              <w:rPr>
                <w:rFonts w:ascii="Times New Roman" w:hAnsi="Times New Roman" w:cs="Times New Roman"/>
                <w:b/>
                <w:bCs/>
                <w:i/>
                <w:iCs/>
              </w:rPr>
              <w:t>OGG1</w:t>
            </w:r>
          </w:p>
        </w:tc>
        <w:tc>
          <w:tcPr>
            <w:tcW w:w="0" w:type="auto"/>
            <w:vAlign w:val="center"/>
            <w:hideMark/>
          </w:tcPr>
          <w:p w14:paraId="0EA773F9" w14:textId="77777777" w:rsidR="0036648A" w:rsidRPr="00057E23" w:rsidRDefault="0036648A" w:rsidP="00877AEA">
            <w:pPr>
              <w:rPr>
                <w:rFonts w:ascii="Times New Roman" w:hAnsi="Times New Roman" w:cs="Times New Roman"/>
              </w:rPr>
            </w:pPr>
            <w:r w:rsidRPr="00057E23">
              <w:rPr>
                <w:rFonts w:ascii="Times New Roman" w:hAnsi="Times New Roman" w:cs="Times New Roman"/>
              </w:rPr>
              <w:t>Base excision repair, oxidative stress response</w:t>
            </w:r>
          </w:p>
        </w:tc>
        <w:tc>
          <w:tcPr>
            <w:tcW w:w="0" w:type="auto"/>
            <w:vAlign w:val="center"/>
            <w:hideMark/>
          </w:tcPr>
          <w:p w14:paraId="4918DB91" w14:textId="77777777" w:rsidR="0036648A" w:rsidRPr="00057E23" w:rsidRDefault="0036648A" w:rsidP="00A36284">
            <w:pPr>
              <w:jc w:val="both"/>
              <w:rPr>
                <w:rFonts w:ascii="Times New Roman" w:hAnsi="Times New Roman" w:cs="Times New Roman"/>
              </w:rPr>
            </w:pPr>
            <w:r w:rsidRPr="00057E23">
              <w:rPr>
                <w:rFonts w:ascii="Times New Roman" w:hAnsi="Times New Roman" w:cs="Times New Roman"/>
              </w:rPr>
              <w:t xml:space="preserve">DNA repair </w:t>
            </w:r>
            <w:proofErr w:type="gramStart"/>
            <w:r w:rsidRPr="00057E23">
              <w:rPr>
                <w:rFonts w:ascii="Times New Roman" w:hAnsi="Times New Roman" w:cs="Times New Roman"/>
              </w:rPr>
              <w:t>enzyme;</w:t>
            </w:r>
            <w:proofErr w:type="gramEnd"/>
            <w:r w:rsidRPr="00057E23">
              <w:rPr>
                <w:rFonts w:ascii="Times New Roman" w:hAnsi="Times New Roman" w:cs="Times New Roman"/>
              </w:rPr>
              <w:t xml:space="preserve"> polymorphisms linked to risk, but not a canonical driver</w:t>
            </w:r>
          </w:p>
        </w:tc>
      </w:tr>
      <w:tr w:rsidR="0036648A" w:rsidRPr="00057E23" w14:paraId="59787C49" w14:textId="77777777" w:rsidTr="00B91F90">
        <w:trPr>
          <w:tblCellSpacing w:w="15" w:type="dxa"/>
        </w:trPr>
        <w:tc>
          <w:tcPr>
            <w:tcW w:w="0" w:type="auto"/>
            <w:tcBorders>
              <w:bottom w:val="single" w:sz="4" w:space="0" w:color="auto"/>
            </w:tcBorders>
            <w:vAlign w:val="center"/>
            <w:hideMark/>
          </w:tcPr>
          <w:p w14:paraId="124D8BC0" w14:textId="77777777" w:rsidR="0036648A" w:rsidRPr="00057E23" w:rsidRDefault="0036648A" w:rsidP="00A36284">
            <w:pPr>
              <w:jc w:val="both"/>
              <w:rPr>
                <w:rFonts w:ascii="Times New Roman" w:hAnsi="Times New Roman" w:cs="Times New Roman"/>
                <w:i/>
                <w:iCs/>
              </w:rPr>
            </w:pPr>
            <w:r w:rsidRPr="00057E23">
              <w:rPr>
                <w:rFonts w:ascii="Times New Roman" w:hAnsi="Times New Roman" w:cs="Times New Roman"/>
                <w:b/>
                <w:bCs/>
                <w:i/>
                <w:iCs/>
              </w:rPr>
              <w:t>TUBB</w:t>
            </w:r>
          </w:p>
        </w:tc>
        <w:tc>
          <w:tcPr>
            <w:tcW w:w="0" w:type="auto"/>
            <w:tcBorders>
              <w:bottom w:val="single" w:sz="4" w:space="0" w:color="auto"/>
            </w:tcBorders>
            <w:vAlign w:val="center"/>
            <w:hideMark/>
          </w:tcPr>
          <w:p w14:paraId="43F6F2D5" w14:textId="77777777" w:rsidR="0036648A" w:rsidRPr="00057E23" w:rsidRDefault="0036648A" w:rsidP="00877AEA">
            <w:pPr>
              <w:rPr>
                <w:rFonts w:ascii="Times New Roman" w:hAnsi="Times New Roman" w:cs="Times New Roman"/>
              </w:rPr>
            </w:pPr>
            <w:r w:rsidRPr="00057E23">
              <w:rPr>
                <w:rFonts w:ascii="Times New Roman" w:hAnsi="Times New Roman" w:cs="Times New Roman"/>
              </w:rPr>
              <w:t>Cytoskeleton organization, mitotic spindle, drug response</w:t>
            </w:r>
          </w:p>
        </w:tc>
        <w:tc>
          <w:tcPr>
            <w:tcW w:w="0" w:type="auto"/>
            <w:tcBorders>
              <w:bottom w:val="single" w:sz="4" w:space="0" w:color="auto"/>
            </w:tcBorders>
            <w:vAlign w:val="center"/>
            <w:hideMark/>
          </w:tcPr>
          <w:p w14:paraId="73CEA40D" w14:textId="77777777" w:rsidR="0036648A" w:rsidRPr="00057E23" w:rsidRDefault="0036648A" w:rsidP="00A36284">
            <w:pPr>
              <w:jc w:val="both"/>
              <w:rPr>
                <w:rFonts w:ascii="Times New Roman" w:hAnsi="Times New Roman" w:cs="Times New Roman"/>
              </w:rPr>
            </w:pPr>
            <w:r w:rsidRPr="00057E23">
              <w:rPr>
                <w:rFonts w:ascii="Times New Roman" w:hAnsi="Times New Roman" w:cs="Times New Roman"/>
              </w:rPr>
              <w:t>Structural protein and chemotherapy target; not a recurrently mutated driver</w:t>
            </w:r>
          </w:p>
        </w:tc>
      </w:tr>
    </w:tbl>
    <w:p w14:paraId="76C9394A" w14:textId="77777777" w:rsidR="003D3A91" w:rsidRPr="00057E23" w:rsidRDefault="003D3A91" w:rsidP="003D3A91">
      <w:pPr>
        <w:rPr>
          <w:rFonts w:ascii="Times New Roman" w:hAnsi="Times New Roman" w:cs="Times New Roman"/>
        </w:rPr>
      </w:pPr>
    </w:p>
    <w:p w14:paraId="20A7CB30" w14:textId="68973B85" w:rsidR="003D3A91" w:rsidRPr="00057E23" w:rsidRDefault="003D3A91" w:rsidP="003D3A91">
      <w:pPr>
        <w:rPr>
          <w:rFonts w:ascii="Times New Roman" w:hAnsi="Times New Roman" w:cs="Times New Roman"/>
          <w:b/>
          <w:bCs/>
        </w:rPr>
      </w:pPr>
      <w:r w:rsidRPr="00057E23">
        <w:rPr>
          <w:rFonts w:ascii="Times New Roman" w:hAnsi="Times New Roman" w:cs="Times New Roman"/>
          <w:b/>
          <w:bCs/>
        </w:rPr>
        <w:t>Table S</w:t>
      </w:r>
      <w:r w:rsidR="005D7F28" w:rsidRPr="00057E23">
        <w:rPr>
          <w:rFonts w:ascii="Times New Roman" w:hAnsi="Times New Roman" w:cs="Times New Roman"/>
          <w:b/>
          <w:bCs/>
        </w:rPr>
        <w:t>2</w:t>
      </w:r>
      <w:r w:rsidRPr="00057E23">
        <w:rPr>
          <w:rFonts w:ascii="Times New Roman" w:hAnsi="Times New Roman" w:cs="Times New Roman"/>
          <w:b/>
          <w:bCs/>
        </w:rPr>
        <w:t xml:space="preserve">. Canonical </w:t>
      </w:r>
      <w:r w:rsidR="0086256F" w:rsidRPr="00057E23">
        <w:rPr>
          <w:rFonts w:ascii="Times New Roman" w:hAnsi="Times New Roman" w:cs="Times New Roman"/>
          <w:b/>
          <w:bCs/>
        </w:rPr>
        <w:t>specific pathway-oriented knowledge</w:t>
      </w:r>
      <w:r w:rsidR="0086256F" w:rsidRPr="00057E23">
        <w:rPr>
          <w:rFonts w:ascii="Times New Roman" w:hAnsi="Times New Roman" w:cs="Times New Roman"/>
          <w:b/>
          <w:bCs/>
        </w:rPr>
        <w:t xml:space="preserve"> </w:t>
      </w:r>
      <w:r w:rsidR="00C441FD" w:rsidRPr="00057E23">
        <w:rPr>
          <w:rFonts w:ascii="Times New Roman" w:hAnsi="Times New Roman" w:cs="Times New Roman"/>
          <w:b/>
          <w:bCs/>
        </w:rPr>
        <w:t>edges</w:t>
      </w:r>
      <w:r w:rsidR="001F5999" w:rsidRPr="00057E23">
        <w:rPr>
          <w:rFonts w:ascii="Times New Roman" w:hAnsi="Times New Roman" w:cs="Times New Roman"/>
          <w:b/>
          <w:bCs/>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80"/>
        <w:gridCol w:w="5780"/>
      </w:tblGrid>
      <w:tr w:rsidR="00005BA7" w:rsidRPr="00057E23" w14:paraId="1DF0FE70" w14:textId="77777777" w:rsidTr="00C441FD">
        <w:trPr>
          <w:tblHeader/>
          <w:tblCellSpacing w:w="15" w:type="dxa"/>
        </w:trPr>
        <w:tc>
          <w:tcPr>
            <w:tcW w:w="0" w:type="auto"/>
            <w:tcBorders>
              <w:top w:val="single" w:sz="4" w:space="0" w:color="auto"/>
              <w:bottom w:val="single" w:sz="4" w:space="0" w:color="auto"/>
            </w:tcBorders>
            <w:vAlign w:val="center"/>
            <w:hideMark/>
          </w:tcPr>
          <w:p w14:paraId="602ABB4A" w14:textId="77777777" w:rsidR="00005BA7" w:rsidRPr="00057E23" w:rsidRDefault="00005BA7" w:rsidP="00A36284">
            <w:pPr>
              <w:rPr>
                <w:rFonts w:ascii="Times New Roman" w:hAnsi="Times New Roman" w:cs="Times New Roman"/>
                <w:b/>
                <w:bCs/>
              </w:rPr>
            </w:pPr>
            <w:r w:rsidRPr="00057E23">
              <w:rPr>
                <w:rFonts w:ascii="Times New Roman" w:hAnsi="Times New Roman" w:cs="Times New Roman"/>
                <w:b/>
                <w:bCs/>
              </w:rPr>
              <w:t>Edge (Pathway → Pathway)</w:t>
            </w:r>
          </w:p>
        </w:tc>
        <w:tc>
          <w:tcPr>
            <w:tcW w:w="0" w:type="auto"/>
            <w:tcBorders>
              <w:top w:val="single" w:sz="4" w:space="0" w:color="auto"/>
              <w:bottom w:val="single" w:sz="4" w:space="0" w:color="auto"/>
            </w:tcBorders>
            <w:vAlign w:val="center"/>
            <w:hideMark/>
          </w:tcPr>
          <w:p w14:paraId="625FF154" w14:textId="77777777" w:rsidR="00005BA7" w:rsidRPr="00057E23" w:rsidRDefault="00005BA7" w:rsidP="005454B2">
            <w:pPr>
              <w:rPr>
                <w:rFonts w:ascii="Times New Roman" w:hAnsi="Times New Roman" w:cs="Times New Roman"/>
                <w:b/>
                <w:bCs/>
              </w:rPr>
            </w:pPr>
            <w:r w:rsidRPr="00057E23">
              <w:rPr>
                <w:rFonts w:ascii="Times New Roman" w:hAnsi="Times New Roman" w:cs="Times New Roman"/>
                <w:b/>
                <w:bCs/>
              </w:rPr>
              <w:t>Biological Rationale</w:t>
            </w:r>
          </w:p>
        </w:tc>
      </w:tr>
      <w:tr w:rsidR="00005BA7" w:rsidRPr="00057E23" w14:paraId="501F959C" w14:textId="77777777" w:rsidTr="00A36284">
        <w:trPr>
          <w:tblCellSpacing w:w="15" w:type="dxa"/>
        </w:trPr>
        <w:tc>
          <w:tcPr>
            <w:tcW w:w="0" w:type="auto"/>
            <w:vAlign w:val="center"/>
            <w:hideMark/>
          </w:tcPr>
          <w:p w14:paraId="415DC1DD" w14:textId="77777777" w:rsidR="00005BA7" w:rsidRPr="00057E23" w:rsidRDefault="00005BA7" w:rsidP="00A36284">
            <w:pPr>
              <w:rPr>
                <w:rFonts w:ascii="Times New Roman" w:hAnsi="Times New Roman" w:cs="Times New Roman"/>
              </w:rPr>
            </w:pPr>
            <w:r w:rsidRPr="00057E23">
              <w:rPr>
                <w:rFonts w:ascii="Times New Roman" w:hAnsi="Times New Roman" w:cs="Times New Roman"/>
                <w:b/>
                <w:bCs/>
              </w:rPr>
              <w:t>RTKs &amp; adaptors → RAS–MAPK core</w:t>
            </w:r>
          </w:p>
        </w:tc>
        <w:tc>
          <w:tcPr>
            <w:tcW w:w="0" w:type="auto"/>
            <w:vAlign w:val="center"/>
            <w:hideMark/>
          </w:tcPr>
          <w:p w14:paraId="44E31772" w14:textId="77777777" w:rsidR="00005BA7" w:rsidRPr="00057E23" w:rsidRDefault="00005BA7" w:rsidP="005454B2">
            <w:pPr>
              <w:rPr>
                <w:rFonts w:ascii="Times New Roman" w:hAnsi="Times New Roman" w:cs="Times New Roman"/>
              </w:rPr>
            </w:pPr>
            <w:r w:rsidRPr="00057E23">
              <w:rPr>
                <w:rFonts w:ascii="Times New Roman" w:hAnsi="Times New Roman" w:cs="Times New Roman"/>
              </w:rPr>
              <w:t>Activated RTKs recruit adaptor proteins (e.g., GRB2/SOS) that catalyze GDP–GTP exchange on RAS, initiating the RAF–MEK–ERK cascade.</w:t>
            </w:r>
          </w:p>
        </w:tc>
      </w:tr>
      <w:tr w:rsidR="00005BA7" w:rsidRPr="00057E23" w14:paraId="484D5D29" w14:textId="77777777" w:rsidTr="00A36284">
        <w:trPr>
          <w:tblCellSpacing w:w="15" w:type="dxa"/>
        </w:trPr>
        <w:tc>
          <w:tcPr>
            <w:tcW w:w="0" w:type="auto"/>
            <w:vAlign w:val="center"/>
            <w:hideMark/>
          </w:tcPr>
          <w:p w14:paraId="66BB5B82" w14:textId="77777777" w:rsidR="00005BA7" w:rsidRPr="00057E23" w:rsidRDefault="00005BA7" w:rsidP="00A36284">
            <w:pPr>
              <w:rPr>
                <w:rFonts w:ascii="Times New Roman" w:hAnsi="Times New Roman" w:cs="Times New Roman"/>
              </w:rPr>
            </w:pPr>
            <w:r w:rsidRPr="00057E23">
              <w:rPr>
                <w:rFonts w:ascii="Times New Roman" w:hAnsi="Times New Roman" w:cs="Times New Roman"/>
                <w:b/>
                <w:bCs/>
              </w:rPr>
              <w:t>RTKs &amp; adaptors → PI3K–AKT axis</w:t>
            </w:r>
          </w:p>
        </w:tc>
        <w:tc>
          <w:tcPr>
            <w:tcW w:w="0" w:type="auto"/>
            <w:vAlign w:val="center"/>
            <w:hideMark/>
          </w:tcPr>
          <w:p w14:paraId="3CB28243" w14:textId="77777777" w:rsidR="00005BA7" w:rsidRPr="00057E23" w:rsidRDefault="00005BA7" w:rsidP="005454B2">
            <w:pPr>
              <w:rPr>
                <w:rFonts w:ascii="Times New Roman" w:hAnsi="Times New Roman" w:cs="Times New Roman"/>
              </w:rPr>
            </w:pPr>
            <w:r w:rsidRPr="00057E23">
              <w:rPr>
                <w:rFonts w:ascii="Times New Roman" w:hAnsi="Times New Roman" w:cs="Times New Roman"/>
              </w:rPr>
              <w:t>RTKs directly activate PI3K via p85/p110 subunits, generating PIP3 and recruiting AKT to the membrane for phosphorylation.</w:t>
            </w:r>
          </w:p>
        </w:tc>
      </w:tr>
      <w:tr w:rsidR="00005BA7" w:rsidRPr="00057E23" w14:paraId="550C1C27" w14:textId="77777777" w:rsidTr="00A36284">
        <w:trPr>
          <w:tblCellSpacing w:w="15" w:type="dxa"/>
        </w:trPr>
        <w:tc>
          <w:tcPr>
            <w:tcW w:w="0" w:type="auto"/>
            <w:vAlign w:val="center"/>
            <w:hideMark/>
          </w:tcPr>
          <w:p w14:paraId="5AFBB9A5" w14:textId="77777777" w:rsidR="00005BA7" w:rsidRPr="00057E23" w:rsidRDefault="00005BA7" w:rsidP="00A36284">
            <w:pPr>
              <w:rPr>
                <w:rFonts w:ascii="Times New Roman" w:hAnsi="Times New Roman" w:cs="Times New Roman"/>
              </w:rPr>
            </w:pPr>
            <w:r w:rsidRPr="00057E23">
              <w:rPr>
                <w:rFonts w:ascii="Times New Roman" w:hAnsi="Times New Roman" w:cs="Times New Roman"/>
                <w:b/>
                <w:bCs/>
              </w:rPr>
              <w:t>RAS–MAPK core → Cell cycle &amp; replication</w:t>
            </w:r>
          </w:p>
        </w:tc>
        <w:tc>
          <w:tcPr>
            <w:tcW w:w="0" w:type="auto"/>
            <w:vAlign w:val="center"/>
            <w:hideMark/>
          </w:tcPr>
          <w:p w14:paraId="060DE149" w14:textId="77777777" w:rsidR="00005BA7" w:rsidRPr="00057E23" w:rsidRDefault="00005BA7" w:rsidP="005454B2">
            <w:pPr>
              <w:rPr>
                <w:rFonts w:ascii="Times New Roman" w:hAnsi="Times New Roman" w:cs="Times New Roman"/>
              </w:rPr>
            </w:pPr>
            <w:r w:rsidRPr="00057E23">
              <w:rPr>
                <w:rFonts w:ascii="Times New Roman" w:hAnsi="Times New Roman" w:cs="Times New Roman"/>
              </w:rPr>
              <w:t>ERK signaling induces transcription of cyclins (e.g., CCND1) and E2F targets, driving G1–S transition.</w:t>
            </w:r>
          </w:p>
        </w:tc>
      </w:tr>
      <w:tr w:rsidR="00005BA7" w:rsidRPr="00057E23" w14:paraId="5DB79648" w14:textId="77777777" w:rsidTr="00A36284">
        <w:trPr>
          <w:tblCellSpacing w:w="15" w:type="dxa"/>
        </w:trPr>
        <w:tc>
          <w:tcPr>
            <w:tcW w:w="0" w:type="auto"/>
            <w:vAlign w:val="center"/>
            <w:hideMark/>
          </w:tcPr>
          <w:p w14:paraId="4CA0D9D0" w14:textId="77777777" w:rsidR="00005BA7" w:rsidRPr="00057E23" w:rsidRDefault="00005BA7" w:rsidP="00A36284">
            <w:pPr>
              <w:rPr>
                <w:rFonts w:ascii="Times New Roman" w:hAnsi="Times New Roman" w:cs="Times New Roman"/>
              </w:rPr>
            </w:pPr>
            <w:r w:rsidRPr="00057E23">
              <w:rPr>
                <w:rFonts w:ascii="Times New Roman" w:hAnsi="Times New Roman" w:cs="Times New Roman"/>
                <w:b/>
                <w:bCs/>
              </w:rPr>
              <w:lastRenderedPageBreak/>
              <w:t>RAS–MAPK core → Transcriptional amplifiers</w:t>
            </w:r>
          </w:p>
        </w:tc>
        <w:tc>
          <w:tcPr>
            <w:tcW w:w="0" w:type="auto"/>
            <w:vAlign w:val="center"/>
            <w:hideMark/>
          </w:tcPr>
          <w:p w14:paraId="51D0CBA4" w14:textId="77777777" w:rsidR="00005BA7" w:rsidRPr="00057E23" w:rsidRDefault="00005BA7" w:rsidP="005454B2">
            <w:pPr>
              <w:rPr>
                <w:rFonts w:ascii="Times New Roman" w:hAnsi="Times New Roman" w:cs="Times New Roman"/>
              </w:rPr>
            </w:pPr>
            <w:r w:rsidRPr="00057E23">
              <w:rPr>
                <w:rFonts w:ascii="Times New Roman" w:hAnsi="Times New Roman" w:cs="Times New Roman"/>
              </w:rPr>
              <w:t>MAPK/ERK phosphorylates transcription factors (e.g., MYC, JUN, ETS), amplifying proliferative gene expression.</w:t>
            </w:r>
          </w:p>
        </w:tc>
      </w:tr>
      <w:tr w:rsidR="00005BA7" w:rsidRPr="00057E23" w14:paraId="2F372DE1" w14:textId="77777777" w:rsidTr="00A36284">
        <w:trPr>
          <w:tblCellSpacing w:w="15" w:type="dxa"/>
        </w:trPr>
        <w:tc>
          <w:tcPr>
            <w:tcW w:w="0" w:type="auto"/>
            <w:vAlign w:val="center"/>
            <w:hideMark/>
          </w:tcPr>
          <w:p w14:paraId="670D3FAA" w14:textId="77777777" w:rsidR="00005BA7" w:rsidRPr="00057E23" w:rsidRDefault="00005BA7" w:rsidP="00A36284">
            <w:pPr>
              <w:rPr>
                <w:rFonts w:ascii="Times New Roman" w:hAnsi="Times New Roman" w:cs="Times New Roman"/>
              </w:rPr>
            </w:pPr>
            <w:r w:rsidRPr="00057E23">
              <w:rPr>
                <w:rFonts w:ascii="Times New Roman" w:hAnsi="Times New Roman" w:cs="Times New Roman"/>
                <w:b/>
                <w:bCs/>
              </w:rPr>
              <w:t>PI3K–AKT axis → Apoptosis evasion</w:t>
            </w:r>
          </w:p>
        </w:tc>
        <w:tc>
          <w:tcPr>
            <w:tcW w:w="0" w:type="auto"/>
            <w:vAlign w:val="center"/>
            <w:hideMark/>
          </w:tcPr>
          <w:p w14:paraId="02505219" w14:textId="77777777" w:rsidR="00005BA7" w:rsidRPr="00057E23" w:rsidRDefault="00005BA7" w:rsidP="005454B2">
            <w:pPr>
              <w:rPr>
                <w:rFonts w:ascii="Times New Roman" w:hAnsi="Times New Roman" w:cs="Times New Roman"/>
              </w:rPr>
            </w:pPr>
            <w:r w:rsidRPr="00057E23">
              <w:rPr>
                <w:rFonts w:ascii="Times New Roman" w:hAnsi="Times New Roman" w:cs="Times New Roman"/>
              </w:rPr>
              <w:t>AKT phosphorylates and inactivates pro</w:t>
            </w:r>
            <w:r w:rsidRPr="00057E23">
              <w:rPr>
                <w:rFonts w:ascii="Times New Roman" w:hAnsi="Times New Roman" w:cs="Times New Roman"/>
              </w:rPr>
              <w:noBreakHyphen/>
              <w:t>apoptotic proteins (BAD, caspase</w:t>
            </w:r>
            <w:r w:rsidRPr="00057E23">
              <w:rPr>
                <w:rFonts w:ascii="Times New Roman" w:hAnsi="Times New Roman" w:cs="Times New Roman"/>
              </w:rPr>
              <w:noBreakHyphen/>
              <w:t>9) and stabilizes anti</w:t>
            </w:r>
            <w:r w:rsidRPr="00057E23">
              <w:rPr>
                <w:rFonts w:ascii="Times New Roman" w:hAnsi="Times New Roman" w:cs="Times New Roman"/>
              </w:rPr>
              <w:noBreakHyphen/>
              <w:t>apoptotic BCL2 family members.</w:t>
            </w:r>
          </w:p>
        </w:tc>
      </w:tr>
      <w:tr w:rsidR="00005BA7" w:rsidRPr="00057E23" w14:paraId="42C833FE" w14:textId="77777777" w:rsidTr="00A36284">
        <w:trPr>
          <w:tblCellSpacing w:w="15" w:type="dxa"/>
        </w:trPr>
        <w:tc>
          <w:tcPr>
            <w:tcW w:w="0" w:type="auto"/>
            <w:vAlign w:val="center"/>
            <w:hideMark/>
          </w:tcPr>
          <w:p w14:paraId="72E7E601" w14:textId="77777777" w:rsidR="00005BA7" w:rsidRPr="00057E23" w:rsidRDefault="00005BA7" w:rsidP="00A36284">
            <w:pPr>
              <w:rPr>
                <w:rFonts w:ascii="Times New Roman" w:hAnsi="Times New Roman" w:cs="Times New Roman"/>
              </w:rPr>
            </w:pPr>
            <w:r w:rsidRPr="00057E23">
              <w:rPr>
                <w:rFonts w:ascii="Times New Roman" w:hAnsi="Times New Roman" w:cs="Times New Roman"/>
                <w:b/>
                <w:bCs/>
              </w:rPr>
              <w:t>PI3K–AKT axis → Cell cycle &amp; replication</w:t>
            </w:r>
          </w:p>
        </w:tc>
        <w:tc>
          <w:tcPr>
            <w:tcW w:w="0" w:type="auto"/>
            <w:vAlign w:val="center"/>
            <w:hideMark/>
          </w:tcPr>
          <w:p w14:paraId="456FA954" w14:textId="77777777" w:rsidR="00005BA7" w:rsidRPr="00057E23" w:rsidRDefault="00005BA7" w:rsidP="005454B2">
            <w:pPr>
              <w:rPr>
                <w:rFonts w:ascii="Times New Roman" w:hAnsi="Times New Roman" w:cs="Times New Roman"/>
              </w:rPr>
            </w:pPr>
            <w:r w:rsidRPr="00057E23">
              <w:rPr>
                <w:rFonts w:ascii="Times New Roman" w:hAnsi="Times New Roman" w:cs="Times New Roman"/>
              </w:rPr>
              <w:t>AKT promotes G1–S transition by upregulating cyclin D1 and inhibiting p21/p27, coordinating growth and metabolism.</w:t>
            </w:r>
          </w:p>
        </w:tc>
      </w:tr>
      <w:tr w:rsidR="00005BA7" w:rsidRPr="00057E23" w14:paraId="3C042625" w14:textId="77777777" w:rsidTr="00A36284">
        <w:trPr>
          <w:tblCellSpacing w:w="15" w:type="dxa"/>
        </w:trPr>
        <w:tc>
          <w:tcPr>
            <w:tcW w:w="0" w:type="auto"/>
            <w:vAlign w:val="center"/>
            <w:hideMark/>
          </w:tcPr>
          <w:p w14:paraId="157F75E9" w14:textId="77777777" w:rsidR="00005BA7" w:rsidRPr="00057E23" w:rsidRDefault="00005BA7" w:rsidP="00A36284">
            <w:pPr>
              <w:rPr>
                <w:rFonts w:ascii="Times New Roman" w:hAnsi="Times New Roman" w:cs="Times New Roman"/>
              </w:rPr>
            </w:pPr>
            <w:r w:rsidRPr="00057E23">
              <w:rPr>
                <w:rFonts w:ascii="Times New Roman" w:hAnsi="Times New Roman" w:cs="Times New Roman"/>
                <w:b/>
                <w:bCs/>
              </w:rPr>
              <w:t>Cytokine/inflammation → Transcriptional amplifiers</w:t>
            </w:r>
          </w:p>
        </w:tc>
        <w:tc>
          <w:tcPr>
            <w:tcW w:w="0" w:type="auto"/>
            <w:vAlign w:val="center"/>
            <w:hideMark/>
          </w:tcPr>
          <w:p w14:paraId="55DB2EEE" w14:textId="77777777" w:rsidR="00005BA7" w:rsidRPr="00057E23" w:rsidRDefault="00005BA7" w:rsidP="005454B2">
            <w:pPr>
              <w:rPr>
                <w:rFonts w:ascii="Times New Roman" w:hAnsi="Times New Roman" w:cs="Times New Roman"/>
              </w:rPr>
            </w:pPr>
            <w:r w:rsidRPr="00057E23">
              <w:rPr>
                <w:rFonts w:ascii="Times New Roman" w:hAnsi="Times New Roman" w:cs="Times New Roman"/>
              </w:rPr>
              <w:t>Cytokines (e.g., IL6, TNFα) activate STAT3, NF</w:t>
            </w:r>
            <w:r w:rsidRPr="00057E23">
              <w:rPr>
                <w:rFonts w:ascii="Times New Roman" w:hAnsi="Times New Roman" w:cs="Times New Roman"/>
              </w:rPr>
              <w:noBreakHyphen/>
            </w:r>
            <w:proofErr w:type="spellStart"/>
            <w:r w:rsidRPr="00057E23">
              <w:rPr>
                <w:rFonts w:ascii="Times New Roman" w:hAnsi="Times New Roman" w:cs="Times New Roman"/>
              </w:rPr>
              <w:t>κB</w:t>
            </w:r>
            <w:proofErr w:type="spellEnd"/>
            <w:r w:rsidRPr="00057E23">
              <w:rPr>
                <w:rFonts w:ascii="Times New Roman" w:hAnsi="Times New Roman" w:cs="Times New Roman"/>
              </w:rPr>
              <w:t>, and HIF1A, which function as transcriptional amplifiers of oncogenic programs.</w:t>
            </w:r>
          </w:p>
        </w:tc>
      </w:tr>
      <w:tr w:rsidR="00005BA7" w:rsidRPr="00057E23" w14:paraId="68B7A2DC" w14:textId="77777777" w:rsidTr="004C7F45">
        <w:trPr>
          <w:tblCellSpacing w:w="15" w:type="dxa"/>
        </w:trPr>
        <w:tc>
          <w:tcPr>
            <w:tcW w:w="0" w:type="auto"/>
            <w:tcBorders>
              <w:bottom w:val="single" w:sz="4" w:space="0" w:color="auto"/>
            </w:tcBorders>
            <w:vAlign w:val="center"/>
            <w:hideMark/>
          </w:tcPr>
          <w:p w14:paraId="063829FE" w14:textId="77777777" w:rsidR="00005BA7" w:rsidRPr="00057E23" w:rsidRDefault="00005BA7" w:rsidP="00A36284">
            <w:pPr>
              <w:rPr>
                <w:rFonts w:ascii="Times New Roman" w:hAnsi="Times New Roman" w:cs="Times New Roman"/>
              </w:rPr>
            </w:pPr>
            <w:r w:rsidRPr="00057E23">
              <w:rPr>
                <w:rFonts w:ascii="Times New Roman" w:hAnsi="Times New Roman" w:cs="Times New Roman"/>
                <w:b/>
                <w:bCs/>
              </w:rPr>
              <w:t>Cytokine/inflammation → Invasion &amp; ECM remodeling</w:t>
            </w:r>
          </w:p>
        </w:tc>
        <w:tc>
          <w:tcPr>
            <w:tcW w:w="0" w:type="auto"/>
            <w:tcBorders>
              <w:bottom w:val="single" w:sz="4" w:space="0" w:color="auto"/>
            </w:tcBorders>
            <w:vAlign w:val="center"/>
            <w:hideMark/>
          </w:tcPr>
          <w:p w14:paraId="33AFB2DE" w14:textId="77777777" w:rsidR="00005BA7" w:rsidRPr="00057E23" w:rsidRDefault="00005BA7" w:rsidP="005454B2">
            <w:pPr>
              <w:rPr>
                <w:rFonts w:ascii="Times New Roman" w:hAnsi="Times New Roman" w:cs="Times New Roman"/>
              </w:rPr>
            </w:pPr>
            <w:r w:rsidRPr="00057E23">
              <w:rPr>
                <w:rFonts w:ascii="Times New Roman" w:hAnsi="Times New Roman" w:cs="Times New Roman"/>
              </w:rPr>
              <w:t>Inflammatory cytokines (IL6, TGF</w:t>
            </w:r>
            <w:r w:rsidRPr="00057E23">
              <w:rPr>
                <w:rFonts w:ascii="Times New Roman" w:hAnsi="Times New Roman" w:cs="Times New Roman"/>
              </w:rPr>
              <w:noBreakHyphen/>
              <w:t>β) induce EMT and upregulate MMPs, linking inflammation to invasion and metastasis.</w:t>
            </w:r>
          </w:p>
        </w:tc>
      </w:tr>
    </w:tbl>
    <w:p w14:paraId="7673E642" w14:textId="77777777" w:rsidR="003D3A91" w:rsidRPr="00057E23" w:rsidRDefault="003D3A91" w:rsidP="003D3A91">
      <w:pPr>
        <w:rPr>
          <w:rFonts w:ascii="Times New Roman" w:hAnsi="Times New Roman" w:cs="Times New Roman"/>
        </w:rPr>
      </w:pPr>
    </w:p>
    <w:p w14:paraId="63F5C277" w14:textId="00AC7966" w:rsidR="00C17EA1" w:rsidRPr="00057E23" w:rsidRDefault="00F50A07" w:rsidP="00C17EA1">
      <w:pPr>
        <w:rPr>
          <w:rFonts w:ascii="Times New Roman" w:hAnsi="Times New Roman" w:cs="Times New Roman"/>
          <w:b/>
          <w:bCs/>
        </w:rPr>
      </w:pPr>
      <w:r w:rsidRPr="00057E23">
        <w:rPr>
          <w:rFonts w:ascii="Times New Roman" w:hAnsi="Times New Roman" w:cs="Times New Roman"/>
          <w:b/>
          <w:bCs/>
          <w:noProof/>
        </w:rPr>
        <w:drawing>
          <wp:inline distT="0" distB="0" distL="0" distR="0" wp14:anchorId="73B9ECA8" wp14:editId="098CFF89">
            <wp:extent cx="5943600" cy="3533775"/>
            <wp:effectExtent l="0" t="0" r="0" b="9525"/>
            <wp:docPr id="117495050" name="Picture 2"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5050" name="Picture 2" descr="A graph with a lin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33775"/>
                    </a:xfrm>
                    <a:prstGeom prst="rect">
                      <a:avLst/>
                    </a:prstGeom>
                  </pic:spPr>
                </pic:pic>
              </a:graphicData>
            </a:graphic>
          </wp:inline>
        </w:drawing>
      </w:r>
    </w:p>
    <w:p w14:paraId="5D74AD17" w14:textId="2FF1B100" w:rsidR="004D187D" w:rsidRPr="004D187D" w:rsidRDefault="004D187D" w:rsidP="004D187D">
      <w:pPr>
        <w:jc w:val="both"/>
        <w:rPr>
          <w:rFonts w:ascii="Times New Roman" w:hAnsi="Times New Roman" w:cs="Times New Roman"/>
        </w:rPr>
      </w:pPr>
      <w:r w:rsidRPr="004D187D">
        <w:rPr>
          <w:rFonts w:ascii="Times New Roman" w:hAnsi="Times New Roman" w:cs="Times New Roman"/>
          <w:b/>
          <w:bCs/>
        </w:rPr>
        <w:lastRenderedPageBreak/>
        <w:t>Fig. S3. 5</w:t>
      </w:r>
      <w:r w:rsidRPr="004D187D">
        <w:rPr>
          <w:rFonts w:ascii="Times New Roman" w:hAnsi="Times New Roman" w:cs="Times New Roman"/>
          <w:b/>
          <w:bCs/>
        </w:rPr>
        <w:noBreakHyphen/>
        <w:t xml:space="preserve">distance plot </w:t>
      </w:r>
      <w:proofErr w:type="gramStart"/>
      <w:r w:rsidRPr="004D187D">
        <w:rPr>
          <w:rFonts w:ascii="Times New Roman" w:hAnsi="Times New Roman" w:cs="Times New Roman"/>
          <w:b/>
          <w:bCs/>
        </w:rPr>
        <w:t>used</w:t>
      </w:r>
      <w:proofErr w:type="gramEnd"/>
      <w:r w:rsidRPr="004D187D">
        <w:rPr>
          <w:rFonts w:ascii="Times New Roman" w:hAnsi="Times New Roman" w:cs="Times New Roman"/>
          <w:b/>
          <w:bCs/>
        </w:rPr>
        <w:t xml:space="preserve"> for DBSCAN parameter selection.</w:t>
      </w:r>
      <w:r w:rsidRPr="004D187D">
        <w:rPr>
          <w:rFonts w:ascii="Times New Roman" w:hAnsi="Times New Roman" w:cs="Times New Roman"/>
        </w:rPr>
        <w:br/>
        <w:t xml:space="preserve">The plot shows the sorted distances to the 5th nearest neighbor for all genes in the 3D expression space (ratios at 40, 80, and 300 ppm deuterium). The point of maximum curvature (“elbow”) was used to select the ε parameter, following the standard practice of setting </w:t>
      </w:r>
      <w:proofErr w:type="spellStart"/>
      <w:r w:rsidRPr="004D187D">
        <w:rPr>
          <w:rFonts w:ascii="Times New Roman" w:hAnsi="Times New Roman" w:cs="Times New Roman"/>
          <w:i/>
          <w:iCs/>
        </w:rPr>
        <w:t>min_samples</w:t>
      </w:r>
      <w:proofErr w:type="spellEnd"/>
      <w:r w:rsidRPr="004D187D">
        <w:rPr>
          <w:rFonts w:ascii="Times New Roman" w:hAnsi="Times New Roman" w:cs="Times New Roman"/>
        </w:rPr>
        <w:t xml:space="preserve"> = 5. </w:t>
      </w:r>
    </w:p>
    <w:p w14:paraId="3A45E1FB" w14:textId="77777777" w:rsidR="00C17EA1" w:rsidRPr="00057E23" w:rsidRDefault="00C17EA1">
      <w:pPr>
        <w:rPr>
          <w:rFonts w:ascii="Times New Roman" w:hAnsi="Times New Roman" w:cs="Times New Roman"/>
        </w:rPr>
      </w:pPr>
    </w:p>
    <w:p w14:paraId="4D63C9DF" w14:textId="0B4C0E46" w:rsidR="00791E17" w:rsidRPr="00057E23" w:rsidRDefault="00C03B85">
      <w:pPr>
        <w:rPr>
          <w:rFonts w:ascii="Times New Roman" w:hAnsi="Times New Roman" w:cs="Times New Roman"/>
        </w:rPr>
      </w:pPr>
      <w:r w:rsidRPr="00057E23">
        <w:rPr>
          <w:rFonts w:ascii="Times New Roman" w:hAnsi="Times New Roman" w:cs="Times New Roman"/>
          <w:noProof/>
        </w:rPr>
        <w:drawing>
          <wp:inline distT="0" distB="0" distL="0" distR="0" wp14:anchorId="7FCC3D03" wp14:editId="105F5F0F">
            <wp:extent cx="5943600" cy="4457700"/>
            <wp:effectExtent l="0" t="0" r="0" b="0"/>
            <wp:docPr id="918388018" name="Picture 4"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88018" name="Picture 4" descr="A graph of different color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1B64B79" w14:textId="77777777" w:rsidR="002C0742" w:rsidRPr="002C0742" w:rsidRDefault="002C0742" w:rsidP="002C0742">
      <w:pPr>
        <w:rPr>
          <w:rFonts w:ascii="Times New Roman" w:hAnsi="Times New Roman" w:cs="Times New Roman"/>
        </w:rPr>
      </w:pPr>
      <w:r w:rsidRPr="002C0742">
        <w:rPr>
          <w:rFonts w:ascii="Times New Roman" w:hAnsi="Times New Roman" w:cs="Times New Roman"/>
          <w:b/>
          <w:bCs/>
        </w:rPr>
        <w:t>Fig. S4. Boundary ambiguity in symbolic pattern classification.</w:t>
      </w:r>
      <w:r w:rsidRPr="002C0742">
        <w:rPr>
          <w:rFonts w:ascii="Times New Roman" w:hAnsi="Times New Roman" w:cs="Times New Roman"/>
        </w:rPr>
        <w:br/>
        <w:t>Scatter plot of relative expression ratios at 40, 80, and 300 ppm deuterium highlighting genes near symbolic classification thresholds. Genes with propagated measurement error in the 10–15% range are shown overlapping adjacent categories, illustrating how the five</w:t>
      </w:r>
      <w:r w:rsidRPr="002C0742">
        <w:rPr>
          <w:rFonts w:ascii="Times New Roman" w:hAnsi="Times New Roman" w:cs="Times New Roman"/>
        </w:rPr>
        <w:noBreakHyphen/>
        <w:t>symbol scheme can obscure differences between moderate and extreme expression changes (e.g., 40% vs. 100% overexpression both labeled ↑). These boundary effects motivate the use of complementary unsupervised clustering approaches such as Gaussian Mixture Models (GMM) to capture continuous variation and resolve ambiguous assignments.</w:t>
      </w:r>
    </w:p>
    <w:p w14:paraId="750102B5" w14:textId="77777777" w:rsidR="0032213F" w:rsidRPr="00057E23" w:rsidRDefault="0032213F">
      <w:pPr>
        <w:rPr>
          <w:rFonts w:ascii="Times New Roman" w:hAnsi="Times New Roman" w:cs="Times New Roman"/>
        </w:rPr>
      </w:pPr>
    </w:p>
    <w:p w14:paraId="0422861B" w14:textId="1B4C45AA" w:rsidR="0032213F" w:rsidRPr="00057E23" w:rsidRDefault="0032213F">
      <w:pPr>
        <w:rPr>
          <w:rFonts w:ascii="Times New Roman" w:hAnsi="Times New Roman" w:cs="Times New Roman"/>
        </w:rPr>
      </w:pPr>
    </w:p>
    <w:p w14:paraId="54016613" w14:textId="15403FB0" w:rsidR="00497449" w:rsidRPr="00057E23" w:rsidRDefault="00526E18">
      <w:pPr>
        <w:rPr>
          <w:rFonts w:ascii="Times New Roman" w:hAnsi="Times New Roman" w:cs="Times New Roman"/>
        </w:rPr>
      </w:pPr>
      <w:r w:rsidRPr="00057E23">
        <w:rPr>
          <w:rFonts w:ascii="Times New Roman" w:hAnsi="Times New Roman" w:cs="Times New Roman"/>
          <w:noProof/>
        </w:rPr>
        <w:lastRenderedPageBreak/>
        <w:drawing>
          <wp:inline distT="0" distB="0" distL="0" distR="0" wp14:anchorId="5CD812CF" wp14:editId="52409885">
            <wp:extent cx="5943600" cy="3714750"/>
            <wp:effectExtent l="0" t="0" r="0" b="0"/>
            <wp:docPr id="1946665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65345" name="Graphic 1946665345"/>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714750"/>
                    </a:xfrm>
                    <a:prstGeom prst="rect">
                      <a:avLst/>
                    </a:prstGeom>
                  </pic:spPr>
                </pic:pic>
              </a:graphicData>
            </a:graphic>
          </wp:inline>
        </w:drawing>
      </w:r>
    </w:p>
    <w:p w14:paraId="056A0264" w14:textId="77777777" w:rsidR="003326F3" w:rsidRPr="003326F3" w:rsidRDefault="003326F3" w:rsidP="003326F3">
      <w:pPr>
        <w:rPr>
          <w:rFonts w:ascii="Times New Roman" w:hAnsi="Times New Roman" w:cs="Times New Roman"/>
        </w:rPr>
      </w:pPr>
      <w:r w:rsidRPr="003326F3">
        <w:rPr>
          <w:rFonts w:ascii="Times New Roman" w:hAnsi="Times New Roman" w:cs="Times New Roman"/>
          <w:b/>
          <w:bCs/>
        </w:rPr>
        <w:t>Fig. S5. Silhouette analysis of Gaussian Mixture Models (GMMs) across candidate cluster counts and covariance assumptions.</w:t>
      </w:r>
      <w:r w:rsidRPr="003326F3">
        <w:rPr>
          <w:rFonts w:ascii="Times New Roman" w:hAnsi="Times New Roman" w:cs="Times New Roman"/>
        </w:rPr>
        <w:br/>
        <w:t xml:space="preserve">Average silhouette scores are shown for seven tested values of </w:t>
      </w:r>
      <w:r w:rsidRPr="003326F3">
        <w:rPr>
          <w:rFonts w:ascii="Times New Roman" w:hAnsi="Times New Roman" w:cs="Times New Roman"/>
          <w:i/>
          <w:iCs/>
        </w:rPr>
        <w:t>k</w:t>
      </w:r>
      <w:r w:rsidRPr="003326F3">
        <w:rPr>
          <w:rFonts w:ascii="Times New Roman" w:hAnsi="Times New Roman" w:cs="Times New Roman"/>
        </w:rPr>
        <w:t xml:space="preserve"> (2–9), where </w:t>
      </w:r>
      <w:r w:rsidRPr="003326F3">
        <w:rPr>
          <w:rFonts w:ascii="Times New Roman" w:hAnsi="Times New Roman" w:cs="Times New Roman"/>
          <w:i/>
          <w:iCs/>
        </w:rPr>
        <w:t>k</w:t>
      </w:r>
      <w:r w:rsidRPr="003326F3">
        <w:rPr>
          <w:rFonts w:ascii="Times New Roman" w:hAnsi="Times New Roman" w:cs="Times New Roman"/>
        </w:rPr>
        <w:t xml:space="preserve"> denotes the number of mixture components. Results are presented for both tied covariance (all clusters share a common covariance structure) and full covariance (each cluster has its own covariance matrix). Higher silhouette values indicate better separation and cohesion of clusters. This comparison was used to guide selection of the optimal cluster count and covariance model for capturing transcriptional variation under 40, 80, and 300 ppm deuterium conditions.</w:t>
      </w:r>
    </w:p>
    <w:p w14:paraId="10A3D979" w14:textId="77777777" w:rsidR="00383DB0" w:rsidRPr="00057E23" w:rsidRDefault="00383DB0">
      <w:pPr>
        <w:rPr>
          <w:rFonts w:ascii="Times New Roman" w:hAnsi="Times New Roman" w:cs="Times New Roman"/>
        </w:rPr>
      </w:pPr>
    </w:p>
    <w:p w14:paraId="4D56FC5A" w14:textId="43BF319B" w:rsidR="00F937B9" w:rsidRPr="00057E23" w:rsidRDefault="00B93F44">
      <w:pPr>
        <w:rPr>
          <w:rFonts w:ascii="Times New Roman" w:hAnsi="Times New Roman" w:cs="Times New Roman"/>
        </w:rPr>
      </w:pPr>
      <w:r>
        <w:rPr>
          <w:rFonts w:ascii="Times New Roman" w:hAnsi="Times New Roman" w:cs="Times New Roman"/>
          <w:noProof/>
        </w:rPr>
        <w:lastRenderedPageBreak/>
        <w:drawing>
          <wp:inline distT="0" distB="0" distL="0" distR="0" wp14:anchorId="18DEDCF4" wp14:editId="140DC5FE">
            <wp:extent cx="5943600" cy="3962400"/>
            <wp:effectExtent l="0" t="0" r="0" b="0"/>
            <wp:docPr id="6157513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51344" name="Graphic 615751344"/>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3962400"/>
                    </a:xfrm>
                    <a:prstGeom prst="rect">
                      <a:avLst/>
                    </a:prstGeom>
                  </pic:spPr>
                </pic:pic>
              </a:graphicData>
            </a:graphic>
          </wp:inline>
        </w:drawing>
      </w:r>
    </w:p>
    <w:p w14:paraId="19A26720" w14:textId="3155B848" w:rsidR="00770D56" w:rsidRPr="00770D56" w:rsidRDefault="00770D56" w:rsidP="00770D56">
      <w:pPr>
        <w:rPr>
          <w:rFonts w:ascii="Times New Roman" w:hAnsi="Times New Roman" w:cs="Times New Roman"/>
        </w:rPr>
      </w:pPr>
      <w:r w:rsidRPr="00770D56">
        <w:rPr>
          <w:rFonts w:ascii="Times New Roman" w:hAnsi="Times New Roman" w:cs="Times New Roman"/>
          <w:b/>
          <w:bCs/>
        </w:rPr>
        <w:t>Fig. S6. Gaussian Mixture clustering of 91 genes with tied covariance ellipsoids.</w:t>
      </w:r>
      <w:r w:rsidRPr="00770D56">
        <w:rPr>
          <w:rFonts w:ascii="Times New Roman" w:hAnsi="Times New Roman" w:cs="Times New Roman"/>
        </w:rPr>
        <w:br/>
        <w:t>Each gene is plotted in 3D space according to its expression ratios at 40, 80, and 300 ppm relative to 150 ppm media. Silhouette analysis across candidate cluster numbers (</w:t>
      </w:r>
      <w:r w:rsidRPr="00770D56">
        <w:rPr>
          <w:rFonts w:ascii="Times New Roman" w:hAnsi="Times New Roman" w:cs="Times New Roman"/>
          <w:i/>
          <w:iCs/>
        </w:rPr>
        <w:t>k</w:t>
      </w:r>
      <w:r w:rsidRPr="00770D56">
        <w:rPr>
          <w:rFonts w:ascii="Times New Roman" w:hAnsi="Times New Roman" w:cs="Times New Roman"/>
        </w:rPr>
        <w:t> = 2–9) was performed using both tied and full covariance structures</w:t>
      </w:r>
      <w:r w:rsidR="00824FE4">
        <w:rPr>
          <w:rFonts w:ascii="Times New Roman" w:hAnsi="Times New Roman" w:cs="Times New Roman"/>
        </w:rPr>
        <w:t xml:space="preserve"> (cf. Fig.</w:t>
      </w:r>
      <w:r w:rsidR="001808AD">
        <w:rPr>
          <w:rFonts w:ascii="Times New Roman" w:hAnsi="Times New Roman" w:cs="Times New Roman"/>
        </w:rPr>
        <w:t xml:space="preserve"> S</w:t>
      </w:r>
      <w:r w:rsidR="00450DE8">
        <w:rPr>
          <w:rFonts w:ascii="Times New Roman" w:hAnsi="Times New Roman" w:cs="Times New Roman"/>
        </w:rPr>
        <w:t>5</w:t>
      </w:r>
      <w:r w:rsidR="001808AD">
        <w:rPr>
          <w:rFonts w:ascii="Times New Roman" w:hAnsi="Times New Roman" w:cs="Times New Roman"/>
        </w:rPr>
        <w:t>)</w:t>
      </w:r>
      <w:r w:rsidRPr="00770D56">
        <w:rPr>
          <w:rFonts w:ascii="Times New Roman" w:hAnsi="Times New Roman" w:cs="Times New Roman"/>
        </w:rPr>
        <w:t xml:space="preserve">. The tied covariance model with </w:t>
      </w:r>
      <w:r w:rsidRPr="00770D56">
        <w:rPr>
          <w:rFonts w:ascii="Times New Roman" w:hAnsi="Times New Roman" w:cs="Times New Roman"/>
          <w:i/>
          <w:iCs/>
        </w:rPr>
        <w:t>k</w:t>
      </w:r>
      <w:r w:rsidRPr="00770D56">
        <w:rPr>
          <w:rFonts w:ascii="Times New Roman" w:hAnsi="Times New Roman" w:cs="Times New Roman"/>
        </w:rPr>
        <w:t xml:space="preserve"> = 2 yielded the highest silhouette score but was biologically uninformative, simply separating genes by average expression at 300 ppm. More informative solutions were obtained with </w:t>
      </w:r>
      <w:r w:rsidRPr="00770D56">
        <w:rPr>
          <w:rFonts w:ascii="Times New Roman" w:hAnsi="Times New Roman" w:cs="Times New Roman"/>
          <w:i/>
          <w:iCs/>
        </w:rPr>
        <w:t>k</w:t>
      </w:r>
      <w:r w:rsidRPr="00770D56">
        <w:rPr>
          <w:rFonts w:ascii="Times New Roman" w:hAnsi="Times New Roman" w:cs="Times New Roman"/>
        </w:rPr>
        <w:t xml:space="preserve"> = 4 and </w:t>
      </w:r>
      <w:r w:rsidRPr="00770D56">
        <w:rPr>
          <w:rFonts w:ascii="Times New Roman" w:hAnsi="Times New Roman" w:cs="Times New Roman"/>
          <w:i/>
          <w:iCs/>
        </w:rPr>
        <w:t>k</w:t>
      </w:r>
      <w:r w:rsidRPr="00770D56">
        <w:rPr>
          <w:rFonts w:ascii="Times New Roman" w:hAnsi="Times New Roman" w:cs="Times New Roman"/>
        </w:rPr>
        <w:t> = 6, which produced reasonably separated and internally cohesive clusters. Genes and their corresponding covariance ellipsoids are color</w:t>
      </w:r>
      <w:r w:rsidRPr="00770D56">
        <w:rPr>
          <w:rFonts w:ascii="Times New Roman" w:hAnsi="Times New Roman" w:cs="Times New Roman"/>
        </w:rPr>
        <w:noBreakHyphen/>
        <w:t>coded by cluster assignment, with the number of genes per cluster indicated in parentheses.</w:t>
      </w:r>
      <w:r w:rsidR="00425CA9">
        <w:rPr>
          <w:rFonts w:ascii="Times New Roman" w:hAnsi="Times New Roman" w:cs="Times New Roman"/>
        </w:rPr>
        <w:t xml:space="preserve"> </w:t>
      </w:r>
      <w:r w:rsidR="00425CA9" w:rsidRPr="00C77E1A">
        <w:rPr>
          <w:rFonts w:ascii="Times New Roman" w:hAnsi="Times New Roman" w:cs="Times New Roman"/>
        </w:rPr>
        <w:t>Genes exceeding a Mahalanobis distance of 2.4</w:t>
      </w:r>
      <w:r w:rsidR="005B320D">
        <w:rPr>
          <w:rFonts w:ascii="Times New Roman" w:hAnsi="Times New Roman" w:cs="Times New Roman"/>
        </w:rPr>
        <w:t>8</w:t>
      </w:r>
      <w:r w:rsidR="00425CA9" w:rsidRPr="00C77E1A">
        <w:rPr>
          <w:rFonts w:ascii="Times New Roman" w:hAnsi="Times New Roman" w:cs="Times New Roman"/>
        </w:rPr>
        <w:t xml:space="preserve"> from their cluster centroid (e.g., </w:t>
      </w:r>
      <w:r w:rsidR="00425CA9" w:rsidRPr="00C77E1A">
        <w:rPr>
          <w:rFonts w:ascii="Times New Roman" w:hAnsi="Times New Roman" w:cs="Times New Roman"/>
          <w:i/>
          <w:iCs/>
        </w:rPr>
        <w:t>BCL2A1</w:t>
      </w:r>
      <w:r w:rsidR="00425CA9" w:rsidRPr="00C77E1A">
        <w:rPr>
          <w:rFonts w:ascii="Times New Roman" w:hAnsi="Times New Roman" w:cs="Times New Roman"/>
        </w:rPr>
        <w:t xml:space="preserve">, </w:t>
      </w:r>
      <w:r w:rsidR="00425CA9" w:rsidRPr="00C77E1A">
        <w:rPr>
          <w:rFonts w:ascii="Times New Roman" w:hAnsi="Times New Roman" w:cs="Times New Roman"/>
          <w:i/>
          <w:iCs/>
        </w:rPr>
        <w:t>PTEN</w:t>
      </w:r>
      <w:r w:rsidR="00425CA9" w:rsidRPr="00C77E1A">
        <w:rPr>
          <w:rFonts w:ascii="Times New Roman" w:hAnsi="Times New Roman" w:cs="Times New Roman"/>
        </w:rPr>
        <w:t>) are highlighted in red, denoting boundary outliers</w:t>
      </w:r>
    </w:p>
    <w:p w14:paraId="55FFC176" w14:textId="77777777" w:rsidR="00BA6A42" w:rsidRPr="00057E23" w:rsidRDefault="00BA6A42">
      <w:pPr>
        <w:rPr>
          <w:rFonts w:ascii="Times New Roman" w:hAnsi="Times New Roman" w:cs="Times New Roman"/>
        </w:rPr>
      </w:pPr>
    </w:p>
    <w:sectPr w:rsidR="00BA6A42" w:rsidRPr="00057E2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46DA8"/>
    <w:multiLevelType w:val="multilevel"/>
    <w:tmpl w:val="2428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D97447"/>
    <w:multiLevelType w:val="multilevel"/>
    <w:tmpl w:val="29F2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2159458">
    <w:abstractNumId w:val="1"/>
  </w:num>
  <w:num w:numId="2" w16cid:durableId="1233806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EA1"/>
    <w:rsid w:val="00005BA7"/>
    <w:rsid w:val="00022537"/>
    <w:rsid w:val="00057E23"/>
    <w:rsid w:val="00082277"/>
    <w:rsid w:val="00087CED"/>
    <w:rsid w:val="0014741A"/>
    <w:rsid w:val="001808AD"/>
    <w:rsid w:val="001C42C1"/>
    <w:rsid w:val="001C57FE"/>
    <w:rsid w:val="001D152D"/>
    <w:rsid w:val="001F5999"/>
    <w:rsid w:val="002316B1"/>
    <w:rsid w:val="00232046"/>
    <w:rsid w:val="00234B81"/>
    <w:rsid w:val="00260BD7"/>
    <w:rsid w:val="00274E16"/>
    <w:rsid w:val="002C0742"/>
    <w:rsid w:val="002C24A3"/>
    <w:rsid w:val="002C355C"/>
    <w:rsid w:val="002D5AD5"/>
    <w:rsid w:val="0032213F"/>
    <w:rsid w:val="003326F3"/>
    <w:rsid w:val="00336E6E"/>
    <w:rsid w:val="003437E4"/>
    <w:rsid w:val="0034737D"/>
    <w:rsid w:val="0034748D"/>
    <w:rsid w:val="00347B2D"/>
    <w:rsid w:val="0036648A"/>
    <w:rsid w:val="00383DB0"/>
    <w:rsid w:val="003D3A91"/>
    <w:rsid w:val="003E00B4"/>
    <w:rsid w:val="003E7028"/>
    <w:rsid w:val="004209E8"/>
    <w:rsid w:val="00425CA9"/>
    <w:rsid w:val="004314E8"/>
    <w:rsid w:val="00433EC0"/>
    <w:rsid w:val="0044047B"/>
    <w:rsid w:val="0044159A"/>
    <w:rsid w:val="00450DE8"/>
    <w:rsid w:val="0046514C"/>
    <w:rsid w:val="00497449"/>
    <w:rsid w:val="004A1C54"/>
    <w:rsid w:val="004C7F45"/>
    <w:rsid w:val="004D187D"/>
    <w:rsid w:val="004D79F9"/>
    <w:rsid w:val="004F2539"/>
    <w:rsid w:val="00501D5A"/>
    <w:rsid w:val="005108AB"/>
    <w:rsid w:val="00510A14"/>
    <w:rsid w:val="0051505B"/>
    <w:rsid w:val="00526E18"/>
    <w:rsid w:val="005454B2"/>
    <w:rsid w:val="00584724"/>
    <w:rsid w:val="00591F16"/>
    <w:rsid w:val="005B320D"/>
    <w:rsid w:val="005B7B40"/>
    <w:rsid w:val="005D4F33"/>
    <w:rsid w:val="005D7F28"/>
    <w:rsid w:val="00636547"/>
    <w:rsid w:val="00652958"/>
    <w:rsid w:val="0067594E"/>
    <w:rsid w:val="00687EFF"/>
    <w:rsid w:val="00691BD2"/>
    <w:rsid w:val="006B0F70"/>
    <w:rsid w:val="006B510A"/>
    <w:rsid w:val="006C130F"/>
    <w:rsid w:val="006F052C"/>
    <w:rsid w:val="00726A24"/>
    <w:rsid w:val="0073479A"/>
    <w:rsid w:val="00735FCF"/>
    <w:rsid w:val="00741B9B"/>
    <w:rsid w:val="007574CC"/>
    <w:rsid w:val="007650BC"/>
    <w:rsid w:val="00767F8A"/>
    <w:rsid w:val="00770D56"/>
    <w:rsid w:val="0077167B"/>
    <w:rsid w:val="00783B82"/>
    <w:rsid w:val="00784DE4"/>
    <w:rsid w:val="00784DF1"/>
    <w:rsid w:val="00791E17"/>
    <w:rsid w:val="007967A4"/>
    <w:rsid w:val="007A28F0"/>
    <w:rsid w:val="007B1701"/>
    <w:rsid w:val="007B1EED"/>
    <w:rsid w:val="007B304F"/>
    <w:rsid w:val="007C1CCD"/>
    <w:rsid w:val="007D0A3F"/>
    <w:rsid w:val="007D1C2A"/>
    <w:rsid w:val="007D4F47"/>
    <w:rsid w:val="007F4DF8"/>
    <w:rsid w:val="0081189F"/>
    <w:rsid w:val="00811EFA"/>
    <w:rsid w:val="0082063B"/>
    <w:rsid w:val="00824FE4"/>
    <w:rsid w:val="008407F0"/>
    <w:rsid w:val="008536D9"/>
    <w:rsid w:val="00860460"/>
    <w:rsid w:val="0086256F"/>
    <w:rsid w:val="0086686E"/>
    <w:rsid w:val="00867842"/>
    <w:rsid w:val="00877AEA"/>
    <w:rsid w:val="0088441B"/>
    <w:rsid w:val="00892037"/>
    <w:rsid w:val="00894512"/>
    <w:rsid w:val="008C47E7"/>
    <w:rsid w:val="009459C0"/>
    <w:rsid w:val="009715D3"/>
    <w:rsid w:val="00992EDE"/>
    <w:rsid w:val="009A1455"/>
    <w:rsid w:val="009C1E8E"/>
    <w:rsid w:val="009D1A8B"/>
    <w:rsid w:val="009E1DEF"/>
    <w:rsid w:val="009F65D7"/>
    <w:rsid w:val="00A147B1"/>
    <w:rsid w:val="00A37C2B"/>
    <w:rsid w:val="00A45151"/>
    <w:rsid w:val="00A9550C"/>
    <w:rsid w:val="00AB1DF5"/>
    <w:rsid w:val="00AE0432"/>
    <w:rsid w:val="00AE075F"/>
    <w:rsid w:val="00B129EB"/>
    <w:rsid w:val="00B12D7B"/>
    <w:rsid w:val="00B1620A"/>
    <w:rsid w:val="00B30B1B"/>
    <w:rsid w:val="00B36EBF"/>
    <w:rsid w:val="00B37EF6"/>
    <w:rsid w:val="00B43FDB"/>
    <w:rsid w:val="00B81203"/>
    <w:rsid w:val="00B81212"/>
    <w:rsid w:val="00B83751"/>
    <w:rsid w:val="00B90526"/>
    <w:rsid w:val="00B9148C"/>
    <w:rsid w:val="00B917F7"/>
    <w:rsid w:val="00B91F90"/>
    <w:rsid w:val="00B93F44"/>
    <w:rsid w:val="00BA3812"/>
    <w:rsid w:val="00BA6A42"/>
    <w:rsid w:val="00BB3C83"/>
    <w:rsid w:val="00BB7413"/>
    <w:rsid w:val="00BD7AA8"/>
    <w:rsid w:val="00C03B85"/>
    <w:rsid w:val="00C17EA1"/>
    <w:rsid w:val="00C2306D"/>
    <w:rsid w:val="00C351AC"/>
    <w:rsid w:val="00C441FD"/>
    <w:rsid w:val="00C707D7"/>
    <w:rsid w:val="00C771DA"/>
    <w:rsid w:val="00C8457F"/>
    <w:rsid w:val="00C93F5C"/>
    <w:rsid w:val="00C9693D"/>
    <w:rsid w:val="00CB4E37"/>
    <w:rsid w:val="00CD3782"/>
    <w:rsid w:val="00CD3D22"/>
    <w:rsid w:val="00CD65D0"/>
    <w:rsid w:val="00CF03B1"/>
    <w:rsid w:val="00CF11DE"/>
    <w:rsid w:val="00D029DF"/>
    <w:rsid w:val="00D77DEB"/>
    <w:rsid w:val="00D83775"/>
    <w:rsid w:val="00D930EB"/>
    <w:rsid w:val="00DA11B7"/>
    <w:rsid w:val="00DA6528"/>
    <w:rsid w:val="00DA7E05"/>
    <w:rsid w:val="00DB2C08"/>
    <w:rsid w:val="00DC3937"/>
    <w:rsid w:val="00DC696E"/>
    <w:rsid w:val="00DF1404"/>
    <w:rsid w:val="00E00433"/>
    <w:rsid w:val="00E006F0"/>
    <w:rsid w:val="00E1630B"/>
    <w:rsid w:val="00E20B60"/>
    <w:rsid w:val="00E90F01"/>
    <w:rsid w:val="00E944C9"/>
    <w:rsid w:val="00EB7133"/>
    <w:rsid w:val="00EC2CAF"/>
    <w:rsid w:val="00F151E8"/>
    <w:rsid w:val="00F23132"/>
    <w:rsid w:val="00F322D6"/>
    <w:rsid w:val="00F50A07"/>
    <w:rsid w:val="00F5624F"/>
    <w:rsid w:val="00F56FBD"/>
    <w:rsid w:val="00F578C9"/>
    <w:rsid w:val="00F605D3"/>
    <w:rsid w:val="00F84767"/>
    <w:rsid w:val="00F85FFF"/>
    <w:rsid w:val="00F937B9"/>
    <w:rsid w:val="00F941B1"/>
    <w:rsid w:val="00FB542D"/>
    <w:rsid w:val="00FD4E43"/>
    <w:rsid w:val="00FD5533"/>
    <w:rsid w:val="00FE01C5"/>
    <w:rsid w:val="00FF1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8DA2D"/>
  <w15:chartTrackingRefBased/>
  <w15:docId w15:val="{6FC305C9-D3CB-42D4-ABE7-126EAC681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7E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7E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7E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7E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7E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7E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7E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7E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7E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E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7E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7E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7E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7E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7E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7E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7E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7EA1"/>
    <w:rPr>
      <w:rFonts w:eastAsiaTheme="majorEastAsia" w:cstheme="majorBidi"/>
      <w:color w:val="272727" w:themeColor="text1" w:themeTint="D8"/>
    </w:rPr>
  </w:style>
  <w:style w:type="paragraph" w:styleId="Title">
    <w:name w:val="Title"/>
    <w:basedOn w:val="Normal"/>
    <w:next w:val="Normal"/>
    <w:link w:val="TitleChar"/>
    <w:uiPriority w:val="10"/>
    <w:qFormat/>
    <w:rsid w:val="00C17E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7E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7E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7E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7EA1"/>
    <w:pPr>
      <w:spacing w:before="160"/>
      <w:jc w:val="center"/>
    </w:pPr>
    <w:rPr>
      <w:i/>
      <w:iCs/>
      <w:color w:val="404040" w:themeColor="text1" w:themeTint="BF"/>
    </w:rPr>
  </w:style>
  <w:style w:type="character" w:customStyle="1" w:styleId="QuoteChar">
    <w:name w:val="Quote Char"/>
    <w:basedOn w:val="DefaultParagraphFont"/>
    <w:link w:val="Quote"/>
    <w:uiPriority w:val="29"/>
    <w:rsid w:val="00C17EA1"/>
    <w:rPr>
      <w:i/>
      <w:iCs/>
      <w:color w:val="404040" w:themeColor="text1" w:themeTint="BF"/>
    </w:rPr>
  </w:style>
  <w:style w:type="paragraph" w:styleId="ListParagraph">
    <w:name w:val="List Paragraph"/>
    <w:basedOn w:val="Normal"/>
    <w:uiPriority w:val="34"/>
    <w:qFormat/>
    <w:rsid w:val="00C17EA1"/>
    <w:pPr>
      <w:ind w:left="720"/>
      <w:contextualSpacing/>
    </w:pPr>
  </w:style>
  <w:style w:type="character" w:styleId="IntenseEmphasis">
    <w:name w:val="Intense Emphasis"/>
    <w:basedOn w:val="DefaultParagraphFont"/>
    <w:uiPriority w:val="21"/>
    <w:qFormat/>
    <w:rsid w:val="00C17EA1"/>
    <w:rPr>
      <w:i/>
      <w:iCs/>
      <w:color w:val="0F4761" w:themeColor="accent1" w:themeShade="BF"/>
    </w:rPr>
  </w:style>
  <w:style w:type="paragraph" w:styleId="IntenseQuote">
    <w:name w:val="Intense Quote"/>
    <w:basedOn w:val="Normal"/>
    <w:next w:val="Normal"/>
    <w:link w:val="IntenseQuoteChar"/>
    <w:uiPriority w:val="30"/>
    <w:qFormat/>
    <w:rsid w:val="00C17E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7EA1"/>
    <w:rPr>
      <w:i/>
      <w:iCs/>
      <w:color w:val="0F4761" w:themeColor="accent1" w:themeShade="BF"/>
    </w:rPr>
  </w:style>
  <w:style w:type="character" w:styleId="IntenseReference">
    <w:name w:val="Intense Reference"/>
    <w:basedOn w:val="DefaultParagraphFont"/>
    <w:uiPriority w:val="32"/>
    <w:qFormat/>
    <w:rsid w:val="00C17EA1"/>
    <w:rPr>
      <w:b/>
      <w:bCs/>
      <w:smallCaps/>
      <w:color w:val="0F4761" w:themeColor="accent1" w:themeShade="BF"/>
      <w:spacing w:val="5"/>
    </w:rPr>
  </w:style>
  <w:style w:type="character" w:styleId="HTMLCode">
    <w:name w:val="HTML Code"/>
    <w:basedOn w:val="DefaultParagraphFont"/>
    <w:uiPriority w:val="99"/>
    <w:semiHidden/>
    <w:unhideWhenUsed/>
    <w:rsid w:val="00BD7AA8"/>
    <w:rPr>
      <w:rFonts w:ascii="Courier New" w:eastAsia="Times New Roman" w:hAnsi="Courier New" w:cs="Courier New"/>
      <w:sz w:val="20"/>
      <w:szCs w:val="20"/>
    </w:rPr>
  </w:style>
  <w:style w:type="character" w:styleId="Hyperlink">
    <w:name w:val="Hyperlink"/>
    <w:basedOn w:val="DefaultParagraphFont"/>
    <w:uiPriority w:val="99"/>
    <w:unhideWhenUsed/>
    <w:rsid w:val="008C47E7"/>
    <w:rPr>
      <w:color w:val="467886" w:themeColor="hyperlink"/>
      <w:u w:val="single"/>
    </w:rPr>
  </w:style>
  <w:style w:type="character" w:styleId="UnresolvedMention">
    <w:name w:val="Unresolved Mention"/>
    <w:basedOn w:val="DefaultParagraphFont"/>
    <w:uiPriority w:val="99"/>
    <w:semiHidden/>
    <w:unhideWhenUsed/>
    <w:rsid w:val="008C47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5701-4401"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sonkagi@gmail.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svg"/><Relationship Id="rId1" Type="http://schemas.openxmlformats.org/officeDocument/2006/relationships/numbering" Target="numbering.xml"/><Relationship Id="rId6" Type="http://schemas.openxmlformats.org/officeDocument/2006/relationships/hyperlink" Target="mailto:gsomlyai@hyd.hu" TargetMode="External"/><Relationship Id="rId11" Type="http://schemas.openxmlformats.org/officeDocument/2006/relationships/image" Target="media/image3.png"/><Relationship Id="rId5" Type="http://schemas.openxmlformats.org/officeDocument/2006/relationships/hyperlink" Target="mailto:isomlyai@hyd.hu" TargetMode="Externa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698</TotalTime>
  <Pages>7</Pages>
  <Words>1079</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Gabor Istvan Csonka</dc:creator>
  <cp:keywords/>
  <dc:description/>
  <cp:lastModifiedBy>Gabor Istvan Csonka</cp:lastModifiedBy>
  <cp:revision>41</cp:revision>
  <dcterms:created xsi:type="dcterms:W3CDTF">2025-12-04T22:07:00Z</dcterms:created>
  <dcterms:modified xsi:type="dcterms:W3CDTF">2025-12-06T09:16:00Z</dcterms:modified>
</cp:coreProperties>
</file>