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EDD47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eastAsiaTheme="minorEastAsia" w:cstheme="majorBidi"/>
          <w:b/>
          <w:bCs/>
          <w:sz w:val="24"/>
          <w:szCs w:val="24"/>
          <w:rtl/>
          <w:lang w:eastAsia="en-GB" w:bidi="ar-EG"/>
        </w:rPr>
      </w:pPr>
      <w:r>
        <w:rPr>
          <w:rFonts w:asciiTheme="majorBidi" w:hAnsiTheme="majorBidi" w:eastAsiaTheme="minorEastAsia" w:cstheme="majorBidi"/>
          <w:b/>
          <w:bCs/>
          <w:sz w:val="24"/>
          <w:szCs w:val="24"/>
          <w:lang w:eastAsia="en-GB" w:bidi="ar-EG"/>
        </w:rPr>
        <w:t>Table (3) shows effect of operation on SEMEN ANALYSIS over 3,6 and 12 months</w:t>
      </w:r>
    </w:p>
    <w:tbl>
      <w:tblPr>
        <w:tblStyle w:val="3"/>
        <w:tblW w:w="4993" w:type="pct"/>
        <w:tblInd w:w="0" w:type="dxa"/>
        <w:tblBorders>
          <w:top w:val="single" w:color="B2CEE8" w:sz="18" w:space="0"/>
          <w:left w:val="single" w:color="B2CEE8" w:sz="18" w:space="0"/>
          <w:bottom w:val="single" w:color="B2CEE8" w:sz="18" w:space="0"/>
          <w:right w:val="single" w:color="B2CEE8" w:sz="18" w:space="0"/>
          <w:insideH w:val="single" w:color="B2CEE8" w:sz="6" w:space="0"/>
          <w:insideV w:val="single" w:color="B2CEE8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5"/>
        <w:gridCol w:w="106"/>
        <w:gridCol w:w="617"/>
        <w:gridCol w:w="141"/>
        <w:gridCol w:w="862"/>
        <w:gridCol w:w="7"/>
        <w:gridCol w:w="242"/>
        <w:gridCol w:w="684"/>
        <w:gridCol w:w="239"/>
        <w:gridCol w:w="930"/>
        <w:gridCol w:w="233"/>
        <w:gridCol w:w="970"/>
        <w:gridCol w:w="233"/>
        <w:gridCol w:w="1178"/>
      </w:tblGrid>
      <w:tr w14:paraId="23D87A0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446203D9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gridSpan w:val="2"/>
            <w:shd w:val="clear" w:color="auto" w:fill="E3E2E7"/>
            <w:vAlign w:val="center"/>
          </w:tcPr>
          <w:p w14:paraId="2302925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690" w:type="pct"/>
            <w:gridSpan w:val="3"/>
            <w:shd w:val="clear" w:color="auto" w:fill="E3E2E7"/>
            <w:vAlign w:val="center"/>
          </w:tcPr>
          <w:p w14:paraId="6D3039D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SD</w:t>
            </w:r>
          </w:p>
        </w:tc>
        <w:tc>
          <w:tcPr>
            <w:tcW w:w="545" w:type="pct"/>
            <w:gridSpan w:val="2"/>
            <w:shd w:val="clear" w:color="auto" w:fill="E3E2E7"/>
            <w:vAlign w:val="center"/>
          </w:tcPr>
          <w:p w14:paraId="40B3514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Median</w:t>
            </w:r>
          </w:p>
        </w:tc>
        <w:tc>
          <w:tcPr>
            <w:tcW w:w="690" w:type="pct"/>
            <w:gridSpan w:val="2"/>
            <w:shd w:val="clear" w:color="auto" w:fill="E3E2E7"/>
            <w:vAlign w:val="center"/>
          </w:tcPr>
          <w:p w14:paraId="0236E1C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Minimum</w:t>
            </w:r>
          </w:p>
        </w:tc>
        <w:tc>
          <w:tcPr>
            <w:tcW w:w="714" w:type="pct"/>
            <w:gridSpan w:val="2"/>
            <w:shd w:val="clear" w:color="auto" w:fill="E3E2E7"/>
            <w:vAlign w:val="center"/>
          </w:tcPr>
          <w:p w14:paraId="7D35F6E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698" w:type="pct"/>
            <w:shd w:val="clear" w:color="auto" w:fill="E3E2E7"/>
            <w:vAlign w:val="center"/>
          </w:tcPr>
          <w:p w14:paraId="1BF59EE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 value compared to before</w:t>
            </w:r>
          </w:p>
        </w:tc>
      </w:tr>
      <w:tr w14:paraId="2BB59285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15"/>
            <w:shd w:val="clear" w:color="auto" w:fill="000000" w:themeFill="text1"/>
            <w:vAlign w:val="center"/>
          </w:tcPr>
          <w:p w14:paraId="29A91FE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SEMEN ANALYSIS (Concentration)</w:t>
            </w:r>
          </w:p>
        </w:tc>
      </w:tr>
      <w:tr w14:paraId="2971184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09FC5A0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Conc. Before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2E6C013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22.09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19FC80F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26.03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06250A3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10.75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231DAF9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6841DA2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89.80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3614BB6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----</w:t>
            </w:r>
          </w:p>
        </w:tc>
      </w:tr>
      <w:tr w14:paraId="3D5CBE06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57133F6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Conc. After (3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79C5A02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21.08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0188BD2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24.35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60D8FDF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10.16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397743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32DE5FC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85.92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2A34B6D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0.838</w:t>
            </w:r>
          </w:p>
        </w:tc>
      </w:tr>
      <w:tr w14:paraId="405C9D7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7C83F5C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Conc. After (6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71AFD2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20.81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34597CB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24.05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2634107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10.71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71D2E53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125846A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87.87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3846E31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0.766</w:t>
            </w:r>
          </w:p>
        </w:tc>
      </w:tr>
      <w:tr w14:paraId="06BB17B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10541CA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Conc. After (12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66C8A8D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21.00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32B8C46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24.93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39268C4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11.12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61F6D0D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21B3736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89.54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27920D7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0.991</w:t>
            </w:r>
          </w:p>
        </w:tc>
      </w:tr>
      <w:tr w14:paraId="7A4D946C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15"/>
            <w:shd w:val="clear" w:color="auto" w:fill="000000" w:themeFill="text1"/>
            <w:vAlign w:val="center"/>
          </w:tcPr>
          <w:p w14:paraId="39AC19F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SEMEN ANALYSIS (Motility)</w:t>
            </w:r>
          </w:p>
        </w:tc>
      </w:tr>
      <w:tr w14:paraId="60FAB77C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796EB44F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gridSpan w:val="2"/>
            <w:shd w:val="clear" w:color="auto" w:fill="E3E2E7"/>
            <w:vAlign w:val="center"/>
          </w:tcPr>
          <w:p w14:paraId="1A6775E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690" w:type="pct"/>
            <w:gridSpan w:val="3"/>
            <w:shd w:val="clear" w:color="auto" w:fill="E3E2E7"/>
            <w:vAlign w:val="center"/>
          </w:tcPr>
          <w:p w14:paraId="54633A0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SD</w:t>
            </w:r>
          </w:p>
        </w:tc>
        <w:tc>
          <w:tcPr>
            <w:tcW w:w="545" w:type="pct"/>
            <w:gridSpan w:val="2"/>
            <w:shd w:val="clear" w:color="auto" w:fill="E3E2E7"/>
            <w:vAlign w:val="center"/>
          </w:tcPr>
          <w:p w14:paraId="74DF50F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Median</w:t>
            </w:r>
          </w:p>
        </w:tc>
        <w:tc>
          <w:tcPr>
            <w:tcW w:w="690" w:type="pct"/>
            <w:gridSpan w:val="2"/>
            <w:shd w:val="clear" w:color="auto" w:fill="E3E2E7"/>
            <w:vAlign w:val="center"/>
          </w:tcPr>
          <w:p w14:paraId="7681914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Minimum</w:t>
            </w:r>
          </w:p>
        </w:tc>
        <w:tc>
          <w:tcPr>
            <w:tcW w:w="714" w:type="pct"/>
            <w:gridSpan w:val="2"/>
            <w:shd w:val="clear" w:color="auto" w:fill="E3E2E7"/>
            <w:vAlign w:val="center"/>
          </w:tcPr>
          <w:p w14:paraId="08AA956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698" w:type="pct"/>
            <w:shd w:val="clear" w:color="auto" w:fill="E3E2E7"/>
            <w:vAlign w:val="center"/>
          </w:tcPr>
          <w:p w14:paraId="378DB82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 value compared to before</w:t>
            </w:r>
          </w:p>
        </w:tc>
      </w:tr>
      <w:tr w14:paraId="138EF52C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72AEDF1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Motility Before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61EC18E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21.02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268EBF3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13.20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792BAAA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20.00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24E87CD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6A99851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54.00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29ABC9B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----</w:t>
            </w:r>
          </w:p>
        </w:tc>
      </w:tr>
      <w:tr w14:paraId="58E7F3DA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17332A9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Motility After (3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3B62430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23.78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7454E43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14.76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7D1EAC8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19.68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6A9882D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5A18D2E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59.37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23C36B3B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0.003</w:t>
            </w:r>
          </w:p>
        </w:tc>
      </w:tr>
      <w:tr w14:paraId="5E46658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5871E52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Motility After (6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3F6E6F3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27.60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79CA61E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17.06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5E368AF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26.00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480EE65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115E19D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68.00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1083A78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0.001</w:t>
            </w:r>
          </w:p>
        </w:tc>
      </w:tr>
      <w:tr w14:paraId="18C9CF4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509C61C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Motility After (12 months)</w:t>
            </w:r>
          </w:p>
          <w:p w14:paraId="2951C0F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</w:p>
          <w:p w14:paraId="3F3D1FB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4406059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35.22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1B24863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22.51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2F8EB4C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37.00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68C51FE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0C5CB54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78.00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46609FC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6FBA69FE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15"/>
            <w:shd w:val="clear" w:color="auto" w:fill="000000" w:themeFill="text1"/>
            <w:vAlign w:val="center"/>
          </w:tcPr>
          <w:p w14:paraId="171A98B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SEMEN ANALYSIS (PR)</w:t>
            </w:r>
          </w:p>
        </w:tc>
      </w:tr>
      <w:tr w14:paraId="14C8FAAB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1F5810F6">
            <w:pPr>
              <w:autoSpaceDE w:val="0"/>
              <w:autoSpaceDN w:val="0"/>
              <w:adjustRightInd w:val="0"/>
              <w:spacing w:after="0" w:line="480" w:lineRule="auto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450" w:type="pct"/>
            <w:gridSpan w:val="2"/>
            <w:shd w:val="clear" w:color="auto" w:fill="E3E2E7"/>
            <w:vAlign w:val="center"/>
          </w:tcPr>
          <w:p w14:paraId="3E56444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690" w:type="pct"/>
            <w:gridSpan w:val="3"/>
            <w:shd w:val="clear" w:color="auto" w:fill="E3E2E7"/>
            <w:vAlign w:val="center"/>
          </w:tcPr>
          <w:p w14:paraId="61E6DED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SD</w:t>
            </w:r>
          </w:p>
        </w:tc>
        <w:tc>
          <w:tcPr>
            <w:tcW w:w="545" w:type="pct"/>
            <w:gridSpan w:val="2"/>
            <w:shd w:val="clear" w:color="auto" w:fill="E3E2E7"/>
            <w:vAlign w:val="center"/>
          </w:tcPr>
          <w:p w14:paraId="5A85C43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Median</w:t>
            </w:r>
          </w:p>
        </w:tc>
        <w:tc>
          <w:tcPr>
            <w:tcW w:w="690" w:type="pct"/>
            <w:gridSpan w:val="2"/>
            <w:shd w:val="clear" w:color="auto" w:fill="E3E2E7"/>
            <w:vAlign w:val="center"/>
          </w:tcPr>
          <w:p w14:paraId="666683F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Minimum</w:t>
            </w:r>
          </w:p>
        </w:tc>
        <w:tc>
          <w:tcPr>
            <w:tcW w:w="714" w:type="pct"/>
            <w:gridSpan w:val="2"/>
            <w:shd w:val="clear" w:color="auto" w:fill="E3E2E7"/>
            <w:vAlign w:val="center"/>
          </w:tcPr>
          <w:p w14:paraId="499795A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698" w:type="pct"/>
            <w:shd w:val="clear" w:color="auto" w:fill="E3E2E7"/>
            <w:vAlign w:val="center"/>
          </w:tcPr>
          <w:p w14:paraId="250BF9D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 value compared to before</w:t>
            </w:r>
          </w:p>
        </w:tc>
      </w:tr>
      <w:tr w14:paraId="6F5C7C63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3C1F1BD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PR Before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66AC5FA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10.98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36F1BB4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8.17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1E51A9D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10.00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0E4D098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20F7A33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31.00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0DCA4E9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----</w:t>
            </w:r>
          </w:p>
        </w:tc>
      </w:tr>
      <w:tr w14:paraId="71798A4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03DC889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PR After (3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56FB108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12.95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742F38C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8.59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545939A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10.26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727D61C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481C6A6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36.53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4EEA6C3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69DC572E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2DB2EB9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PR After (6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411718F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15.22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2F9FF6C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9.85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3B0E2FE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13.00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3D887F1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5CA69D9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39.00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54D42DB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5CCD3277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4" w:type="pct"/>
            <w:gridSpan w:val="3"/>
            <w:shd w:val="clear" w:color="auto" w:fill="E3E2E7"/>
            <w:vAlign w:val="center"/>
          </w:tcPr>
          <w:p w14:paraId="1FA79AC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PR After (12 months)</w:t>
            </w:r>
          </w:p>
        </w:tc>
        <w:tc>
          <w:tcPr>
            <w:tcW w:w="450" w:type="pct"/>
            <w:gridSpan w:val="2"/>
            <w:shd w:val="clear" w:color="auto" w:fill="FFFFFF"/>
            <w:vAlign w:val="center"/>
          </w:tcPr>
          <w:p w14:paraId="0E449FD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19.40</w:t>
            </w:r>
          </w:p>
        </w:tc>
        <w:tc>
          <w:tcPr>
            <w:tcW w:w="690" w:type="pct"/>
            <w:gridSpan w:val="3"/>
            <w:shd w:val="clear" w:color="auto" w:fill="FFFFFF"/>
            <w:vAlign w:val="center"/>
          </w:tcPr>
          <w:p w14:paraId="10C32DB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12.87</w:t>
            </w:r>
          </w:p>
        </w:tc>
        <w:tc>
          <w:tcPr>
            <w:tcW w:w="545" w:type="pct"/>
            <w:gridSpan w:val="2"/>
            <w:shd w:val="clear" w:color="auto" w:fill="FFFFFF"/>
            <w:vAlign w:val="center"/>
          </w:tcPr>
          <w:p w14:paraId="18D6EC8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16.00</w:t>
            </w:r>
          </w:p>
        </w:tc>
        <w:tc>
          <w:tcPr>
            <w:tcW w:w="690" w:type="pct"/>
            <w:gridSpan w:val="2"/>
            <w:shd w:val="clear" w:color="auto" w:fill="FFFFFF"/>
            <w:vAlign w:val="center"/>
          </w:tcPr>
          <w:p w14:paraId="034BD43B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533B061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54.00</w:t>
            </w:r>
          </w:p>
        </w:tc>
        <w:tc>
          <w:tcPr>
            <w:tcW w:w="698" w:type="pct"/>
            <w:shd w:val="clear" w:color="auto" w:fill="FFFFFF"/>
            <w:vAlign w:val="center"/>
          </w:tcPr>
          <w:p w14:paraId="2EF992D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5B09880A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15"/>
            <w:shd w:val="clear" w:color="auto" w:fill="000000" w:themeFill="text1"/>
            <w:vAlign w:val="center"/>
          </w:tcPr>
          <w:p w14:paraId="0AA9F22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SEMEN ANALYSIS (Abnormal form)</w:t>
            </w:r>
          </w:p>
        </w:tc>
      </w:tr>
      <w:tr w14:paraId="7F0A39EA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49" w:type="pct"/>
            <w:shd w:val="clear" w:color="auto" w:fill="E3E2E7"/>
            <w:vAlign w:val="center"/>
          </w:tcPr>
          <w:p w14:paraId="35406A23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427" w:type="pct"/>
            <w:gridSpan w:val="3"/>
            <w:shd w:val="clear" w:color="auto" w:fill="E3E2E7"/>
            <w:vAlign w:val="center"/>
          </w:tcPr>
          <w:p w14:paraId="68E9603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629" w:type="pct"/>
            <w:gridSpan w:val="2"/>
            <w:shd w:val="clear" w:color="auto" w:fill="E3E2E7"/>
            <w:vAlign w:val="center"/>
          </w:tcPr>
          <w:p w14:paraId="21FF6DF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SD</w:t>
            </w:r>
          </w:p>
        </w:tc>
        <w:tc>
          <w:tcPr>
            <w:tcW w:w="553" w:type="pct"/>
            <w:gridSpan w:val="3"/>
            <w:shd w:val="clear" w:color="auto" w:fill="E3E2E7"/>
            <w:vAlign w:val="center"/>
          </w:tcPr>
          <w:p w14:paraId="587EF18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Median</w:t>
            </w:r>
          </w:p>
        </w:tc>
        <w:tc>
          <w:tcPr>
            <w:tcW w:w="693" w:type="pct"/>
            <w:gridSpan w:val="2"/>
            <w:shd w:val="clear" w:color="auto" w:fill="E3E2E7"/>
            <w:vAlign w:val="center"/>
          </w:tcPr>
          <w:p w14:paraId="3688551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Minimum</w:t>
            </w:r>
          </w:p>
        </w:tc>
        <w:tc>
          <w:tcPr>
            <w:tcW w:w="714" w:type="pct"/>
            <w:gridSpan w:val="2"/>
            <w:shd w:val="clear" w:color="auto" w:fill="E3E2E7"/>
            <w:vAlign w:val="center"/>
          </w:tcPr>
          <w:p w14:paraId="727962F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836" w:type="pct"/>
            <w:gridSpan w:val="2"/>
            <w:shd w:val="clear" w:color="auto" w:fill="E3E2E7"/>
            <w:vAlign w:val="center"/>
          </w:tcPr>
          <w:p w14:paraId="4E48CCD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 value compared to before</w:t>
            </w:r>
          </w:p>
        </w:tc>
      </w:tr>
      <w:tr w14:paraId="3975FCF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49" w:type="pct"/>
            <w:shd w:val="clear" w:color="auto" w:fill="E3E2E7"/>
            <w:vAlign w:val="center"/>
          </w:tcPr>
          <w:p w14:paraId="3E2C52E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Abn. Forms Before</w:t>
            </w:r>
          </w:p>
        </w:tc>
        <w:tc>
          <w:tcPr>
            <w:tcW w:w="427" w:type="pct"/>
            <w:gridSpan w:val="3"/>
            <w:shd w:val="clear" w:color="auto" w:fill="FFFFFF"/>
            <w:vAlign w:val="center"/>
          </w:tcPr>
          <w:p w14:paraId="22AD2D3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93.07</w:t>
            </w:r>
          </w:p>
        </w:tc>
        <w:tc>
          <w:tcPr>
            <w:tcW w:w="629" w:type="pct"/>
            <w:gridSpan w:val="2"/>
            <w:shd w:val="clear" w:color="auto" w:fill="FFFFFF"/>
            <w:vAlign w:val="center"/>
          </w:tcPr>
          <w:p w14:paraId="2C9C411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20.37</w:t>
            </w:r>
          </w:p>
        </w:tc>
        <w:tc>
          <w:tcPr>
            <w:tcW w:w="553" w:type="pct"/>
            <w:gridSpan w:val="3"/>
            <w:shd w:val="clear" w:color="auto" w:fill="FFFFFF"/>
            <w:vAlign w:val="center"/>
          </w:tcPr>
          <w:p w14:paraId="3540ABB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98.00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1B3354B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24A859F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100.00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1243321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----</w:t>
            </w:r>
          </w:p>
        </w:tc>
      </w:tr>
      <w:tr w14:paraId="10E6B3EF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49" w:type="pct"/>
            <w:shd w:val="clear" w:color="auto" w:fill="E3E2E7"/>
            <w:vAlign w:val="center"/>
          </w:tcPr>
          <w:p w14:paraId="0A7FFC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Abn. Forms After (3 months)</w:t>
            </w:r>
          </w:p>
        </w:tc>
        <w:tc>
          <w:tcPr>
            <w:tcW w:w="427" w:type="pct"/>
            <w:gridSpan w:val="3"/>
            <w:shd w:val="clear" w:color="auto" w:fill="FFFFFF"/>
            <w:vAlign w:val="center"/>
          </w:tcPr>
          <w:p w14:paraId="299D8EE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94.32</w:t>
            </w:r>
          </w:p>
        </w:tc>
        <w:tc>
          <w:tcPr>
            <w:tcW w:w="629" w:type="pct"/>
            <w:gridSpan w:val="2"/>
            <w:shd w:val="clear" w:color="auto" w:fill="FFFFFF"/>
            <w:vAlign w:val="center"/>
          </w:tcPr>
          <w:p w14:paraId="74F2434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14.68</w:t>
            </w:r>
          </w:p>
        </w:tc>
        <w:tc>
          <w:tcPr>
            <w:tcW w:w="553" w:type="pct"/>
            <w:gridSpan w:val="3"/>
            <w:shd w:val="clear" w:color="auto" w:fill="FFFFFF"/>
            <w:vAlign w:val="center"/>
          </w:tcPr>
          <w:p w14:paraId="032799D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96.87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2F63B6D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2695345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99.31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5BCBD66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0.001</w:t>
            </w:r>
          </w:p>
        </w:tc>
      </w:tr>
      <w:tr w14:paraId="581D646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49" w:type="pct"/>
            <w:shd w:val="clear" w:color="auto" w:fill="E3E2E7"/>
            <w:vAlign w:val="center"/>
          </w:tcPr>
          <w:p w14:paraId="01080C5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Abn. Forms After (6 months)</w:t>
            </w:r>
          </w:p>
        </w:tc>
        <w:tc>
          <w:tcPr>
            <w:tcW w:w="427" w:type="pct"/>
            <w:gridSpan w:val="3"/>
            <w:shd w:val="clear" w:color="auto" w:fill="FFFFFF"/>
            <w:vAlign w:val="center"/>
          </w:tcPr>
          <w:p w14:paraId="77E630C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94.09</w:t>
            </w:r>
          </w:p>
        </w:tc>
        <w:tc>
          <w:tcPr>
            <w:tcW w:w="629" w:type="pct"/>
            <w:gridSpan w:val="2"/>
            <w:shd w:val="clear" w:color="auto" w:fill="FFFFFF"/>
            <w:vAlign w:val="center"/>
          </w:tcPr>
          <w:p w14:paraId="7590769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14.46</w:t>
            </w:r>
          </w:p>
        </w:tc>
        <w:tc>
          <w:tcPr>
            <w:tcW w:w="553" w:type="pct"/>
            <w:gridSpan w:val="3"/>
            <w:shd w:val="clear" w:color="auto" w:fill="FFFFFF"/>
            <w:vAlign w:val="center"/>
          </w:tcPr>
          <w:p w14:paraId="2565DE8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96.00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5FAAC1D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4C82BEC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100.00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19E63A8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36ECC1A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49" w:type="pct"/>
            <w:shd w:val="clear" w:color="auto" w:fill="E3E2E7"/>
            <w:vAlign w:val="center"/>
          </w:tcPr>
          <w:p w14:paraId="6865A82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Abn.Forms After (12 months)</w:t>
            </w:r>
          </w:p>
        </w:tc>
        <w:tc>
          <w:tcPr>
            <w:tcW w:w="427" w:type="pct"/>
            <w:gridSpan w:val="3"/>
            <w:shd w:val="clear" w:color="auto" w:fill="FFFFFF"/>
            <w:vAlign w:val="center"/>
          </w:tcPr>
          <w:p w14:paraId="34E0275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92.84</w:t>
            </w:r>
          </w:p>
        </w:tc>
        <w:tc>
          <w:tcPr>
            <w:tcW w:w="629" w:type="pct"/>
            <w:gridSpan w:val="2"/>
            <w:shd w:val="clear" w:color="auto" w:fill="FFFFFF"/>
            <w:vAlign w:val="center"/>
          </w:tcPr>
          <w:p w14:paraId="11D4A16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14.42</w:t>
            </w:r>
          </w:p>
        </w:tc>
        <w:tc>
          <w:tcPr>
            <w:tcW w:w="553" w:type="pct"/>
            <w:gridSpan w:val="3"/>
            <w:shd w:val="clear" w:color="auto" w:fill="FFFFFF"/>
            <w:vAlign w:val="center"/>
          </w:tcPr>
          <w:p w14:paraId="56AA468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95.00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7BB65B3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4403E20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100.00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05C81CE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247340D6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15"/>
            <w:shd w:val="clear" w:color="auto" w:fill="000000" w:themeFill="text1"/>
            <w:vAlign w:val="center"/>
          </w:tcPr>
          <w:p w14:paraId="58A9119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SEMEN ANALYSIS (Vitality)</w:t>
            </w:r>
          </w:p>
        </w:tc>
      </w:tr>
      <w:tr w14:paraId="5EE0ACB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52" w:type="pct"/>
            <w:gridSpan w:val="2"/>
            <w:shd w:val="clear" w:color="auto" w:fill="E3E2E7"/>
            <w:vAlign w:val="center"/>
          </w:tcPr>
          <w:p w14:paraId="7E29D30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424" w:type="pct"/>
            <w:gridSpan w:val="2"/>
            <w:shd w:val="clear" w:color="auto" w:fill="E3E2E7"/>
            <w:vAlign w:val="center"/>
          </w:tcPr>
          <w:p w14:paraId="7E7D84B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633" w:type="pct"/>
            <w:gridSpan w:val="3"/>
            <w:shd w:val="clear" w:color="auto" w:fill="E3E2E7"/>
            <w:vAlign w:val="center"/>
          </w:tcPr>
          <w:p w14:paraId="282DED5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SD</w:t>
            </w:r>
          </w:p>
        </w:tc>
        <w:tc>
          <w:tcPr>
            <w:tcW w:w="549" w:type="pct"/>
            <w:gridSpan w:val="2"/>
            <w:shd w:val="clear" w:color="auto" w:fill="E3E2E7"/>
            <w:vAlign w:val="center"/>
          </w:tcPr>
          <w:p w14:paraId="54563C7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Median</w:t>
            </w:r>
          </w:p>
        </w:tc>
        <w:tc>
          <w:tcPr>
            <w:tcW w:w="693" w:type="pct"/>
            <w:gridSpan w:val="2"/>
            <w:shd w:val="clear" w:color="auto" w:fill="E3E2E7"/>
            <w:vAlign w:val="center"/>
          </w:tcPr>
          <w:p w14:paraId="252196E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Minimum</w:t>
            </w:r>
          </w:p>
        </w:tc>
        <w:tc>
          <w:tcPr>
            <w:tcW w:w="714" w:type="pct"/>
            <w:gridSpan w:val="2"/>
            <w:shd w:val="clear" w:color="auto" w:fill="E3E2E7"/>
            <w:vAlign w:val="center"/>
          </w:tcPr>
          <w:p w14:paraId="46F4179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836" w:type="pct"/>
            <w:gridSpan w:val="2"/>
            <w:shd w:val="clear" w:color="auto" w:fill="E3E2E7"/>
            <w:vAlign w:val="center"/>
          </w:tcPr>
          <w:p w14:paraId="38A6982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 value compared to before</w:t>
            </w:r>
          </w:p>
        </w:tc>
      </w:tr>
      <w:tr w14:paraId="1F37E51A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52" w:type="pct"/>
            <w:gridSpan w:val="2"/>
            <w:shd w:val="clear" w:color="auto" w:fill="E3E2E7"/>
            <w:vAlign w:val="center"/>
          </w:tcPr>
          <w:p w14:paraId="323A515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Vitality Before</w:t>
            </w:r>
          </w:p>
        </w:tc>
        <w:tc>
          <w:tcPr>
            <w:tcW w:w="424" w:type="pct"/>
            <w:gridSpan w:val="2"/>
            <w:shd w:val="clear" w:color="auto" w:fill="FFFFFF"/>
            <w:vAlign w:val="center"/>
          </w:tcPr>
          <w:p w14:paraId="6E3B8E6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28.32</w:t>
            </w:r>
          </w:p>
        </w:tc>
        <w:tc>
          <w:tcPr>
            <w:tcW w:w="633" w:type="pct"/>
            <w:gridSpan w:val="3"/>
            <w:shd w:val="clear" w:color="auto" w:fill="FFFFFF"/>
            <w:vAlign w:val="center"/>
          </w:tcPr>
          <w:p w14:paraId="3F4ED03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15.84</w:t>
            </w:r>
          </w:p>
        </w:tc>
        <w:tc>
          <w:tcPr>
            <w:tcW w:w="549" w:type="pct"/>
            <w:gridSpan w:val="2"/>
            <w:shd w:val="clear" w:color="auto" w:fill="FFFFFF"/>
            <w:vAlign w:val="center"/>
          </w:tcPr>
          <w:p w14:paraId="0EE7C3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32.00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22EF5DD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109B5DE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54.00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595526A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----</w:t>
            </w:r>
          </w:p>
        </w:tc>
      </w:tr>
      <w:tr w14:paraId="55DB2392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52" w:type="pct"/>
            <w:gridSpan w:val="2"/>
            <w:shd w:val="clear" w:color="auto" w:fill="E3E2E7"/>
            <w:vAlign w:val="center"/>
          </w:tcPr>
          <w:p w14:paraId="0425A60B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Vitality After (3 months)</w:t>
            </w:r>
          </w:p>
        </w:tc>
        <w:tc>
          <w:tcPr>
            <w:tcW w:w="424" w:type="pct"/>
            <w:gridSpan w:val="2"/>
            <w:shd w:val="clear" w:color="auto" w:fill="FFFFFF"/>
            <w:vAlign w:val="center"/>
          </w:tcPr>
          <w:p w14:paraId="3DBE40A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33.80</w:t>
            </w:r>
          </w:p>
        </w:tc>
        <w:tc>
          <w:tcPr>
            <w:tcW w:w="633" w:type="pct"/>
            <w:gridSpan w:val="3"/>
            <w:shd w:val="clear" w:color="auto" w:fill="FFFFFF"/>
            <w:vAlign w:val="center"/>
          </w:tcPr>
          <w:p w14:paraId="725788E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15.06</w:t>
            </w:r>
          </w:p>
        </w:tc>
        <w:tc>
          <w:tcPr>
            <w:tcW w:w="549" w:type="pct"/>
            <w:gridSpan w:val="2"/>
            <w:shd w:val="clear" w:color="auto" w:fill="FFFFFF"/>
            <w:vAlign w:val="center"/>
          </w:tcPr>
          <w:p w14:paraId="74D28F8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37.19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04D1CC3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02E9FC1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58.94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5F6CC52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053E3E27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52" w:type="pct"/>
            <w:gridSpan w:val="2"/>
            <w:shd w:val="clear" w:color="auto" w:fill="E3E2E7"/>
            <w:vAlign w:val="center"/>
          </w:tcPr>
          <w:p w14:paraId="2C22850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Vitality After (6 months)</w:t>
            </w:r>
          </w:p>
        </w:tc>
        <w:tc>
          <w:tcPr>
            <w:tcW w:w="424" w:type="pct"/>
            <w:gridSpan w:val="2"/>
            <w:shd w:val="clear" w:color="auto" w:fill="FFFFFF"/>
            <w:vAlign w:val="center"/>
          </w:tcPr>
          <w:p w14:paraId="4C0AEC8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38.13</w:t>
            </w:r>
          </w:p>
        </w:tc>
        <w:tc>
          <w:tcPr>
            <w:tcW w:w="633" w:type="pct"/>
            <w:gridSpan w:val="3"/>
            <w:shd w:val="clear" w:color="auto" w:fill="FFFFFF"/>
            <w:vAlign w:val="center"/>
          </w:tcPr>
          <w:p w14:paraId="53DB633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15.31</w:t>
            </w:r>
          </w:p>
        </w:tc>
        <w:tc>
          <w:tcPr>
            <w:tcW w:w="549" w:type="pct"/>
            <w:gridSpan w:val="2"/>
            <w:shd w:val="clear" w:color="auto" w:fill="FFFFFF"/>
            <w:vAlign w:val="center"/>
          </w:tcPr>
          <w:p w14:paraId="34888AA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42.00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33CCA48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22ABFB0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60.00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70D24D8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53EB972A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52" w:type="pct"/>
            <w:gridSpan w:val="2"/>
            <w:shd w:val="clear" w:color="auto" w:fill="E3E2E7"/>
            <w:vAlign w:val="center"/>
          </w:tcPr>
          <w:p w14:paraId="1ADE8D0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Vitality After (12 months)</w:t>
            </w:r>
          </w:p>
        </w:tc>
        <w:tc>
          <w:tcPr>
            <w:tcW w:w="424" w:type="pct"/>
            <w:gridSpan w:val="2"/>
            <w:shd w:val="clear" w:color="auto" w:fill="FFFFFF"/>
            <w:vAlign w:val="center"/>
          </w:tcPr>
          <w:p w14:paraId="39B3A26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46.40</w:t>
            </w:r>
          </w:p>
        </w:tc>
        <w:tc>
          <w:tcPr>
            <w:tcW w:w="633" w:type="pct"/>
            <w:gridSpan w:val="3"/>
            <w:shd w:val="clear" w:color="auto" w:fill="FFFFFF"/>
            <w:vAlign w:val="center"/>
          </w:tcPr>
          <w:p w14:paraId="26C9DA1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18.22</w:t>
            </w:r>
          </w:p>
        </w:tc>
        <w:tc>
          <w:tcPr>
            <w:tcW w:w="549" w:type="pct"/>
            <w:gridSpan w:val="2"/>
            <w:shd w:val="clear" w:color="auto" w:fill="FFFFFF"/>
            <w:vAlign w:val="center"/>
          </w:tcPr>
          <w:p w14:paraId="3BB50E6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49.00</w:t>
            </w:r>
          </w:p>
        </w:tc>
        <w:tc>
          <w:tcPr>
            <w:tcW w:w="693" w:type="pct"/>
            <w:gridSpan w:val="2"/>
            <w:shd w:val="clear" w:color="auto" w:fill="FFFFFF"/>
            <w:vAlign w:val="center"/>
          </w:tcPr>
          <w:p w14:paraId="6A6D219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0.00</w:t>
            </w:r>
          </w:p>
        </w:tc>
        <w:tc>
          <w:tcPr>
            <w:tcW w:w="714" w:type="pct"/>
            <w:gridSpan w:val="2"/>
            <w:shd w:val="clear" w:color="auto" w:fill="FFFFFF"/>
            <w:vAlign w:val="center"/>
          </w:tcPr>
          <w:p w14:paraId="3EBE5E0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81.00</w:t>
            </w:r>
          </w:p>
        </w:tc>
        <w:tc>
          <w:tcPr>
            <w:tcW w:w="836" w:type="pct"/>
            <w:gridSpan w:val="2"/>
            <w:shd w:val="clear" w:color="auto" w:fill="FFFFFF"/>
            <w:vAlign w:val="center"/>
          </w:tcPr>
          <w:p w14:paraId="17FE50B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</w:tbl>
    <w:p w14:paraId="5E51EAB0">
      <w:pPr>
        <w:pStyle w:val="4"/>
        <w:numPr>
          <w:ilvl w:val="0"/>
          <w:numId w:val="1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 xml:space="preserve">Data presented </w:t>
      </w:r>
      <w:r>
        <w:rPr>
          <w:rFonts w:asciiTheme="majorBidi" w:hAnsiTheme="majorBidi" w:cstheme="majorBidi"/>
          <w:sz w:val="24"/>
          <w:szCs w:val="24"/>
        </w:rPr>
        <w:t>as mean ± SD.</w:t>
      </w:r>
    </w:p>
    <w:p w14:paraId="1829933F">
      <w:pPr>
        <w:pStyle w:val="4"/>
        <w:numPr>
          <w:ilvl w:val="0"/>
          <w:numId w:val="1"/>
        </w:numPr>
        <w:spacing w:after="200" w:line="240" w:lineRule="auto"/>
        <w:jc w:val="both"/>
        <w:rPr>
          <w:rFonts w:eastAsia="Calibri"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>P</w:t>
      </w:r>
      <w:r>
        <w:rPr>
          <w:rFonts w:eastAsia="Calibri" w:asciiTheme="majorBidi" w:hAnsiTheme="majorBidi" w:cstheme="majorBidi"/>
          <w:i/>
          <w:iCs/>
          <w:sz w:val="24"/>
          <w:szCs w:val="24"/>
        </w:rPr>
        <w:t xml:space="preserve"> </w:t>
      </w:r>
      <w:r>
        <w:rPr>
          <w:rFonts w:eastAsia="Calibri" w:asciiTheme="majorBidi" w:hAnsiTheme="majorBidi" w:cstheme="majorBidi"/>
          <w:sz w:val="24"/>
          <w:szCs w:val="24"/>
        </w:rPr>
        <w:t xml:space="preserve">values determined by the </w:t>
      </w:r>
      <w:r>
        <w:rPr>
          <w:rFonts w:eastAsia="Times New Roman" w:asciiTheme="majorBidi" w:hAnsiTheme="majorBidi" w:cstheme="majorBidi"/>
          <w:color w:val="000000"/>
          <w:sz w:val="24"/>
          <w:szCs w:val="24"/>
        </w:rPr>
        <w:t>ANOVA</w:t>
      </w:r>
      <w:r>
        <w:rPr>
          <w:rFonts w:eastAsia="Calibri" w:asciiTheme="majorBidi" w:hAnsiTheme="majorBidi" w:cstheme="majorBidi"/>
          <w:sz w:val="24"/>
          <w:szCs w:val="24"/>
          <w:lang w:bidi="ar-EG"/>
        </w:rPr>
        <w:t xml:space="preserve"> test</w:t>
      </w:r>
      <w:r>
        <w:rPr>
          <w:rFonts w:eastAsia="Calibri" w:asciiTheme="majorBidi" w:hAnsiTheme="majorBidi" w:cstheme="majorBidi"/>
          <w:sz w:val="24"/>
          <w:szCs w:val="24"/>
        </w:rPr>
        <w:t>.</w:t>
      </w:r>
    </w:p>
    <w:p w14:paraId="35507ACE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eastAsiaTheme="minorEastAsia" w:cstheme="majorBidi"/>
          <w:b/>
          <w:bCs/>
          <w:sz w:val="24"/>
          <w:szCs w:val="24"/>
          <w:rtl/>
          <w:lang w:eastAsia="en-GB" w:bidi="ar-EG"/>
        </w:rPr>
      </w:pPr>
    </w:p>
    <w:p w14:paraId="400408BC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eastAsiaTheme="minorEastAsia" w:cstheme="majorBidi"/>
          <w:b/>
          <w:bCs/>
          <w:sz w:val="24"/>
          <w:szCs w:val="24"/>
          <w:rtl/>
          <w:lang w:eastAsia="en-GB" w:bidi="ar-EG"/>
        </w:rPr>
      </w:pPr>
    </w:p>
    <w:p w14:paraId="2B611B2B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054D22"/>
    <w:multiLevelType w:val="multilevel"/>
    <w:tmpl w:val="68054D22"/>
    <w:lvl w:ilvl="0" w:tentative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96AD5"/>
    <w:rsid w:val="7509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1"/>
    <w:pPr>
      <w:ind w:left="720"/>
      <w:contextualSpacing/>
    </w:pPr>
    <w:rPr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2025-09-10T13:47:00Z</dcterms:created>
  <dc:creator>3slah</dc:creator>
  <cp:lastModifiedBy>3slah</cp:lastModifiedBy>
  <dcterms:modified xsi:type="dcterms:W3CDTF">2025-09-10T13:48:05Z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32E4391CAAE14EC1852852A2F030FD72_11</vt:lpwstr>
  </property>
</Properties>
</file>