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628C7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Table 5: Comparison of Hormonal and Semen Parameter Changes Across Surgical Groups at 12 Month.</w:t>
      </w:r>
    </w:p>
    <w:tbl>
      <w:tblPr>
        <w:tblStyle w:val="4"/>
        <w:tblW w:w="10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1751"/>
        <w:gridCol w:w="2107"/>
        <w:gridCol w:w="2089"/>
        <w:gridCol w:w="1692"/>
      </w:tblGrid>
      <w:tr w14:paraId="45446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</w:tcPr>
          <w:p w14:paraId="09E0C1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  <w:t>Parameter</w:t>
            </w:r>
          </w:p>
        </w:tc>
        <w:tc>
          <w:tcPr>
            <w:tcW w:w="0" w:type="auto"/>
          </w:tcPr>
          <w:p w14:paraId="497A8D9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  <w:t>SG (N=28)</w:t>
            </w:r>
          </w:p>
        </w:tc>
        <w:tc>
          <w:tcPr>
            <w:tcW w:w="0" w:type="auto"/>
          </w:tcPr>
          <w:p w14:paraId="4D7EF6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  <w:t>OAGB (N=7)</w:t>
            </w:r>
          </w:p>
        </w:tc>
        <w:tc>
          <w:tcPr>
            <w:tcW w:w="0" w:type="auto"/>
          </w:tcPr>
          <w:p w14:paraId="250FDF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  <w:t>RYGB (N=8)</w:t>
            </w:r>
          </w:p>
        </w:tc>
        <w:tc>
          <w:tcPr>
            <w:tcW w:w="0" w:type="auto"/>
          </w:tcPr>
          <w:p w14:paraId="2BFF1BD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aps/>
                <w:color w:val="111827"/>
                <w:sz w:val="24"/>
                <w:szCs w:val="24"/>
              </w:rPr>
              <w:t>P value</w:t>
            </w:r>
          </w:p>
        </w:tc>
      </w:tr>
      <w:tr w14:paraId="48383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</w:tcPr>
          <w:p w14:paraId="1F599DD6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BMI (Δ)</w:t>
            </w:r>
          </w:p>
        </w:tc>
        <w:tc>
          <w:tcPr>
            <w:tcW w:w="0" w:type="auto"/>
          </w:tcPr>
          <w:p w14:paraId="0F4F25EF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-28.5</w:t>
            </w:r>
          </w:p>
        </w:tc>
        <w:tc>
          <w:tcPr>
            <w:tcW w:w="0" w:type="auto"/>
          </w:tcPr>
          <w:p w14:paraId="3D392A54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-31.2</w:t>
            </w:r>
          </w:p>
        </w:tc>
        <w:tc>
          <w:tcPr>
            <w:tcW w:w="0" w:type="auto"/>
          </w:tcPr>
          <w:p w14:paraId="085B665F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-30.8</w:t>
            </w:r>
          </w:p>
        </w:tc>
        <w:tc>
          <w:tcPr>
            <w:tcW w:w="0" w:type="auto"/>
          </w:tcPr>
          <w:p w14:paraId="29493F95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0.12</w:t>
            </w:r>
          </w:p>
        </w:tc>
      </w:tr>
      <w:tr w14:paraId="417B2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</w:tcPr>
          <w:p w14:paraId="64DCADC1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TT (Δ, ng/dL)</w:t>
            </w:r>
          </w:p>
        </w:tc>
        <w:tc>
          <w:tcPr>
            <w:tcW w:w="0" w:type="auto"/>
          </w:tcPr>
          <w:p w14:paraId="248C2312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+180 ng/dL</w:t>
            </w:r>
          </w:p>
        </w:tc>
        <w:tc>
          <w:tcPr>
            <w:tcW w:w="0" w:type="auto"/>
          </w:tcPr>
          <w:p w14:paraId="0097D51D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+210 ng/dL</w:t>
            </w:r>
          </w:p>
        </w:tc>
        <w:tc>
          <w:tcPr>
            <w:tcW w:w="0" w:type="auto"/>
          </w:tcPr>
          <w:p w14:paraId="7A47749B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+205 ng/dL</w:t>
            </w:r>
          </w:p>
        </w:tc>
        <w:tc>
          <w:tcPr>
            <w:tcW w:w="0" w:type="auto"/>
          </w:tcPr>
          <w:p w14:paraId="564B4D28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0.08</w:t>
            </w:r>
          </w:p>
        </w:tc>
      </w:tr>
      <w:tr w14:paraId="4B106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</w:tcPr>
          <w:p w14:paraId="434D755A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E2 (Δ, pg/mL)</w:t>
            </w:r>
          </w:p>
        </w:tc>
        <w:tc>
          <w:tcPr>
            <w:tcW w:w="0" w:type="auto"/>
          </w:tcPr>
          <w:p w14:paraId="200ABBD2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-15 pg/mL</w:t>
            </w:r>
          </w:p>
        </w:tc>
        <w:tc>
          <w:tcPr>
            <w:tcW w:w="0" w:type="auto"/>
          </w:tcPr>
          <w:p w14:paraId="00503717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-22 pg/mL</w:t>
            </w:r>
          </w:p>
        </w:tc>
        <w:tc>
          <w:tcPr>
            <w:tcW w:w="0" w:type="auto"/>
          </w:tcPr>
          <w:p w14:paraId="41B454E1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-20 pg/mL</w:t>
            </w:r>
          </w:p>
        </w:tc>
        <w:tc>
          <w:tcPr>
            <w:tcW w:w="0" w:type="auto"/>
          </w:tcPr>
          <w:p w14:paraId="41C31C1D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0.03*</w:t>
            </w:r>
          </w:p>
        </w:tc>
      </w:tr>
      <w:tr w14:paraId="200B6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</w:tcPr>
          <w:p w14:paraId="291E698E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Motility (Δ, %)</w:t>
            </w:r>
          </w:p>
        </w:tc>
        <w:tc>
          <w:tcPr>
            <w:tcW w:w="0" w:type="auto"/>
          </w:tcPr>
          <w:p w14:paraId="0937AE38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+18%</w:t>
            </w:r>
          </w:p>
        </w:tc>
        <w:tc>
          <w:tcPr>
            <w:tcW w:w="0" w:type="auto"/>
          </w:tcPr>
          <w:p w14:paraId="77F4E3FB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+24%</w:t>
            </w:r>
          </w:p>
        </w:tc>
        <w:tc>
          <w:tcPr>
            <w:tcW w:w="0" w:type="auto"/>
          </w:tcPr>
          <w:p w14:paraId="6D30AA61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+22%</w:t>
            </w:r>
          </w:p>
        </w:tc>
        <w:tc>
          <w:tcPr>
            <w:tcW w:w="0" w:type="auto"/>
          </w:tcPr>
          <w:p w14:paraId="274C2040">
            <w:pPr>
              <w:spacing w:after="0" w:line="360" w:lineRule="atLeast"/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1D1D20"/>
                <w:spacing w:val="-5"/>
                <w:sz w:val="24"/>
                <w:szCs w:val="24"/>
              </w:rPr>
              <w:t>0.04*</w:t>
            </w:r>
          </w:p>
        </w:tc>
      </w:tr>
    </w:tbl>
    <w:p w14:paraId="69500BD3">
      <w:pPr>
        <w:pStyle w:val="5"/>
        <w:numPr>
          <w:ilvl w:val="0"/>
          <w:numId w:val="1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t xml:space="preserve"> </w:t>
      </w:r>
      <w:r>
        <w:rPr>
          <w:rFonts w:eastAsia="Calibri" w:asciiTheme="majorBidi" w:hAnsiTheme="majorBidi" w:cstheme="majorBidi"/>
          <w:sz w:val="24"/>
          <w:szCs w:val="24"/>
        </w:rPr>
        <w:t xml:space="preserve">Data presented </w:t>
      </w:r>
      <w:r>
        <w:rPr>
          <w:rFonts w:asciiTheme="majorBidi" w:hAnsiTheme="majorBidi" w:cstheme="majorBidi"/>
          <w:sz w:val="24"/>
          <w:szCs w:val="24"/>
        </w:rPr>
        <w:t>as mean ± SD.</w:t>
      </w:r>
    </w:p>
    <w:p w14:paraId="2C983D37">
      <w:pPr>
        <w:pStyle w:val="5"/>
        <w:numPr>
          <w:ilvl w:val="0"/>
          <w:numId w:val="1"/>
        </w:numPr>
        <w:spacing w:after="200" w:line="240" w:lineRule="auto"/>
        <w:jc w:val="both"/>
        <w:rPr>
          <w:rFonts w:eastAsia="Calibri"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sz w:val="24"/>
          <w:szCs w:val="24"/>
        </w:rPr>
        <w:t>P</w:t>
      </w:r>
      <w:r>
        <w:rPr>
          <w:rFonts w:eastAsia="Calibri" w:asciiTheme="majorBidi" w:hAnsiTheme="majorBidi" w:cstheme="majorBidi"/>
          <w:i/>
          <w:iCs/>
          <w:sz w:val="24"/>
          <w:szCs w:val="24"/>
        </w:rPr>
        <w:t xml:space="preserve"> </w:t>
      </w:r>
      <w:r>
        <w:rPr>
          <w:rFonts w:eastAsia="Calibri" w:asciiTheme="majorBidi" w:hAnsiTheme="majorBidi" w:cstheme="majorBidi"/>
          <w:sz w:val="24"/>
          <w:szCs w:val="24"/>
        </w:rPr>
        <w:t xml:space="preserve">values determined by the </w:t>
      </w:r>
      <w:r>
        <w:rPr>
          <w:rFonts w:eastAsia="Times New Roman" w:asciiTheme="majorBidi" w:hAnsiTheme="majorBidi" w:cstheme="majorBidi"/>
          <w:color w:val="000000"/>
          <w:sz w:val="24"/>
          <w:szCs w:val="24"/>
        </w:rPr>
        <w:t>ANOVA</w:t>
      </w:r>
      <w:r>
        <w:rPr>
          <w:rFonts w:eastAsia="Calibri" w:asciiTheme="majorBidi" w:hAnsiTheme="majorBidi" w:cstheme="majorBidi"/>
          <w:sz w:val="24"/>
          <w:szCs w:val="24"/>
          <w:lang w:bidi="ar-EG"/>
        </w:rPr>
        <w:t xml:space="preserve"> test</w:t>
      </w:r>
      <w:r>
        <w:rPr>
          <w:rFonts w:eastAsia="Calibri" w:asciiTheme="majorBidi" w:hAnsiTheme="majorBidi" w:cstheme="majorBidi"/>
          <w:sz w:val="24"/>
          <w:szCs w:val="24"/>
        </w:rPr>
        <w:t>.</w:t>
      </w:r>
    </w:p>
    <w:p w14:paraId="09AD60BC">
      <w:pPr>
        <w:pStyle w:val="5"/>
        <w:numPr>
          <w:ilvl w:val="0"/>
          <w:numId w:val="1"/>
        </w:numPr>
        <w:spacing w:after="200" w:line="240" w:lineRule="auto"/>
        <w:jc w:val="both"/>
        <w:rPr>
          <w:rFonts w:eastAsia="Calibri"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b/>
          <w:bCs/>
          <w:sz w:val="24"/>
          <w:szCs w:val="24"/>
        </w:rPr>
        <w:t>Abbreviations</w:t>
      </w:r>
      <w:r>
        <w:rPr>
          <w:rFonts w:eastAsia="Calibri" w:asciiTheme="majorBidi" w:hAnsiTheme="majorBidi" w:cstheme="majorBidi"/>
          <w:sz w:val="24"/>
          <w:szCs w:val="24"/>
        </w:rPr>
        <w:t xml:space="preserve">: </w:t>
      </w:r>
      <w:r>
        <w:rPr>
          <w:rFonts w:eastAsia="Calibri" w:asciiTheme="majorBidi" w:hAnsiTheme="majorBidi" w:cstheme="majorBidi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Calibri" w:asciiTheme="majorBidi" w:hAnsiTheme="majorBidi" w:cstheme="majorBidi"/>
          <w:b/>
          <w:bCs/>
          <w:sz w:val="24"/>
          <w:szCs w:val="24"/>
        </w:rPr>
        <w:t>TT;</w:t>
      </w:r>
      <w:r>
        <w:rPr>
          <w:rFonts w:eastAsia="Calibri" w:asciiTheme="majorBidi" w:hAnsiTheme="majorBidi" w:cstheme="majorBidi"/>
          <w:sz w:val="24"/>
          <w:szCs w:val="24"/>
        </w:rPr>
        <w:t xml:space="preserve"> Total Testosterone, </w:t>
      </w:r>
      <w:r>
        <w:rPr>
          <w:rFonts w:eastAsia="Calibri" w:asciiTheme="majorBidi" w:hAnsiTheme="majorBidi" w:cstheme="majorBidi"/>
          <w:b/>
          <w:bCs/>
          <w:sz w:val="24"/>
          <w:szCs w:val="24"/>
        </w:rPr>
        <w:t>E2;</w:t>
      </w:r>
      <w:r>
        <w:rPr>
          <w:rFonts w:eastAsia="Calibri" w:asciiTheme="majorBidi" w:hAnsiTheme="majorBidi" w:cstheme="majorBidi"/>
          <w:sz w:val="24"/>
          <w:szCs w:val="24"/>
        </w:rPr>
        <w:t xml:space="preserve"> Estradiol.</w:t>
      </w:r>
    </w:p>
    <w:p w14:paraId="25B0A5A9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FA62D6"/>
    <w:multiLevelType w:val="multilevel"/>
    <w:tmpl w:val="2BFA62D6"/>
    <w:lvl w:ilvl="0" w:tentative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A4D6E"/>
    <w:rsid w:val="39CA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1"/>
    <w:pPr>
      <w:ind w:left="720"/>
      <w:contextualSpacing/>
    </w:pPr>
    <w:rPr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2025-09-22T08:22:00Z</dcterms:created>
  <dc:creator>3slah</dc:creator>
  <cp:lastModifiedBy>3slah</cp:lastModifiedBy>
  <dcterms:modified xsi:type="dcterms:W3CDTF">2025-09-22T08:22:46Z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9AF8B6C182DA4FD5870555FFE9BFF92E_11</vt:lpwstr>
  </property>
</Properties>
</file>