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C3107F">
      <w:pPr>
        <w:spacing w:line="480" w:lineRule="auto"/>
        <w:rPr>
          <w:rFonts w:asciiTheme="majorBidi" w:hAnsiTheme="majorBidi" w:eastAsiaTheme="minorEastAsia" w:cstheme="majorBidi"/>
          <w:b/>
          <w:bCs/>
          <w:sz w:val="24"/>
          <w:szCs w:val="24"/>
          <w:lang w:val="en-GB" w:eastAsia="en-GB"/>
        </w:rPr>
      </w:pPr>
      <w:r>
        <w:rPr>
          <w:rFonts w:asciiTheme="majorBidi" w:hAnsiTheme="majorBidi" w:eastAsiaTheme="minorEastAsia" w:cstheme="majorBidi"/>
          <w:b/>
          <w:bCs/>
          <w:sz w:val="24"/>
          <w:szCs w:val="24"/>
          <w:lang w:val="en-GB" w:eastAsia="en-GB"/>
        </w:rPr>
        <w:t xml:space="preserve">Table (1) Type of infertility and type of operation: </w:t>
      </w:r>
    </w:p>
    <w:tbl>
      <w:tblPr>
        <w:tblStyle w:val="3"/>
        <w:tblW w:w="5000" w:type="pct"/>
        <w:tblInd w:w="0" w:type="dxa"/>
        <w:tblBorders>
          <w:top w:val="single" w:color="B2CEE8" w:sz="18" w:space="0"/>
          <w:left w:val="single" w:color="B2CEE8" w:sz="18" w:space="0"/>
          <w:bottom w:val="single" w:color="B2CEE8" w:sz="18" w:space="0"/>
          <w:right w:val="single" w:color="B2CEE8" w:sz="18" w:space="0"/>
          <w:insideH w:val="single" w:color="B2CEE8" w:sz="6" w:space="0"/>
          <w:insideV w:val="single" w:color="B2CEE8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15"/>
        <w:gridCol w:w="2801"/>
        <w:gridCol w:w="1402"/>
        <w:gridCol w:w="1778"/>
      </w:tblGrid>
      <w:tr w14:paraId="1974F41D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438" w:type="pct"/>
            <w:tcBorders>
              <w:top w:val="thinThickSmallGap" w:color="auto" w:sz="24" w:space="0"/>
              <w:left w:val="thinThickSmallGap" w:color="auto" w:sz="24" w:space="0"/>
              <w:bottom w:val="thinThickSmallGap" w:color="auto" w:sz="24" w:space="0"/>
              <w:right w:val="thinThickSmallGap" w:color="auto" w:sz="24" w:space="0"/>
            </w:tcBorders>
            <w:shd w:val="clear" w:color="auto" w:fill="E3E2E7"/>
            <w:vAlign w:val="bottom"/>
          </w:tcPr>
          <w:p w14:paraId="697B9F63">
            <w:pPr>
              <w:autoSpaceDE w:val="0"/>
              <w:autoSpaceDN w:val="0"/>
              <w:adjustRightInd w:val="0"/>
              <w:spacing w:after="0" w:line="480" w:lineRule="auto"/>
              <w:rPr>
                <w:rFonts w:asciiTheme="majorBidi" w:hAnsiTheme="majorBidi" w:eastAsiaTheme="minorEastAsia" w:cstheme="majorBidi"/>
                <w:sz w:val="24"/>
                <w:szCs w:val="24"/>
                <w:lang w:eastAsia="en-GB"/>
              </w:rPr>
            </w:pPr>
          </w:p>
        </w:tc>
        <w:tc>
          <w:tcPr>
            <w:tcW w:w="1668" w:type="pct"/>
            <w:tcBorders>
              <w:top w:val="thinThickSmallGap" w:color="auto" w:sz="24" w:space="0"/>
              <w:left w:val="thinThickSmallGap" w:color="auto" w:sz="24" w:space="0"/>
              <w:bottom w:val="thinThickSmallGap" w:color="auto" w:sz="24" w:space="0"/>
              <w:right w:val="thinThickSmallGap" w:color="auto" w:sz="24" w:space="0"/>
            </w:tcBorders>
            <w:shd w:val="clear" w:color="auto" w:fill="E3E2E7"/>
            <w:vAlign w:val="bottom"/>
          </w:tcPr>
          <w:p w14:paraId="60994E43">
            <w:pPr>
              <w:autoSpaceDE w:val="0"/>
              <w:autoSpaceDN w:val="0"/>
              <w:adjustRightInd w:val="0"/>
              <w:spacing w:after="0" w:line="480" w:lineRule="auto"/>
              <w:rPr>
                <w:rFonts w:asciiTheme="majorBidi" w:hAnsiTheme="majorBidi" w:eastAsiaTheme="minorEastAsia" w:cstheme="majorBidi"/>
                <w:sz w:val="24"/>
                <w:szCs w:val="24"/>
                <w:lang w:eastAsia="en-GB"/>
              </w:rPr>
            </w:pPr>
          </w:p>
        </w:tc>
        <w:tc>
          <w:tcPr>
            <w:tcW w:w="835" w:type="pct"/>
            <w:tcBorders>
              <w:top w:val="thinThickSmallGap" w:color="auto" w:sz="24" w:space="0"/>
              <w:left w:val="thinThickSmallGap" w:color="auto" w:sz="24" w:space="0"/>
              <w:bottom w:val="thinThickSmallGap" w:color="auto" w:sz="24" w:space="0"/>
            </w:tcBorders>
            <w:shd w:val="clear" w:color="auto" w:fill="E3E2E7"/>
            <w:vAlign w:val="center"/>
          </w:tcPr>
          <w:p w14:paraId="06A077F5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Count</w:t>
            </w:r>
          </w:p>
        </w:tc>
        <w:tc>
          <w:tcPr>
            <w:tcW w:w="1059" w:type="pct"/>
            <w:tcBorders>
              <w:top w:val="thinThickSmallGap" w:color="auto" w:sz="24" w:space="0"/>
              <w:bottom w:val="thinThickSmallGap" w:color="auto" w:sz="24" w:space="0"/>
              <w:right w:val="thinThickSmallGap" w:color="auto" w:sz="24" w:space="0"/>
            </w:tcBorders>
            <w:shd w:val="clear" w:color="auto" w:fill="E3E2E7"/>
            <w:vAlign w:val="center"/>
          </w:tcPr>
          <w:p w14:paraId="76E681F2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%</w:t>
            </w:r>
          </w:p>
        </w:tc>
      </w:tr>
      <w:tr w14:paraId="5A2EA2FB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438" w:type="pct"/>
            <w:vMerge w:val="restart"/>
            <w:tcBorders>
              <w:top w:val="thinThickSmallGap" w:color="auto" w:sz="24" w:space="0"/>
              <w:left w:val="thinThickSmallGap" w:color="auto" w:sz="24" w:space="0"/>
              <w:right w:val="thinThickSmallGap" w:color="auto" w:sz="24" w:space="0"/>
            </w:tcBorders>
            <w:shd w:val="clear" w:color="auto" w:fill="E3E2E7"/>
            <w:vAlign w:val="center"/>
          </w:tcPr>
          <w:p w14:paraId="57E67006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Type of infertility</w:t>
            </w:r>
          </w:p>
        </w:tc>
        <w:tc>
          <w:tcPr>
            <w:tcW w:w="1668" w:type="pct"/>
            <w:tcBorders>
              <w:top w:val="thinThickSmallGap" w:color="auto" w:sz="24" w:space="0"/>
              <w:left w:val="thinThickSmallGap" w:color="auto" w:sz="24" w:space="0"/>
              <w:right w:val="thinThickSmallGap" w:color="auto" w:sz="24" w:space="0"/>
            </w:tcBorders>
            <w:shd w:val="clear" w:color="auto" w:fill="E3E2E7"/>
            <w:vAlign w:val="center"/>
          </w:tcPr>
          <w:p w14:paraId="732DEC86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Primary</w:t>
            </w:r>
          </w:p>
        </w:tc>
        <w:tc>
          <w:tcPr>
            <w:tcW w:w="835" w:type="pct"/>
            <w:tcBorders>
              <w:top w:val="thinThickSmallGap" w:color="auto" w:sz="24" w:space="0"/>
              <w:left w:val="thinThickSmallGap" w:color="auto" w:sz="24" w:space="0"/>
            </w:tcBorders>
            <w:shd w:val="clear" w:color="auto" w:fill="FFFFFF"/>
          </w:tcPr>
          <w:p w14:paraId="1A4A5FC6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28</w:t>
            </w:r>
          </w:p>
        </w:tc>
        <w:tc>
          <w:tcPr>
            <w:tcW w:w="1059" w:type="pct"/>
            <w:tcBorders>
              <w:top w:val="thinThickSmallGap" w:color="auto" w:sz="24" w:space="0"/>
              <w:right w:val="thinThickSmallGap" w:color="auto" w:sz="24" w:space="0"/>
            </w:tcBorders>
            <w:shd w:val="clear" w:color="auto" w:fill="FFFFFF"/>
          </w:tcPr>
          <w:p w14:paraId="36FE4BD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65.1%</w:t>
            </w:r>
          </w:p>
        </w:tc>
      </w:tr>
      <w:tr w14:paraId="48BA05B0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438" w:type="pct"/>
            <w:vMerge w:val="continue"/>
            <w:tcBorders>
              <w:left w:val="thinThickSmallGap" w:color="auto" w:sz="24" w:space="0"/>
              <w:bottom w:val="single" w:color="auto" w:sz="4" w:space="0"/>
              <w:right w:val="thinThickSmallGap" w:color="auto" w:sz="24" w:space="0"/>
            </w:tcBorders>
            <w:shd w:val="clear" w:color="auto" w:fill="E3E2E7"/>
            <w:vAlign w:val="center"/>
          </w:tcPr>
          <w:p w14:paraId="695CDBA9">
            <w:pPr>
              <w:autoSpaceDE w:val="0"/>
              <w:autoSpaceDN w:val="0"/>
              <w:adjustRightInd w:val="0"/>
              <w:spacing w:after="0" w:line="480" w:lineRule="auto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668" w:type="pct"/>
            <w:tcBorders>
              <w:left w:val="thinThickSmallGap" w:color="auto" w:sz="24" w:space="0"/>
              <w:bottom w:val="single" w:color="auto" w:sz="4" w:space="0"/>
              <w:right w:val="thinThickSmallGap" w:color="auto" w:sz="24" w:space="0"/>
            </w:tcBorders>
            <w:shd w:val="clear" w:color="auto" w:fill="E3E2E7"/>
            <w:vAlign w:val="center"/>
          </w:tcPr>
          <w:p w14:paraId="5C5E128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Secondary</w:t>
            </w:r>
          </w:p>
        </w:tc>
        <w:tc>
          <w:tcPr>
            <w:tcW w:w="835" w:type="pct"/>
            <w:tcBorders>
              <w:left w:val="thinThickSmallGap" w:color="auto" w:sz="24" w:space="0"/>
              <w:bottom w:val="thinThickSmallGap" w:color="auto" w:sz="24" w:space="0"/>
            </w:tcBorders>
            <w:shd w:val="clear" w:color="auto" w:fill="FFFFFF"/>
          </w:tcPr>
          <w:p w14:paraId="5CAC9D2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1059" w:type="pct"/>
            <w:tcBorders>
              <w:bottom w:val="thinThickSmallGap" w:color="auto" w:sz="24" w:space="0"/>
              <w:right w:val="thinThickSmallGap" w:color="auto" w:sz="24" w:space="0"/>
            </w:tcBorders>
            <w:shd w:val="clear" w:color="auto" w:fill="FFFFFF"/>
          </w:tcPr>
          <w:p w14:paraId="5C0BC114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34.9%</w:t>
            </w:r>
          </w:p>
        </w:tc>
      </w:tr>
      <w:tr w14:paraId="2EA64B39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438" w:type="pct"/>
            <w:vMerge w:val="restart"/>
            <w:tcBorders>
              <w:top w:val="thinThickSmallGap" w:color="auto" w:sz="24" w:space="0"/>
              <w:left w:val="thinThickSmallGap" w:color="auto" w:sz="24" w:space="0"/>
              <w:right w:val="thinThickSmallGap" w:color="auto" w:sz="24" w:space="0"/>
            </w:tcBorders>
            <w:shd w:val="clear" w:color="auto" w:fill="E3E2E7"/>
            <w:vAlign w:val="center"/>
          </w:tcPr>
          <w:p w14:paraId="45303C7B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Type of operation</w:t>
            </w:r>
          </w:p>
        </w:tc>
        <w:tc>
          <w:tcPr>
            <w:tcW w:w="1668" w:type="pct"/>
            <w:tcBorders>
              <w:top w:val="thinThickSmallGap" w:color="auto" w:sz="24" w:space="0"/>
              <w:left w:val="thinThickSmallGap" w:color="auto" w:sz="24" w:space="0"/>
              <w:right w:val="thinThickSmallGap" w:color="auto" w:sz="24" w:space="0"/>
            </w:tcBorders>
            <w:shd w:val="clear" w:color="auto" w:fill="E3E2E7"/>
            <w:vAlign w:val="center"/>
          </w:tcPr>
          <w:p w14:paraId="364E835D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Sleeve gastrectomy</w:t>
            </w:r>
          </w:p>
        </w:tc>
        <w:tc>
          <w:tcPr>
            <w:tcW w:w="835" w:type="pct"/>
            <w:tcBorders>
              <w:top w:val="thinThickSmallGap" w:color="auto" w:sz="24" w:space="0"/>
              <w:left w:val="thinThickSmallGap" w:color="auto" w:sz="24" w:space="0"/>
            </w:tcBorders>
            <w:shd w:val="clear" w:color="auto" w:fill="FFFFFF"/>
          </w:tcPr>
          <w:p w14:paraId="3E6F664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28</w:t>
            </w:r>
          </w:p>
        </w:tc>
        <w:tc>
          <w:tcPr>
            <w:tcW w:w="1059" w:type="pct"/>
            <w:tcBorders>
              <w:top w:val="thinThickSmallGap" w:color="auto" w:sz="24" w:space="0"/>
              <w:right w:val="thinThickSmallGap" w:color="auto" w:sz="24" w:space="0"/>
            </w:tcBorders>
            <w:shd w:val="clear" w:color="auto" w:fill="FFFFFF"/>
          </w:tcPr>
          <w:p w14:paraId="04CC42CC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65.1%</w:t>
            </w:r>
          </w:p>
        </w:tc>
      </w:tr>
      <w:tr w14:paraId="5C2323EC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438" w:type="pct"/>
            <w:vMerge w:val="continue"/>
            <w:tcBorders>
              <w:top w:val="single" w:color="auto" w:sz="4" w:space="0"/>
              <w:left w:val="thinThickSmallGap" w:color="auto" w:sz="24" w:space="0"/>
              <w:right w:val="thinThickSmallGap" w:color="auto" w:sz="24" w:space="0"/>
            </w:tcBorders>
            <w:shd w:val="clear" w:color="auto" w:fill="E3E2E7"/>
            <w:vAlign w:val="center"/>
          </w:tcPr>
          <w:p w14:paraId="15ACED0D">
            <w:pPr>
              <w:autoSpaceDE w:val="0"/>
              <w:autoSpaceDN w:val="0"/>
              <w:adjustRightInd w:val="0"/>
              <w:spacing w:after="0" w:line="480" w:lineRule="auto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668" w:type="pct"/>
            <w:tcBorders>
              <w:left w:val="thinThickSmallGap" w:color="auto" w:sz="24" w:space="0"/>
              <w:right w:val="thinThickSmallGap" w:color="auto" w:sz="24" w:space="0"/>
            </w:tcBorders>
            <w:shd w:val="clear" w:color="auto" w:fill="E3E2E7"/>
            <w:vAlign w:val="center"/>
          </w:tcPr>
          <w:p w14:paraId="62AD31B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Mini-bypass</w:t>
            </w:r>
          </w:p>
        </w:tc>
        <w:tc>
          <w:tcPr>
            <w:tcW w:w="835" w:type="pct"/>
            <w:tcBorders>
              <w:left w:val="thinThickSmallGap" w:color="auto" w:sz="24" w:space="0"/>
            </w:tcBorders>
            <w:shd w:val="clear" w:color="auto" w:fill="FFFFFF"/>
          </w:tcPr>
          <w:p w14:paraId="072C5981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1059" w:type="pct"/>
            <w:tcBorders>
              <w:right w:val="thinThickSmallGap" w:color="auto" w:sz="24" w:space="0"/>
            </w:tcBorders>
            <w:shd w:val="clear" w:color="auto" w:fill="FFFFFF"/>
          </w:tcPr>
          <w:p w14:paraId="72C6F62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16.3%</w:t>
            </w:r>
          </w:p>
        </w:tc>
      </w:tr>
      <w:tr w14:paraId="570B8D6B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438" w:type="pct"/>
            <w:vMerge w:val="continue"/>
            <w:tcBorders>
              <w:top w:val="single" w:color="auto" w:sz="4" w:space="0"/>
              <w:left w:val="thinThickSmallGap" w:color="auto" w:sz="24" w:space="0"/>
              <w:bottom w:val="thinThickSmallGap" w:color="auto" w:sz="24" w:space="0"/>
              <w:right w:val="thinThickSmallGap" w:color="auto" w:sz="24" w:space="0"/>
            </w:tcBorders>
            <w:shd w:val="clear" w:color="auto" w:fill="E3E2E7"/>
            <w:vAlign w:val="center"/>
          </w:tcPr>
          <w:p w14:paraId="17FC4B6F">
            <w:pPr>
              <w:autoSpaceDE w:val="0"/>
              <w:autoSpaceDN w:val="0"/>
              <w:adjustRightInd w:val="0"/>
              <w:spacing w:after="0" w:line="480" w:lineRule="auto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668" w:type="pct"/>
            <w:tcBorders>
              <w:left w:val="thinThickSmallGap" w:color="auto" w:sz="24" w:space="0"/>
              <w:bottom w:val="thinThickSmallGap" w:color="auto" w:sz="24" w:space="0"/>
              <w:right w:val="thinThickSmallGap" w:color="auto" w:sz="24" w:space="0"/>
            </w:tcBorders>
            <w:shd w:val="clear" w:color="auto" w:fill="E3E2E7"/>
            <w:vAlign w:val="center"/>
          </w:tcPr>
          <w:p w14:paraId="68D25FCF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Classic-Bypass</w:t>
            </w:r>
          </w:p>
        </w:tc>
        <w:tc>
          <w:tcPr>
            <w:tcW w:w="835" w:type="pct"/>
            <w:tcBorders>
              <w:left w:val="thinThickSmallGap" w:color="auto" w:sz="24" w:space="0"/>
              <w:bottom w:val="thinThickSmallGap" w:color="auto" w:sz="24" w:space="0"/>
            </w:tcBorders>
            <w:shd w:val="clear" w:color="auto" w:fill="FFFFFF"/>
          </w:tcPr>
          <w:p w14:paraId="1B13B52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1059" w:type="pct"/>
            <w:tcBorders>
              <w:bottom w:val="thinThickSmallGap" w:color="auto" w:sz="24" w:space="0"/>
              <w:right w:val="thinThickSmallGap" w:color="auto" w:sz="24" w:space="0"/>
            </w:tcBorders>
            <w:shd w:val="clear" w:color="auto" w:fill="FFFFFF"/>
          </w:tcPr>
          <w:p w14:paraId="15CA29F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18.6%</w:t>
            </w:r>
          </w:p>
        </w:tc>
      </w:tr>
    </w:tbl>
    <w:p w14:paraId="0A66B7DA">
      <w:pPr>
        <w:spacing w:after="0" w:line="480" w:lineRule="auto"/>
        <w:jc w:val="both"/>
        <w:rPr>
          <w:rFonts w:eastAsia="Calibri" w:asciiTheme="majorBidi" w:hAnsiTheme="majorBidi" w:cstheme="majorBidi"/>
          <w:sz w:val="24"/>
          <w:szCs w:val="24"/>
          <w:rtl/>
        </w:rPr>
      </w:pPr>
      <w:r>
        <w:rPr>
          <w:rFonts w:eastAsia="Calibri" w:asciiTheme="majorBidi" w:hAnsiTheme="majorBidi" w:cstheme="majorBidi"/>
          <w:sz w:val="24"/>
          <w:szCs w:val="24"/>
        </w:rPr>
        <w:t xml:space="preserve">a. Data presented </w:t>
      </w:r>
      <w:r>
        <w:rPr>
          <w:rFonts w:asciiTheme="majorBidi" w:hAnsiTheme="majorBidi" w:cstheme="majorBidi"/>
          <w:sz w:val="24"/>
          <w:szCs w:val="24"/>
        </w:rPr>
        <w:t>as numbers and percentages as appropriate</w:t>
      </w:r>
      <w:r>
        <w:rPr>
          <w:rFonts w:eastAsia="Calibri" w:asciiTheme="majorBidi" w:hAnsiTheme="majorBidi" w:cstheme="majorBidi"/>
          <w:sz w:val="24"/>
          <w:szCs w:val="24"/>
        </w:rPr>
        <w:t>.</w:t>
      </w:r>
    </w:p>
    <w:p w14:paraId="26F2F413"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9266B3"/>
    <w:rsid w:val="79926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2025-09-10T13:46:00Z</dcterms:created>
  <dc:creator>3slah</dc:creator>
  <cp:lastModifiedBy>3slah</cp:lastModifiedBy>
  <dcterms:modified xsi:type="dcterms:W3CDTF">2025-09-10T13:47:11Z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500BD459D6A34D198DD0E551BE3E8CEF_11</vt:lpwstr>
  </property>
</Properties>
</file>