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/>
          <w:b/>
          <w:bCs/>
          <w:sz w:val="24"/>
        </w:rPr>
      </w:pPr>
      <w:bookmarkStart w:id="0" w:name="_GoBack"/>
      <w:bookmarkEnd w:id="0"/>
    </w:p>
    <w:p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>1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>Different sources of medicinal materials</w:t>
      </w:r>
    </w:p>
    <w:tbl>
      <w:tblPr>
        <w:tblStyle w:val="7"/>
        <w:tblpPr w:leftFromText="180" w:rightFromText="180" w:vertAnchor="text" w:horzAnchor="page" w:tblpXSpec="center" w:tblpY="321"/>
        <w:tblOverlap w:val="never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2835"/>
        <w:gridCol w:w="2835"/>
        <w:gridCol w:w="2835"/>
        <w:gridCol w:w="283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NO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EU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ELT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CT</w:t>
            </w:r>
          </w:p>
        </w:tc>
        <w:tc>
          <w:tcPr>
            <w:tcW w:w="283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PN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1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Hohhot  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  <w:tc>
          <w:tcPr>
            <w:tcW w:w="2835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2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Ordos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3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Xilingol 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4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Ulan Hot 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5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Hohhot 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6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Ordos 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7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Xilingol 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storeu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2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 w:val="18"/>
                <w:szCs w:val="18"/>
              </w:rPr>
              <w:t>Batch 8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collected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Ulan Hot 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Bozhou</w:t>
            </w: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</w:rPr>
              <w:t>purchased from</w:t>
            </w:r>
            <w:r>
              <w:rPr>
                <w:rFonts w:hint="eastAsia" w:ascii="Times New Roman" w:hAnsi="Times New Roman"/>
                <w:kern w:val="0"/>
                <w:sz w:val="18"/>
                <w:szCs w:val="18"/>
              </w:rPr>
              <w:t xml:space="preserve"> Guoda drug store</w:t>
            </w:r>
          </w:p>
        </w:tc>
      </w:tr>
    </w:tbl>
    <w:p/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/>
    <w:p/>
    <w:p>
      <w:r>
        <w:br w:type="page"/>
      </w:r>
    </w:p>
    <w:p>
      <w:pPr>
        <w:spacing w:line="480" w:lineRule="auto"/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8595" cy="7778750"/>
            <wp:effectExtent l="0" t="0" r="8255" b="12700"/>
            <wp:docPr id="3" name="图片 3" descr="Figure S1-A核对化合物是否画全，没找到142和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1-A核对化合物是否画全，没找到142和14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675" cy="8306435"/>
            <wp:effectExtent l="0" t="0" r="3175" b="18415"/>
            <wp:docPr id="4" name="图片 4" descr="-..MZS-HXMT-DF-ZG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-..MZS-HXMT-DF-ZGai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3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7960" cy="7226300"/>
            <wp:effectExtent l="0" t="0" r="8890" b="12700"/>
            <wp:docPr id="5" name="图片 5" descr="Figure S1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1-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highlight w:val="none"/>
          <w:lang w:eastAsia="zh-CN"/>
        </w:rPr>
      </w:pPr>
    </w:p>
    <w:p>
      <w:pPr>
        <w:rPr>
          <w:rFonts w:hint="eastAsia" w:eastAsia="宋体"/>
          <w:highlight w:val="none"/>
          <w:lang w:eastAsia="zh-CN"/>
        </w:rPr>
      </w:pPr>
    </w:p>
    <w:p>
      <w:pPr>
        <w:rPr>
          <w:rFonts w:hint="default" w:ascii="Times New Roman" w:hAnsi="Times New Roman" w:eastAsia="宋体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Times New Roman" w:hAnsi="Times New Roman"/>
          <w:b/>
          <w:bCs/>
          <w:sz w:val="20"/>
          <w:szCs w:val="20"/>
          <w:highlight w:val="none"/>
          <w:lang w:val="en-US" w:eastAsia="zh-CN"/>
        </w:rPr>
        <w:t>Figure S1</w:t>
      </w:r>
      <w:r>
        <w:rPr>
          <w:rFonts w:hint="eastAsia" w:ascii="Times New Roman" w:hAnsi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  <w:t xml:space="preserve">. Structures of 143 compounds. (A) Structure of flavonoids (B) Structure of phenylpropanines (C) Structure of lignans (D) Structure of irilldoids (E) Structure of </w:t>
      </w:r>
      <w:r>
        <w:rPr>
          <w:rFonts w:hint="eastAsia" w:ascii="Times New Roman" w:hAnsi="Times New Roman" w:cs="Times New Roman" w:eastAsiaTheme="majorEastAsia"/>
          <w:b w:val="0"/>
          <w:bCs w:val="0"/>
          <w:sz w:val="20"/>
          <w:szCs w:val="20"/>
          <w:highlight w:val="none"/>
          <w:lang w:val="en-US" w:eastAsia="zh-CN"/>
        </w:rPr>
        <w:t xml:space="preserve">polyphenol </w:t>
      </w:r>
      <w:r>
        <w:rPr>
          <w:rFonts w:hint="eastAsia" w:ascii="Times New Roman" w:hAnsi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  <w:t xml:space="preserve">(F) Structure of saponins (G) Structure of  </w:t>
      </w:r>
      <w:r>
        <w:rPr>
          <w:rFonts w:hint="default" w:ascii="Times New Roman" w:hAnsi="Times New Roman" w:cs="Times New Roman"/>
          <w:sz w:val="20"/>
          <w:szCs w:val="20"/>
          <w:highlight w:val="none"/>
        </w:rPr>
        <w:t>other type</w:t>
      </w:r>
      <w:r>
        <w:rPr>
          <w:rFonts w:hint="eastAsia" w:ascii="Times New Roman" w:hAnsi="Times New Roman" w:cs="Times New Roman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  <w:t>compounds</w:t>
      </w:r>
    </w:p>
    <w:p>
      <w:pPr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07635" cy="8862695"/>
            <wp:effectExtent l="0" t="0" r="12065" b="14605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635" cy="886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0"/>
          <w:szCs w:val="20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S2</w:t>
      </w:r>
      <w:r>
        <w:rPr>
          <w:rFonts w:hint="eastAsia" w:ascii="Times New Roman" w:hAnsi="Times New Roman"/>
          <w:b w:val="0"/>
          <w:bCs w:val="0"/>
          <w:color w:val="auto"/>
          <w:sz w:val="20"/>
          <w:szCs w:val="20"/>
          <w:lang w:val="en-US" w:eastAsia="zh-CN"/>
        </w:rPr>
        <w:t>. The cracking pathw</w:t>
      </w:r>
      <w:r>
        <w:rPr>
          <w:rFonts w:hint="eastAsia" w:ascii="Times New Roman" w:hAnsi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  <w:t xml:space="preserve">ays of (A) </w:t>
      </w:r>
      <w:r>
        <w:rPr>
          <w:rFonts w:hint="eastAsia" w:ascii="Times New Roman" w:hAnsi="Times New Roman" w:cs="Times New Roman"/>
          <w:sz w:val="20"/>
          <w:szCs w:val="20"/>
        </w:rPr>
        <w:t>ginsenoside Rb</w:t>
      </w:r>
      <w:r>
        <w:rPr>
          <w:rFonts w:hint="eastAsia" w:ascii="Times New Roman" w:hAnsi="Times New Roman" w:cs="Times New Roman"/>
          <w:sz w:val="20"/>
          <w:szCs w:val="20"/>
          <w:vertAlign w:val="subscript"/>
          <w:lang w:val="en-US" w:eastAsia="zh-CN"/>
        </w:rPr>
        <w:t>1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,</w:t>
      </w:r>
      <w:r>
        <w:rPr>
          <w:rFonts w:hint="eastAsia" w:ascii="Times New Roman" w:hAnsi="Times New Roman" w:cs="Times New Roman"/>
          <w:sz w:val="20"/>
          <w:szCs w:val="20"/>
          <w:vertAlign w:val="subscript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(B) notoginsenoside R</w:t>
      </w:r>
      <w:r>
        <w:rPr>
          <w:rFonts w:hint="eastAsia" w:ascii="Times New Roman" w:hAnsi="Times New Roman" w:cs="Times New Roman"/>
          <w:sz w:val="20"/>
          <w:szCs w:val="20"/>
          <w:vertAlign w:val="subscript"/>
          <w:lang w:val="en-US" w:eastAsia="zh-CN"/>
        </w:rPr>
        <w:t>1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, (C) 3-(</w:t>
      </w: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β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-D-glucopyranosyl-</w:t>
      </w: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β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-D-glucopyranosyl)-20-O-(6-O-malonyl-</w:t>
      </w: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β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-D-glucopyranosyl-</w:t>
      </w: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β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-D-glucopyranosyl)-3</w:t>
      </w: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β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>,12</w:t>
      </w:r>
      <w:r>
        <w:rPr>
          <w:rFonts w:ascii="Times New Roman" w:hAnsi="Times New Roman"/>
          <w:color w:val="000000"/>
          <w:kern w:val="0"/>
          <w:sz w:val="20"/>
          <w:szCs w:val="20"/>
          <w:lang w:bidi="ar"/>
        </w:rPr>
        <w:t>β</w:t>
      </w:r>
      <w:r>
        <w:rPr>
          <w:rFonts w:hint="eastAsia" w:ascii="Times New Roman" w:hAnsi="Times New Roman" w:cs="Times New Roman"/>
          <w:sz w:val="20"/>
          <w:szCs w:val="20"/>
          <w:vertAlign w:val="baseline"/>
          <w:lang w:val="en-US" w:eastAsia="zh-CN"/>
        </w:rPr>
        <w:t xml:space="preserve">,20(S)-trihydroxydammar-24-ene. </w:t>
      </w:r>
    </w:p>
    <w:p>
      <w:pP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  <w:r>
        <w:rPr>
          <w:rFonts w:hint="default" w:eastAsia="宋体"/>
          <w:lang w:val="en-US" w:eastAsia="zh-CN"/>
        </w:rPr>
        <w:drawing>
          <wp:inline distT="0" distB="0" distL="114300" distR="114300">
            <wp:extent cx="5278120" cy="5152390"/>
            <wp:effectExtent l="0" t="0" r="17780" b="10160"/>
            <wp:docPr id="6" name="图片 6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 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1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eastAsia" w:ascii="Times New Roman" w:hAnsi="Times New Roman"/>
          <w:b w:val="0"/>
          <w:bCs w:val="0"/>
          <w:color w:val="auto"/>
          <w:sz w:val="20"/>
          <w:szCs w:val="20"/>
          <w:lang w:val="en-US" w:eastAsia="zh-CN"/>
        </w:rPr>
        <w:t>. The cracking pathw</w:t>
      </w:r>
      <w:r>
        <w:rPr>
          <w:rFonts w:hint="eastAsia" w:ascii="Times New Roman" w:hAnsi="Times New Roman"/>
          <w:b w:val="0"/>
          <w:bCs w:val="0"/>
          <w:color w:val="auto"/>
          <w:sz w:val="20"/>
          <w:szCs w:val="20"/>
          <w:highlight w:val="none"/>
          <w:lang w:val="en-US" w:eastAsia="zh-CN"/>
        </w:rPr>
        <w:t xml:space="preserve">ays of (A) </w:t>
      </w:r>
      <w:r>
        <w:rPr>
          <w:rFonts w:hint="eastAsia" w:ascii="Times New Roman" w:hAnsi="Times New Roman"/>
          <w:sz w:val="20"/>
          <w:szCs w:val="20"/>
          <w:shd w:val="clear" w:color="auto" w:fill="FFFFFF"/>
        </w:rPr>
        <w:t>r</w:t>
      </w:r>
      <w:r>
        <w:rPr>
          <w:rFonts w:ascii="Times New Roman" w:hAnsi="Times New Roman"/>
          <w:sz w:val="20"/>
          <w:szCs w:val="20"/>
          <w:shd w:val="clear" w:color="auto" w:fill="FFFFFF"/>
        </w:rPr>
        <w:t>utin</w:t>
      </w:r>
      <w:r>
        <w:rPr>
          <w:rFonts w:hint="eastAsia" w:ascii="Times New Roman" w:hAnsi="Times New Roman"/>
          <w:sz w:val="20"/>
          <w:szCs w:val="20"/>
          <w:shd w:val="clear" w:color="auto" w:fill="FFFFFF"/>
          <w:lang w:val="en-US" w:eastAsia="zh-CN"/>
        </w:rPr>
        <w:t xml:space="preserve">, (B)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chlorogenic acids, (C) deacetyl trifolate. </w:t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r>
        <w:drawing>
          <wp:inline distT="0" distB="0" distL="114300" distR="114300">
            <wp:extent cx="5722620" cy="4081145"/>
            <wp:effectExtent l="4445" t="4445" r="6985" b="10160"/>
            <wp:docPr id="7" name="图表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</w:p>
    <w:p>
      <w:pPr>
        <w:rPr>
          <w:rFonts w:hint="default" w:ascii="Times New Roman" w:hAnsi="Times New Roman"/>
          <w:b w:val="0"/>
          <w:bCs w:val="0"/>
          <w:sz w:val="20"/>
          <w:szCs w:val="20"/>
          <w:lang w:val="en-US" w:eastAsia="zh-CN"/>
        </w:rPr>
      </w:pPr>
      <w:r>
        <w:rPr>
          <w:rFonts w:hint="eastAsia" w:ascii="Times New Roman" w:hAnsi="Times New Roman"/>
          <w:b/>
          <w:bCs/>
          <w:sz w:val="20"/>
          <w:szCs w:val="20"/>
          <w:lang w:val="en-US" w:eastAsia="zh-CN"/>
        </w:rPr>
        <w:t xml:space="preserve">Figure S4. </w:t>
      </w:r>
      <w:r>
        <w:rPr>
          <w:rFonts w:hint="eastAsia" w:ascii="Times New Roman" w:hAnsi="Times New Roman"/>
          <w:b w:val="0"/>
          <w:bCs w:val="0"/>
          <w:sz w:val="20"/>
          <w:szCs w:val="20"/>
          <w:lang w:val="en-US" w:eastAsia="zh-CN"/>
        </w:rPr>
        <w:t>The content of eight batches of medicinal materials.</w:t>
      </w: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eastAsia" w:ascii="Times New Roman" w:hAnsi="Times New Roman"/>
          <w:b/>
          <w:bCs/>
          <w:lang w:val="en-US" w:eastAsia="zh-CN"/>
        </w:rPr>
      </w:pPr>
    </w:p>
    <w:p>
      <w:pPr>
        <w:rPr>
          <w:rFonts w:hint="default" w:ascii="Times New Roman" w:hAnsi="Times New Roman"/>
          <w:b/>
          <w:bCs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5A1E"/>
    <w:rsid w:val="003A0429"/>
    <w:rsid w:val="004A185C"/>
    <w:rsid w:val="0052650E"/>
    <w:rsid w:val="00542EB7"/>
    <w:rsid w:val="005E5A1E"/>
    <w:rsid w:val="008568FC"/>
    <w:rsid w:val="008A3986"/>
    <w:rsid w:val="009076BD"/>
    <w:rsid w:val="00DA747B"/>
    <w:rsid w:val="00E1559B"/>
    <w:rsid w:val="066F4F31"/>
    <w:rsid w:val="077D237C"/>
    <w:rsid w:val="09B93848"/>
    <w:rsid w:val="0B3E0E9C"/>
    <w:rsid w:val="0E5A3DA5"/>
    <w:rsid w:val="13732F83"/>
    <w:rsid w:val="18EE1935"/>
    <w:rsid w:val="228D1472"/>
    <w:rsid w:val="23443629"/>
    <w:rsid w:val="244E1EAA"/>
    <w:rsid w:val="24E016AC"/>
    <w:rsid w:val="25E33DD6"/>
    <w:rsid w:val="28FA1B15"/>
    <w:rsid w:val="323504F9"/>
    <w:rsid w:val="3B1F7583"/>
    <w:rsid w:val="3D621C70"/>
    <w:rsid w:val="41FB361B"/>
    <w:rsid w:val="44FF2418"/>
    <w:rsid w:val="48521B3C"/>
    <w:rsid w:val="4D0C1E5A"/>
    <w:rsid w:val="4F411038"/>
    <w:rsid w:val="4FD15794"/>
    <w:rsid w:val="519A410B"/>
    <w:rsid w:val="58784C9D"/>
    <w:rsid w:val="5B094B96"/>
    <w:rsid w:val="5B34328A"/>
    <w:rsid w:val="5FC43BD2"/>
    <w:rsid w:val="62DF1279"/>
    <w:rsid w:val="63945E26"/>
    <w:rsid w:val="689C0613"/>
    <w:rsid w:val="6CCF3B65"/>
    <w:rsid w:val="6D4F003D"/>
    <w:rsid w:val="734E0201"/>
    <w:rsid w:val="7A3B6CE5"/>
    <w:rsid w:val="7B185B3F"/>
    <w:rsid w:val="7DF760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font41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13">
    <w:name w:val="font61"/>
    <w:qFormat/>
    <w:uiPriority w:val="0"/>
    <w:rPr>
      <w:rFonts w:hint="default" w:ascii="Times New Roman" w:hAnsi="Times New Roman" w:cs="Times New Roman"/>
      <w:b/>
      <w:color w:val="000000"/>
      <w:sz w:val="18"/>
      <w:szCs w:val="18"/>
      <w:u w:val="none"/>
    </w:rPr>
  </w:style>
  <w:style w:type="character" w:customStyle="1" w:styleId="14">
    <w:name w:val="font1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8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3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1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\Desktop\&#25209;&#27425;&#22270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[批次图表.xlsx]Sheet1!$A$2</c:f>
              <c:strCache>
                <c:ptCount val="1"/>
                <c:pt idx="0">
                  <c:v>HSYA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[批次图表.xlsx]Sheet1!$B$2:$I$2</c:f>
              <c:numCache>
                <c:formatCode>0.000</c:formatCode>
                <c:ptCount val="8"/>
                <c:pt idx="0">
                  <c:v>36.87552</c:v>
                </c:pt>
                <c:pt idx="1">
                  <c:v>32.68388</c:v>
                </c:pt>
                <c:pt idx="2">
                  <c:v>32.60585</c:v>
                </c:pt>
                <c:pt idx="3">
                  <c:v>36.89909</c:v>
                </c:pt>
                <c:pt idx="4">
                  <c:v>36.56699</c:v>
                </c:pt>
                <c:pt idx="5">
                  <c:v>37.10152</c:v>
                </c:pt>
                <c:pt idx="6">
                  <c:v>35.62568</c:v>
                </c:pt>
                <c:pt idx="7">
                  <c:v>37.82612</c:v>
                </c:pt>
              </c:numCache>
            </c:numRef>
          </c:val>
        </c:ser>
        <c:ser>
          <c:idx val="1"/>
          <c:order val="1"/>
          <c:tx>
            <c:strRef>
              <c:f>[批次图表.xlsx]Sheet1!$A$3</c:f>
              <c:strCache>
                <c:ptCount val="1"/>
                <c:pt idx="0">
                  <c:v>ICGAA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[批次图表.xlsx]Sheet1!$B$3:$I$3</c:f>
              <c:numCache>
                <c:formatCode>0.000</c:formatCode>
                <c:ptCount val="8"/>
                <c:pt idx="0">
                  <c:v>16.76218</c:v>
                </c:pt>
                <c:pt idx="1">
                  <c:v>11.29532</c:v>
                </c:pt>
                <c:pt idx="2">
                  <c:v>13.71197</c:v>
                </c:pt>
                <c:pt idx="3">
                  <c:v>14.87731</c:v>
                </c:pt>
                <c:pt idx="4">
                  <c:v>18.21317</c:v>
                </c:pt>
                <c:pt idx="5">
                  <c:v>17.16428</c:v>
                </c:pt>
                <c:pt idx="6">
                  <c:v>16.78186</c:v>
                </c:pt>
                <c:pt idx="7">
                  <c:v>16.78187</c:v>
                </c:pt>
              </c:numCache>
            </c:numRef>
          </c:val>
        </c:ser>
        <c:ser>
          <c:idx val="2"/>
          <c:order val="2"/>
          <c:tx>
            <c:strRef>
              <c:f>[批次图表.xlsx]Sheet1!$A$4</c:f>
              <c:strCache>
                <c:ptCount val="1"/>
                <c:pt idx="0">
                  <c:v>G-Rg1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[批次图表.xlsx]Sheet1!$B$4:$I$4</c:f>
              <c:numCache>
                <c:formatCode>0.000</c:formatCode>
                <c:ptCount val="8"/>
                <c:pt idx="0">
                  <c:v>16.76212</c:v>
                </c:pt>
                <c:pt idx="1">
                  <c:v>21.29533</c:v>
                </c:pt>
                <c:pt idx="2">
                  <c:v>13.71197</c:v>
                </c:pt>
                <c:pt idx="3">
                  <c:v>14.87731</c:v>
                </c:pt>
                <c:pt idx="4">
                  <c:v>18.21317</c:v>
                </c:pt>
                <c:pt idx="5">
                  <c:v>17.16428</c:v>
                </c:pt>
                <c:pt idx="6">
                  <c:v>18.53492</c:v>
                </c:pt>
                <c:pt idx="7">
                  <c:v>16.78187</c:v>
                </c:pt>
              </c:numCache>
            </c:numRef>
          </c:val>
        </c:ser>
        <c:ser>
          <c:idx val="3"/>
          <c:order val="3"/>
          <c:tx>
            <c:strRef>
              <c:f>[批次图表.xlsx]Sheet1!$A$5</c:f>
              <c:strCache>
                <c:ptCount val="1"/>
                <c:pt idx="0">
                  <c:v>1,5-DQA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[批次图表.xlsx]Sheet1!$B$5:$I$5</c:f>
              <c:numCache>
                <c:formatCode>0.000</c:formatCode>
                <c:ptCount val="8"/>
                <c:pt idx="0">
                  <c:v>13.86907</c:v>
                </c:pt>
                <c:pt idx="1">
                  <c:v>12.12554</c:v>
                </c:pt>
                <c:pt idx="2">
                  <c:v>3.15123</c:v>
                </c:pt>
                <c:pt idx="3">
                  <c:v>9.86947</c:v>
                </c:pt>
                <c:pt idx="4">
                  <c:v>14.19879</c:v>
                </c:pt>
                <c:pt idx="5">
                  <c:v>15.60554</c:v>
                </c:pt>
                <c:pt idx="6">
                  <c:v>5.10609</c:v>
                </c:pt>
                <c:pt idx="7">
                  <c:v>11.68973</c:v>
                </c:pt>
              </c:numCache>
            </c:numRef>
          </c:val>
        </c:ser>
        <c:ser>
          <c:idx val="4"/>
          <c:order val="4"/>
          <c:tx>
            <c:strRef>
              <c:f>[批次图表.xlsx]Sheet1!$A$6</c:f>
              <c:strCache>
                <c:ptCount val="1"/>
                <c:pt idx="0">
                  <c:v>CGA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[批次图表.xlsx]Sheet1!$B$6:$I$6</c:f>
              <c:numCache>
                <c:formatCode>0.000</c:formatCode>
                <c:ptCount val="8"/>
                <c:pt idx="0">
                  <c:v>11.06983</c:v>
                </c:pt>
                <c:pt idx="1">
                  <c:v>21.19391</c:v>
                </c:pt>
                <c:pt idx="2">
                  <c:v>6.73666</c:v>
                </c:pt>
                <c:pt idx="3">
                  <c:v>11.70875</c:v>
                </c:pt>
                <c:pt idx="4">
                  <c:v>11.21311</c:v>
                </c:pt>
                <c:pt idx="5">
                  <c:v>20.88447</c:v>
                </c:pt>
                <c:pt idx="6">
                  <c:v>8.02772</c:v>
                </c:pt>
                <c:pt idx="7">
                  <c:v>12.50565</c:v>
                </c:pt>
              </c:numCache>
            </c:numRef>
          </c:val>
        </c:ser>
        <c:ser>
          <c:idx val="5"/>
          <c:order val="5"/>
          <c:tx>
            <c:strRef>
              <c:f>[批次图表.xlsx]Sheet1!$A$7</c:f>
              <c:strCache>
                <c:ptCount val="1"/>
                <c:pt idx="0">
                  <c:v>G-Rb1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[批次图表.xlsx]Sheet1!$B$7:$I$7</c:f>
              <c:numCache>
                <c:formatCode>0.000</c:formatCode>
                <c:ptCount val="8"/>
                <c:pt idx="0">
                  <c:v>8.98989</c:v>
                </c:pt>
                <c:pt idx="1">
                  <c:v>8.17053</c:v>
                </c:pt>
                <c:pt idx="2">
                  <c:v>8.51405</c:v>
                </c:pt>
                <c:pt idx="3">
                  <c:v>8.00295</c:v>
                </c:pt>
                <c:pt idx="4">
                  <c:v>10.32241</c:v>
                </c:pt>
                <c:pt idx="5">
                  <c:v>11.08066</c:v>
                </c:pt>
                <c:pt idx="6">
                  <c:v>9.48845</c:v>
                </c:pt>
                <c:pt idx="7">
                  <c:v>9.3516</c:v>
                </c:pt>
              </c:numCache>
            </c:numRef>
          </c:val>
        </c:ser>
        <c:ser>
          <c:idx val="6"/>
          <c:order val="6"/>
          <c:tx>
            <c:strRef>
              <c:f>[批次图表.xlsx]Sheet1!$A$8</c:f>
              <c:strCache>
                <c:ptCount val="1"/>
                <c:pt idx="0">
                  <c:v>PDG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[批次图表.xlsx]Sheet1!$B$8:$I$8</c:f>
              <c:numCache>
                <c:formatCode>0.000</c:formatCode>
                <c:ptCount val="8"/>
                <c:pt idx="0">
                  <c:v>8.37222</c:v>
                </c:pt>
                <c:pt idx="1">
                  <c:v>7.22823</c:v>
                </c:pt>
                <c:pt idx="2">
                  <c:v>8.30393</c:v>
                </c:pt>
                <c:pt idx="3">
                  <c:v>8.1452</c:v>
                </c:pt>
                <c:pt idx="4">
                  <c:v>7.8124</c:v>
                </c:pt>
                <c:pt idx="5">
                  <c:v>6.78462</c:v>
                </c:pt>
                <c:pt idx="6">
                  <c:v>8.55133</c:v>
                </c:pt>
                <c:pt idx="7">
                  <c:v>8.32558</c:v>
                </c:pt>
              </c:numCache>
            </c:numRef>
          </c:val>
        </c:ser>
        <c:ser>
          <c:idx val="7"/>
          <c:order val="7"/>
          <c:tx>
            <c:strRef>
              <c:f>[批次图表.xlsx]Sheet1!$A$9</c:f>
              <c:strCache>
                <c:ptCount val="1"/>
                <c:pt idx="0">
                  <c:v>GPA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[批次图表.xlsx]Sheet1!$B$9:$I$9</c:f>
              <c:numCache>
                <c:formatCode>0.000</c:formatCode>
                <c:ptCount val="8"/>
                <c:pt idx="0">
                  <c:v>3.14668</c:v>
                </c:pt>
                <c:pt idx="1">
                  <c:v>3.16353</c:v>
                </c:pt>
                <c:pt idx="2">
                  <c:v>3.11244</c:v>
                </c:pt>
                <c:pt idx="3">
                  <c:v>3.04559</c:v>
                </c:pt>
                <c:pt idx="4">
                  <c:v>3.16344</c:v>
                </c:pt>
                <c:pt idx="5">
                  <c:v>3.28401</c:v>
                </c:pt>
                <c:pt idx="6">
                  <c:v>3.17378</c:v>
                </c:pt>
                <c:pt idx="7">
                  <c:v>3.355</c:v>
                </c:pt>
              </c:numCache>
            </c:numRef>
          </c:val>
        </c:ser>
        <c:ser>
          <c:idx val="8"/>
          <c:order val="8"/>
          <c:tx>
            <c:strRef>
              <c:f>[批次图表.xlsx]Sheet1!$A$10</c:f>
              <c:strCache>
                <c:ptCount val="1"/>
                <c:pt idx="0">
                  <c:v>NG-R1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[批次图表.xlsx]Sheet1!$B$10:$I$10</c:f>
              <c:numCache>
                <c:formatCode>0.000</c:formatCode>
                <c:ptCount val="8"/>
                <c:pt idx="0">
                  <c:v>2.28691</c:v>
                </c:pt>
                <c:pt idx="1">
                  <c:v>1.76126</c:v>
                </c:pt>
                <c:pt idx="2">
                  <c:v>2.53444</c:v>
                </c:pt>
                <c:pt idx="3">
                  <c:v>2.24517</c:v>
                </c:pt>
                <c:pt idx="4">
                  <c:v>3.04046</c:v>
                </c:pt>
                <c:pt idx="5">
                  <c:v>2.71907</c:v>
                </c:pt>
                <c:pt idx="6">
                  <c:v>3.06347</c:v>
                </c:pt>
                <c:pt idx="7">
                  <c:v>2.84893</c:v>
                </c:pt>
              </c:numCache>
            </c:numRef>
          </c:val>
        </c:ser>
        <c:ser>
          <c:idx val="9"/>
          <c:order val="9"/>
          <c:tx>
            <c:strRef>
              <c:f>[批次图表.xlsx]Sheet1!$A$11</c:f>
              <c:strCache>
                <c:ptCount val="1"/>
                <c:pt idx="0">
                  <c:v>A-7-O-G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[批次图表.xlsx]Sheet1!$B$11:$I$11</c:f>
              <c:numCache>
                <c:formatCode>0.000</c:formatCode>
                <c:ptCount val="8"/>
                <c:pt idx="0">
                  <c:v>1.33814</c:v>
                </c:pt>
                <c:pt idx="1">
                  <c:v>0.52255</c:v>
                </c:pt>
                <c:pt idx="2">
                  <c:v>2.64211</c:v>
                </c:pt>
                <c:pt idx="3">
                  <c:v>1.00598</c:v>
                </c:pt>
                <c:pt idx="4">
                  <c:v>1.48553</c:v>
                </c:pt>
                <c:pt idx="5">
                  <c:v>0.41874</c:v>
                </c:pt>
                <c:pt idx="6">
                  <c:v>3.75935</c:v>
                </c:pt>
                <c:pt idx="7">
                  <c:v>1.13232</c:v>
                </c:pt>
              </c:numCache>
            </c:numRef>
          </c:val>
        </c:ser>
        <c:ser>
          <c:idx val="10"/>
          <c:order val="10"/>
          <c:tx>
            <c:strRef>
              <c:f>[批次图表.xlsx]Sheet1!$A$12</c:f>
              <c:strCache>
                <c:ptCount val="1"/>
                <c:pt idx="0">
                  <c:v>CA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[批次图表.xlsx]Sheet1!$B$12:$I$12</c:f>
              <c:numCache>
                <c:formatCode>0.000</c:formatCode>
                <c:ptCount val="8"/>
                <c:pt idx="0">
                  <c:v>0.68433</c:v>
                </c:pt>
                <c:pt idx="1">
                  <c:v>0.55593</c:v>
                </c:pt>
                <c:pt idx="2">
                  <c:v>0.98054</c:v>
                </c:pt>
                <c:pt idx="3">
                  <c:v>0.36215</c:v>
                </c:pt>
                <c:pt idx="4">
                  <c:v>0.60107</c:v>
                </c:pt>
                <c:pt idx="5">
                  <c:v>0.48906</c:v>
                </c:pt>
                <c:pt idx="6">
                  <c:v>0.95346</c:v>
                </c:pt>
                <c:pt idx="7">
                  <c:v>0.39446</c:v>
                </c:pt>
              </c:numCache>
            </c:numRef>
          </c:val>
        </c:ser>
        <c:ser>
          <c:idx val="11"/>
          <c:order val="11"/>
          <c:tx>
            <c:strRef>
              <c:f>[批次图表.xlsx]Sheet1!$A$13</c:f>
              <c:strCache>
                <c:ptCount val="1"/>
                <c:pt idx="0">
                  <c:v>RU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[批次图表.xlsx]Sheet1!$B$13:$I$13</c:f>
              <c:numCache>
                <c:formatCode>0.000</c:formatCode>
                <c:ptCount val="8"/>
                <c:pt idx="0">
                  <c:v>0.27813</c:v>
                </c:pt>
                <c:pt idx="1">
                  <c:v>0.24904</c:v>
                </c:pt>
                <c:pt idx="2">
                  <c:v>0.22449</c:v>
                </c:pt>
                <c:pt idx="3">
                  <c:v>0.27252</c:v>
                </c:pt>
                <c:pt idx="4">
                  <c:v>0.29901</c:v>
                </c:pt>
                <c:pt idx="5">
                  <c:v>0.40594</c:v>
                </c:pt>
                <c:pt idx="6">
                  <c:v>0.35385</c:v>
                </c:pt>
                <c:pt idx="7">
                  <c:v>0.81146</c:v>
                </c:pt>
              </c:numCache>
            </c:numRef>
          </c:val>
        </c:ser>
        <c:ser>
          <c:idx val="12"/>
          <c:order val="12"/>
          <c:tx>
            <c:strRef>
              <c:f>[批次图表.xlsx]Sheet1!$A$14</c:f>
              <c:strCache>
                <c:ptCount val="1"/>
                <c:pt idx="0">
                  <c:v>APG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[批次图表.xlsx]Sheet1!$B$14:$I$14</c:f>
              <c:numCache>
                <c:formatCode>0.000</c:formatCode>
                <c:ptCount val="8"/>
                <c:pt idx="0">
                  <c:v>0.19344</c:v>
                </c:pt>
                <c:pt idx="1">
                  <c:v>0.03</c:v>
                </c:pt>
                <c:pt idx="2">
                  <c:v>0.18055</c:v>
                </c:pt>
                <c:pt idx="3">
                  <c:v>0.0616</c:v>
                </c:pt>
                <c:pt idx="4">
                  <c:v>0.17306</c:v>
                </c:pt>
                <c:pt idx="5">
                  <c:v>0.02622</c:v>
                </c:pt>
                <c:pt idx="6">
                  <c:v>0.22123</c:v>
                </c:pt>
                <c:pt idx="7">
                  <c:v>0.07088</c:v>
                </c:pt>
              </c:numCache>
            </c:numRef>
          </c:val>
        </c:ser>
        <c:ser>
          <c:idx val="13"/>
          <c:order val="13"/>
          <c:tx>
            <c:strRef>
              <c:f>[批次图表.xlsx]Sheet1!$A$15</c:f>
              <c:strCache>
                <c:ptCount val="1"/>
                <c:pt idx="0">
                  <c:v>FA</c:v>
                </c:pt>
              </c:strCache>
            </c:strRef>
          </c:tx>
          <c:spPr>
            <a:solidFill>
              <a:schemeClr val="accent2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[批次图表.xlsx]Sheet1!$B$15:$I$15</c:f>
              <c:numCache>
                <c:formatCode>0.000</c:formatCode>
                <c:ptCount val="8"/>
                <c:pt idx="0">
                  <c:v>0.1422</c:v>
                </c:pt>
                <c:pt idx="1">
                  <c:v>0.20853</c:v>
                </c:pt>
                <c:pt idx="2">
                  <c:v>0.21198</c:v>
                </c:pt>
                <c:pt idx="3">
                  <c:v>0.21114</c:v>
                </c:pt>
                <c:pt idx="4">
                  <c:v>0.27142</c:v>
                </c:pt>
                <c:pt idx="5">
                  <c:v>0.46862</c:v>
                </c:pt>
                <c:pt idx="6">
                  <c:v>0.53206</c:v>
                </c:pt>
                <c:pt idx="7">
                  <c:v>0.55866</c:v>
                </c:pt>
              </c:numCache>
            </c:numRef>
          </c:val>
        </c:ser>
        <c:ser>
          <c:idx val="14"/>
          <c:order val="14"/>
          <c:tx>
            <c:strRef>
              <c:f>[批次图表.xlsx]Sheet1!$A$16</c:f>
              <c:strCache>
                <c:ptCount val="1"/>
                <c:pt idx="0">
                  <c:v>G-Re</c:v>
                </c:pt>
              </c:strCache>
            </c:strRef>
          </c:tx>
          <c:spPr>
            <a:solidFill>
              <a:schemeClr val="accent3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[批次图表.xlsx]Sheet1!$B$16:$I$16</c:f>
              <c:numCache>
                <c:formatCode>0.000</c:formatCode>
                <c:ptCount val="8"/>
                <c:pt idx="0">
                  <c:v>0.11534</c:v>
                </c:pt>
                <c:pt idx="1">
                  <c:v>0.17372</c:v>
                </c:pt>
                <c:pt idx="2">
                  <c:v>0.13815</c:v>
                </c:pt>
                <c:pt idx="3">
                  <c:v>0.12801</c:v>
                </c:pt>
                <c:pt idx="4">
                  <c:v>0.12925</c:v>
                </c:pt>
                <c:pt idx="5">
                  <c:v>0.15483</c:v>
                </c:pt>
                <c:pt idx="6">
                  <c:v>0.11729</c:v>
                </c:pt>
                <c:pt idx="7">
                  <c:v>0.10736</c:v>
                </c:pt>
              </c:numCache>
            </c:numRef>
          </c:val>
        </c:ser>
        <c:ser>
          <c:idx val="15"/>
          <c:order val="15"/>
          <c:tx>
            <c:strRef>
              <c:f>[批次图表.xlsx]Sheet1!$A$17</c:f>
              <c:strCache>
                <c:ptCount val="1"/>
                <c:pt idx="0">
                  <c:v>LT</c:v>
                </c:pt>
              </c:strCache>
            </c:strRef>
          </c:tx>
          <c:spPr>
            <a:solidFill>
              <a:schemeClr val="accent4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[批次图表.xlsx]Sheet1!$B$17:$I$17</c:f>
              <c:numCache>
                <c:formatCode>0.000</c:formatCode>
                <c:ptCount val="8"/>
                <c:pt idx="0">
                  <c:v>0.02743</c:v>
                </c:pt>
                <c:pt idx="1">
                  <c:v>0.00946</c:v>
                </c:pt>
                <c:pt idx="2">
                  <c:v>0.02872</c:v>
                </c:pt>
                <c:pt idx="3">
                  <c:v>0.01138</c:v>
                </c:pt>
                <c:pt idx="4">
                  <c:v>0.02446</c:v>
                </c:pt>
                <c:pt idx="5">
                  <c:v>0.00633</c:v>
                </c:pt>
                <c:pt idx="6">
                  <c:v>0.03802</c:v>
                </c:pt>
                <c:pt idx="7">
                  <c:v>0.00997</c:v>
                </c:pt>
              </c:numCache>
            </c:numRef>
          </c:val>
        </c:ser>
        <c:ser>
          <c:idx val="16"/>
          <c:order val="16"/>
          <c:tx>
            <c:strRef>
              <c:f>[批次图表.xlsx]Sheet1!$A$18</c:f>
              <c:strCache>
                <c:ptCount val="1"/>
                <c:pt idx="0">
                  <c:v>AD</c:v>
                </c:pt>
              </c:strCache>
            </c:strRef>
          </c:tx>
          <c:spPr>
            <a:solidFill>
              <a:schemeClr val="accent5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[批次图表.xlsx]Sheet1!$B$18:$I$18</c:f>
              <c:numCache>
                <c:formatCode>0.000</c:formatCode>
                <c:ptCount val="8"/>
                <c:pt idx="0">
                  <c:v>0.02173</c:v>
                </c:pt>
                <c:pt idx="1">
                  <c:v>0.01977</c:v>
                </c:pt>
                <c:pt idx="2">
                  <c:v>0.01976</c:v>
                </c:pt>
                <c:pt idx="3">
                  <c:v>0.02102</c:v>
                </c:pt>
                <c:pt idx="4">
                  <c:v>0.02133</c:v>
                </c:pt>
                <c:pt idx="5">
                  <c:v>0.02629</c:v>
                </c:pt>
                <c:pt idx="6">
                  <c:v>0.0228</c:v>
                </c:pt>
                <c:pt idx="7">
                  <c:v>0.02616</c:v>
                </c:pt>
              </c:numCache>
            </c:numRef>
          </c:val>
        </c:ser>
        <c:ser>
          <c:idx val="17"/>
          <c:order val="17"/>
          <c:tx>
            <c:strRef>
              <c:f>[批次图表.xlsx]Sheet1!$A$19</c:f>
              <c:strCache>
                <c:ptCount val="1"/>
                <c:pt idx="0">
                  <c:v>GE</c:v>
                </c:pt>
              </c:strCache>
            </c:strRef>
          </c:tx>
          <c:spPr>
            <a:solidFill>
              <a:schemeClr val="accent6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[批次图表.xlsx]Sheet1!$B$19:$I$19</c:f>
              <c:numCache>
                <c:formatCode>0.000</c:formatCode>
                <c:ptCount val="8"/>
                <c:pt idx="0">
                  <c:v>0.02146</c:v>
                </c:pt>
                <c:pt idx="1">
                  <c:v>0.01226</c:v>
                </c:pt>
                <c:pt idx="2">
                  <c:v>0.00716</c:v>
                </c:pt>
                <c:pt idx="3">
                  <c:v>0.02967</c:v>
                </c:pt>
                <c:pt idx="4">
                  <c:v>0.02435</c:v>
                </c:pt>
                <c:pt idx="5">
                  <c:v>0.01819</c:v>
                </c:pt>
                <c:pt idx="6">
                  <c:v>0.01135</c:v>
                </c:pt>
                <c:pt idx="7">
                  <c:v>0.03557</c:v>
                </c:pt>
              </c:numCache>
            </c:numRef>
          </c:val>
        </c:ser>
        <c:ser>
          <c:idx val="18"/>
          <c:order val="18"/>
          <c:tx>
            <c:strRef>
              <c:f>[批次图表.xlsx]Sheet1!$A$20</c:f>
              <c:strCache>
                <c:ptCount val="1"/>
                <c:pt idx="0">
                  <c:v>KPF</c:v>
                </c:pt>
              </c:strCache>
            </c:strRef>
          </c:tx>
          <c:spPr>
            <a:solidFill>
              <a:schemeClr val="accent1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[批次图表.xlsx]Sheet1!$B$20:$I$20</c:f>
              <c:numCache>
                <c:formatCode>0.000</c:formatCode>
                <c:ptCount val="8"/>
                <c:pt idx="0">
                  <c:v>0.00876</c:v>
                </c:pt>
                <c:pt idx="1">
                  <c:v>0.00567</c:v>
                </c:pt>
                <c:pt idx="2">
                  <c:v>0.00752</c:v>
                </c:pt>
                <c:pt idx="3">
                  <c:v>0.00584</c:v>
                </c:pt>
                <c:pt idx="4">
                  <c:v>0.01125</c:v>
                </c:pt>
                <c:pt idx="5">
                  <c:v>0.00714</c:v>
                </c:pt>
                <c:pt idx="6">
                  <c:v>0.01515</c:v>
                </c:pt>
                <c:pt idx="7">
                  <c:v>0.00803</c:v>
                </c:pt>
              </c:numCache>
            </c:numRef>
          </c:val>
        </c:ser>
        <c:ser>
          <c:idx val="19"/>
          <c:order val="19"/>
          <c:tx>
            <c:strRef>
              <c:f>[批次图表.xlsx]Sheet1!$A$21</c:f>
              <c:strCache>
                <c:ptCount val="1"/>
                <c:pt idx="0">
                  <c:v>QC</c:v>
                </c:pt>
              </c:strCache>
            </c:strRef>
          </c:tx>
          <c:spPr>
            <a:solidFill>
              <a:schemeClr val="accent2">
                <a:lumMod val="8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[批次图表.xlsx]Sheet1!$B$1:$I$1</c:f>
              <c:strCache>
                <c:ptCount val="8"/>
                <c:pt idx="0">
                  <c:v>MTBD-1</c:v>
                </c:pt>
                <c:pt idx="1">
                  <c:v>MTBD-2</c:v>
                </c:pt>
                <c:pt idx="2">
                  <c:v>MTBD-3</c:v>
                </c:pt>
                <c:pt idx="3">
                  <c:v>MTBD-4</c:v>
                </c:pt>
                <c:pt idx="4">
                  <c:v>MTBD-5</c:v>
                </c:pt>
                <c:pt idx="5">
                  <c:v>MTBD-6</c:v>
                </c:pt>
                <c:pt idx="6">
                  <c:v>MTBD-7</c:v>
                </c:pt>
                <c:pt idx="7">
                  <c:v>MTBD-8</c:v>
                </c:pt>
              </c:strCache>
            </c:strRef>
          </c:cat>
          <c:val>
            <c:numRef>
              <c:f>[批次图表.xlsx]Sheet1!$B$21:$I$21</c:f>
              <c:numCache>
                <c:formatCode>0.000</c:formatCode>
                <c:ptCount val="8"/>
                <c:pt idx="0">
                  <c:v>0.00588</c:v>
                </c:pt>
                <c:pt idx="1">
                  <c:v>0.00389</c:v>
                </c:pt>
                <c:pt idx="2">
                  <c:v>0.00565</c:v>
                </c:pt>
                <c:pt idx="3">
                  <c:v>0.00432</c:v>
                </c:pt>
                <c:pt idx="4">
                  <c:v>0.008</c:v>
                </c:pt>
                <c:pt idx="5">
                  <c:v>0.00429</c:v>
                </c:pt>
                <c:pt idx="6">
                  <c:v>0.00929</c:v>
                </c:pt>
                <c:pt idx="7">
                  <c:v>0.00537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2266611"/>
        <c:axId val="669262701"/>
      </c:barChart>
      <c:catAx>
        <c:axId val="1226661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69262701"/>
        <c:crosses val="autoZero"/>
        <c:auto val="1"/>
        <c:lblAlgn val="ctr"/>
        <c:lblOffset val="100"/>
        <c:noMultiLvlLbl val="0"/>
      </c:catAx>
      <c:valAx>
        <c:axId val="669262701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 b="1"/>
                  <a:t>Total contents(mg/g)</a:t>
                </a:r>
                <a:endParaRPr lang="en-US" altLang="zh-CN" b="1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22666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184</Words>
  <Characters>1053</Characters>
  <Lines>8</Lines>
  <Paragraphs>2</Paragraphs>
  <TotalTime>4</TotalTime>
  <ScaleCrop>false</ScaleCrop>
  <LinksUpToDate>false</LinksUpToDate>
  <CharactersWithSpaces>1235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2021-04-02T07:38:00Z</dcterms:created>
  <dc:creator>win</dc:creator>
  <cp:lastModifiedBy>啦啦啦</cp:lastModifiedBy>
  <dcterms:modified xsi:type="dcterms:W3CDTF">2021-07-29T08:56:45Z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006D096EAAEB4D9DB5E18042C585E220</vt:lpwstr>
  </property>
</Properties>
</file>