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7C3621" w14:textId="77777777" w:rsidR="00C4489E" w:rsidRPr="00C4489E" w:rsidRDefault="00C4489E" w:rsidP="00C4489E">
      <w:pPr>
        <w:jc w:val="both"/>
        <w:rPr>
          <w:rFonts w:ascii="Times New Roman" w:hAnsi="Times New Roman" w:cs="Times New Roman"/>
          <w:sz w:val="32"/>
          <w:szCs w:val="32"/>
        </w:rPr>
      </w:pPr>
      <w:r w:rsidRPr="00C4489E">
        <w:rPr>
          <w:rFonts w:ascii="Times New Roman" w:hAnsi="Times New Roman" w:cs="Times New Roman"/>
          <w:sz w:val="32"/>
          <w:szCs w:val="32"/>
        </w:rPr>
        <w:t>Discerning the painter’s hand: machine learning on surface topography</w:t>
      </w:r>
    </w:p>
    <w:p w14:paraId="1E35535A" w14:textId="77777777" w:rsidR="00C4489E" w:rsidRPr="00C4489E" w:rsidRDefault="00C4489E" w:rsidP="00C4489E">
      <w:pPr>
        <w:jc w:val="both"/>
        <w:rPr>
          <w:rFonts w:ascii="Times New Roman" w:hAnsi="Times New Roman" w:cs="Times New Roman"/>
          <w:b/>
          <w:sz w:val="36"/>
          <w:szCs w:val="36"/>
        </w:rPr>
      </w:pPr>
    </w:p>
    <w:p w14:paraId="7ECB627B" w14:textId="77777777" w:rsidR="00C4489E" w:rsidRPr="00C4489E" w:rsidRDefault="00C4489E" w:rsidP="00C4489E">
      <w:pPr>
        <w:jc w:val="both"/>
        <w:rPr>
          <w:rFonts w:ascii="Times New Roman" w:hAnsi="Times New Roman" w:cs="Times New Roman"/>
          <w:b/>
          <w:sz w:val="36"/>
          <w:szCs w:val="36"/>
        </w:rPr>
      </w:pPr>
      <w:r w:rsidRPr="00C4489E">
        <w:rPr>
          <w:rFonts w:ascii="Times New Roman" w:hAnsi="Times New Roman" w:cs="Times New Roman"/>
          <w:b/>
          <w:sz w:val="36"/>
          <w:szCs w:val="36"/>
        </w:rPr>
        <w:t xml:space="preserve">SUPPLEMENTARY </w:t>
      </w:r>
      <w:r w:rsidRPr="00C4489E">
        <w:rPr>
          <w:rFonts w:ascii="Times New Roman" w:hAnsi="Times New Roman" w:cs="Times New Roman"/>
          <w:b/>
          <w:bCs/>
          <w:sz w:val="36"/>
          <w:szCs w:val="36"/>
        </w:rPr>
        <w:t>INFORMATION</w:t>
      </w:r>
    </w:p>
    <w:p w14:paraId="5B8E1120" w14:textId="77777777" w:rsidR="00C4489E" w:rsidRPr="00C4489E" w:rsidRDefault="00C4489E" w:rsidP="00C4489E">
      <w:pPr>
        <w:pStyle w:val="Paragraph"/>
        <w:spacing w:before="0"/>
        <w:ind w:firstLine="0"/>
        <w:jc w:val="both"/>
      </w:pPr>
    </w:p>
    <w:p w14:paraId="7433EFFC" w14:textId="77777777" w:rsidR="00C4489E" w:rsidRPr="00C4489E" w:rsidRDefault="00C4489E" w:rsidP="00C4489E">
      <w:pPr>
        <w:spacing w:line="480" w:lineRule="auto"/>
        <w:jc w:val="both"/>
        <w:rPr>
          <w:rFonts w:ascii="Times New Roman" w:eastAsia="Times New Roman" w:hAnsi="Times New Roman" w:cs="Times New Roman"/>
          <w:color w:val="000000" w:themeColor="text1"/>
        </w:rPr>
      </w:pPr>
      <w:r w:rsidRPr="00C4489E">
        <w:rPr>
          <w:rFonts w:ascii="Times New Roman" w:eastAsia="Times New Roman" w:hAnsi="Times New Roman" w:cs="Times New Roman"/>
          <w:b/>
          <w:bCs/>
          <w:color w:val="000000" w:themeColor="text1"/>
        </w:rPr>
        <w:t>Connoisseurship, technical art history, and workshop practices</w:t>
      </w:r>
    </w:p>
    <w:p w14:paraId="078A7DF4" w14:textId="77777777" w:rsidR="00C4489E" w:rsidRPr="00C4489E" w:rsidRDefault="00C4489E" w:rsidP="00C4489E">
      <w:pPr>
        <w:spacing w:line="480" w:lineRule="auto"/>
        <w:jc w:val="both"/>
        <w:rPr>
          <w:rFonts w:ascii="Times New Roman" w:hAnsi="Times New Roman" w:cs="Times New Roman"/>
        </w:rPr>
      </w:pPr>
      <w:r w:rsidRPr="00C4489E">
        <w:rPr>
          <w:rFonts w:ascii="Times New Roman" w:eastAsia="Times New Roman" w:hAnsi="Times New Roman" w:cs="Times New Roman"/>
          <w:color w:val="000000" w:themeColor="text1"/>
        </w:rPr>
        <w:t xml:space="preserve">The primary method of determining the attribution of a painting, and thus its value, is through expert connoisseurship. Connoisseurship, as an art historical methodology, involves the evaluation and appreciation of an object’s quality, the determination of the time and place of its execution, and the identification of the artist, if possible. A key component of connoisseurship is the close study of the object in question, as the materiality of the work is critical to a proper attribution. </w:t>
      </w:r>
      <w:r w:rsidRPr="00C4489E">
        <w:rPr>
          <w:rFonts w:ascii="Times New Roman" w:eastAsia="Times New Roman" w:hAnsi="Times New Roman" w:cs="Times New Roman"/>
        </w:rPr>
        <w:t>Establishing as much as you can of the origin of an object is a crucial first step to deeper, more comprehensive scholarly study.</w:t>
      </w:r>
    </w:p>
    <w:p w14:paraId="670EA03A" w14:textId="77777777" w:rsidR="00C4489E" w:rsidRPr="00C4489E" w:rsidRDefault="00C4489E" w:rsidP="00C4489E">
      <w:pPr>
        <w:spacing w:line="480" w:lineRule="auto"/>
        <w:ind w:firstLine="720"/>
        <w:jc w:val="both"/>
        <w:rPr>
          <w:rFonts w:ascii="Times New Roman" w:hAnsi="Times New Roman" w:cs="Times New Roman"/>
        </w:rPr>
      </w:pPr>
      <w:r w:rsidRPr="00C4489E">
        <w:rPr>
          <w:rFonts w:ascii="Times New Roman" w:eastAsia="Times New Roman" w:hAnsi="Times New Roman" w:cs="Times New Roman"/>
        </w:rPr>
        <w:t>Western art connoisseurship has a long and richly complex history, stemming from classical antiquity and Renaissance writers on art. [24] It was not until the second half of the 19</w:t>
      </w:r>
      <w:r w:rsidRPr="00C4489E">
        <w:rPr>
          <w:rFonts w:ascii="Times New Roman" w:eastAsia="Times New Roman" w:hAnsi="Times New Roman" w:cs="Times New Roman"/>
          <w:vertAlign w:val="superscript"/>
        </w:rPr>
        <w:t>th</w:t>
      </w:r>
      <w:r w:rsidRPr="00C4489E">
        <w:rPr>
          <w:rFonts w:ascii="Times New Roman" w:eastAsia="Times New Roman" w:hAnsi="Times New Roman" w:cs="Times New Roman"/>
        </w:rPr>
        <w:t xml:space="preserve"> century that a more scientific and rigorous employment of connoisseurship was developed. One of the most famous 19</w:t>
      </w:r>
      <w:r w:rsidRPr="00C4489E">
        <w:rPr>
          <w:rFonts w:ascii="Times New Roman" w:eastAsia="Times New Roman" w:hAnsi="Times New Roman" w:cs="Times New Roman"/>
          <w:vertAlign w:val="superscript"/>
        </w:rPr>
        <w:t>th</w:t>
      </w:r>
      <w:r w:rsidRPr="00C4489E">
        <w:rPr>
          <w:rFonts w:ascii="Times New Roman" w:eastAsia="Times New Roman" w:hAnsi="Times New Roman" w:cs="Times New Roman"/>
        </w:rPr>
        <w:t xml:space="preserve"> century connoisseurs was Giovanni Morelli, who utilized his background in comparative anatomy and medicine to adapt principles of classification from the natural sciences to the study of paintings. Morelli’s method scrutinized seemingly minor, or ‘subconscious,’ painted details, such as ears and fingernails, to detect the ‘hands’ of the artist. [25]</w:t>
      </w:r>
      <w:r w:rsidRPr="00C4489E">
        <w:rPr>
          <w:rFonts w:ascii="Times New Roman" w:eastAsia="Times New Roman" w:hAnsi="Times New Roman" w:cs="Times New Roman"/>
          <w:color w:val="2A2A2A"/>
        </w:rPr>
        <w:t xml:space="preserve"> Morelli’s most famous successor was Bernard Berenson, who built upon Morelli’s method to incorporate other types of evidence, including the artist’s style and influence of their geographical region [26]. While connoisseurship continued to be refined by scholars, art dealers, and collectors into the 20</w:t>
      </w:r>
      <w:r w:rsidRPr="00C4489E">
        <w:rPr>
          <w:rFonts w:ascii="Times New Roman" w:eastAsia="Times New Roman" w:hAnsi="Times New Roman" w:cs="Times New Roman"/>
          <w:color w:val="2A2A2A"/>
          <w:vertAlign w:val="superscript"/>
        </w:rPr>
        <w:t>th</w:t>
      </w:r>
      <w:r w:rsidRPr="00C4489E">
        <w:rPr>
          <w:rFonts w:ascii="Times New Roman" w:eastAsia="Times New Roman" w:hAnsi="Times New Roman" w:cs="Times New Roman"/>
          <w:color w:val="2A2A2A"/>
        </w:rPr>
        <w:t xml:space="preserve"> century, it was still an imperfect process as it was completely reliant on the ‘eye’ and honesty of the expert. </w:t>
      </w:r>
    </w:p>
    <w:p w14:paraId="3725BFD1" w14:textId="77777777" w:rsidR="00C4489E" w:rsidRPr="00C4489E" w:rsidRDefault="00C4489E" w:rsidP="00C4489E">
      <w:pPr>
        <w:spacing w:line="480" w:lineRule="auto"/>
        <w:ind w:firstLine="720"/>
        <w:jc w:val="both"/>
        <w:rPr>
          <w:rFonts w:ascii="Times New Roman" w:hAnsi="Times New Roman" w:cs="Times New Roman"/>
        </w:rPr>
      </w:pPr>
      <w:r w:rsidRPr="00C4489E">
        <w:rPr>
          <w:rFonts w:ascii="Times New Roman" w:eastAsia="Times New Roman" w:hAnsi="Times New Roman" w:cs="Times New Roman"/>
        </w:rPr>
        <w:lastRenderedPageBreak/>
        <w:t>Since the early 20</w:t>
      </w:r>
      <w:r w:rsidRPr="00C4489E">
        <w:rPr>
          <w:rFonts w:ascii="Times New Roman" w:eastAsia="Times New Roman" w:hAnsi="Times New Roman" w:cs="Times New Roman"/>
          <w:vertAlign w:val="superscript"/>
        </w:rPr>
        <w:t>th</w:t>
      </w:r>
      <w:r w:rsidRPr="00C4489E">
        <w:rPr>
          <w:rFonts w:ascii="Times New Roman" w:eastAsia="Times New Roman" w:hAnsi="Times New Roman" w:cs="Times New Roman"/>
        </w:rPr>
        <w:t xml:space="preserve"> century, there has been an increasing utilization of characterization methods to provide new evidence related to attribution and the condition of the object. [27] Common technical methods utilized by conservation scientists and conservators include X-radiography, infrared reflectography (IRR), cross-sectional analysis, and dendrochronology. </w:t>
      </w:r>
      <w:r w:rsidRPr="00C4489E">
        <w:rPr>
          <w:rFonts w:ascii="Times New Roman" w:eastAsia="Times New Roman" w:hAnsi="Times New Roman" w:cs="Times New Roman"/>
          <w:color w:val="2A2A2A"/>
        </w:rPr>
        <w:t>[28]</w:t>
      </w:r>
      <w:r w:rsidRPr="00C4489E">
        <w:rPr>
          <w:rFonts w:ascii="Times New Roman" w:eastAsia="Times New Roman" w:hAnsi="Times New Roman" w:cs="Times New Roman"/>
        </w:rPr>
        <w:t xml:space="preserve"> Over the last several decades, numerous technical collaborations have been formed to investigate paintings attributed to notable artists such as Hieronymus Bosch [29] and Rembrandt [30]. The inclusion of ingenious new applications, in conjunction with traditional art historical methods, has changed our views and understanding of standard artistic practices, including issues of materials and techniques and details about the precise nature of collaboration. Modern technical tools have also proven proficient at assessing fakes, adding to their worth in appraising the market value of an object. </w:t>
      </w:r>
    </w:p>
    <w:p w14:paraId="3E3C7A3C" w14:textId="77777777" w:rsidR="00C4489E" w:rsidRPr="00C4489E" w:rsidRDefault="00C4489E" w:rsidP="00C4489E">
      <w:pPr>
        <w:spacing w:line="480" w:lineRule="auto"/>
        <w:ind w:firstLine="720"/>
        <w:jc w:val="both"/>
        <w:rPr>
          <w:rFonts w:ascii="Times New Roman" w:hAnsi="Times New Roman" w:cs="Times New Roman"/>
        </w:rPr>
      </w:pPr>
      <w:r w:rsidRPr="00C4489E">
        <w:rPr>
          <w:rFonts w:ascii="Times New Roman" w:eastAsia="Times New Roman" w:hAnsi="Times New Roman" w:cs="Times New Roman"/>
        </w:rPr>
        <w:t xml:space="preserve">Even with the inclusion of advanced technologies, scholars continue to face numerous obstacles when assessing the details surrounding the creation of an object. A particular challenge that our collaboration focuses on is the historic use of workshops by artists. [31] The workshop enabled a master or primary artist to increase their output and offer a range of products. </w:t>
      </w:r>
      <w:r w:rsidRPr="00C4489E">
        <w:rPr>
          <w:rFonts w:ascii="Times New Roman" w:eastAsia="Times New Roman" w:hAnsi="Times New Roman" w:cs="Times New Roman"/>
          <w:color w:val="000000" w:themeColor="text1"/>
        </w:rPr>
        <w:t xml:space="preserve">The resulting paintings could span the range from master-only production to nearly workshop-only with slight retouching by the named artist, and they were often valued accordingly. </w:t>
      </w:r>
      <w:r w:rsidRPr="00C4489E">
        <w:rPr>
          <w:rFonts w:ascii="Times New Roman" w:eastAsia="Times New Roman" w:hAnsi="Times New Roman" w:cs="Times New Roman"/>
        </w:rPr>
        <w:t xml:space="preserve">Due to the frequent lack of primary textual evidence, it is often difficult to determine how each workshop was structured and who was a part of these endeavors. In addition to a primary or master artist, workshops could include specialized or traveling artists, apprentices, engravers, and others. Many workshop apprentices would later become successful and influential </w:t>
      </w:r>
      <w:proofErr w:type="gramStart"/>
      <w:r w:rsidRPr="00C4489E">
        <w:rPr>
          <w:rFonts w:ascii="Times New Roman" w:eastAsia="Times New Roman" w:hAnsi="Times New Roman" w:cs="Times New Roman"/>
        </w:rPr>
        <w:t>artists in their own right, such</w:t>
      </w:r>
      <w:proofErr w:type="gramEnd"/>
      <w:r w:rsidRPr="00C4489E">
        <w:rPr>
          <w:rFonts w:ascii="Times New Roman" w:eastAsia="Times New Roman" w:hAnsi="Times New Roman" w:cs="Times New Roman"/>
        </w:rPr>
        <w:t xml:space="preserve"> as Anthony van Dyck, who apprenticed in the workshop of Rubens. </w:t>
      </w:r>
    </w:p>
    <w:p w14:paraId="312A2A50" w14:textId="77777777" w:rsidR="00C4489E" w:rsidRPr="00C4489E" w:rsidRDefault="00C4489E" w:rsidP="00C4489E">
      <w:pPr>
        <w:spacing w:line="480" w:lineRule="auto"/>
        <w:ind w:firstLine="720"/>
        <w:jc w:val="both"/>
        <w:rPr>
          <w:rFonts w:ascii="Times New Roman" w:eastAsia="Times New Roman" w:hAnsi="Times New Roman" w:cs="Times New Roman"/>
          <w:color w:val="000000" w:themeColor="text1"/>
        </w:rPr>
      </w:pPr>
      <w:r w:rsidRPr="00C4489E">
        <w:rPr>
          <w:rFonts w:ascii="Times New Roman" w:eastAsia="Times New Roman" w:hAnsi="Times New Roman" w:cs="Times New Roman"/>
          <w:color w:val="000000" w:themeColor="text1"/>
        </w:rPr>
        <w:lastRenderedPageBreak/>
        <w:t xml:space="preserve">These limitations to assessing attribution create conflict when the attribution is closely tied to the apparent value of objects in the art market. For example, the </w:t>
      </w:r>
      <w:proofErr w:type="spellStart"/>
      <w:r w:rsidRPr="00C4489E">
        <w:rPr>
          <w:rFonts w:ascii="Times New Roman" w:eastAsia="Times New Roman" w:hAnsi="Times New Roman" w:cs="Times New Roman"/>
          <w:i/>
          <w:iCs/>
          <w:color w:val="000000" w:themeColor="text1"/>
        </w:rPr>
        <w:t>Salvator</w:t>
      </w:r>
      <w:proofErr w:type="spellEnd"/>
      <w:r w:rsidRPr="00C4489E">
        <w:rPr>
          <w:rFonts w:ascii="Times New Roman" w:eastAsia="Times New Roman" w:hAnsi="Times New Roman" w:cs="Times New Roman"/>
          <w:i/>
          <w:iCs/>
          <w:color w:val="000000" w:themeColor="text1"/>
        </w:rPr>
        <w:t xml:space="preserve"> Mundi</w:t>
      </w:r>
      <w:r w:rsidRPr="00C4489E">
        <w:rPr>
          <w:rFonts w:ascii="Times New Roman" w:eastAsia="Times New Roman" w:hAnsi="Times New Roman" w:cs="Times New Roman"/>
          <w:color w:val="000000" w:themeColor="text1"/>
        </w:rPr>
        <w:t xml:space="preserve"> attributed to Leonardo da Vinci sold at auction in 2017 for $450.3 million has yet to be publicly displayed as planned due to the contentious debate among specialists as to whether it is an autographed da Vinci or workshop product. [32] In March 2021, a painting attributed to the ‘circle’ of 17</w:t>
      </w:r>
      <w:r w:rsidRPr="00C4489E">
        <w:rPr>
          <w:rFonts w:ascii="Times New Roman" w:eastAsia="Times New Roman" w:hAnsi="Times New Roman" w:cs="Times New Roman"/>
          <w:color w:val="000000" w:themeColor="text1"/>
          <w:vertAlign w:val="superscript"/>
        </w:rPr>
        <w:t>th</w:t>
      </w:r>
      <w:r w:rsidRPr="00C4489E">
        <w:rPr>
          <w:rFonts w:ascii="Times New Roman" w:eastAsia="Times New Roman" w:hAnsi="Times New Roman" w:cs="Times New Roman"/>
          <w:color w:val="000000" w:themeColor="text1"/>
        </w:rPr>
        <w:t>-century Spanish painter José de Ribera and valued at $1,800 USD was removed from an auction in Spain over the potential that it may, in fact, be a long lost, but well documented Caravaggio painting. [33] If the painting is attributed to the enigmatic early modern artist, the painting will likely sell for millions at auction.</w:t>
      </w:r>
    </w:p>
    <w:p w14:paraId="39A602B9" w14:textId="77777777" w:rsidR="00C4489E" w:rsidRPr="00C4489E" w:rsidRDefault="00C4489E" w:rsidP="00C4489E">
      <w:pPr>
        <w:pStyle w:val="SOMContent"/>
        <w:spacing w:before="0" w:line="480" w:lineRule="auto"/>
        <w:jc w:val="both"/>
        <w:rPr>
          <w:b/>
          <w:bCs/>
        </w:rPr>
      </w:pPr>
      <w:r w:rsidRPr="00C4489E">
        <w:rPr>
          <w:b/>
          <w:bCs/>
        </w:rPr>
        <w:t>Details of ensemble learning</w:t>
      </w:r>
    </w:p>
    <w:p w14:paraId="30C34DDF" w14:textId="77777777" w:rsidR="00C4489E" w:rsidRPr="00C4489E" w:rsidRDefault="00C4489E" w:rsidP="00C4489E">
      <w:pPr>
        <w:pStyle w:val="SOMContent"/>
        <w:spacing w:before="0" w:line="480" w:lineRule="auto"/>
        <w:jc w:val="both"/>
        <w:rPr>
          <w:color w:val="000000" w:themeColor="text1"/>
        </w:rPr>
      </w:pPr>
      <w:r w:rsidRPr="00C4489E">
        <w:rPr>
          <w:color w:val="000000" w:themeColor="text1"/>
        </w:rPr>
        <w:t>We created ensembles of 10-100 different trained networks depending on the patch size to make final predictions. Specifically, when the patches are of side-length 10 pixels, we trained 10 different networks to calculate ensemble accuracy. For patches of side-length 20 pixels, we trained 20 different networks. For patches of side-length 40 pixels, we trained 2 groups of 20 different networks. For patches of side-length 80 pixels, we trained 4 groups of 20 different networks. And for patches of side-length 100, 120, 140, 160, 180, 200 224, 250, 300, 350, 400, 500, 600, 700, 800, 900, 1000, 1100, and 1200 pixels, we trained 5 groups of 20 different networks to get 5 ensemble accuracies. Errors, when present, were calculated using different ensemble accuracies. Results in Fig. 3C were predicted by an ensemble of 100 different trained networks.</w:t>
      </w:r>
    </w:p>
    <w:p w14:paraId="4F8F359C" w14:textId="77777777" w:rsidR="00C4489E" w:rsidRPr="00C4489E" w:rsidRDefault="00C4489E" w:rsidP="00C4489E">
      <w:pPr>
        <w:rPr>
          <w:rFonts w:ascii="Times New Roman" w:eastAsia="Times New Roman" w:hAnsi="Times New Roman" w:cs="Times New Roman"/>
          <w:color w:val="000000" w:themeColor="text1"/>
        </w:rPr>
      </w:pPr>
      <w:r w:rsidRPr="00C4489E">
        <w:rPr>
          <w:rFonts w:ascii="Times New Roman" w:hAnsi="Times New Roman" w:cs="Times New Roman"/>
          <w:color w:val="000000" w:themeColor="text1"/>
        </w:rPr>
        <w:br w:type="page"/>
      </w:r>
    </w:p>
    <w:p w14:paraId="44087418" w14:textId="77777777" w:rsidR="00C4489E" w:rsidRPr="00C4489E" w:rsidRDefault="00C4489E" w:rsidP="00C4489E">
      <w:pPr>
        <w:pStyle w:val="SOMContent"/>
        <w:spacing w:before="0" w:line="480" w:lineRule="auto"/>
        <w:jc w:val="both"/>
        <w:rPr>
          <w:b/>
          <w:bCs/>
        </w:rPr>
      </w:pPr>
      <w:r w:rsidRPr="00C4489E">
        <w:rPr>
          <w:b/>
          <w:bCs/>
        </w:rPr>
        <w:lastRenderedPageBreak/>
        <w:t xml:space="preserve">Supplementary figures </w:t>
      </w:r>
    </w:p>
    <w:p w14:paraId="135A8F11" w14:textId="77777777" w:rsidR="00C4489E" w:rsidRPr="00C4489E" w:rsidRDefault="00C4489E" w:rsidP="00C4489E">
      <w:pPr>
        <w:spacing w:line="480" w:lineRule="auto"/>
        <w:ind w:firstLine="720"/>
        <w:jc w:val="both"/>
        <w:rPr>
          <w:rFonts w:ascii="Times New Roman" w:eastAsia="Times New Roman" w:hAnsi="Times New Roman" w:cs="Times New Roman"/>
          <w:color w:val="000000" w:themeColor="text1"/>
        </w:rPr>
      </w:pPr>
      <w:r w:rsidRPr="00C4489E">
        <w:rPr>
          <w:rFonts w:ascii="Times New Roman" w:hAnsi="Times New Roman" w:cs="Times New Roman"/>
          <w:b/>
          <w:bCs/>
          <w:noProof/>
        </w:rPr>
        <mc:AlternateContent>
          <mc:Choice Requires="wps">
            <w:drawing>
              <wp:anchor distT="0" distB="0" distL="114300" distR="114300" simplePos="0" relativeHeight="251661312" behindDoc="0" locked="0" layoutInCell="1" allowOverlap="1" wp14:anchorId="4232BCA3" wp14:editId="2F7B85B8">
                <wp:simplePos x="0" y="0"/>
                <wp:positionH relativeFrom="column">
                  <wp:posOffset>60960</wp:posOffset>
                </wp:positionH>
                <wp:positionV relativeFrom="paragraph">
                  <wp:posOffset>288290</wp:posOffset>
                </wp:positionV>
                <wp:extent cx="5951855" cy="5835015"/>
                <wp:effectExtent l="0" t="0" r="4445" b="0"/>
                <wp:wrapSquare wrapText="bothSides"/>
                <wp:docPr id="2" name="Text Box 2"/>
                <wp:cNvGraphicFramePr/>
                <a:graphic xmlns:a="http://schemas.openxmlformats.org/drawingml/2006/main">
                  <a:graphicData uri="http://schemas.microsoft.com/office/word/2010/wordprocessingShape">
                    <wps:wsp>
                      <wps:cNvSpPr txBox="1"/>
                      <wps:spPr>
                        <a:xfrm>
                          <a:off x="0" y="0"/>
                          <a:ext cx="5951855" cy="5835015"/>
                        </a:xfrm>
                        <a:prstGeom prst="rect">
                          <a:avLst/>
                        </a:prstGeom>
                        <a:solidFill>
                          <a:schemeClr val="lt1"/>
                        </a:solidFill>
                        <a:ln w="6350">
                          <a:noFill/>
                        </a:ln>
                      </wps:spPr>
                      <wps:txbx>
                        <w:txbxContent>
                          <w:p w14:paraId="65329755" w14:textId="77777777" w:rsidR="00C4489E" w:rsidRDefault="00C4489E" w:rsidP="00C4489E">
                            <w:r>
                              <w:rPr>
                                <w:noProof/>
                              </w:rPr>
                              <w:drawing>
                                <wp:inline distT="0" distB="0" distL="0" distR="0" wp14:anchorId="203CD0F0" wp14:editId="58283EEF">
                                  <wp:extent cx="5762625" cy="5354652"/>
                                  <wp:effectExtent l="0" t="0" r="3175"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2625" cy="5354652"/>
                                          </a:xfrm>
                                          <a:prstGeom prst="rect">
                                            <a:avLst/>
                                          </a:prstGeom>
                                        </pic:spPr>
                                      </pic:pic>
                                    </a:graphicData>
                                  </a:graphic>
                                </wp:inline>
                              </w:drawing>
                            </w:r>
                          </w:p>
                          <w:p w14:paraId="60E47ADC" w14:textId="77777777" w:rsidR="00C4489E" w:rsidRPr="008165EF" w:rsidRDefault="00C4489E" w:rsidP="00C4489E">
                            <w:pPr>
                              <w:spacing w:line="480" w:lineRule="auto"/>
                              <w:jc w:val="both"/>
                              <w:rPr>
                                <w:rFonts w:ascii="Helvetica" w:hAnsi="Helvetica"/>
                                <w:sz w:val="22"/>
                                <w:szCs w:val="22"/>
                              </w:rPr>
                            </w:pPr>
                            <w:r w:rsidRPr="008165EF">
                              <w:rPr>
                                <w:rFonts w:ascii="Helvetica" w:hAnsi="Helvetica"/>
                                <w:b/>
                                <w:bCs/>
                                <w:sz w:val="22"/>
                                <w:szCs w:val="22"/>
                              </w:rPr>
                              <w:t xml:space="preserve">Figure S1.  </w:t>
                            </w:r>
                            <w:r w:rsidRPr="008165EF">
                              <w:rPr>
                                <w:rFonts w:ascii="Helvetica" w:hAnsi="Helvetica"/>
                                <w:sz w:val="22"/>
                                <w:szCs w:val="22"/>
                              </w:rPr>
                              <w:t>A) Test paintings from each artist.  B-C) Training paintings from each artist.</w:t>
                            </w:r>
                          </w:p>
                          <w:p w14:paraId="384A21BD" w14:textId="77777777" w:rsidR="00C4489E" w:rsidRPr="008165EF" w:rsidRDefault="00C4489E" w:rsidP="00C4489E">
                            <w:pPr>
                              <w:rPr>
                                <w:rFonts w:ascii="Helvetica" w:hAnsi="Helvetica"/>
                              </w:rPr>
                            </w:pPr>
                          </w:p>
                          <w:p w14:paraId="0EFD2502" w14:textId="77777777" w:rsidR="00C4489E" w:rsidRDefault="00C4489E" w:rsidP="00C448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232BCA3" id="_x0000_t202" coordsize="21600,21600" o:spt="202" path="m,l,21600r21600,l21600,xe">
                <v:stroke joinstyle="miter"/>
                <v:path gradientshapeok="t" o:connecttype="rect"/>
              </v:shapetype>
              <v:shape id="Text Box 2" o:spid="_x0000_s1026" type="#_x0000_t202" style="position:absolute;left:0;text-align:left;margin-left:4.8pt;margin-top:22.7pt;width:468.65pt;height:459.4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" fillcolor="white [3201]" stroked="f" strokeweight=".5pt">
                <v:textbox>
                  <w:txbxContent>
                    <w:p w14:paraId="65329755" w14:textId="77777777" w:rsidR="00C4489E" w:rsidRDefault="00C4489E" w:rsidP="00C4489E">
                      <w:r>
                        <w:rPr>
                          <w:noProof/>
                        </w:rPr>
                        <w:drawing>
                          <wp:inline distT="0" distB="0" distL="0" distR="0" wp14:anchorId="203CD0F0" wp14:editId="58283EEF">
                            <wp:extent cx="5762625" cy="5354652"/>
                            <wp:effectExtent l="0" t="0" r="3175"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62625" cy="5354652"/>
                                    </a:xfrm>
                                    <a:prstGeom prst="rect">
                                      <a:avLst/>
                                    </a:prstGeom>
                                  </pic:spPr>
                                </pic:pic>
                              </a:graphicData>
                            </a:graphic>
                          </wp:inline>
                        </w:drawing>
                      </w:r>
                    </w:p>
                    <w:p w14:paraId="60E47ADC" w14:textId="77777777" w:rsidR="00C4489E" w:rsidRPr="008165EF" w:rsidRDefault="00C4489E" w:rsidP="00C4489E">
                      <w:pPr>
                        <w:spacing w:line="480" w:lineRule="auto"/>
                        <w:jc w:val="both"/>
                        <w:rPr>
                          <w:rFonts w:ascii="Helvetica" w:hAnsi="Helvetica"/>
                          <w:sz w:val="22"/>
                          <w:szCs w:val="22"/>
                        </w:rPr>
                      </w:pPr>
                      <w:r w:rsidRPr="008165EF">
                        <w:rPr>
                          <w:rFonts w:ascii="Helvetica" w:hAnsi="Helvetica"/>
                          <w:b/>
                          <w:bCs/>
                          <w:sz w:val="22"/>
                          <w:szCs w:val="22"/>
                        </w:rPr>
                        <w:t xml:space="preserve">Figure S1.  </w:t>
                      </w:r>
                      <w:r w:rsidRPr="008165EF">
                        <w:rPr>
                          <w:rFonts w:ascii="Helvetica" w:hAnsi="Helvetica"/>
                          <w:sz w:val="22"/>
                          <w:szCs w:val="22"/>
                        </w:rPr>
                        <w:t>A) Test paintings from each artist.  B-C) Training paintings from each artist.</w:t>
                      </w:r>
                    </w:p>
                    <w:p w14:paraId="384A21BD" w14:textId="77777777" w:rsidR="00C4489E" w:rsidRPr="008165EF" w:rsidRDefault="00C4489E" w:rsidP="00C4489E">
                      <w:pPr>
                        <w:rPr>
                          <w:rFonts w:ascii="Helvetica" w:hAnsi="Helvetica"/>
                        </w:rPr>
                      </w:pPr>
                    </w:p>
                    <w:p w14:paraId="0EFD2502" w14:textId="77777777" w:rsidR="00C4489E" w:rsidRDefault="00C4489E" w:rsidP="00C4489E"/>
                  </w:txbxContent>
                </v:textbox>
                <w10:wrap type="square"/>
              </v:shape>
            </w:pict>
          </mc:Fallback>
        </mc:AlternateContent>
      </w:r>
    </w:p>
    <w:p w14:paraId="142F4A8F" w14:textId="77777777" w:rsidR="00C4489E" w:rsidRPr="00C4489E" w:rsidRDefault="00C4489E" w:rsidP="00C4489E">
      <w:pPr>
        <w:pStyle w:val="SOMContent"/>
        <w:spacing w:before="0" w:line="480" w:lineRule="auto"/>
        <w:jc w:val="both"/>
        <w:rPr>
          <w:b/>
          <w:bCs/>
        </w:rPr>
      </w:pPr>
    </w:p>
    <w:p w14:paraId="754BF915" w14:textId="77777777" w:rsidR="00C4489E" w:rsidRPr="00C4489E" w:rsidRDefault="00C4489E" w:rsidP="00C4489E">
      <w:pPr>
        <w:pStyle w:val="SOMContent"/>
        <w:spacing w:before="0" w:line="480" w:lineRule="auto"/>
        <w:jc w:val="both"/>
        <w:rPr>
          <w:color w:val="000000" w:themeColor="text1"/>
        </w:rPr>
      </w:pPr>
      <w:r w:rsidRPr="00C4489E">
        <w:rPr>
          <w:noProof/>
          <w:color w:val="000000" w:themeColor="text1"/>
        </w:rPr>
        <w:lastRenderedPageBreak/>
        <mc:AlternateContent>
          <mc:Choice Requires="wps">
            <w:drawing>
              <wp:anchor distT="0" distB="0" distL="114300" distR="114300" simplePos="0" relativeHeight="251659264" behindDoc="0" locked="0" layoutInCell="1" allowOverlap="1" wp14:anchorId="30C5A8C7" wp14:editId="29E8B854">
                <wp:simplePos x="0" y="0"/>
                <wp:positionH relativeFrom="margin">
                  <wp:posOffset>0</wp:posOffset>
                </wp:positionH>
                <wp:positionV relativeFrom="paragraph">
                  <wp:posOffset>350520</wp:posOffset>
                </wp:positionV>
                <wp:extent cx="6059805" cy="2069465"/>
                <wp:effectExtent l="0" t="0" r="0" b="6985"/>
                <wp:wrapSquare wrapText="bothSides"/>
                <wp:docPr id="26" name="Text Box 26"/>
                <wp:cNvGraphicFramePr/>
                <a:graphic xmlns:a="http://schemas.openxmlformats.org/drawingml/2006/main">
                  <a:graphicData uri="http://schemas.microsoft.com/office/word/2010/wordprocessingShape">
                    <wps:wsp>
                      <wps:cNvSpPr txBox="1"/>
                      <wps:spPr>
                        <a:xfrm>
                          <a:off x="0" y="0"/>
                          <a:ext cx="6059805" cy="2069465"/>
                        </a:xfrm>
                        <a:prstGeom prst="rect">
                          <a:avLst/>
                        </a:prstGeom>
                        <a:solidFill>
                          <a:schemeClr val="lt1"/>
                        </a:solidFill>
                        <a:ln w="6350">
                          <a:noFill/>
                        </a:ln>
                      </wps:spPr>
                      <wps:txbx>
                        <w:txbxContent>
                          <w:p w14:paraId="1B033610" w14:textId="77777777" w:rsidR="00C4489E" w:rsidRDefault="00C4489E" w:rsidP="00C4489E">
                            <w:r>
                              <w:rPr>
                                <w:noProof/>
                              </w:rPr>
                              <w:drawing>
                                <wp:inline distT="0" distB="0" distL="0" distR="0" wp14:anchorId="44D4F3F8" wp14:editId="38A043D1">
                                  <wp:extent cx="5870575" cy="1736204"/>
                                  <wp:effectExtent l="0" t="0" r="0" b="3810"/>
                                  <wp:docPr id="15" name="Picture 15"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243804" name="Picture 1759243804" descr="Timeli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70575" cy="1736204"/>
                                          </a:xfrm>
                                          <a:prstGeom prst="rect">
                                            <a:avLst/>
                                          </a:prstGeom>
                                        </pic:spPr>
                                      </pic:pic>
                                    </a:graphicData>
                                  </a:graphic>
                                </wp:inline>
                              </w:drawing>
                            </w:r>
                          </w:p>
                          <w:p w14:paraId="653DB21E" w14:textId="77777777" w:rsidR="00C4489E" w:rsidRPr="008165EF" w:rsidRDefault="00C4489E" w:rsidP="00C4489E">
                            <w:pPr>
                              <w:spacing w:line="480" w:lineRule="auto"/>
                              <w:jc w:val="both"/>
                              <w:rPr>
                                <w:rFonts w:ascii="Helvetica" w:hAnsi="Helvetica"/>
                                <w:sz w:val="22"/>
                                <w:szCs w:val="22"/>
                              </w:rPr>
                            </w:pPr>
                            <w:r w:rsidRPr="008165EF">
                              <w:rPr>
                                <w:rFonts w:ascii="Helvetica" w:hAnsi="Helvetica"/>
                                <w:b/>
                                <w:bCs/>
                                <w:sz w:val="22"/>
                                <w:szCs w:val="22"/>
                              </w:rPr>
                              <w:t xml:space="preserve">Figure S2.  </w:t>
                            </w:r>
                            <w:r w:rsidRPr="008165EF">
                              <w:rPr>
                                <w:rFonts w:ascii="Helvetica" w:hAnsi="Helvetica"/>
                                <w:sz w:val="22"/>
                                <w:szCs w:val="22"/>
                              </w:rPr>
                              <w:t>Schematic of the convolutional neural network architecture.</w:t>
                            </w:r>
                          </w:p>
                          <w:p w14:paraId="0AE70C7B" w14:textId="77777777" w:rsidR="00C4489E" w:rsidRPr="00702ABB" w:rsidRDefault="00C4489E" w:rsidP="00C4489E">
                            <w:pPr>
                              <w:spacing w:line="480" w:lineRule="auto"/>
                              <w:jc w:val="both"/>
                              <w:rPr>
                                <w:sz w:val="22"/>
                                <w:szCs w:val="22"/>
                              </w:rPr>
                            </w:pPr>
                          </w:p>
                          <w:p w14:paraId="5CD68D85" w14:textId="77777777" w:rsidR="00C4489E" w:rsidRDefault="00C4489E" w:rsidP="00C4489E"/>
                          <w:p w14:paraId="2E00020E" w14:textId="77777777" w:rsidR="00C4489E" w:rsidRDefault="00C4489E" w:rsidP="00C448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0C5A8C7" id="Text Box 26" o:spid="_x0000_s1027" type="#_x0000_t202" style="position:absolute;left:0;text-align:left;margin-left:0;margin-top:27.6pt;width:477.15pt;height:162.95pt;z-index:25165926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" fillcolor="white [3201]" stroked="f" strokeweight=".5pt">
                <v:textbox>
                  <w:txbxContent>
                    <w:p w14:paraId="1B033610" w14:textId="77777777" w:rsidR="00C4489E" w:rsidRDefault="00C4489E" w:rsidP="00C4489E">
                      <w:r>
                        <w:rPr>
                          <w:noProof/>
                        </w:rPr>
                        <w:drawing>
                          <wp:inline distT="0" distB="0" distL="0" distR="0" wp14:anchorId="44D4F3F8" wp14:editId="38A043D1">
                            <wp:extent cx="5870575" cy="1736204"/>
                            <wp:effectExtent l="0" t="0" r="0" b="3810"/>
                            <wp:docPr id="15" name="Picture 15"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243804" name="Picture 1759243804" descr="Timelin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870575" cy="1736204"/>
                                    </a:xfrm>
                                    <a:prstGeom prst="rect">
                                      <a:avLst/>
                                    </a:prstGeom>
                                  </pic:spPr>
                                </pic:pic>
                              </a:graphicData>
                            </a:graphic>
                          </wp:inline>
                        </w:drawing>
                      </w:r>
                    </w:p>
                    <w:p w14:paraId="653DB21E" w14:textId="77777777" w:rsidR="00C4489E" w:rsidRPr="008165EF" w:rsidRDefault="00C4489E" w:rsidP="00C4489E">
                      <w:pPr>
                        <w:spacing w:line="480" w:lineRule="auto"/>
                        <w:jc w:val="both"/>
                        <w:rPr>
                          <w:rFonts w:ascii="Helvetica" w:hAnsi="Helvetica"/>
                          <w:sz w:val="22"/>
                          <w:szCs w:val="22"/>
                        </w:rPr>
                      </w:pPr>
                      <w:r w:rsidRPr="008165EF">
                        <w:rPr>
                          <w:rFonts w:ascii="Helvetica" w:hAnsi="Helvetica"/>
                          <w:b/>
                          <w:bCs/>
                          <w:sz w:val="22"/>
                          <w:szCs w:val="22"/>
                        </w:rPr>
                        <w:t xml:space="preserve">Figure S2.  </w:t>
                      </w:r>
                      <w:r w:rsidRPr="008165EF">
                        <w:rPr>
                          <w:rFonts w:ascii="Helvetica" w:hAnsi="Helvetica"/>
                          <w:sz w:val="22"/>
                          <w:szCs w:val="22"/>
                        </w:rPr>
                        <w:t>Schematic of the convolutional neural network architecture.</w:t>
                      </w:r>
                    </w:p>
                    <w:p w14:paraId="0AE70C7B" w14:textId="77777777" w:rsidR="00C4489E" w:rsidRPr="00702ABB" w:rsidRDefault="00C4489E" w:rsidP="00C4489E">
                      <w:pPr>
                        <w:spacing w:line="480" w:lineRule="auto"/>
                        <w:jc w:val="both"/>
                        <w:rPr>
                          <w:sz w:val="22"/>
                          <w:szCs w:val="22"/>
                        </w:rPr>
                      </w:pPr>
                    </w:p>
                    <w:p w14:paraId="5CD68D85" w14:textId="77777777" w:rsidR="00C4489E" w:rsidRDefault="00C4489E" w:rsidP="00C4489E"/>
                    <w:p w14:paraId="2E00020E" w14:textId="77777777" w:rsidR="00C4489E" w:rsidRDefault="00C4489E" w:rsidP="00C4489E"/>
                  </w:txbxContent>
                </v:textbox>
                <w10:wrap type="square" anchorx="margin"/>
              </v:shape>
            </w:pict>
          </mc:Fallback>
        </mc:AlternateContent>
      </w:r>
    </w:p>
    <w:p w14:paraId="7E9F901D" w14:textId="77777777" w:rsidR="00C4489E" w:rsidRPr="00C4489E" w:rsidRDefault="00C4489E" w:rsidP="00C4489E">
      <w:pPr>
        <w:pStyle w:val="SOMContent"/>
        <w:spacing w:before="0" w:line="480" w:lineRule="auto"/>
        <w:jc w:val="both"/>
        <w:rPr>
          <w:rFonts w:ascii="Helvetica" w:hAnsi="Helvetica"/>
          <w:color w:val="000000" w:themeColor="text1"/>
        </w:rPr>
      </w:pPr>
      <w:r w:rsidRPr="00C4489E">
        <w:rPr>
          <w:noProof/>
          <w:color w:val="000000" w:themeColor="text1"/>
        </w:rPr>
        <w:drawing>
          <wp:inline distT="0" distB="0" distL="0" distR="0" wp14:anchorId="5FF446C8" wp14:editId="394C3F72">
            <wp:extent cx="5943600" cy="2505710"/>
            <wp:effectExtent l="0" t="0" r="0" b="8890"/>
            <wp:docPr id="29" name="Picture 29"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Graphical user interface, chart, line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505710"/>
                    </a:xfrm>
                    <a:prstGeom prst="rect">
                      <a:avLst/>
                    </a:prstGeom>
                  </pic:spPr>
                </pic:pic>
              </a:graphicData>
            </a:graphic>
          </wp:inline>
        </w:drawing>
      </w:r>
      <w:r w:rsidRPr="00C4489E">
        <w:rPr>
          <w:rFonts w:ascii="Helvetica" w:hAnsi="Helvetica"/>
          <w:b/>
          <w:color w:val="000000" w:themeColor="text1"/>
          <w:sz w:val="22"/>
          <w:szCs w:val="22"/>
        </w:rPr>
        <w:t>Figure S3</w:t>
      </w:r>
      <w:r w:rsidRPr="00C4489E">
        <w:rPr>
          <w:rFonts w:ascii="Helvetica" w:hAnsi="Helvetica"/>
          <w:color w:val="000000" w:themeColor="text1"/>
          <w:sz w:val="22"/>
          <w:szCs w:val="22"/>
        </w:rPr>
        <w:t>. Patch size versus A) precision and B) recall for each artist.</w:t>
      </w:r>
      <w:r w:rsidRPr="00C4489E">
        <w:rPr>
          <w:rFonts w:ascii="Helvetica" w:hAnsi="Helvetica"/>
          <w:color w:val="000000" w:themeColor="text1"/>
        </w:rPr>
        <w:t xml:space="preserve"> </w:t>
      </w:r>
    </w:p>
    <w:p w14:paraId="4A68A18B" w14:textId="77777777" w:rsidR="00C4489E" w:rsidRPr="00C4489E" w:rsidRDefault="00C4489E" w:rsidP="00C4489E">
      <w:pPr>
        <w:pStyle w:val="SOMContent"/>
        <w:spacing w:before="0" w:line="480" w:lineRule="auto"/>
        <w:jc w:val="both"/>
        <w:rPr>
          <w:color w:val="000000" w:themeColor="text1"/>
        </w:rPr>
      </w:pPr>
    </w:p>
    <w:p w14:paraId="2B0A38D3" w14:textId="77777777" w:rsidR="00C4489E" w:rsidRPr="00C4489E" w:rsidRDefault="00C4489E" w:rsidP="00C4489E">
      <w:pPr>
        <w:pStyle w:val="SOMContent"/>
        <w:spacing w:before="0" w:line="480" w:lineRule="auto"/>
        <w:jc w:val="both"/>
        <w:rPr>
          <w:color w:val="000000" w:themeColor="text1"/>
        </w:rPr>
      </w:pPr>
      <w:r w:rsidRPr="00C4489E">
        <w:rPr>
          <w:noProof/>
          <w:color w:val="000000" w:themeColor="text1"/>
        </w:rPr>
        <w:lastRenderedPageBreak/>
        <mc:AlternateContent>
          <mc:Choice Requires="wps">
            <w:drawing>
              <wp:anchor distT="0" distB="0" distL="114300" distR="114300" simplePos="0" relativeHeight="251660288" behindDoc="0" locked="0" layoutInCell="1" allowOverlap="1" wp14:anchorId="3D2ADB9F" wp14:editId="3038291F">
                <wp:simplePos x="0" y="0"/>
                <wp:positionH relativeFrom="column">
                  <wp:posOffset>0</wp:posOffset>
                </wp:positionH>
                <wp:positionV relativeFrom="paragraph">
                  <wp:posOffset>350520</wp:posOffset>
                </wp:positionV>
                <wp:extent cx="6059805" cy="3557270"/>
                <wp:effectExtent l="0" t="0" r="0" b="0"/>
                <wp:wrapSquare wrapText="bothSides"/>
                <wp:docPr id="27" name="Text Box 27"/>
                <wp:cNvGraphicFramePr/>
                <a:graphic xmlns:a="http://schemas.openxmlformats.org/drawingml/2006/main">
                  <a:graphicData uri="http://schemas.microsoft.com/office/word/2010/wordprocessingShape">
                    <wps:wsp>
                      <wps:cNvSpPr txBox="1"/>
                      <wps:spPr>
                        <a:xfrm>
                          <a:off x="0" y="0"/>
                          <a:ext cx="6059805" cy="3557270"/>
                        </a:xfrm>
                        <a:prstGeom prst="rect">
                          <a:avLst/>
                        </a:prstGeom>
                        <a:solidFill>
                          <a:schemeClr val="lt1"/>
                        </a:solidFill>
                        <a:ln w="6350">
                          <a:noFill/>
                        </a:ln>
                      </wps:spPr>
                      <wps:txbx>
                        <w:txbxContent>
                          <w:p w14:paraId="775670C7" w14:textId="77777777" w:rsidR="00C4489E" w:rsidRDefault="00C4489E" w:rsidP="00C4489E">
                            <w:pPr>
                              <w:jc w:val="center"/>
                            </w:pPr>
                            <w:r>
                              <w:rPr>
                                <w:noProof/>
                              </w:rPr>
                              <w:drawing>
                                <wp:inline distT="0" distB="0" distL="0" distR="0" wp14:anchorId="4E7DCBC0" wp14:editId="4AFE7285">
                                  <wp:extent cx="3314095" cy="2609850"/>
                                  <wp:effectExtent l="0" t="0" r="0" b="0"/>
                                  <wp:docPr id="19" name="Picture 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248915" name="Picture 768248915" descr="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14095" cy="2609850"/>
                                          </a:xfrm>
                                          <a:prstGeom prst="rect">
                                            <a:avLst/>
                                          </a:prstGeom>
                                        </pic:spPr>
                                      </pic:pic>
                                    </a:graphicData>
                                  </a:graphic>
                                </wp:inline>
                              </w:drawing>
                            </w:r>
                          </w:p>
                          <w:p w14:paraId="4A3189EA" w14:textId="77777777" w:rsidR="00C4489E" w:rsidRPr="00702ABB" w:rsidRDefault="00C4489E" w:rsidP="00C4489E">
                            <w:pPr>
                              <w:rPr>
                                <w:sz w:val="22"/>
                                <w:szCs w:val="22"/>
                              </w:rPr>
                            </w:pPr>
                            <w:r>
                              <w:br/>
                            </w:r>
                            <w:r w:rsidRPr="00702ABB">
                              <w:rPr>
                                <w:b/>
                                <w:bCs/>
                                <w:sz w:val="22"/>
                                <w:szCs w:val="22"/>
                              </w:rPr>
                              <w:t>Figure S</w:t>
                            </w:r>
                            <w:r>
                              <w:rPr>
                                <w:b/>
                                <w:bCs/>
                                <w:sz w:val="22"/>
                                <w:szCs w:val="22"/>
                              </w:rPr>
                              <w:t>4</w:t>
                            </w:r>
                            <w:r w:rsidRPr="00702ABB">
                              <w:rPr>
                                <w:b/>
                                <w:bCs/>
                                <w:sz w:val="22"/>
                                <w:szCs w:val="22"/>
                              </w:rPr>
                              <w:t>.</w:t>
                            </w:r>
                            <w:r w:rsidRPr="00702ABB">
                              <w:rPr>
                                <w:sz w:val="22"/>
                                <w:szCs w:val="22"/>
                              </w:rPr>
                              <w:t xml:space="preserve">  Mean accuracy versus patch size for the original choice of training set used in the main text (black curve), versus the mean results from a random selection of 10 alternative training sets (red curve), corresponding to different choices of which two out of three paintings from each artist to use for training.</w:t>
                            </w:r>
                          </w:p>
                          <w:p w14:paraId="6984A727" w14:textId="77777777" w:rsidR="00C4489E" w:rsidRDefault="00C4489E" w:rsidP="00C4489E"/>
                          <w:p w14:paraId="210D7882" w14:textId="77777777" w:rsidR="00C4489E" w:rsidRDefault="00C4489E" w:rsidP="00C4489E"/>
                          <w:p w14:paraId="1CD4D7F0" w14:textId="77777777" w:rsidR="00C4489E" w:rsidRDefault="00C4489E" w:rsidP="00C4489E"/>
                          <w:p w14:paraId="2C6CDB52" w14:textId="77777777" w:rsidR="00C4489E" w:rsidRDefault="00C4489E" w:rsidP="00C448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2ADB9F" id="Text Box 27" o:spid="_x0000_s1028" type="#_x0000_t202" style="position:absolute;left:0;text-align:left;margin-left:0;margin-top:27.6pt;width:477.15pt;height:280.1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" fillcolor="white [3201]" stroked="f" strokeweight=".5pt">
                <v:textbox>
                  <w:txbxContent>
                    <w:p w14:paraId="775670C7" w14:textId="77777777" w:rsidR="00C4489E" w:rsidRDefault="00C4489E" w:rsidP="00C4489E">
                      <w:pPr>
                        <w:jc w:val="center"/>
                      </w:pPr>
                      <w:r>
                        <w:rPr>
                          <w:noProof/>
                        </w:rPr>
                        <w:drawing>
                          <wp:inline distT="0" distB="0" distL="0" distR="0" wp14:anchorId="4E7DCBC0" wp14:editId="4AFE7285">
                            <wp:extent cx="3314095" cy="2609850"/>
                            <wp:effectExtent l="0" t="0" r="0" b="0"/>
                            <wp:docPr id="19" name="Picture 1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8248915" name="Picture 768248915" descr="Chart, line char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14095" cy="2609850"/>
                                    </a:xfrm>
                                    <a:prstGeom prst="rect">
                                      <a:avLst/>
                                    </a:prstGeom>
                                  </pic:spPr>
                                </pic:pic>
                              </a:graphicData>
                            </a:graphic>
                          </wp:inline>
                        </w:drawing>
                      </w:r>
                    </w:p>
                    <w:p w14:paraId="4A3189EA" w14:textId="77777777" w:rsidR="00C4489E" w:rsidRPr="00702ABB" w:rsidRDefault="00C4489E" w:rsidP="00C4489E">
                      <w:pPr>
                        <w:rPr>
                          <w:sz w:val="22"/>
                          <w:szCs w:val="22"/>
                        </w:rPr>
                      </w:pPr>
                      <w:r>
                        <w:br/>
                      </w:r>
                      <w:r w:rsidRPr="00702ABB">
                        <w:rPr>
                          <w:b/>
                          <w:bCs/>
                          <w:sz w:val="22"/>
                          <w:szCs w:val="22"/>
                        </w:rPr>
                        <w:t>Figure S</w:t>
                      </w:r>
                      <w:r>
                        <w:rPr>
                          <w:b/>
                          <w:bCs/>
                          <w:sz w:val="22"/>
                          <w:szCs w:val="22"/>
                        </w:rPr>
                        <w:t>4</w:t>
                      </w:r>
                      <w:r w:rsidRPr="00702ABB">
                        <w:rPr>
                          <w:b/>
                          <w:bCs/>
                          <w:sz w:val="22"/>
                          <w:szCs w:val="22"/>
                        </w:rPr>
                        <w:t>.</w:t>
                      </w:r>
                      <w:r w:rsidRPr="00702ABB">
                        <w:rPr>
                          <w:sz w:val="22"/>
                          <w:szCs w:val="22"/>
                        </w:rPr>
                        <w:t xml:space="preserve">  Mean accuracy versus patch size for the original choice of training set used in the main text (black curve), versus the mean results from a random selection of 10 alternative training sets (red curve), corresponding to different choices of which two out of three paintings from each artist to use for training.</w:t>
                      </w:r>
                    </w:p>
                    <w:p w14:paraId="6984A727" w14:textId="77777777" w:rsidR="00C4489E" w:rsidRDefault="00C4489E" w:rsidP="00C4489E"/>
                    <w:p w14:paraId="210D7882" w14:textId="77777777" w:rsidR="00C4489E" w:rsidRDefault="00C4489E" w:rsidP="00C4489E"/>
                    <w:p w14:paraId="1CD4D7F0" w14:textId="77777777" w:rsidR="00C4489E" w:rsidRDefault="00C4489E" w:rsidP="00C4489E"/>
                    <w:p w14:paraId="2C6CDB52" w14:textId="77777777" w:rsidR="00C4489E" w:rsidRDefault="00C4489E" w:rsidP="00C4489E"/>
                  </w:txbxContent>
                </v:textbox>
                <w10:wrap type="square"/>
              </v:shape>
            </w:pict>
          </mc:Fallback>
        </mc:AlternateContent>
      </w:r>
    </w:p>
    <w:p w14:paraId="0D186CD4" w14:textId="77777777" w:rsidR="00D7432B" w:rsidRPr="00C4489E" w:rsidRDefault="00D7432B">
      <w:pPr>
        <w:rPr>
          <w:rFonts w:ascii="Times New Roman" w:hAnsi="Times New Roman" w:cs="Times New Roman"/>
        </w:rPr>
      </w:pPr>
    </w:p>
    <w:p w14:paraId="4E939076" w14:textId="77777777" w:rsidR="00C4489E" w:rsidRPr="00C4489E" w:rsidRDefault="00C4489E">
      <w:pPr>
        <w:rPr>
          <w:rFonts w:ascii="Times New Roman" w:hAnsi="Times New Roman" w:cs="Times New Roman"/>
        </w:rPr>
      </w:pPr>
    </w:p>
    <w:sectPr w:rsidR="00C4489E" w:rsidRPr="00C4489E" w:rsidSect="00CC3AE9">
      <w:headerReference w:type="default" r:id="rId8"/>
      <w:footerReference w:type="even" r:id="rId9"/>
      <w:footerReference w:type="default" r:id="rId10"/>
      <w:pgSz w:w="12240" w:h="15840"/>
      <w:pgMar w:top="1440" w:right="1440" w:bottom="1440" w:left="1440" w:header="432" w:footer="259"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84850679"/>
      <w:docPartObj>
        <w:docPartGallery w:val="Page Numbers (Bottom of Page)"/>
        <w:docPartUnique/>
      </w:docPartObj>
    </w:sdtPr>
    <w:sdtEndPr>
      <w:rPr>
        <w:rStyle w:val="PageNumber"/>
      </w:rPr>
    </w:sdtEndPr>
    <w:sdtContent>
      <w:p w14:paraId="6E4233AD" w14:textId="77777777" w:rsidR="001F4275" w:rsidRDefault="00C4489E" w:rsidP="001F427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CC567FC" w14:textId="77777777" w:rsidR="001F4275" w:rsidRDefault="00C448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87203845"/>
      <w:docPartObj>
        <w:docPartGallery w:val="Page Numbers (Bottom of Page)"/>
        <w:docPartUnique/>
      </w:docPartObj>
    </w:sdtPr>
    <w:sdtEndPr>
      <w:rPr>
        <w:rStyle w:val="PageNumber"/>
      </w:rPr>
    </w:sdtEndPr>
    <w:sdtContent>
      <w:p w14:paraId="0FFA6B81" w14:textId="77777777" w:rsidR="001F4275" w:rsidRDefault="00C4489E" w:rsidP="001F427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17</w:t>
        </w:r>
        <w:r>
          <w:rPr>
            <w:rStyle w:val="PageNumber"/>
          </w:rPr>
          <w:fldChar w:fldCharType="end"/>
        </w:r>
      </w:p>
    </w:sdtContent>
  </w:sdt>
  <w:p w14:paraId="14FAEADD" w14:textId="77777777" w:rsidR="001F4275" w:rsidRDefault="00C4489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45"/>
      <w:gridCol w:w="3145"/>
      <w:gridCol w:w="3145"/>
    </w:tblGrid>
    <w:tr w:rsidR="001F4275" w14:paraId="3387E26F" w14:textId="77777777" w:rsidTr="25FD9EFC">
      <w:tc>
        <w:tcPr>
          <w:tcW w:w="3145" w:type="dxa"/>
        </w:tcPr>
        <w:p w14:paraId="758E533D" w14:textId="77777777" w:rsidR="001F4275" w:rsidRDefault="00C4489E" w:rsidP="25FD9EFC">
          <w:pPr>
            <w:pStyle w:val="Header"/>
            <w:ind w:left="-115"/>
          </w:pPr>
        </w:p>
      </w:tc>
      <w:tc>
        <w:tcPr>
          <w:tcW w:w="3145" w:type="dxa"/>
        </w:tcPr>
        <w:p w14:paraId="701C4836" w14:textId="77777777" w:rsidR="001F4275" w:rsidRDefault="00C4489E" w:rsidP="25FD9EFC">
          <w:pPr>
            <w:pStyle w:val="Header"/>
            <w:jc w:val="center"/>
          </w:pPr>
        </w:p>
      </w:tc>
      <w:tc>
        <w:tcPr>
          <w:tcW w:w="3145" w:type="dxa"/>
        </w:tcPr>
        <w:p w14:paraId="080B45F8" w14:textId="77777777" w:rsidR="001F4275" w:rsidRDefault="00C4489E" w:rsidP="25FD9EFC">
          <w:pPr>
            <w:pStyle w:val="Header"/>
            <w:ind w:right="-115"/>
            <w:jc w:val="right"/>
          </w:pPr>
        </w:p>
      </w:tc>
    </w:tr>
  </w:tbl>
  <w:p w14:paraId="7F067DA8" w14:textId="77777777" w:rsidR="001F4275" w:rsidRDefault="00C4489E" w:rsidP="25FD9E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89E"/>
    <w:rsid w:val="00C4489E"/>
    <w:rsid w:val="00D743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A4D4C"/>
  <w15:chartTrackingRefBased/>
  <w15:docId w15:val="{71628044-A065-984E-9194-F4581721B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C4489E"/>
    <w:pPr>
      <w:spacing w:before="120"/>
      <w:ind w:firstLine="720"/>
    </w:pPr>
    <w:rPr>
      <w:rFonts w:ascii="Times New Roman" w:eastAsia="Times New Roman" w:hAnsi="Times New Roman" w:cs="Times New Roman"/>
    </w:rPr>
  </w:style>
  <w:style w:type="paragraph" w:styleId="Footer">
    <w:name w:val="footer"/>
    <w:basedOn w:val="Normal"/>
    <w:link w:val="FooterChar"/>
    <w:uiPriority w:val="99"/>
    <w:rsid w:val="00C4489E"/>
    <w:pPr>
      <w:tabs>
        <w:tab w:val="center" w:pos="4320"/>
        <w:tab w:val="right" w:pos="8640"/>
      </w:tabs>
    </w:pPr>
    <w:rPr>
      <w:rFonts w:ascii="Times New Roman" w:eastAsia="Times New Roman" w:hAnsi="Times New Roman" w:cs="Times New Roman"/>
      <w:sz w:val="20"/>
      <w:szCs w:val="20"/>
    </w:rPr>
  </w:style>
  <w:style w:type="character" w:customStyle="1" w:styleId="FooterChar">
    <w:name w:val="Footer Char"/>
    <w:basedOn w:val="DefaultParagraphFont"/>
    <w:link w:val="Footer"/>
    <w:uiPriority w:val="99"/>
    <w:rsid w:val="00C4489E"/>
    <w:rPr>
      <w:rFonts w:ascii="Times New Roman" w:eastAsia="Times New Roman" w:hAnsi="Times New Roman" w:cs="Times New Roman"/>
      <w:sz w:val="20"/>
      <w:szCs w:val="20"/>
    </w:rPr>
  </w:style>
  <w:style w:type="paragraph" w:styleId="Header">
    <w:name w:val="header"/>
    <w:basedOn w:val="Normal"/>
    <w:link w:val="HeaderChar"/>
    <w:rsid w:val="00C4489E"/>
    <w:pPr>
      <w:tabs>
        <w:tab w:val="center" w:pos="4320"/>
        <w:tab w:val="right" w:pos="8640"/>
      </w:tabs>
    </w:pPr>
    <w:rPr>
      <w:rFonts w:ascii="Times New Roman" w:eastAsia="Times New Roman" w:hAnsi="Times New Roman" w:cs="Times New Roman"/>
      <w:sz w:val="20"/>
      <w:szCs w:val="20"/>
    </w:rPr>
  </w:style>
  <w:style w:type="character" w:customStyle="1" w:styleId="HeaderChar">
    <w:name w:val="Header Char"/>
    <w:basedOn w:val="DefaultParagraphFont"/>
    <w:link w:val="Header"/>
    <w:rsid w:val="00C4489E"/>
    <w:rPr>
      <w:rFonts w:ascii="Times New Roman" w:eastAsia="Times New Roman" w:hAnsi="Times New Roman" w:cs="Times New Roman"/>
      <w:sz w:val="20"/>
      <w:szCs w:val="20"/>
    </w:rPr>
  </w:style>
  <w:style w:type="character" w:styleId="PageNumber">
    <w:name w:val="page number"/>
    <w:basedOn w:val="DefaultParagraphFont"/>
    <w:rsid w:val="00C4489E"/>
  </w:style>
  <w:style w:type="paragraph" w:customStyle="1" w:styleId="SOMContent">
    <w:name w:val="SOMContent"/>
    <w:basedOn w:val="Normal"/>
    <w:rsid w:val="00C4489E"/>
    <w:pPr>
      <w:spacing w:before="120"/>
    </w:pPr>
    <w:rPr>
      <w:rFonts w:ascii="Times New Roman" w:eastAsia="Times New Roman" w:hAnsi="Times New Roman" w:cs="Times New Roman"/>
    </w:rPr>
  </w:style>
  <w:style w:type="character" w:styleId="LineNumber">
    <w:name w:val="line number"/>
    <w:basedOn w:val="DefaultParagraphFont"/>
    <w:uiPriority w:val="99"/>
    <w:semiHidden/>
    <w:unhideWhenUsed/>
    <w:rsid w:val="00C448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footer" Target="footer2.xml"/><Relationship Id="rId4" Type="http://schemas.openxmlformats.org/officeDocument/2006/relationships/image" Target="media/image1.png"/><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841</Words>
  <Characters>4799</Characters>
  <Application>Microsoft Office Word</Application>
  <DocSecurity>0</DocSecurity>
  <Lines>39</Lines>
  <Paragraphs>11</Paragraphs>
  <ScaleCrop>false</ScaleCrop>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Kenneth Singer</dc:creator>
  <cp:keywords/>
  <dc:description/>
  <cp:lastModifiedBy>Kenneth Singer</cp:lastModifiedBy>
  <cp:revision>1</cp:revision>
  <dcterms:created xsi:type="dcterms:W3CDTF">2021-06-26T14:55:00Z</dcterms:created>
  <dcterms:modified xsi:type="dcterms:W3CDTF">2021-06-26T14:56:00Z</dcterms:modified>
</cp:coreProperties>
</file>