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E3955" w14:textId="77777777" w:rsidR="00E81006" w:rsidRPr="009C0FB8" w:rsidRDefault="00E81006" w:rsidP="00E81006">
      <w:pPr>
        <w:spacing w:after="0" w:line="360" w:lineRule="auto"/>
        <w:jc w:val="both"/>
        <w:rPr>
          <w:rFonts w:ascii="Arial" w:hAnsi="Arial" w:cs="Arial"/>
          <w:b/>
          <w:bCs/>
          <w:lang w:val="en-US"/>
        </w:rPr>
      </w:pPr>
      <w:r w:rsidRPr="007F37C0">
        <w:rPr>
          <w:rFonts w:ascii="Arial" w:hAnsi="Arial" w:cs="Arial"/>
          <w:b/>
          <w:bCs/>
          <w:lang w:val="en-US"/>
        </w:rPr>
        <w:t>Extended Data Figure 1: Optimization of immunohistochemistry staining for p16 antibody</w:t>
      </w:r>
      <w:r>
        <w:rPr>
          <w:rFonts w:ascii="Arial" w:hAnsi="Arial" w:cs="Arial"/>
          <w:b/>
          <w:bCs/>
          <w:lang w:val="en-US"/>
        </w:rPr>
        <w:t xml:space="preserve">. </w:t>
      </w:r>
      <w:r w:rsidRPr="007F37C0">
        <w:rPr>
          <w:rFonts w:ascii="Arial" w:hAnsi="Arial" w:cs="Arial"/>
          <w:lang w:val="en-US"/>
        </w:rPr>
        <w:t xml:space="preserve">Representative images showing optimization of immunohistochemistry staining for p16 antibody (Enzo ABS377-0100) with the corresponding p16 quantification using digital labeling (expressed as a percentage). </w:t>
      </w:r>
      <w:r w:rsidRPr="007F37C0">
        <w:rPr>
          <w:rFonts w:ascii="Arial" w:hAnsi="Arial" w:cs="Arial"/>
          <w:b/>
          <w:bCs/>
          <w:lang w:val="en-US"/>
        </w:rPr>
        <w:t>a,</w:t>
      </w:r>
      <w:r w:rsidRPr="007F37C0">
        <w:rPr>
          <w:rFonts w:ascii="Arial" w:hAnsi="Arial" w:cs="Arial"/>
          <w:lang w:val="en-US"/>
        </w:rPr>
        <w:t xml:space="preserve"> In postmenopausal human ovarian tissue (80 years old)</w:t>
      </w:r>
      <w:r>
        <w:rPr>
          <w:rFonts w:ascii="Arial" w:hAnsi="Arial" w:cs="Arial"/>
          <w:b/>
          <w:bCs/>
          <w:lang w:val="en-US"/>
        </w:rPr>
        <w:t xml:space="preserve"> </w:t>
      </w:r>
      <w:r w:rsidRPr="007F37C0">
        <w:rPr>
          <w:rFonts w:ascii="Arial" w:hAnsi="Arial" w:cs="Arial"/>
          <w:b/>
          <w:bCs/>
          <w:lang w:val="en-US"/>
        </w:rPr>
        <w:t>b,</w:t>
      </w:r>
      <w:r w:rsidRPr="007F37C0">
        <w:rPr>
          <w:rFonts w:ascii="Arial" w:hAnsi="Arial" w:cs="Arial"/>
          <w:lang w:val="en-US"/>
        </w:rPr>
        <w:t xml:space="preserve"> In positive control (Cervical cancer tissue)</w:t>
      </w:r>
      <w:r>
        <w:rPr>
          <w:rFonts w:ascii="Arial" w:hAnsi="Arial" w:cs="Arial"/>
          <w:b/>
          <w:bCs/>
          <w:lang w:val="en-US"/>
        </w:rPr>
        <w:t xml:space="preserve"> </w:t>
      </w:r>
      <w:r w:rsidRPr="007F37C0">
        <w:rPr>
          <w:rFonts w:ascii="Arial" w:hAnsi="Arial" w:cs="Arial"/>
          <w:b/>
          <w:bCs/>
          <w:lang w:val="en-US"/>
        </w:rPr>
        <w:t>c,</w:t>
      </w:r>
      <w:r w:rsidRPr="007F37C0">
        <w:rPr>
          <w:rFonts w:ascii="Arial" w:hAnsi="Arial" w:cs="Arial"/>
          <w:lang w:val="en-US"/>
        </w:rPr>
        <w:t xml:space="preserve"> Negative control for IHC staining (no primary antibody; 80 years old)</w:t>
      </w:r>
      <w:r>
        <w:rPr>
          <w:rFonts w:ascii="Arial" w:hAnsi="Arial" w:cs="Arial"/>
          <w:lang w:val="en-US"/>
        </w:rPr>
        <w:t>.</w:t>
      </w:r>
      <w:r>
        <w:rPr>
          <w:rFonts w:ascii="Arial" w:hAnsi="Arial" w:cs="Arial"/>
          <w:b/>
          <w:bCs/>
          <w:lang w:val="en-US"/>
        </w:rPr>
        <w:t xml:space="preserve"> </w:t>
      </w:r>
      <w:r w:rsidRPr="007F37C0">
        <w:rPr>
          <w:rFonts w:ascii="Arial" w:hAnsi="Arial" w:cs="Arial"/>
          <w:lang w:val="en-US"/>
        </w:rPr>
        <w:t>Scale bars: Whole sections (a) 1000</w:t>
      </w:r>
      <w:r>
        <w:rPr>
          <w:rFonts w:ascii="Arial" w:hAnsi="Arial" w:cs="Arial"/>
          <w:lang w:val="en-US"/>
        </w:rPr>
        <w:t xml:space="preserve"> </w:t>
      </w:r>
      <w:r w:rsidRPr="007F37C0">
        <w:rPr>
          <w:rFonts w:ascii="Arial" w:hAnsi="Arial" w:cs="Arial"/>
          <w:lang w:val="en-US"/>
        </w:rPr>
        <w:t>mm, (b) and (c) 200</w:t>
      </w:r>
      <w:r>
        <w:rPr>
          <w:rFonts w:ascii="Arial" w:hAnsi="Arial" w:cs="Arial"/>
          <w:lang w:val="en-US"/>
        </w:rPr>
        <w:t xml:space="preserve"> </w:t>
      </w:r>
      <w:r w:rsidRPr="007F37C0">
        <w:rPr>
          <w:rFonts w:ascii="Arial" w:hAnsi="Arial" w:cs="Arial"/>
          <w:lang w:val="en-US"/>
        </w:rPr>
        <w:t>mm; Magnified images (1-4) for (a), (b), and (c) 60</w:t>
      </w:r>
      <w:r>
        <w:rPr>
          <w:rFonts w:ascii="Arial" w:hAnsi="Arial" w:cs="Arial"/>
          <w:lang w:val="en-US"/>
        </w:rPr>
        <w:t xml:space="preserve"> </w:t>
      </w:r>
      <w:r w:rsidRPr="007F37C0">
        <w:rPr>
          <w:rFonts w:ascii="Arial" w:hAnsi="Arial" w:cs="Arial"/>
          <w:lang w:val="en-US"/>
        </w:rPr>
        <w:t>mm.</w:t>
      </w:r>
    </w:p>
    <w:p w14:paraId="589A359D" w14:textId="77777777" w:rsidR="00E81006" w:rsidRPr="007F37C0" w:rsidRDefault="00E81006" w:rsidP="00E81006">
      <w:pPr>
        <w:spacing w:after="0" w:line="360" w:lineRule="auto"/>
        <w:jc w:val="both"/>
        <w:rPr>
          <w:rFonts w:ascii="Arial" w:hAnsi="Arial" w:cs="Arial"/>
        </w:rPr>
      </w:pPr>
    </w:p>
    <w:p w14:paraId="2F07A9AB" w14:textId="77777777" w:rsidR="00E81006" w:rsidRPr="009C0FB8" w:rsidRDefault="00E81006" w:rsidP="00E81006">
      <w:pPr>
        <w:spacing w:after="0" w:line="360" w:lineRule="auto"/>
        <w:jc w:val="both"/>
        <w:rPr>
          <w:rFonts w:ascii="Arial" w:hAnsi="Arial" w:cs="Arial"/>
          <w:b/>
          <w:bCs/>
          <w:lang w:val="en-US"/>
        </w:rPr>
      </w:pPr>
      <w:r w:rsidRPr="007F37C0">
        <w:rPr>
          <w:rFonts w:ascii="Arial" w:hAnsi="Arial" w:cs="Arial"/>
          <w:b/>
          <w:bCs/>
          <w:lang w:val="en-US"/>
        </w:rPr>
        <w:t>Extended Data Figure 2: Mapping p16-positive clusters in human ovarian tissue sections</w:t>
      </w:r>
      <w:r>
        <w:rPr>
          <w:rFonts w:ascii="Arial" w:hAnsi="Arial" w:cs="Arial"/>
          <w:b/>
          <w:bCs/>
          <w:lang w:val="en-US"/>
        </w:rPr>
        <w:t>.</w:t>
      </w:r>
      <w:r w:rsidRPr="007F37C0">
        <w:rPr>
          <w:rFonts w:ascii="Arial" w:hAnsi="Arial" w:cs="Arial"/>
          <w:b/>
          <w:bCs/>
          <w:lang w:val="en-US"/>
        </w:rPr>
        <w:t xml:space="preserve"> </w:t>
      </w:r>
      <w:r w:rsidRPr="007F37C0">
        <w:rPr>
          <w:rFonts w:ascii="Arial" w:hAnsi="Arial" w:cs="Arial"/>
          <w:lang w:val="en-US"/>
        </w:rPr>
        <w:t>Representative images from a 69-year-old participant showing mapping of p16 staining across</w:t>
      </w:r>
      <w:r>
        <w:rPr>
          <w:rFonts w:ascii="Arial" w:hAnsi="Arial" w:cs="Arial"/>
          <w:lang w:val="en-US"/>
        </w:rPr>
        <w:t>.</w:t>
      </w:r>
      <w:r w:rsidRPr="007F37C0">
        <w:rPr>
          <w:rFonts w:ascii="Arial" w:hAnsi="Arial" w:cs="Arial"/>
          <w:lang w:val="en-US"/>
        </w:rPr>
        <w:t xml:space="preserve"> </w:t>
      </w:r>
      <w:r w:rsidRPr="007F37C0">
        <w:rPr>
          <w:rFonts w:ascii="Arial" w:hAnsi="Arial" w:cs="Arial"/>
          <w:b/>
          <w:bCs/>
          <w:lang w:val="en-US"/>
        </w:rPr>
        <w:t>a,</w:t>
      </w:r>
      <w:r w:rsidRPr="007F37C0">
        <w:rPr>
          <w:rFonts w:ascii="Arial" w:hAnsi="Arial" w:cs="Arial"/>
          <w:lang w:val="en-US"/>
        </w:rPr>
        <w:t xml:space="preserve"> the tissue section that shows p16 positivity in distinct clusters spread throughout the tissue piece. Each cluster is systematically imaged at high magnification (20X). The corresponding H&amp;E image of the section is shown for reference.</w:t>
      </w:r>
      <w:r>
        <w:rPr>
          <w:rFonts w:ascii="Arial" w:hAnsi="Arial" w:cs="Arial"/>
          <w:b/>
          <w:bCs/>
          <w:lang w:val="en-US"/>
        </w:rPr>
        <w:t xml:space="preserve"> </w:t>
      </w:r>
      <w:r w:rsidRPr="007F37C0">
        <w:rPr>
          <w:rFonts w:ascii="Arial" w:hAnsi="Arial" w:cs="Arial"/>
          <w:b/>
          <w:bCs/>
        </w:rPr>
        <w:t>b,</w:t>
      </w:r>
      <w:r w:rsidRPr="007F37C0">
        <w:rPr>
          <w:rFonts w:ascii="Arial" w:hAnsi="Arial" w:cs="Arial"/>
        </w:rPr>
        <w:t xml:space="preserve"> </w:t>
      </w:r>
      <w:r w:rsidRPr="007F37C0">
        <w:rPr>
          <w:rFonts w:ascii="Arial" w:hAnsi="Arial" w:cs="Arial"/>
          <w:lang w:val="en-US"/>
        </w:rPr>
        <w:t>sequential sections of the tissue piece showing extension of the p16 clusters through the depth of the tissue. Each tissue section is 5</w:t>
      </w:r>
      <w:r>
        <w:rPr>
          <w:rFonts w:ascii="Arial" w:hAnsi="Arial" w:cs="Arial"/>
          <w:lang w:val="en-US"/>
        </w:rPr>
        <w:t xml:space="preserve"> </w:t>
      </w:r>
      <w:r w:rsidRPr="007F37C0">
        <w:rPr>
          <w:rFonts w:ascii="Arial" w:hAnsi="Arial" w:cs="Arial"/>
          <w:lang w:val="en-US"/>
        </w:rPr>
        <w:t>µm in thickness. Representative images of clusters 3 and 4 from (a) are shown up to 60</w:t>
      </w:r>
      <w:r>
        <w:rPr>
          <w:rFonts w:ascii="Arial" w:hAnsi="Arial" w:cs="Arial"/>
          <w:lang w:val="en-US"/>
        </w:rPr>
        <w:t xml:space="preserve"> </w:t>
      </w:r>
      <w:r w:rsidRPr="007F37C0">
        <w:rPr>
          <w:rFonts w:ascii="Arial" w:hAnsi="Arial" w:cs="Arial"/>
          <w:lang w:val="en-US"/>
        </w:rPr>
        <w:t>mm away from the first section.</w:t>
      </w:r>
      <w:r>
        <w:rPr>
          <w:rFonts w:ascii="Arial" w:hAnsi="Arial" w:cs="Arial"/>
          <w:b/>
          <w:bCs/>
          <w:lang w:val="en-US"/>
        </w:rPr>
        <w:t xml:space="preserve"> </w:t>
      </w:r>
      <w:r w:rsidRPr="007F37C0">
        <w:rPr>
          <w:rFonts w:ascii="Arial" w:hAnsi="Arial" w:cs="Arial"/>
          <w:lang w:val="en-US"/>
        </w:rPr>
        <w:t>Scale bars: Whole sections 500</w:t>
      </w:r>
      <w:r>
        <w:rPr>
          <w:rFonts w:ascii="Arial" w:hAnsi="Arial" w:cs="Arial"/>
          <w:lang w:val="en-US"/>
        </w:rPr>
        <w:t xml:space="preserve"> </w:t>
      </w:r>
      <w:r w:rsidRPr="007F37C0">
        <w:rPr>
          <w:rFonts w:ascii="Arial" w:hAnsi="Arial" w:cs="Arial"/>
          <w:lang w:val="en-US"/>
        </w:rPr>
        <w:t>mm; magnified images 60</w:t>
      </w:r>
      <w:r>
        <w:rPr>
          <w:rFonts w:ascii="Arial" w:hAnsi="Arial" w:cs="Arial"/>
          <w:lang w:val="en-US"/>
        </w:rPr>
        <w:t xml:space="preserve"> </w:t>
      </w:r>
      <w:r w:rsidRPr="007F37C0">
        <w:rPr>
          <w:rFonts w:ascii="Arial" w:hAnsi="Arial" w:cs="Arial"/>
          <w:lang w:val="en-US"/>
        </w:rPr>
        <w:t>mm</w:t>
      </w:r>
    </w:p>
    <w:p w14:paraId="5404D299" w14:textId="77777777" w:rsidR="00E81006" w:rsidRPr="007F37C0" w:rsidRDefault="00E81006" w:rsidP="00E81006">
      <w:pPr>
        <w:spacing w:after="0" w:line="360" w:lineRule="auto"/>
        <w:jc w:val="both"/>
        <w:rPr>
          <w:rFonts w:ascii="Arial" w:hAnsi="Arial" w:cs="Arial"/>
        </w:rPr>
      </w:pPr>
    </w:p>
    <w:p w14:paraId="58100A60" w14:textId="77777777" w:rsidR="00E81006" w:rsidRPr="009C0FB8" w:rsidRDefault="00E81006" w:rsidP="00E81006">
      <w:pPr>
        <w:spacing w:after="0" w:line="360" w:lineRule="auto"/>
        <w:jc w:val="both"/>
        <w:rPr>
          <w:rFonts w:ascii="Arial" w:hAnsi="Arial" w:cs="Arial"/>
          <w:lang w:val="en-US"/>
        </w:rPr>
      </w:pPr>
      <w:r w:rsidRPr="007F37C0">
        <w:rPr>
          <w:rFonts w:ascii="Arial" w:hAnsi="Arial" w:cs="Arial"/>
          <w:b/>
          <w:bCs/>
          <w:lang w:val="en-US"/>
        </w:rPr>
        <w:t>Extended Data Figure 3: Heterogeneity of p16 expression in the postmenopausal human ovary</w:t>
      </w:r>
      <w:r>
        <w:rPr>
          <w:rFonts w:ascii="Arial" w:hAnsi="Arial" w:cs="Arial"/>
          <w:b/>
          <w:bCs/>
          <w:lang w:val="en-US"/>
        </w:rPr>
        <w:t>.</w:t>
      </w:r>
      <w:r>
        <w:rPr>
          <w:rFonts w:ascii="Arial" w:hAnsi="Arial" w:cs="Arial"/>
          <w:lang w:val="en-US"/>
        </w:rPr>
        <w:t xml:space="preserve"> </w:t>
      </w:r>
      <w:r w:rsidRPr="007F37C0">
        <w:rPr>
          <w:rFonts w:ascii="Arial" w:hAnsi="Arial" w:cs="Arial"/>
          <w:b/>
          <w:bCs/>
          <w:lang w:val="en-US"/>
        </w:rPr>
        <w:t>a</w:t>
      </w:r>
      <w:r w:rsidRPr="007F37C0">
        <w:rPr>
          <w:rFonts w:ascii="Arial" w:hAnsi="Arial" w:cs="Arial"/>
          <w:lang w:val="en-US"/>
        </w:rPr>
        <w:t xml:space="preserve">, </w:t>
      </w:r>
      <w:r w:rsidRPr="007F37C0">
        <w:rPr>
          <w:rFonts w:ascii="Arial" w:hAnsi="Arial" w:cs="Arial"/>
        </w:rPr>
        <w:t>Heterogeneous distribution of p16 staining in an ovarian section from an 80-year-old participant, subdivided into eight pieces. The top row shows H&amp;E, the middle row shows p16 immunohistochemistry (IHC), and the bottom row shows p16 IHC after digital image labelling. Binary thresholding was applied to identify p16-positive regions (yellow) and p16-negative regions (blue). The percentage of p16-positive area is indicated in the top left of each panel. Scale bar, 500 mm.</w:t>
      </w:r>
      <w:r>
        <w:rPr>
          <w:rFonts w:ascii="Arial" w:hAnsi="Arial" w:cs="Arial"/>
          <w:lang w:val="en-US"/>
        </w:rPr>
        <w:t xml:space="preserve"> </w:t>
      </w:r>
      <w:r w:rsidRPr="007F37C0">
        <w:rPr>
          <w:rFonts w:ascii="Arial" w:hAnsi="Arial" w:cs="Arial"/>
          <w:b/>
          <w:bCs/>
          <w:lang w:val="en-US"/>
        </w:rPr>
        <w:t>b</w:t>
      </w:r>
      <w:r w:rsidRPr="007F37C0">
        <w:rPr>
          <w:rFonts w:ascii="Arial" w:hAnsi="Arial" w:cs="Arial"/>
          <w:lang w:val="en-US"/>
        </w:rPr>
        <w:t xml:space="preserve">, </w:t>
      </w:r>
      <w:r w:rsidRPr="007F37C0">
        <w:rPr>
          <w:rFonts w:ascii="Arial" w:hAnsi="Arial" w:cs="Arial"/>
        </w:rPr>
        <w:t>Representative p16 IHC and digital image labelling in ovarian tissue pieces from two participants aged 54 and 74 years. The percent positive area is shown in the top-left corner of each panel. Scale bars: whole section, 500 mm; magnified regions, 80 mm.</w:t>
      </w:r>
    </w:p>
    <w:p w14:paraId="7A6AFA0F" w14:textId="77777777" w:rsidR="00E81006" w:rsidRPr="007F37C0" w:rsidRDefault="00E81006" w:rsidP="00E81006">
      <w:pPr>
        <w:spacing w:after="0" w:line="360" w:lineRule="auto"/>
        <w:jc w:val="both"/>
        <w:rPr>
          <w:rFonts w:ascii="Arial" w:hAnsi="Arial" w:cs="Arial"/>
        </w:rPr>
      </w:pPr>
    </w:p>
    <w:p w14:paraId="750814F2" w14:textId="77777777" w:rsidR="00E81006" w:rsidRPr="009C0FB8" w:rsidRDefault="00E81006" w:rsidP="00E81006">
      <w:pPr>
        <w:spacing w:after="0" w:line="360" w:lineRule="auto"/>
        <w:jc w:val="both"/>
        <w:rPr>
          <w:rFonts w:ascii="Arial" w:hAnsi="Arial" w:cs="Arial"/>
          <w:b/>
          <w:bCs/>
          <w:lang w:val="en-US"/>
        </w:rPr>
      </w:pPr>
      <w:r w:rsidRPr="007F37C0">
        <w:rPr>
          <w:rFonts w:ascii="Arial" w:hAnsi="Arial" w:cs="Arial"/>
          <w:b/>
          <w:bCs/>
          <w:lang w:val="en-US"/>
        </w:rPr>
        <w:t xml:space="preserve">Extended Data Figure 4: </w:t>
      </w:r>
      <w:r w:rsidRPr="007F37C0">
        <w:rPr>
          <w:rFonts w:ascii="Arial" w:hAnsi="Arial" w:cs="Arial"/>
          <w:b/>
          <w:bCs/>
        </w:rPr>
        <w:t>Characterization of p16-positive cells and their niche</w:t>
      </w:r>
      <w:r>
        <w:rPr>
          <w:rFonts w:ascii="Arial" w:hAnsi="Arial" w:cs="Arial"/>
          <w:b/>
          <w:bCs/>
        </w:rPr>
        <w:t>.</w:t>
      </w:r>
      <w:r w:rsidRPr="007F37C0">
        <w:rPr>
          <w:rFonts w:ascii="Arial" w:hAnsi="Arial" w:cs="Arial"/>
          <w:b/>
          <w:bCs/>
        </w:rPr>
        <w:t xml:space="preserve"> </w:t>
      </w:r>
      <w:r w:rsidRPr="007F37C0">
        <w:rPr>
          <w:rFonts w:ascii="Arial" w:hAnsi="Arial" w:cs="Arial"/>
          <w:b/>
          <w:bCs/>
          <w:lang w:val="en-US"/>
        </w:rPr>
        <w:t>a,</w:t>
      </w:r>
      <w:r w:rsidRPr="007F37C0">
        <w:rPr>
          <w:rFonts w:ascii="Arial" w:hAnsi="Arial" w:cs="Arial"/>
          <w:lang w:val="en-US"/>
        </w:rPr>
        <w:t xml:space="preserve"> Preliminary immunohistochemical characterization of p16-positive regions in a 57- and 73-year-old postmenopausal ovary. </w:t>
      </w:r>
      <w:r w:rsidRPr="007F37C0">
        <w:rPr>
          <w:rFonts w:ascii="Arial" w:hAnsi="Arial" w:cs="Arial"/>
          <w:b/>
          <w:bCs/>
        </w:rPr>
        <w:t>b,</w:t>
      </w:r>
      <w:r w:rsidRPr="007F37C0">
        <w:rPr>
          <w:rFonts w:ascii="Arial" w:hAnsi="Arial" w:cs="Arial"/>
        </w:rPr>
        <w:t xml:space="preserve"> Validation of p16 immunohistochemistry </w:t>
      </w:r>
      <w:r w:rsidRPr="007F37C0">
        <w:rPr>
          <w:rFonts w:ascii="Arial" w:hAnsi="Arial" w:cs="Arial"/>
        </w:rPr>
        <w:lastRenderedPageBreak/>
        <w:t>(IHC) staining performed at Northwestern University (top row) using a different antibody with immunofluorescence (IF) on adjacent slides at Johns Hopkins University (bottom row).</w:t>
      </w:r>
      <w:r w:rsidRPr="007F37C0">
        <w:rPr>
          <w:rFonts w:ascii="Arial" w:hAnsi="Arial" w:cs="Arial"/>
          <w:lang w:val="en-US"/>
        </w:rPr>
        <w:t xml:space="preserve"> Multiplex images highlight p16 expression (green) and nuclei (blue). </w:t>
      </w:r>
      <w:r w:rsidRPr="007F37C0">
        <w:rPr>
          <w:rFonts w:ascii="Arial" w:hAnsi="Arial" w:cs="Arial"/>
          <w:b/>
          <w:bCs/>
        </w:rPr>
        <w:t>c,</w:t>
      </w:r>
      <w:r w:rsidRPr="007F37C0">
        <w:rPr>
          <w:rFonts w:ascii="Arial" w:hAnsi="Arial" w:cs="Arial"/>
        </w:rPr>
        <w:t xml:space="preserve"> Examples of multiplex IF images from p16- (top row) and p16+ (bottom row) cortical regions from two different participants. White boxes indicate regions shown at higher magnification.</w:t>
      </w:r>
    </w:p>
    <w:p w14:paraId="52187FB9" w14:textId="77777777" w:rsidR="00E81006" w:rsidRPr="009C0FB8" w:rsidRDefault="00E81006" w:rsidP="00E81006">
      <w:pPr>
        <w:spacing w:after="0" w:line="360" w:lineRule="auto"/>
        <w:jc w:val="both"/>
        <w:rPr>
          <w:rFonts w:ascii="Arial" w:hAnsi="Arial" w:cs="Arial"/>
        </w:rPr>
      </w:pPr>
    </w:p>
    <w:p w14:paraId="10E8C722" w14:textId="77777777" w:rsidR="00E81006" w:rsidRPr="009C0FB8" w:rsidRDefault="00E81006" w:rsidP="00E81006">
      <w:pPr>
        <w:spacing w:after="0" w:line="360" w:lineRule="auto"/>
        <w:jc w:val="both"/>
        <w:rPr>
          <w:rFonts w:ascii="Arial" w:hAnsi="Arial" w:cs="Arial"/>
          <w:lang w:val="en-US"/>
        </w:rPr>
      </w:pPr>
      <w:r w:rsidRPr="007F37C0">
        <w:rPr>
          <w:rFonts w:ascii="Arial" w:hAnsi="Arial" w:cs="Arial"/>
          <w:b/>
          <w:bCs/>
          <w:lang w:val="en-US"/>
        </w:rPr>
        <w:t>Extended Data Figure 5: Mapping p16-positive clusters for the DSP participant</w:t>
      </w:r>
      <w:r>
        <w:rPr>
          <w:rFonts w:ascii="Arial" w:hAnsi="Arial" w:cs="Arial"/>
          <w:lang w:val="en-US"/>
        </w:rPr>
        <w:t xml:space="preserve">. </w:t>
      </w:r>
      <w:r w:rsidRPr="007F37C0">
        <w:rPr>
          <w:rFonts w:ascii="Arial" w:hAnsi="Arial" w:cs="Arial"/>
          <w:b/>
          <w:bCs/>
          <w:lang w:val="en-US"/>
        </w:rPr>
        <w:t>a,</w:t>
      </w:r>
      <w:r w:rsidRPr="007F37C0">
        <w:rPr>
          <w:rFonts w:ascii="Arial" w:hAnsi="Arial" w:cs="Arial"/>
          <w:lang w:val="en-US"/>
        </w:rPr>
        <w:t xml:space="preserve"> Representative images showing the persistence of a p16 positive cluster (outlined in black) across serial sections of the tissue piece from the participant selected for Digital Spatial Profiling using GeoMx (80-years-old). The tissue piece was sliced into 18 serial sections (each 5µm in thickness), and sections 2, 5, 8, 11, 14, and 17 were stained for p16. Other sections were either allocated for GeoMx DSP or left unstained for future analysis. </w:t>
      </w:r>
      <w:r w:rsidRPr="007F37C0">
        <w:rPr>
          <w:rFonts w:ascii="Arial" w:hAnsi="Arial" w:cs="Arial"/>
          <w:b/>
          <w:bCs/>
          <w:lang w:val="en-US"/>
        </w:rPr>
        <w:t>b,</w:t>
      </w:r>
      <w:r w:rsidRPr="007F37C0">
        <w:rPr>
          <w:rFonts w:ascii="Arial" w:hAnsi="Arial" w:cs="Arial"/>
          <w:lang w:val="en-US"/>
        </w:rPr>
        <w:t xml:space="preserve"> Annotation of all p16-positive clusters across the tissue section selected for DSP with GeoMx (80-years-old). Annotations on this section </w:t>
      </w:r>
      <w:r w:rsidRPr="007F37C0">
        <w:rPr>
          <w:rFonts w:ascii="Arial" w:hAnsi="Arial" w:cs="Arial"/>
        </w:rPr>
        <w:t>were then transferred to the adjacent GeoMx DSP section to annotate p16+ and p16- ROIs for targeted transcriptomic profiling.</w:t>
      </w:r>
      <w:r>
        <w:rPr>
          <w:rFonts w:ascii="Arial" w:hAnsi="Arial" w:cs="Arial"/>
          <w:lang w:val="en-US"/>
        </w:rPr>
        <w:t xml:space="preserve"> </w:t>
      </w:r>
      <w:r w:rsidRPr="007F37C0">
        <w:rPr>
          <w:rFonts w:ascii="Arial" w:hAnsi="Arial" w:cs="Arial"/>
          <w:lang w:val="en-US"/>
        </w:rPr>
        <w:t>Scale bars: Whole sections 200</w:t>
      </w:r>
      <w:r>
        <w:rPr>
          <w:rFonts w:ascii="Arial" w:hAnsi="Arial" w:cs="Arial"/>
          <w:lang w:val="en-US"/>
        </w:rPr>
        <w:t xml:space="preserve"> </w:t>
      </w:r>
      <w:r w:rsidRPr="007F37C0">
        <w:rPr>
          <w:rFonts w:ascii="Arial" w:hAnsi="Arial" w:cs="Arial"/>
          <w:lang w:val="en-US"/>
        </w:rPr>
        <w:t>mm; magnified images 60</w:t>
      </w:r>
      <w:r>
        <w:rPr>
          <w:rFonts w:ascii="Arial" w:hAnsi="Arial" w:cs="Arial"/>
          <w:lang w:val="en-US"/>
        </w:rPr>
        <w:t xml:space="preserve"> </w:t>
      </w:r>
      <w:r w:rsidRPr="007F37C0">
        <w:rPr>
          <w:rFonts w:ascii="Arial" w:hAnsi="Arial" w:cs="Arial"/>
          <w:lang w:val="en-US"/>
        </w:rPr>
        <w:t>mm</w:t>
      </w:r>
    </w:p>
    <w:p w14:paraId="4D2C1E8B" w14:textId="77777777" w:rsidR="00E81006" w:rsidRDefault="00E81006" w:rsidP="00E81006">
      <w:pPr>
        <w:spacing w:after="0" w:line="360" w:lineRule="auto"/>
        <w:jc w:val="both"/>
        <w:rPr>
          <w:rFonts w:ascii="Arial" w:hAnsi="Arial" w:cs="Arial"/>
        </w:rPr>
      </w:pPr>
    </w:p>
    <w:p w14:paraId="309CA75E" w14:textId="77777777" w:rsidR="00E81006" w:rsidRPr="009C0FB8" w:rsidRDefault="00E81006" w:rsidP="00E81006">
      <w:pPr>
        <w:spacing w:after="0" w:line="360" w:lineRule="auto"/>
        <w:jc w:val="both"/>
        <w:rPr>
          <w:rFonts w:ascii="Arial" w:hAnsi="Arial" w:cs="Arial"/>
          <w:b/>
          <w:bCs/>
          <w:lang w:val="en-US"/>
        </w:rPr>
      </w:pPr>
      <w:r w:rsidRPr="007F37C0">
        <w:rPr>
          <w:rFonts w:ascii="Arial" w:hAnsi="Arial" w:cs="Arial"/>
          <w:b/>
          <w:bCs/>
          <w:lang w:val="en-US"/>
        </w:rPr>
        <w:t>Extended Data Figure 6: Spatial transcriptomic data analysis pipeline.</w:t>
      </w:r>
      <w:r>
        <w:rPr>
          <w:rFonts w:ascii="Arial" w:hAnsi="Arial" w:cs="Arial"/>
          <w:b/>
          <w:bCs/>
          <w:lang w:val="en-US"/>
        </w:rPr>
        <w:t xml:space="preserve"> </w:t>
      </w:r>
      <w:r w:rsidRPr="009C0FB8">
        <w:rPr>
          <w:rFonts w:ascii="Arial" w:hAnsi="Arial" w:cs="Arial"/>
          <w:lang w:val="en-US"/>
        </w:rPr>
        <w:t>1)</w:t>
      </w:r>
      <w:r>
        <w:rPr>
          <w:rFonts w:ascii="Arial" w:hAnsi="Arial" w:cs="Arial"/>
          <w:b/>
          <w:bCs/>
          <w:lang w:val="en-US"/>
        </w:rPr>
        <w:t xml:space="preserve"> </w:t>
      </w:r>
      <w:r w:rsidRPr="007F37C0">
        <w:rPr>
          <w:rFonts w:ascii="Arial" w:hAnsi="Arial" w:cs="Arial"/>
          <w:lang w:val="en-US"/>
        </w:rPr>
        <w:t>Raw data is preprocessed using GeoMx NGS Pipeline software to generate DCC files and generate the counts matrix, followed by the quality control steps at the ROI and gene level.</w:t>
      </w:r>
      <w:r>
        <w:rPr>
          <w:rFonts w:ascii="Arial" w:hAnsi="Arial" w:cs="Arial"/>
          <w:lang w:val="en-US"/>
        </w:rPr>
        <w:t xml:space="preserve"> 2) </w:t>
      </w:r>
      <w:r w:rsidRPr="007F37C0">
        <w:rPr>
          <w:rFonts w:ascii="Arial" w:hAnsi="Arial" w:cs="Arial"/>
          <w:lang w:val="en-US"/>
        </w:rPr>
        <w:t xml:space="preserve">The filtered data proceeds to background (negative probe) and TMM normalization </w:t>
      </w:r>
      <w:r w:rsidRPr="009C0FB8">
        <w:rPr>
          <w:rFonts w:ascii="Arial" w:hAnsi="Arial" w:cs="Arial"/>
          <w:lang w:val="en-US"/>
        </w:rPr>
        <w:t>and batch correction. 3) Differentially expressed genes (DEGs) are identified and used to identify perturbed pathways. 4) Gene expression</w:t>
      </w:r>
      <w:r w:rsidRPr="007F37C0">
        <w:rPr>
          <w:rFonts w:ascii="Arial" w:hAnsi="Arial" w:cs="Arial"/>
          <w:lang w:val="en-US"/>
        </w:rPr>
        <w:t xml:space="preserve"> is mapped back onto the images.</w:t>
      </w:r>
    </w:p>
    <w:p w14:paraId="04CD9812" w14:textId="77777777" w:rsidR="00E81006" w:rsidRPr="007F37C0" w:rsidRDefault="00E81006" w:rsidP="00E81006">
      <w:pPr>
        <w:spacing w:after="0" w:line="360" w:lineRule="auto"/>
        <w:jc w:val="both"/>
        <w:rPr>
          <w:rFonts w:ascii="Arial" w:hAnsi="Arial" w:cs="Arial"/>
        </w:rPr>
      </w:pPr>
    </w:p>
    <w:p w14:paraId="5E4F92A0" w14:textId="77777777" w:rsidR="00E81006" w:rsidRPr="009C0FB8" w:rsidRDefault="00E81006" w:rsidP="00E81006">
      <w:pPr>
        <w:spacing w:after="0" w:line="360" w:lineRule="auto"/>
        <w:jc w:val="both"/>
        <w:rPr>
          <w:rFonts w:ascii="Arial" w:hAnsi="Arial" w:cs="Arial"/>
          <w:b/>
          <w:bCs/>
          <w:lang w:val="en-US"/>
        </w:rPr>
      </w:pPr>
      <w:r w:rsidRPr="007F37C0">
        <w:rPr>
          <w:rFonts w:ascii="Arial" w:hAnsi="Arial" w:cs="Arial"/>
          <w:b/>
          <w:bCs/>
          <w:lang w:val="en-US"/>
        </w:rPr>
        <w:t xml:space="preserve">Extended Data Figure 7: </w:t>
      </w:r>
      <w:r w:rsidRPr="009C0FB8">
        <w:rPr>
          <w:rFonts w:ascii="Arial" w:hAnsi="Arial" w:cs="Arial"/>
          <w:b/>
          <w:bCs/>
          <w:lang w:val="en-US"/>
        </w:rPr>
        <w:t>p16 positive cellular component and molecular function analysis</w:t>
      </w:r>
      <w:r>
        <w:rPr>
          <w:rFonts w:ascii="Arial" w:hAnsi="Arial" w:cs="Arial"/>
          <w:b/>
          <w:bCs/>
          <w:lang w:val="en-US"/>
        </w:rPr>
        <w:t>.</w:t>
      </w:r>
      <w:r w:rsidRPr="009C0FB8">
        <w:rPr>
          <w:rFonts w:ascii="Arial" w:hAnsi="Arial" w:cs="Arial"/>
          <w:b/>
          <w:bCs/>
          <w:lang w:val="en-US"/>
        </w:rPr>
        <w:t xml:space="preserve"> </w:t>
      </w:r>
      <w:r w:rsidRPr="007F37C0">
        <w:rPr>
          <w:rFonts w:ascii="Arial" w:hAnsi="Arial" w:cs="Arial"/>
          <w:b/>
          <w:bCs/>
        </w:rPr>
        <w:t>a,</w:t>
      </w:r>
      <w:r w:rsidRPr="007F37C0">
        <w:rPr>
          <w:rFonts w:ascii="Arial" w:hAnsi="Arial" w:cs="Arial"/>
        </w:rPr>
        <w:t xml:space="preserve"> Cellular component analysis of p16+ versus p16- DEGs from all ROIs</w:t>
      </w:r>
      <w:r w:rsidRPr="009C0FB8">
        <w:rPr>
          <w:rFonts w:ascii="Arial" w:hAnsi="Arial" w:cs="Arial"/>
          <w:lang w:val="en-US"/>
        </w:rPr>
        <w:t xml:space="preserve">. </w:t>
      </w:r>
      <w:r w:rsidRPr="007F37C0">
        <w:rPr>
          <w:rFonts w:ascii="Arial" w:hAnsi="Arial" w:cs="Arial"/>
          <w:b/>
          <w:bCs/>
        </w:rPr>
        <w:t>b,</w:t>
      </w:r>
      <w:r w:rsidRPr="007F37C0">
        <w:rPr>
          <w:rFonts w:ascii="Arial" w:hAnsi="Arial" w:cs="Arial"/>
        </w:rPr>
        <w:t xml:space="preserve"> Molecular function analysis of p16+ versus p16- DEGs from all ROIs</w:t>
      </w:r>
      <w:r>
        <w:rPr>
          <w:rFonts w:ascii="Arial" w:hAnsi="Arial" w:cs="Arial"/>
        </w:rPr>
        <w:t>.</w:t>
      </w:r>
    </w:p>
    <w:p w14:paraId="2DB8E4C9" w14:textId="77777777" w:rsidR="00E81006" w:rsidRPr="007F37C0" w:rsidRDefault="00E81006" w:rsidP="00E81006">
      <w:pPr>
        <w:spacing w:after="0" w:line="360" w:lineRule="auto"/>
        <w:jc w:val="both"/>
        <w:rPr>
          <w:rFonts w:ascii="Arial" w:hAnsi="Arial" w:cs="Arial"/>
        </w:rPr>
      </w:pPr>
    </w:p>
    <w:p w14:paraId="292DB2A3" w14:textId="77777777" w:rsidR="00E81006" w:rsidRPr="009C0FB8" w:rsidRDefault="00E81006" w:rsidP="00E81006">
      <w:pPr>
        <w:spacing w:after="0" w:line="360" w:lineRule="auto"/>
        <w:jc w:val="both"/>
        <w:rPr>
          <w:rFonts w:ascii="Arial" w:eastAsia="Times New Roman" w:hAnsi="Arial" w:cs="Arial"/>
          <w:b/>
          <w:bCs/>
          <w:kern w:val="0"/>
          <w:lang w:eastAsia="en-GB"/>
          <w14:ligatures w14:val="none"/>
        </w:rPr>
      </w:pPr>
      <w:r w:rsidRPr="007F37C0">
        <w:rPr>
          <w:rFonts w:ascii="Arial" w:hAnsi="Arial" w:cs="Arial"/>
          <w:b/>
          <w:bCs/>
          <w:lang w:eastAsia="en-GB"/>
        </w:rPr>
        <w:t>Extended Data Figure 8. Derivation of p16-associated transcriptomic signatures to map senescent cells.</w:t>
      </w:r>
      <w:r>
        <w:rPr>
          <w:rFonts w:ascii="Arial" w:eastAsia="Times New Roman" w:hAnsi="Arial" w:cs="Arial"/>
          <w:b/>
          <w:bCs/>
          <w:kern w:val="0"/>
          <w:lang w:eastAsia="en-GB"/>
          <w14:ligatures w14:val="none"/>
        </w:rPr>
        <w:t xml:space="preserve"> </w:t>
      </w:r>
      <w:r w:rsidRPr="007F37C0">
        <w:rPr>
          <w:rFonts w:ascii="Arial" w:hAnsi="Arial" w:cs="Arial"/>
          <w:b/>
          <w:bCs/>
          <w:lang w:eastAsia="en-GB"/>
        </w:rPr>
        <w:t>a,</w:t>
      </w:r>
      <w:r w:rsidRPr="007F37C0">
        <w:rPr>
          <w:rFonts w:ascii="Arial" w:hAnsi="Arial" w:cs="Arial"/>
          <w:lang w:eastAsia="en-GB"/>
        </w:rPr>
        <w:t xml:space="preserve"> Heatmap of shared downregulated differentially expressed genes (DEGs) across all p16+ regions of interest (ROIs), including cortex </w:t>
      </w:r>
      <w:r w:rsidRPr="007F37C0">
        <w:rPr>
          <w:rFonts w:ascii="Arial" w:hAnsi="Arial" w:cs="Arial"/>
          <w:lang w:eastAsia="en-GB"/>
        </w:rPr>
        <w:lastRenderedPageBreak/>
        <w:t>and medulla.</w:t>
      </w:r>
      <w:r>
        <w:rPr>
          <w:rFonts w:ascii="Arial" w:eastAsia="Times New Roman" w:hAnsi="Arial" w:cs="Arial"/>
          <w:b/>
          <w:bCs/>
          <w:kern w:val="0"/>
          <w:lang w:eastAsia="en-GB"/>
          <w14:ligatures w14:val="none"/>
        </w:rPr>
        <w:t xml:space="preserve"> </w:t>
      </w:r>
      <w:r w:rsidRPr="007F37C0">
        <w:rPr>
          <w:rFonts w:ascii="Arial" w:hAnsi="Arial" w:cs="Arial"/>
          <w:b/>
          <w:bCs/>
          <w:lang w:eastAsia="en-GB"/>
        </w:rPr>
        <w:t>b,</w:t>
      </w:r>
      <w:r w:rsidRPr="007F37C0">
        <w:rPr>
          <w:rFonts w:ascii="Arial" w:hAnsi="Arial" w:cs="Arial"/>
          <w:lang w:eastAsia="en-GB"/>
        </w:rPr>
        <w:t xml:space="preserve"> Pathway enrichment analysis of shared downregulated DEGs, signature 1</w:t>
      </w:r>
      <w:r>
        <w:rPr>
          <w:rFonts w:ascii="Arial" w:hAnsi="Arial" w:cs="Arial"/>
          <w:lang w:eastAsia="en-GB"/>
        </w:rPr>
        <w:t>.</w:t>
      </w:r>
      <w:r>
        <w:rPr>
          <w:rFonts w:ascii="Arial" w:eastAsia="Times New Roman" w:hAnsi="Arial" w:cs="Arial"/>
          <w:b/>
          <w:bCs/>
          <w:kern w:val="0"/>
          <w:lang w:eastAsia="en-GB"/>
          <w14:ligatures w14:val="none"/>
        </w:rPr>
        <w:t xml:space="preserve"> </w:t>
      </w:r>
      <w:r w:rsidRPr="007F37C0">
        <w:rPr>
          <w:rFonts w:ascii="Arial" w:hAnsi="Arial" w:cs="Arial"/>
          <w:b/>
          <w:bCs/>
          <w:lang w:eastAsia="en-GB"/>
        </w:rPr>
        <w:t>c,</w:t>
      </w:r>
      <w:r w:rsidRPr="007F37C0">
        <w:rPr>
          <w:rFonts w:ascii="Arial" w:hAnsi="Arial" w:cs="Arial"/>
          <w:lang w:eastAsia="en-GB"/>
        </w:rPr>
        <w:t xml:space="preserve"> Pathway enrichment analysis of shared upregulated DEGs, signature 2</w:t>
      </w:r>
      <w:r>
        <w:rPr>
          <w:rFonts w:ascii="Arial" w:hAnsi="Arial" w:cs="Arial"/>
          <w:lang w:eastAsia="en-GB"/>
        </w:rPr>
        <w:t xml:space="preserve">. </w:t>
      </w:r>
      <w:r w:rsidRPr="007F37C0">
        <w:rPr>
          <w:rFonts w:ascii="Arial" w:hAnsi="Arial" w:cs="Arial"/>
          <w:b/>
          <w:bCs/>
          <w:lang w:eastAsia="en-GB"/>
        </w:rPr>
        <w:t>d,</w:t>
      </w:r>
      <w:r w:rsidRPr="007F37C0">
        <w:rPr>
          <w:rFonts w:ascii="Arial" w:hAnsi="Arial" w:cs="Arial"/>
          <w:lang w:eastAsia="en-GB"/>
        </w:rPr>
        <w:t xml:space="preserve"> Partial least squares discriminant analysis (PLS-DA) of ROIs based on p16 status alone (p16+ vs p16-).</w:t>
      </w:r>
      <w:r>
        <w:rPr>
          <w:rFonts w:ascii="Arial" w:eastAsia="Times New Roman" w:hAnsi="Arial" w:cs="Arial"/>
          <w:b/>
          <w:bCs/>
          <w:kern w:val="0"/>
          <w:lang w:eastAsia="en-GB"/>
          <w14:ligatures w14:val="none"/>
        </w:rPr>
        <w:t xml:space="preserve"> </w:t>
      </w:r>
      <w:r w:rsidRPr="007F37C0">
        <w:rPr>
          <w:rFonts w:ascii="Arial" w:hAnsi="Arial" w:cs="Arial"/>
          <w:b/>
          <w:bCs/>
          <w:lang w:eastAsia="en-GB"/>
        </w:rPr>
        <w:t>e,</w:t>
      </w:r>
      <w:r w:rsidRPr="007F37C0">
        <w:rPr>
          <w:rFonts w:ascii="Arial" w:hAnsi="Arial" w:cs="Arial"/>
          <w:lang w:eastAsia="en-GB"/>
        </w:rPr>
        <w:t xml:space="preserve"> Dot plot of genes contributing to clustering of p16+ and p16- regions in the PLS-DA.</w:t>
      </w:r>
      <w:r>
        <w:rPr>
          <w:rFonts w:ascii="Arial" w:eastAsia="Times New Roman" w:hAnsi="Arial" w:cs="Arial"/>
          <w:b/>
          <w:bCs/>
          <w:kern w:val="0"/>
          <w:lang w:eastAsia="en-GB"/>
          <w14:ligatures w14:val="none"/>
        </w:rPr>
        <w:t xml:space="preserve"> </w:t>
      </w:r>
      <w:r w:rsidRPr="007F37C0">
        <w:rPr>
          <w:rFonts w:ascii="Arial" w:hAnsi="Arial" w:cs="Arial"/>
          <w:b/>
          <w:bCs/>
          <w:lang w:eastAsia="en-GB"/>
        </w:rPr>
        <w:t>f,</w:t>
      </w:r>
      <w:r w:rsidRPr="007F37C0">
        <w:rPr>
          <w:rFonts w:ascii="Arial" w:hAnsi="Arial" w:cs="Arial"/>
          <w:lang w:eastAsia="en-GB"/>
        </w:rPr>
        <w:t xml:space="preserve"> Pathway enrichment of downregulated DEGs in p16+ regions from PLS-DA plot</w:t>
      </w:r>
      <w:r>
        <w:rPr>
          <w:rFonts w:ascii="Arial" w:hAnsi="Arial" w:cs="Arial"/>
          <w:lang w:eastAsia="en-GB"/>
        </w:rPr>
        <w:t xml:space="preserve">. </w:t>
      </w:r>
      <w:r w:rsidRPr="007F37C0">
        <w:rPr>
          <w:rFonts w:ascii="Arial" w:hAnsi="Arial" w:cs="Arial"/>
          <w:b/>
          <w:bCs/>
          <w:lang w:eastAsia="en-GB"/>
        </w:rPr>
        <w:t>g,</w:t>
      </w:r>
      <w:r w:rsidRPr="007F37C0">
        <w:rPr>
          <w:rFonts w:ascii="Arial" w:hAnsi="Arial" w:cs="Arial"/>
          <w:lang w:eastAsia="en-GB"/>
        </w:rPr>
        <w:t xml:space="preserve"> Pathway enrichment of upregulated DEGs in p16+ regions from PLS-DA plot</w:t>
      </w:r>
    </w:p>
    <w:p w14:paraId="592AD2DB" w14:textId="77777777" w:rsidR="00E81006" w:rsidRDefault="00E81006" w:rsidP="00E81006">
      <w:pPr>
        <w:spacing w:after="0" w:line="360" w:lineRule="auto"/>
        <w:jc w:val="both"/>
        <w:rPr>
          <w:rFonts w:ascii="Arial" w:hAnsi="Arial" w:cs="Arial"/>
          <w:b/>
          <w:bCs/>
          <w:lang w:val="en-US" w:eastAsia="en-GB"/>
        </w:rPr>
      </w:pPr>
    </w:p>
    <w:p w14:paraId="5AE80BE0" w14:textId="77777777" w:rsidR="00E81006" w:rsidRDefault="00E81006" w:rsidP="00E81006">
      <w:pPr>
        <w:spacing w:after="0" w:line="360" w:lineRule="auto"/>
        <w:jc w:val="both"/>
        <w:rPr>
          <w:rFonts w:ascii="Arial" w:hAnsi="Arial" w:cs="Arial"/>
          <w:lang w:eastAsia="en-GB"/>
        </w:rPr>
      </w:pPr>
      <w:r w:rsidRPr="007F37C0">
        <w:rPr>
          <w:rFonts w:ascii="Arial" w:hAnsi="Arial" w:cs="Arial"/>
          <w:b/>
          <w:bCs/>
          <w:lang w:val="en-US" w:eastAsia="en-GB"/>
        </w:rPr>
        <w:t xml:space="preserve">Extended Data Figure 9. </w:t>
      </w:r>
      <w:r w:rsidRPr="007F37C0">
        <w:rPr>
          <w:rFonts w:ascii="Arial" w:hAnsi="Arial" w:cs="Arial"/>
          <w:b/>
          <w:bCs/>
          <w:lang w:eastAsia="en-GB"/>
        </w:rPr>
        <w:t xml:space="preserve">Evaluation of senescence-associated signatures for spatial mapping of p16-positive regions. a, </w:t>
      </w:r>
      <w:r w:rsidRPr="007F37C0">
        <w:rPr>
          <w:rFonts w:ascii="Arial" w:hAnsi="Arial" w:cs="Arial"/>
          <w:lang w:eastAsia="en-GB"/>
        </w:rPr>
        <w:t>Unsupervised spatial mapping of each signature to ovarian section 1 using the SpatialOmicsOverlay package. Enrichment scores are overlaid onto tissue architecture; far-left panels indicate reference p16 status annotation for each ROI (p16-, blue; p16+, red).</w:t>
      </w:r>
      <w:r>
        <w:rPr>
          <w:rFonts w:ascii="Arial" w:hAnsi="Arial" w:cs="Arial"/>
          <w:lang w:val="en-US" w:eastAsia="en-GB"/>
        </w:rPr>
        <w:t xml:space="preserve"> </w:t>
      </w:r>
      <w:r w:rsidRPr="007F37C0">
        <w:rPr>
          <w:rFonts w:ascii="Arial" w:hAnsi="Arial" w:cs="Arial"/>
          <w:b/>
          <w:bCs/>
          <w:lang w:eastAsia="en-GB"/>
        </w:rPr>
        <w:t xml:space="preserve">b, d, </w:t>
      </w:r>
      <w:r w:rsidRPr="007F37C0">
        <w:rPr>
          <w:rFonts w:ascii="Arial" w:hAnsi="Arial" w:cs="Arial"/>
          <w:lang w:eastAsia="en-GB"/>
        </w:rPr>
        <w:t>Violin plots showing UCell-derived enrichment scores (“p16 mapping scores”) for each signature in ROIs annotated as p16- (blue) or p16+ (red).</w:t>
      </w:r>
      <w:r>
        <w:rPr>
          <w:rFonts w:ascii="Arial" w:hAnsi="Arial" w:cs="Arial"/>
          <w:lang w:val="en-US" w:eastAsia="en-GB"/>
        </w:rPr>
        <w:t xml:space="preserve"> </w:t>
      </w:r>
      <w:r w:rsidRPr="007F37C0">
        <w:rPr>
          <w:rFonts w:ascii="Arial" w:hAnsi="Arial" w:cs="Arial"/>
          <w:b/>
          <w:bCs/>
          <w:lang w:eastAsia="en-GB"/>
        </w:rPr>
        <w:t>c, e,</w:t>
      </w:r>
      <w:r w:rsidRPr="007F37C0">
        <w:rPr>
          <w:rFonts w:ascii="Arial" w:hAnsi="Arial" w:cs="Arial"/>
          <w:lang w:eastAsia="en-GB"/>
        </w:rPr>
        <w:t xml:space="preserve"> Violin plots showing UCell enrichment scores for each signature stratified by anatomical region (cortex vs medulla) and p16 status. This analysis tests whether signatures discriminate p16+ regions independently of tissue region.</w:t>
      </w:r>
      <w:r>
        <w:rPr>
          <w:rFonts w:ascii="Arial" w:hAnsi="Arial" w:cs="Arial"/>
          <w:lang w:val="en-US" w:eastAsia="en-GB"/>
        </w:rPr>
        <w:t xml:space="preserve"> </w:t>
      </w:r>
      <w:r w:rsidRPr="007F37C0">
        <w:rPr>
          <w:rFonts w:ascii="Arial" w:hAnsi="Arial" w:cs="Arial"/>
          <w:lang w:eastAsia="en-GB"/>
        </w:rPr>
        <w:t>Violin plots were analyzed using a two-tailed t-test; P&lt; 0.05 was considered significant.</w:t>
      </w:r>
    </w:p>
    <w:p w14:paraId="131C74EF" w14:textId="77777777" w:rsidR="00E81006" w:rsidRPr="009C0FB8" w:rsidRDefault="00E81006" w:rsidP="00E81006">
      <w:pPr>
        <w:spacing w:after="0" w:line="360" w:lineRule="auto"/>
        <w:jc w:val="both"/>
        <w:rPr>
          <w:rFonts w:ascii="Arial" w:hAnsi="Arial" w:cs="Arial"/>
          <w:lang w:val="en-US" w:eastAsia="en-GB"/>
        </w:rPr>
      </w:pPr>
    </w:p>
    <w:p w14:paraId="45BE9F29" w14:textId="77777777" w:rsidR="00E81006" w:rsidRDefault="00E81006" w:rsidP="00E81006">
      <w:pPr>
        <w:spacing w:after="0" w:line="360" w:lineRule="auto"/>
        <w:jc w:val="both"/>
        <w:rPr>
          <w:rFonts w:ascii="Arial" w:hAnsi="Arial" w:cs="Arial"/>
          <w:lang w:eastAsia="en-GB"/>
        </w:rPr>
      </w:pPr>
      <w:r w:rsidRPr="007F37C0">
        <w:rPr>
          <w:rFonts w:ascii="Arial" w:hAnsi="Arial" w:cs="Arial"/>
          <w:b/>
          <w:bCs/>
          <w:lang w:val="en-US" w:eastAsia="en-GB"/>
        </w:rPr>
        <w:t>Extended Data Figure 10</w:t>
      </w:r>
      <w:r w:rsidRPr="007F37C0">
        <w:rPr>
          <w:rFonts w:ascii="Arial" w:hAnsi="Arial" w:cs="Arial"/>
          <w:lang w:val="en-US" w:eastAsia="en-GB"/>
        </w:rPr>
        <w:t xml:space="preserve">. </w:t>
      </w:r>
      <w:r w:rsidRPr="009C0FB8">
        <w:rPr>
          <w:rFonts w:ascii="Arial" w:hAnsi="Arial" w:cs="Arial"/>
          <w:b/>
          <w:bCs/>
          <w:lang w:val="en-US" w:eastAsia="en-GB"/>
        </w:rPr>
        <w:t>Validating the precision of different p16 signatures to map p16+ve regions in native tissue.</w:t>
      </w:r>
      <w:r>
        <w:rPr>
          <w:rFonts w:ascii="Arial" w:hAnsi="Arial" w:cs="Arial"/>
          <w:lang w:eastAsia="en-GB"/>
        </w:rPr>
        <w:t xml:space="preserve"> </w:t>
      </w:r>
      <w:r w:rsidRPr="007F37C0">
        <w:rPr>
          <w:rFonts w:ascii="Arial" w:hAnsi="Arial" w:cs="Arial"/>
          <w:lang w:eastAsia="en-GB"/>
        </w:rPr>
        <w:t xml:space="preserve">p16 signatures developed in Fig. 4 and evaluated in Fig. 5 were independently used to map in an unsupervised manner onto tissue from two different participants, a 67-year-old participant (a) and a 71-year-old participant (b). </w:t>
      </w:r>
      <w:r w:rsidRPr="007F37C0">
        <w:rPr>
          <w:rFonts w:ascii="Arial" w:hAnsi="Arial" w:cs="Arial"/>
          <w:b/>
          <w:bCs/>
          <w:lang w:eastAsia="en-GB"/>
        </w:rPr>
        <w:t xml:space="preserve">a, c, </w:t>
      </w:r>
      <w:r w:rsidRPr="007F37C0">
        <w:rPr>
          <w:rFonts w:ascii="Arial" w:hAnsi="Arial" w:cs="Arial"/>
          <w:lang w:eastAsia="en-GB"/>
        </w:rPr>
        <w:t>Unsupervised spatial mapping of signatures 2 and 4 to ovarian sections onto tissue sections from two different participants using the SpatialOmicsOverlay package. Enrichment scores are overlaid onto tissue architecture.</w:t>
      </w:r>
      <w:r>
        <w:rPr>
          <w:rFonts w:ascii="Arial" w:hAnsi="Arial" w:cs="Arial"/>
          <w:lang w:eastAsia="en-GB"/>
        </w:rPr>
        <w:t xml:space="preserve"> </w:t>
      </w:r>
      <w:r w:rsidRPr="007F37C0">
        <w:rPr>
          <w:rFonts w:ascii="Arial" w:hAnsi="Arial" w:cs="Arial"/>
          <w:b/>
          <w:bCs/>
          <w:lang w:eastAsia="en-GB"/>
        </w:rPr>
        <w:t>b, d,</w:t>
      </w:r>
      <w:r w:rsidRPr="007F37C0">
        <w:rPr>
          <w:rFonts w:ascii="Arial" w:hAnsi="Arial" w:cs="Arial"/>
          <w:lang w:eastAsia="en-GB"/>
        </w:rPr>
        <w:t xml:space="preserve"> representative H&amp;E and p16-IHC of each participant used to cross-reference p16 ‘hot-spots’ in the GeoMx images (a, c). Zoomed-in p16-IHC images highlight p16 clusters that are potentially highlighted in the GeoMx images.</w:t>
      </w:r>
    </w:p>
    <w:p w14:paraId="3CECB36C" w14:textId="77777777" w:rsidR="00E81006" w:rsidRPr="007F37C0" w:rsidRDefault="00E81006" w:rsidP="00E81006">
      <w:pPr>
        <w:spacing w:after="0" w:line="360" w:lineRule="auto"/>
        <w:jc w:val="both"/>
        <w:rPr>
          <w:rFonts w:ascii="Arial" w:hAnsi="Arial" w:cs="Arial"/>
          <w:lang w:eastAsia="en-GB"/>
        </w:rPr>
      </w:pPr>
    </w:p>
    <w:p w14:paraId="5FAC13AB" w14:textId="77777777" w:rsidR="00E81006" w:rsidRPr="009C0FB8" w:rsidRDefault="00E81006" w:rsidP="00E81006">
      <w:pPr>
        <w:spacing w:after="0" w:line="360" w:lineRule="auto"/>
        <w:jc w:val="both"/>
        <w:rPr>
          <w:rFonts w:ascii="Arial" w:hAnsi="Arial" w:cs="Arial"/>
          <w:b/>
          <w:bCs/>
          <w:lang w:val="en-US" w:eastAsia="en-GB"/>
        </w:rPr>
      </w:pPr>
      <w:r w:rsidRPr="007F37C0">
        <w:rPr>
          <w:rFonts w:ascii="Arial" w:hAnsi="Arial" w:cs="Arial"/>
          <w:b/>
          <w:bCs/>
          <w:lang w:val="en-US" w:eastAsia="en-GB"/>
        </w:rPr>
        <w:t>Extended Data Figure 11. Quantification of collagen deposition in postmenopausal ovaries using picrosirius red (PSR) staining</w:t>
      </w:r>
      <w:r>
        <w:rPr>
          <w:rFonts w:ascii="Arial" w:hAnsi="Arial" w:cs="Arial"/>
          <w:b/>
          <w:bCs/>
          <w:lang w:val="en-US" w:eastAsia="en-GB"/>
        </w:rPr>
        <w:t xml:space="preserve">. </w:t>
      </w:r>
      <w:r w:rsidRPr="007F37C0">
        <w:rPr>
          <w:rFonts w:ascii="Arial" w:hAnsi="Arial" w:cs="Arial"/>
          <w:lang w:val="en-US" w:eastAsia="en-GB"/>
        </w:rPr>
        <w:t xml:space="preserve">Tissue pieces from postmenopausal ovaries (50-84 years old; n=28) were stained with Picrosirius Red </w:t>
      </w:r>
      <w:r w:rsidRPr="007F37C0">
        <w:rPr>
          <w:rFonts w:ascii="Arial" w:hAnsi="Arial" w:cs="Arial"/>
          <w:lang w:val="en-US" w:eastAsia="en-GB"/>
        </w:rPr>
        <w:lastRenderedPageBreak/>
        <w:t>(PSR) stain for collagen, and the staining was quantified to calculate the percentage of area positive for collagen staining.</w:t>
      </w:r>
      <w:r>
        <w:rPr>
          <w:rFonts w:ascii="Arial" w:hAnsi="Arial" w:cs="Arial"/>
          <w:b/>
          <w:bCs/>
          <w:lang w:val="en-US" w:eastAsia="en-GB"/>
        </w:rPr>
        <w:t xml:space="preserve"> </w:t>
      </w:r>
      <w:r w:rsidRPr="007F37C0">
        <w:rPr>
          <w:rFonts w:ascii="Arial" w:hAnsi="Arial" w:cs="Arial"/>
          <w:b/>
          <w:bCs/>
          <w:lang w:val="en-US" w:eastAsia="en-GB"/>
        </w:rPr>
        <w:t>a,</w:t>
      </w:r>
      <w:r w:rsidRPr="007F37C0">
        <w:rPr>
          <w:rFonts w:ascii="Arial" w:hAnsi="Arial" w:cs="Arial"/>
          <w:lang w:val="en-US" w:eastAsia="en-GB"/>
        </w:rPr>
        <w:t xml:space="preserve"> Images of the whole tissue piece stained with PSR</w:t>
      </w:r>
      <w:r>
        <w:rPr>
          <w:rFonts w:ascii="Arial" w:hAnsi="Arial" w:cs="Arial"/>
          <w:b/>
          <w:bCs/>
          <w:lang w:val="en-US" w:eastAsia="en-GB"/>
        </w:rPr>
        <w:t xml:space="preserve">. </w:t>
      </w:r>
      <w:r w:rsidRPr="007F37C0">
        <w:rPr>
          <w:rFonts w:ascii="Arial" w:hAnsi="Arial" w:cs="Arial"/>
          <w:b/>
          <w:bCs/>
          <w:lang w:val="en-US" w:eastAsia="en-GB"/>
        </w:rPr>
        <w:t xml:space="preserve">b, c, </w:t>
      </w:r>
      <w:r w:rsidRPr="007F37C0">
        <w:rPr>
          <w:rFonts w:ascii="Arial" w:hAnsi="Arial" w:cs="Arial"/>
          <w:lang w:val="en-US" w:eastAsia="en-GB"/>
        </w:rPr>
        <w:t xml:space="preserve">Representative images of (b) cortex ROIs and (c) medulla ROIs from the corresponding tissue piece in (a). The right panels in (b) and (c) show the same ROI image after a threshold of 125 was applied to highlight collagen (seen in red vs gray areas depicting absence of collagen). The collagen content was then quantified as a percentage of area positive for collagen (red staining). </w:t>
      </w:r>
      <w:r w:rsidRPr="007F37C0">
        <w:rPr>
          <w:rFonts w:ascii="Arial" w:hAnsi="Arial" w:cs="Arial"/>
          <w:b/>
          <w:bCs/>
          <w:lang w:val="en-US" w:eastAsia="en-GB"/>
        </w:rPr>
        <w:t>d,</w:t>
      </w:r>
      <w:r w:rsidRPr="007F37C0">
        <w:rPr>
          <w:rFonts w:ascii="Arial" w:hAnsi="Arial" w:cs="Arial"/>
          <w:lang w:val="en-US" w:eastAsia="en-GB"/>
        </w:rPr>
        <w:t xml:space="preserve"> Quantification of collagen deposition across age in postmenopausal ovaries.</w:t>
      </w:r>
      <w:r>
        <w:rPr>
          <w:rFonts w:ascii="Arial" w:hAnsi="Arial" w:cs="Arial"/>
          <w:b/>
          <w:bCs/>
          <w:lang w:val="en-US" w:eastAsia="en-GB"/>
        </w:rPr>
        <w:t xml:space="preserve"> </w:t>
      </w:r>
      <w:r w:rsidRPr="007F37C0">
        <w:rPr>
          <w:rFonts w:ascii="Arial" w:hAnsi="Arial" w:cs="Arial"/>
          <w:lang w:val="en-US" w:eastAsia="en-GB"/>
        </w:rPr>
        <w:t>Scale bars: Whole scans: 500</w:t>
      </w:r>
      <w:r>
        <w:rPr>
          <w:rFonts w:ascii="Arial" w:hAnsi="Arial" w:cs="Arial"/>
          <w:lang w:val="en-US" w:eastAsia="en-GB"/>
        </w:rPr>
        <w:t xml:space="preserve"> </w:t>
      </w:r>
      <w:r w:rsidRPr="007F37C0">
        <w:rPr>
          <w:rFonts w:ascii="Arial" w:hAnsi="Arial" w:cs="Arial"/>
          <w:lang w:val="en-US" w:eastAsia="en-GB"/>
        </w:rPr>
        <w:t>mm; Magnified images: 100</w:t>
      </w:r>
      <w:r>
        <w:rPr>
          <w:rFonts w:ascii="Arial" w:hAnsi="Arial" w:cs="Arial"/>
          <w:lang w:val="en-US" w:eastAsia="en-GB"/>
        </w:rPr>
        <w:t xml:space="preserve"> </w:t>
      </w:r>
      <w:r w:rsidRPr="007F37C0">
        <w:rPr>
          <w:rFonts w:ascii="Arial" w:hAnsi="Arial" w:cs="Arial"/>
          <w:lang w:val="en-US" w:eastAsia="en-GB"/>
        </w:rPr>
        <w:t>mm</w:t>
      </w:r>
    </w:p>
    <w:p w14:paraId="14873A6D"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006"/>
    <w:rsid w:val="000C4033"/>
    <w:rsid w:val="004B42CB"/>
    <w:rsid w:val="0082551D"/>
    <w:rsid w:val="00B85331"/>
    <w:rsid w:val="00E023F9"/>
    <w:rsid w:val="00E810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B7E9B"/>
  <w15:chartTrackingRefBased/>
  <w15:docId w15:val="{899C792C-8D6D-4BE3-9D49-DD249802C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006"/>
    <w:rPr>
      <w:lang w:val="en-GB"/>
    </w:rPr>
  </w:style>
  <w:style w:type="paragraph" w:styleId="Heading1">
    <w:name w:val="heading 1"/>
    <w:basedOn w:val="Normal"/>
    <w:next w:val="Normal"/>
    <w:link w:val="Heading1Char"/>
    <w:uiPriority w:val="9"/>
    <w:qFormat/>
    <w:rsid w:val="00E81006"/>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E81006"/>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E81006"/>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E81006"/>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E81006"/>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E81006"/>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E81006"/>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E81006"/>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E81006"/>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0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10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10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10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10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10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10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10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1006"/>
    <w:rPr>
      <w:rFonts w:eastAsiaTheme="majorEastAsia" w:cstheme="majorBidi"/>
      <w:color w:val="272727" w:themeColor="text1" w:themeTint="D8"/>
    </w:rPr>
  </w:style>
  <w:style w:type="paragraph" w:styleId="Title">
    <w:name w:val="Title"/>
    <w:basedOn w:val="Normal"/>
    <w:next w:val="Normal"/>
    <w:link w:val="TitleChar"/>
    <w:uiPriority w:val="10"/>
    <w:qFormat/>
    <w:rsid w:val="00E81006"/>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E810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1006"/>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E810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1006"/>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E81006"/>
    <w:rPr>
      <w:i/>
      <w:iCs/>
      <w:color w:val="404040" w:themeColor="text1" w:themeTint="BF"/>
    </w:rPr>
  </w:style>
  <w:style w:type="paragraph" w:styleId="ListParagraph">
    <w:name w:val="List Paragraph"/>
    <w:basedOn w:val="Normal"/>
    <w:uiPriority w:val="34"/>
    <w:qFormat/>
    <w:rsid w:val="00E81006"/>
    <w:pPr>
      <w:ind w:left="720"/>
      <w:contextualSpacing/>
    </w:pPr>
    <w:rPr>
      <w:lang w:val="en-IN"/>
    </w:rPr>
  </w:style>
  <w:style w:type="character" w:styleId="IntenseEmphasis">
    <w:name w:val="Intense Emphasis"/>
    <w:basedOn w:val="DefaultParagraphFont"/>
    <w:uiPriority w:val="21"/>
    <w:qFormat/>
    <w:rsid w:val="00E81006"/>
    <w:rPr>
      <w:i/>
      <w:iCs/>
      <w:color w:val="0F4761" w:themeColor="accent1" w:themeShade="BF"/>
    </w:rPr>
  </w:style>
  <w:style w:type="paragraph" w:styleId="IntenseQuote">
    <w:name w:val="Intense Quote"/>
    <w:basedOn w:val="Normal"/>
    <w:next w:val="Normal"/>
    <w:link w:val="IntenseQuoteChar"/>
    <w:uiPriority w:val="30"/>
    <w:qFormat/>
    <w:rsid w:val="00E810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E81006"/>
    <w:rPr>
      <w:i/>
      <w:iCs/>
      <w:color w:val="0F4761" w:themeColor="accent1" w:themeShade="BF"/>
    </w:rPr>
  </w:style>
  <w:style w:type="character" w:styleId="IntenseReference">
    <w:name w:val="Intense Reference"/>
    <w:basedOn w:val="DefaultParagraphFont"/>
    <w:uiPriority w:val="32"/>
    <w:qFormat/>
    <w:rsid w:val="00E810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1057</Words>
  <Characters>6697</Characters>
  <Application>Microsoft Office Word</Application>
  <DocSecurity>0</DocSecurity>
  <Lines>108</Lines>
  <Paragraphs>19</Paragraphs>
  <ScaleCrop>false</ScaleCrop>
  <Company/>
  <LinksUpToDate>false</LinksUpToDate>
  <CharactersWithSpaces>7735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2026-02-06T06:47:00Z</dcterms:created>
  <dcterms:modified xsi:type="dcterms:W3CDTF">2026-02-06T06:47:00Z</dcterms:modified>
</cp:coreProperties>
</file>