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1730E" w14:textId="77777777" w:rsidR="00392736" w:rsidRPr="007D1D76" w:rsidRDefault="00392736" w:rsidP="00392736">
      <w:pPr>
        <w:pStyle w:val="paragraph"/>
        <w:adjustRightInd w:val="0"/>
        <w:snapToGrid w:val="0"/>
        <w:spacing w:before="0" w:beforeAutospacing="0" w:after="0" w:afterAutospacing="0" w:line="360" w:lineRule="auto"/>
        <w:jc w:val="both"/>
        <w:textAlignment w:val="baseline"/>
        <w:rPr>
          <w:b/>
          <w:bCs/>
          <w:color w:val="000000"/>
        </w:rPr>
      </w:pPr>
      <w:r w:rsidRPr="007D1D76">
        <w:rPr>
          <w:b/>
          <w:bCs/>
          <w:color w:val="000000"/>
          <w:shd w:val="clear" w:color="auto" w:fill="FFFFFF"/>
        </w:rPr>
        <w:t xml:space="preserve">Supplementary </w:t>
      </w:r>
      <w:r w:rsidRPr="007D1D76">
        <w:rPr>
          <w:b/>
          <w:bCs/>
          <w:color w:val="000000"/>
        </w:rPr>
        <w:t>Figure Captions</w:t>
      </w:r>
    </w:p>
    <w:p w14:paraId="7437C8D5" w14:textId="77777777" w:rsidR="00392736" w:rsidRDefault="00392736" w:rsidP="00392736">
      <w:pPr>
        <w:adjustRightInd w:val="0"/>
        <w:snapToGrid w:val="0"/>
        <w:spacing w:line="360" w:lineRule="auto"/>
        <w:jc w:val="both"/>
        <w:rPr>
          <w:color w:val="000000" w:themeColor="text1"/>
        </w:rPr>
      </w:pPr>
    </w:p>
    <w:p w14:paraId="1B209130" w14:textId="77777777" w:rsidR="00392736" w:rsidRDefault="00392736" w:rsidP="00392736">
      <w:pPr>
        <w:adjustRightInd w:val="0"/>
        <w:snapToGrid w:val="0"/>
        <w:spacing w:line="360" w:lineRule="auto"/>
        <w:jc w:val="both"/>
        <w:rPr>
          <w:color w:val="000000" w:themeColor="text1"/>
        </w:rPr>
      </w:pPr>
    </w:p>
    <w:p w14:paraId="4B6E9104" w14:textId="77777777" w:rsidR="00392736" w:rsidRDefault="00392736" w:rsidP="00392736">
      <w:pPr>
        <w:adjustRightInd w:val="0"/>
        <w:snapToGrid w:val="0"/>
        <w:spacing w:line="360" w:lineRule="auto"/>
        <w:jc w:val="both"/>
        <w:rPr>
          <w:b/>
          <w:bCs/>
          <w:color w:val="000000" w:themeColor="text1"/>
        </w:rPr>
      </w:pPr>
      <w:r w:rsidRPr="007D1D76">
        <w:rPr>
          <w:b/>
          <w:bCs/>
          <w:color w:val="000000" w:themeColor="text1"/>
        </w:rPr>
        <w:t>Figure S</w:t>
      </w:r>
      <w:r>
        <w:rPr>
          <w:b/>
          <w:bCs/>
          <w:color w:val="000000" w:themeColor="text1"/>
        </w:rPr>
        <w:t>1</w:t>
      </w:r>
      <w:r w:rsidRPr="007D1D76">
        <w:rPr>
          <w:b/>
          <w:bCs/>
          <w:color w:val="000000" w:themeColor="text1"/>
        </w:rPr>
        <w:t>.</w:t>
      </w:r>
      <w:r>
        <w:rPr>
          <w:b/>
          <w:bCs/>
          <w:color w:val="000000" w:themeColor="text1"/>
        </w:rPr>
        <w:t xml:space="preserve"> </w:t>
      </w:r>
      <w:r w:rsidRPr="00D740EF">
        <w:t xml:space="preserve">Representative </w:t>
      </w:r>
      <w:r w:rsidRPr="00E20B77">
        <w:rPr>
          <w:vertAlign w:val="superscript"/>
        </w:rPr>
        <w:t>1</w:t>
      </w:r>
      <w:r w:rsidRPr="00E20B77">
        <w:t>H Nuclear Magnetic Resonance (NMR) spectrum.</w:t>
      </w:r>
      <w:r>
        <w:t xml:space="preserve"> </w:t>
      </w:r>
      <w:r w:rsidRPr="00D740EF">
        <w:t>Colored markers indicate the assignment of characteristic proton resonances to their corresponding chemical</w:t>
      </w:r>
      <w:r>
        <w:t xml:space="preserve"> groups in the polymer structure. </w:t>
      </w:r>
      <w:r w:rsidRPr="00D740EF">
        <w:t>Aromatic protons from the phenylboronic acid moieties were detected at 7.</w:t>
      </w:r>
      <w:r>
        <w:t>3-</w:t>
      </w:r>
      <w:r w:rsidRPr="00D740EF">
        <w:t>8</w:t>
      </w:r>
      <w:r>
        <w:t>.0</w:t>
      </w:r>
      <w:r w:rsidRPr="00D740EF">
        <w:t xml:space="preserve"> ppm (</w:t>
      </w:r>
      <w:r>
        <w:t>pink</w:t>
      </w:r>
      <w:r w:rsidRPr="00D740EF">
        <w:t>), while resonances corresponding to the polymer backbone appeared between 1.0</w:t>
      </w:r>
      <w:r>
        <w:t xml:space="preserve"> and </w:t>
      </w:r>
      <w:r w:rsidRPr="00D740EF">
        <w:t>3.5 ppm (blue, green, and orange). Residual solvent peaks corresponding to water and methanol are indicated.</w:t>
      </w:r>
    </w:p>
    <w:p w14:paraId="6BBE113B" w14:textId="77777777" w:rsidR="00392736" w:rsidRDefault="00392736" w:rsidP="00392736">
      <w:pPr>
        <w:adjustRightInd w:val="0"/>
        <w:snapToGrid w:val="0"/>
        <w:spacing w:line="360" w:lineRule="auto"/>
        <w:jc w:val="both"/>
        <w:rPr>
          <w:color w:val="000000" w:themeColor="text1"/>
        </w:rPr>
      </w:pPr>
    </w:p>
    <w:p w14:paraId="75A7E8E9" w14:textId="77777777" w:rsidR="00392736" w:rsidRDefault="00392736" w:rsidP="00392736">
      <w:pPr>
        <w:adjustRightInd w:val="0"/>
        <w:snapToGrid w:val="0"/>
        <w:spacing w:line="360" w:lineRule="auto"/>
        <w:jc w:val="both"/>
        <w:rPr>
          <w:color w:val="000000" w:themeColor="text1"/>
        </w:rPr>
      </w:pPr>
      <w:r w:rsidRPr="007D1D76">
        <w:rPr>
          <w:b/>
          <w:bCs/>
          <w:color w:val="000000" w:themeColor="text1"/>
        </w:rPr>
        <w:t>Figure S</w:t>
      </w:r>
      <w:r>
        <w:rPr>
          <w:b/>
          <w:bCs/>
          <w:color w:val="000000" w:themeColor="text1"/>
        </w:rPr>
        <w:t>2</w:t>
      </w:r>
      <w:r w:rsidRPr="007D1D76">
        <w:rPr>
          <w:b/>
          <w:bCs/>
          <w:color w:val="000000" w:themeColor="text1"/>
        </w:rPr>
        <w:t>.</w:t>
      </w:r>
      <w:r>
        <w:rPr>
          <w:color w:val="000000" w:themeColor="text1"/>
        </w:rPr>
        <w:t xml:space="preserve"> </w:t>
      </w:r>
      <w:r w:rsidRPr="007D1D76">
        <w:rPr>
          <w:color w:val="000000" w:themeColor="text1"/>
        </w:rPr>
        <w:t xml:space="preserve">Body weight changes in wild-type mice during a 10-day treatment period with increasing concentrations </w:t>
      </w:r>
      <w:r>
        <w:rPr>
          <w:color w:val="000000" w:themeColor="text1"/>
        </w:rPr>
        <w:t xml:space="preserve">of the polymer </w:t>
      </w:r>
      <w:r w:rsidRPr="007D1D76">
        <w:rPr>
          <w:color w:val="000000" w:themeColor="text1"/>
        </w:rPr>
        <w:t>administered in drinking water. No substantial dose-dependent body weight loss was observed across treatment groups, supporting short-term tolerability. Data represent mean ± SEM.</w:t>
      </w:r>
    </w:p>
    <w:p w14:paraId="459F22D0" w14:textId="77777777" w:rsidR="00392736" w:rsidRDefault="00392736" w:rsidP="00392736">
      <w:pPr>
        <w:adjustRightInd w:val="0"/>
        <w:snapToGrid w:val="0"/>
        <w:spacing w:line="360" w:lineRule="auto"/>
        <w:jc w:val="both"/>
        <w:rPr>
          <w:color w:val="000000" w:themeColor="text1"/>
        </w:rPr>
      </w:pPr>
    </w:p>
    <w:p w14:paraId="05075C42" w14:textId="77777777" w:rsidR="00392736" w:rsidRDefault="00392736" w:rsidP="00392736">
      <w:pPr>
        <w:adjustRightInd w:val="0"/>
        <w:snapToGrid w:val="0"/>
        <w:spacing w:line="360" w:lineRule="auto"/>
        <w:jc w:val="both"/>
        <w:rPr>
          <w:color w:val="000000" w:themeColor="text1"/>
        </w:rPr>
      </w:pPr>
      <w:r w:rsidRPr="007D1D76">
        <w:rPr>
          <w:b/>
          <w:bCs/>
          <w:color w:val="000000" w:themeColor="text1"/>
        </w:rPr>
        <w:t>Figure S</w:t>
      </w:r>
      <w:r>
        <w:rPr>
          <w:b/>
          <w:bCs/>
          <w:color w:val="000000" w:themeColor="text1"/>
        </w:rPr>
        <w:t>3</w:t>
      </w:r>
      <w:r w:rsidRPr="007D1D76">
        <w:rPr>
          <w:b/>
          <w:bCs/>
          <w:color w:val="000000" w:themeColor="text1"/>
        </w:rPr>
        <w:t xml:space="preserve">. </w:t>
      </w:r>
      <w:r w:rsidRPr="007D1D76">
        <w:rPr>
          <w:color w:val="000000" w:themeColor="text1"/>
        </w:rPr>
        <w:t>Microbial alpha diversity across polymer treatment groups measured using the Shannon diversity index. No significant differences in microbial diversity were observed between groups. Groups sharing the same letter are not significantly different based on one-way ANOVA followed by Tukey’s HSD post hoc test (p &lt; 0.05).</w:t>
      </w:r>
    </w:p>
    <w:p w14:paraId="066B0986" w14:textId="77777777" w:rsidR="00392736" w:rsidRPr="007D1D76" w:rsidRDefault="00392736" w:rsidP="00392736">
      <w:pPr>
        <w:adjustRightInd w:val="0"/>
        <w:snapToGrid w:val="0"/>
        <w:spacing w:line="360" w:lineRule="auto"/>
        <w:jc w:val="both"/>
        <w:rPr>
          <w:b/>
          <w:bCs/>
          <w:color w:val="000000" w:themeColor="text1"/>
        </w:rPr>
      </w:pPr>
    </w:p>
    <w:p w14:paraId="53592056" w14:textId="77777777" w:rsidR="00392736" w:rsidRDefault="00392736" w:rsidP="00392736">
      <w:pPr>
        <w:adjustRightInd w:val="0"/>
        <w:snapToGrid w:val="0"/>
        <w:spacing w:line="360" w:lineRule="auto"/>
        <w:jc w:val="both"/>
        <w:rPr>
          <w:color w:val="000000" w:themeColor="text1"/>
        </w:rPr>
      </w:pPr>
      <w:r w:rsidRPr="007D1D76">
        <w:rPr>
          <w:b/>
          <w:bCs/>
          <w:color w:val="000000" w:themeColor="text1"/>
        </w:rPr>
        <w:t>Figure S</w:t>
      </w:r>
      <w:r>
        <w:rPr>
          <w:b/>
          <w:bCs/>
          <w:color w:val="000000" w:themeColor="text1"/>
        </w:rPr>
        <w:t>4</w:t>
      </w:r>
      <w:r w:rsidRPr="007D1D76">
        <w:rPr>
          <w:b/>
          <w:bCs/>
          <w:color w:val="000000" w:themeColor="text1"/>
        </w:rPr>
        <w:t xml:space="preserve">. </w:t>
      </w:r>
      <w:r w:rsidRPr="007D1D76">
        <w:rPr>
          <w:color w:val="000000" w:themeColor="text1"/>
        </w:rPr>
        <w:t xml:space="preserve">Detection of fluorescently labeled polymer in fecal samples over time following oral administration. </w:t>
      </w:r>
      <w:r>
        <w:rPr>
          <w:color w:val="000000" w:themeColor="text1"/>
        </w:rPr>
        <w:t xml:space="preserve">A. </w:t>
      </w:r>
      <w:r w:rsidRPr="00A950A8">
        <w:rPr>
          <w:color w:val="000000" w:themeColor="text1"/>
        </w:rPr>
        <w:t xml:space="preserve">Detection of different doses of fluorescein-labeled SLIPs in fecal pellets from wild-type mice administered various </w:t>
      </w:r>
      <w:r>
        <w:rPr>
          <w:color w:val="000000" w:themeColor="text1"/>
        </w:rPr>
        <w:t>polymer</w:t>
      </w:r>
      <w:r w:rsidRPr="00A950A8">
        <w:rPr>
          <w:color w:val="000000" w:themeColor="text1"/>
        </w:rPr>
        <w:t xml:space="preserve"> doses.</w:t>
      </w:r>
      <w:r>
        <w:rPr>
          <w:color w:val="000000" w:themeColor="text1"/>
        </w:rPr>
        <w:t xml:space="preserve"> B. </w:t>
      </w:r>
      <w:r w:rsidRPr="007D1D76">
        <w:rPr>
          <w:color w:val="000000" w:themeColor="text1"/>
        </w:rPr>
        <w:t xml:space="preserve">Fecal fluorescence increased rapidly after treatment initiation and reached a plateau within approximately 24 h, indicating sustained gastrointestinal transit during continuous administration. Following </w:t>
      </w:r>
      <w:r>
        <w:rPr>
          <w:color w:val="000000" w:themeColor="text1"/>
        </w:rPr>
        <w:t>cessation</w:t>
      </w:r>
      <w:r w:rsidRPr="007D1D76">
        <w:rPr>
          <w:color w:val="000000" w:themeColor="text1"/>
        </w:rPr>
        <w:t xml:space="preserve"> </w:t>
      </w:r>
      <w:r>
        <w:rPr>
          <w:color w:val="000000" w:themeColor="text1"/>
        </w:rPr>
        <w:t>of treatment</w:t>
      </w:r>
      <w:r w:rsidRPr="007D1D76">
        <w:rPr>
          <w:color w:val="000000" w:themeColor="text1"/>
        </w:rPr>
        <w:t xml:space="preserve"> at 144 h, fluorescence progressively declined toward baseline levels. Shaded regions represent variability across measurements.</w:t>
      </w:r>
    </w:p>
    <w:p w14:paraId="1D3A6819" w14:textId="77777777" w:rsidR="00392736" w:rsidRPr="007D1D76" w:rsidRDefault="00392736" w:rsidP="00392736">
      <w:pPr>
        <w:adjustRightInd w:val="0"/>
        <w:snapToGrid w:val="0"/>
        <w:spacing w:line="360" w:lineRule="auto"/>
        <w:jc w:val="both"/>
        <w:rPr>
          <w:color w:val="000000" w:themeColor="text1"/>
        </w:rPr>
      </w:pPr>
    </w:p>
    <w:p w14:paraId="64B84D4A" w14:textId="77777777" w:rsidR="00392736" w:rsidRDefault="00392736" w:rsidP="00392736">
      <w:pPr>
        <w:adjustRightInd w:val="0"/>
        <w:snapToGrid w:val="0"/>
        <w:spacing w:line="360" w:lineRule="auto"/>
        <w:jc w:val="both"/>
        <w:rPr>
          <w:color w:val="000000" w:themeColor="text1"/>
        </w:rPr>
      </w:pPr>
      <w:r w:rsidRPr="007D1D76">
        <w:rPr>
          <w:b/>
          <w:bCs/>
          <w:color w:val="000000" w:themeColor="text1"/>
        </w:rPr>
        <w:t>Figure S</w:t>
      </w:r>
      <w:r>
        <w:rPr>
          <w:b/>
          <w:bCs/>
          <w:color w:val="000000" w:themeColor="text1"/>
        </w:rPr>
        <w:t>5</w:t>
      </w:r>
      <w:r w:rsidRPr="007D1D76">
        <w:rPr>
          <w:b/>
          <w:bCs/>
          <w:color w:val="000000" w:themeColor="text1"/>
        </w:rPr>
        <w:t>.</w:t>
      </w:r>
      <w:r>
        <w:rPr>
          <w:b/>
          <w:bCs/>
          <w:color w:val="000000" w:themeColor="text1"/>
        </w:rPr>
        <w:t xml:space="preserve"> </w:t>
      </w:r>
      <w:r w:rsidRPr="00A23AFD">
        <w:rPr>
          <w:color w:val="000000" w:themeColor="text1"/>
        </w:rPr>
        <w:t>Colonic proteomic analysis confirming marked depletion of MUC2 protein abundance in Agr2-/- mice relative to WT controls. Different letters indicate statistically significant differences between groups (p &lt; 0.05).</w:t>
      </w:r>
    </w:p>
    <w:p w14:paraId="0D79F14B" w14:textId="77777777" w:rsidR="00392736" w:rsidRPr="007D1D76" w:rsidRDefault="00392736" w:rsidP="00392736">
      <w:pPr>
        <w:adjustRightInd w:val="0"/>
        <w:snapToGrid w:val="0"/>
        <w:spacing w:line="360" w:lineRule="auto"/>
        <w:jc w:val="both"/>
        <w:rPr>
          <w:b/>
          <w:bCs/>
          <w:color w:val="000000" w:themeColor="text1"/>
        </w:rPr>
      </w:pPr>
    </w:p>
    <w:p w14:paraId="1A2A82D2" w14:textId="77777777" w:rsidR="00392736" w:rsidRDefault="00392736" w:rsidP="00392736">
      <w:pPr>
        <w:adjustRightInd w:val="0"/>
        <w:snapToGrid w:val="0"/>
        <w:spacing w:line="360" w:lineRule="auto"/>
        <w:jc w:val="both"/>
        <w:rPr>
          <w:color w:val="000000" w:themeColor="text1"/>
        </w:rPr>
      </w:pPr>
      <w:r w:rsidRPr="007D1D76">
        <w:rPr>
          <w:b/>
          <w:bCs/>
          <w:color w:val="000000" w:themeColor="text1"/>
        </w:rPr>
        <w:t>Figure S</w:t>
      </w:r>
      <w:r>
        <w:rPr>
          <w:b/>
          <w:bCs/>
          <w:color w:val="000000" w:themeColor="text1"/>
        </w:rPr>
        <w:t>6</w:t>
      </w:r>
      <w:r w:rsidRPr="007D1D76">
        <w:rPr>
          <w:b/>
          <w:bCs/>
          <w:color w:val="000000" w:themeColor="text1"/>
        </w:rPr>
        <w:t>.</w:t>
      </w:r>
      <w:r>
        <w:rPr>
          <w:b/>
          <w:bCs/>
          <w:color w:val="000000" w:themeColor="text1"/>
        </w:rPr>
        <w:t xml:space="preserve"> </w:t>
      </w:r>
      <w:r w:rsidRPr="00A23AFD">
        <w:rPr>
          <w:color w:val="000000" w:themeColor="text1"/>
        </w:rPr>
        <w:t xml:space="preserve">Serum FITC-dextran concentrations following oral administration in </w:t>
      </w:r>
      <w:r w:rsidRPr="00A23AFD">
        <w:rPr>
          <w:i/>
          <w:iCs/>
          <w:color w:val="000000" w:themeColor="text1"/>
        </w:rPr>
        <w:t>Agr2</w:t>
      </w:r>
      <w:r w:rsidRPr="00A23AFD">
        <w:rPr>
          <w:i/>
          <w:iCs/>
          <w:color w:val="000000" w:themeColor="text1"/>
          <w:vertAlign w:val="superscript"/>
        </w:rPr>
        <w:t>-/-</w:t>
      </w:r>
      <w:r w:rsidRPr="00A23AFD">
        <w:rPr>
          <w:color w:val="000000" w:themeColor="text1"/>
        </w:rPr>
        <w:t xml:space="preserve"> mice after 17 d of polymer treatment. Polymer-treated mice exhibited reduced FITC-dextran </w:t>
      </w:r>
      <w:r>
        <w:rPr>
          <w:color w:val="000000" w:themeColor="text1"/>
        </w:rPr>
        <w:t xml:space="preserve">apparent </w:t>
      </w:r>
      <w:r w:rsidRPr="00A23AFD">
        <w:rPr>
          <w:color w:val="000000" w:themeColor="text1"/>
        </w:rPr>
        <w:t>translocation relative to untreated controls, consistent with decreased intestinal permeability. Bars represent mean ± SEM.</w:t>
      </w:r>
    </w:p>
    <w:p w14:paraId="6BE96B15" w14:textId="77777777" w:rsidR="00392736" w:rsidRPr="007D1D76" w:rsidRDefault="00392736" w:rsidP="00392736">
      <w:pPr>
        <w:adjustRightInd w:val="0"/>
        <w:snapToGrid w:val="0"/>
        <w:spacing w:line="360" w:lineRule="auto"/>
        <w:jc w:val="both"/>
        <w:rPr>
          <w:b/>
          <w:bCs/>
          <w:color w:val="000000" w:themeColor="text1"/>
        </w:rPr>
      </w:pPr>
    </w:p>
    <w:p w14:paraId="74BDF8B1" w14:textId="77777777" w:rsidR="00392736" w:rsidRDefault="00392736" w:rsidP="00392736">
      <w:pPr>
        <w:adjustRightInd w:val="0"/>
        <w:snapToGrid w:val="0"/>
        <w:spacing w:line="360" w:lineRule="auto"/>
        <w:jc w:val="both"/>
        <w:rPr>
          <w:b/>
          <w:bCs/>
          <w:color w:val="000000" w:themeColor="text1"/>
        </w:rPr>
      </w:pPr>
      <w:r w:rsidRPr="007D1D76">
        <w:rPr>
          <w:b/>
          <w:bCs/>
          <w:color w:val="000000" w:themeColor="text1"/>
        </w:rPr>
        <w:t>Figure S</w:t>
      </w:r>
      <w:r>
        <w:rPr>
          <w:b/>
          <w:bCs/>
          <w:color w:val="000000" w:themeColor="text1"/>
        </w:rPr>
        <w:t>7</w:t>
      </w:r>
      <w:r w:rsidRPr="007D1D76">
        <w:rPr>
          <w:b/>
          <w:bCs/>
          <w:color w:val="000000" w:themeColor="text1"/>
        </w:rPr>
        <w:t>.</w:t>
      </w:r>
      <w:r>
        <w:rPr>
          <w:b/>
          <w:bCs/>
          <w:color w:val="000000" w:themeColor="text1"/>
        </w:rPr>
        <w:t xml:space="preserve"> </w:t>
      </w:r>
      <w:r w:rsidRPr="00A23AFD">
        <w:rPr>
          <w:color w:val="000000" w:themeColor="text1"/>
        </w:rPr>
        <w:t xml:space="preserve">Serum FITC-dextran concentrations in mice subjected to DSS-induced colitis following polymer treatment. Polymer-treated DSS mice exhibited reduced FITC-dextran </w:t>
      </w:r>
      <w:r>
        <w:rPr>
          <w:color w:val="000000" w:themeColor="text1"/>
        </w:rPr>
        <w:t xml:space="preserve">apparent </w:t>
      </w:r>
      <w:r w:rsidRPr="00A23AFD">
        <w:rPr>
          <w:color w:val="000000" w:themeColor="text1"/>
        </w:rPr>
        <w:t>translocation relative to DSS controls, consistent with improved intestinal barrier integrity. Bars represent mean ± SEM.</w:t>
      </w:r>
    </w:p>
    <w:p w14:paraId="36FA8614" w14:textId="77777777" w:rsidR="00392736" w:rsidRPr="007D1D76" w:rsidRDefault="00392736" w:rsidP="00392736">
      <w:pPr>
        <w:adjustRightInd w:val="0"/>
        <w:snapToGrid w:val="0"/>
        <w:spacing w:line="360" w:lineRule="auto"/>
        <w:jc w:val="both"/>
        <w:rPr>
          <w:b/>
          <w:bCs/>
          <w:color w:val="000000" w:themeColor="text1"/>
        </w:rPr>
      </w:pPr>
    </w:p>
    <w:p w14:paraId="43F676C5" w14:textId="77777777" w:rsidR="00392736" w:rsidRDefault="00392736" w:rsidP="00392736">
      <w:pPr>
        <w:adjustRightInd w:val="0"/>
        <w:snapToGrid w:val="0"/>
        <w:spacing w:line="360" w:lineRule="auto"/>
        <w:jc w:val="both"/>
        <w:rPr>
          <w:b/>
          <w:bCs/>
          <w:color w:val="000000" w:themeColor="text1"/>
        </w:rPr>
      </w:pPr>
      <w:r w:rsidRPr="007D1D76">
        <w:rPr>
          <w:b/>
          <w:bCs/>
          <w:color w:val="000000" w:themeColor="text1"/>
        </w:rPr>
        <w:t>Figure S</w:t>
      </w:r>
      <w:r>
        <w:rPr>
          <w:b/>
          <w:bCs/>
          <w:color w:val="000000" w:themeColor="text1"/>
        </w:rPr>
        <w:t>8</w:t>
      </w:r>
      <w:r w:rsidRPr="007D1D76">
        <w:rPr>
          <w:b/>
          <w:bCs/>
          <w:color w:val="000000" w:themeColor="text1"/>
        </w:rPr>
        <w:t>.</w:t>
      </w:r>
      <w:r>
        <w:rPr>
          <w:b/>
          <w:bCs/>
          <w:color w:val="000000" w:themeColor="text1"/>
        </w:rPr>
        <w:t xml:space="preserve"> </w:t>
      </w:r>
      <w:r w:rsidRPr="00C402A5">
        <w:rPr>
          <w:rStyle w:val="normaltextrun"/>
          <w:color w:val="000000" w:themeColor="text1"/>
        </w:rPr>
        <w:t xml:space="preserve">Control probes </w:t>
      </w:r>
      <w:r>
        <w:rPr>
          <w:rStyle w:val="normaltextrun"/>
          <w:color w:val="000000" w:themeColor="text1"/>
        </w:rPr>
        <w:t>used in</w:t>
      </w:r>
      <w:r w:rsidRPr="00C402A5">
        <w:rPr>
          <w:rStyle w:val="normaltextrun"/>
          <w:color w:val="000000" w:themeColor="text1"/>
        </w:rPr>
        <w:t xml:space="preserve"> RNAscope to ensure signal specificity and tissue RNA integrity</w:t>
      </w:r>
      <w:r>
        <w:rPr>
          <w:rStyle w:val="normaltextrun"/>
          <w:color w:val="000000" w:themeColor="text1"/>
        </w:rPr>
        <w:t>.</w:t>
      </w:r>
      <w:r w:rsidRPr="00C402A5">
        <w:rPr>
          <w:rStyle w:val="normaltextrun"/>
          <w:color w:val="000000" w:themeColor="text1"/>
        </w:rPr>
        <w:t xml:space="preserve"> Probe - PPIB (a medium-expression positive control) and Probe - Mm-Clec4f-C2 (C-type lectin domain family 4</w:t>
      </w:r>
      <w:r>
        <w:rPr>
          <w:rStyle w:val="normaltextrun"/>
          <w:color w:val="000000" w:themeColor="text1"/>
        </w:rPr>
        <w:t>,</w:t>
      </w:r>
      <w:r w:rsidRPr="00C402A5">
        <w:rPr>
          <w:rStyle w:val="normaltextrun"/>
          <w:color w:val="000000" w:themeColor="text1"/>
        </w:rPr>
        <w:t xml:space="preserve"> member F gene, </w:t>
      </w:r>
      <w:r>
        <w:rPr>
          <w:rStyle w:val="normaltextrun"/>
          <w:color w:val="000000" w:themeColor="text1"/>
        </w:rPr>
        <w:t xml:space="preserve">which is </w:t>
      </w:r>
      <w:r w:rsidRPr="00C402A5">
        <w:rPr>
          <w:rStyle w:val="normaltextrun"/>
          <w:color w:val="000000" w:themeColor="text1"/>
        </w:rPr>
        <w:t>exclusively expressed by Kupffer cells in the liver, serving as a negative control)</w:t>
      </w:r>
      <w:r>
        <w:rPr>
          <w:rStyle w:val="normaltextrun"/>
          <w:color w:val="000000" w:themeColor="text1"/>
        </w:rPr>
        <w:t>.</w:t>
      </w:r>
    </w:p>
    <w:p w14:paraId="613744AC" w14:textId="77777777" w:rsidR="00392736" w:rsidRDefault="00392736" w:rsidP="00392736">
      <w:pPr>
        <w:adjustRightInd w:val="0"/>
        <w:snapToGrid w:val="0"/>
        <w:spacing w:line="360" w:lineRule="auto"/>
        <w:jc w:val="both"/>
        <w:rPr>
          <w:b/>
          <w:bCs/>
          <w:color w:val="000000" w:themeColor="text1"/>
        </w:rPr>
      </w:pPr>
    </w:p>
    <w:p w14:paraId="205263E9" w14:textId="77777777" w:rsidR="00392736" w:rsidRPr="007D1D76" w:rsidRDefault="00392736" w:rsidP="00392736">
      <w:pPr>
        <w:adjustRightInd w:val="0"/>
        <w:snapToGrid w:val="0"/>
        <w:spacing w:line="360" w:lineRule="auto"/>
        <w:jc w:val="both"/>
        <w:rPr>
          <w:b/>
          <w:bCs/>
          <w:color w:val="000000" w:themeColor="text1"/>
        </w:rPr>
      </w:pPr>
      <w:r w:rsidRPr="007D1D76">
        <w:rPr>
          <w:b/>
          <w:bCs/>
          <w:color w:val="000000" w:themeColor="text1"/>
        </w:rPr>
        <w:t>Figure S</w:t>
      </w:r>
      <w:r>
        <w:rPr>
          <w:b/>
          <w:bCs/>
          <w:color w:val="000000" w:themeColor="text1"/>
        </w:rPr>
        <w:t>9</w:t>
      </w:r>
      <w:r w:rsidRPr="007D1D76">
        <w:rPr>
          <w:b/>
          <w:bCs/>
          <w:color w:val="000000" w:themeColor="text1"/>
        </w:rPr>
        <w:t>.</w:t>
      </w:r>
      <w:r>
        <w:rPr>
          <w:b/>
          <w:bCs/>
          <w:color w:val="000000" w:themeColor="text1"/>
        </w:rPr>
        <w:t xml:space="preserve"> </w:t>
      </w:r>
      <w:r w:rsidRPr="00950FB9">
        <w:rPr>
          <w:color w:val="000000" w:themeColor="text1"/>
        </w:rPr>
        <w:t>Assessment of batch-associated variation across microbiome sequencing batches before and after ConQuR normalization. Principal coordinate analysis based on Aitchison distances is shown before (left) and after (right) application of the model. Colored points and ellipses represent samples from sequencing batches 1 (black), 2 (red), and 3 (green). Minimal clustering by batch was observed both before and after correction, indicating limited batch-associated variation in the dataset.</w:t>
      </w:r>
    </w:p>
    <w:p w14:paraId="72BC2D42" w14:textId="77777777" w:rsidR="00DE6AE2" w:rsidRDefault="00DE6AE2"/>
    <w:sectPr w:rsidR="00DE6AE2" w:rsidSect="00392736">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736"/>
    <w:rsid w:val="00195413"/>
    <w:rsid w:val="00392736"/>
    <w:rsid w:val="003A03A7"/>
    <w:rsid w:val="003D0186"/>
    <w:rsid w:val="007278E4"/>
    <w:rsid w:val="007916BA"/>
    <w:rsid w:val="00A3738C"/>
    <w:rsid w:val="00B91ABC"/>
    <w:rsid w:val="00BC6C35"/>
    <w:rsid w:val="00CB270D"/>
    <w:rsid w:val="00CF7583"/>
    <w:rsid w:val="00DE6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32EEE"/>
  <w15:chartTrackingRefBased/>
  <w15:docId w15:val="{7C8FDB59-3F0E-46F7-99D2-911CE194D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73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9273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9273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9273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9273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9273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9273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9273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9273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9273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7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27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27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27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27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27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7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7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736"/>
    <w:rPr>
      <w:rFonts w:eastAsiaTheme="majorEastAsia" w:cstheme="majorBidi"/>
      <w:color w:val="272727" w:themeColor="text1" w:themeTint="D8"/>
    </w:rPr>
  </w:style>
  <w:style w:type="paragraph" w:styleId="Title">
    <w:name w:val="Title"/>
    <w:basedOn w:val="Normal"/>
    <w:next w:val="Normal"/>
    <w:link w:val="TitleChar"/>
    <w:uiPriority w:val="10"/>
    <w:qFormat/>
    <w:rsid w:val="0039273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927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73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927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73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92736"/>
    <w:rPr>
      <w:i/>
      <w:iCs/>
      <w:color w:val="404040" w:themeColor="text1" w:themeTint="BF"/>
    </w:rPr>
  </w:style>
  <w:style w:type="paragraph" w:styleId="ListParagraph">
    <w:name w:val="List Paragraph"/>
    <w:basedOn w:val="Normal"/>
    <w:uiPriority w:val="34"/>
    <w:qFormat/>
    <w:rsid w:val="0039273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92736"/>
    <w:rPr>
      <w:i/>
      <w:iCs/>
      <w:color w:val="0F4761" w:themeColor="accent1" w:themeShade="BF"/>
    </w:rPr>
  </w:style>
  <w:style w:type="paragraph" w:styleId="IntenseQuote">
    <w:name w:val="Intense Quote"/>
    <w:basedOn w:val="Normal"/>
    <w:next w:val="Normal"/>
    <w:link w:val="IntenseQuoteChar"/>
    <w:uiPriority w:val="30"/>
    <w:qFormat/>
    <w:rsid w:val="0039273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92736"/>
    <w:rPr>
      <w:i/>
      <w:iCs/>
      <w:color w:val="0F4761" w:themeColor="accent1" w:themeShade="BF"/>
    </w:rPr>
  </w:style>
  <w:style w:type="character" w:styleId="IntenseReference">
    <w:name w:val="Intense Reference"/>
    <w:basedOn w:val="DefaultParagraphFont"/>
    <w:uiPriority w:val="32"/>
    <w:qFormat/>
    <w:rsid w:val="00392736"/>
    <w:rPr>
      <w:b/>
      <w:bCs/>
      <w:smallCaps/>
      <w:color w:val="0F4761" w:themeColor="accent1" w:themeShade="BF"/>
      <w:spacing w:val="5"/>
    </w:rPr>
  </w:style>
  <w:style w:type="paragraph" w:customStyle="1" w:styleId="paragraph">
    <w:name w:val="paragraph"/>
    <w:basedOn w:val="Normal"/>
    <w:rsid w:val="00392736"/>
    <w:pPr>
      <w:spacing w:before="100" w:beforeAutospacing="1" w:after="100" w:afterAutospacing="1"/>
    </w:pPr>
  </w:style>
  <w:style w:type="character" w:customStyle="1" w:styleId="normaltextrun">
    <w:name w:val="normaltextrun"/>
    <w:basedOn w:val="DefaultParagraphFont"/>
    <w:rsid w:val="00392736"/>
  </w:style>
  <w:style w:type="character" w:styleId="LineNumber">
    <w:name w:val="line number"/>
    <w:basedOn w:val="DefaultParagraphFont"/>
    <w:uiPriority w:val="99"/>
    <w:semiHidden/>
    <w:unhideWhenUsed/>
    <w:rsid w:val="00392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2912</Characters>
  <Application>Microsoft Office Word</Application>
  <DocSecurity>0</DocSecurity>
  <Lines>24</Lines>
  <Paragraphs>6</Paragraphs>
  <ScaleCrop>false</ScaleCrop>
  <Company>Springer Nature</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Nilesh Nawale</dc:creator>
  <cp:keywords/>
  <dc:description/>
  <cp:lastModifiedBy>Nilesh Nawale</cp:lastModifiedBy>
  <cp:revision>1</cp:revision>
  <dcterms:created xsi:type="dcterms:W3CDTF">2026-06-19T10:09:00Z</dcterms:created>
  <dcterms:modified xsi:type="dcterms:W3CDTF">2026-06-19T10:09:00Z</dcterms:modified>
</cp:coreProperties>
</file>