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F72BDF" w14:textId="5BB644BA" w:rsidR="00B16F99" w:rsidRPr="00DC623A" w:rsidRDefault="00B16F99" w:rsidP="00B16F99">
      <w:pPr>
        <w:rPr>
          <w:rFonts w:ascii="Arial" w:hAnsi="Arial" w:cs="Arial"/>
          <w:b/>
          <w:sz w:val="28"/>
          <w:szCs w:val="28"/>
        </w:rPr>
      </w:pPr>
      <w:r w:rsidRPr="00DC623A">
        <w:rPr>
          <w:rFonts w:ascii="Arial" w:hAnsi="Arial" w:cs="Arial"/>
          <w:b/>
          <w:sz w:val="28"/>
          <w:szCs w:val="28"/>
        </w:rPr>
        <w:t>Supp</w:t>
      </w:r>
      <w:r w:rsidR="00B73A1C">
        <w:rPr>
          <w:rFonts w:ascii="Arial" w:hAnsi="Arial" w:cs="Arial"/>
          <w:b/>
          <w:sz w:val="28"/>
          <w:szCs w:val="28"/>
        </w:rPr>
        <w:t>orting</w:t>
      </w:r>
      <w:r w:rsidRPr="00DC623A">
        <w:rPr>
          <w:rFonts w:ascii="Arial" w:hAnsi="Arial" w:cs="Arial"/>
          <w:b/>
          <w:sz w:val="28"/>
          <w:szCs w:val="28"/>
        </w:rPr>
        <w:t xml:space="preserve"> Information for</w:t>
      </w:r>
    </w:p>
    <w:p w14:paraId="26E4D644" w14:textId="77777777" w:rsidR="003C37D4" w:rsidRPr="003C37D4" w:rsidRDefault="003C37D4" w:rsidP="003C37D4">
      <w:pPr>
        <w:rPr>
          <w:rFonts w:ascii="Arial" w:hAnsi="Arial" w:cs="Arial"/>
          <w:b/>
          <w:bCs/>
          <w:sz w:val="28"/>
          <w:szCs w:val="28"/>
        </w:rPr>
      </w:pPr>
      <w:r w:rsidRPr="003C37D4">
        <w:rPr>
          <w:rFonts w:ascii="Arial" w:hAnsi="Arial" w:cs="Arial"/>
          <w:sz w:val="28"/>
          <w:szCs w:val="28"/>
        </w:rPr>
        <w:t>Jet-Induced Rainfall Seasonality and C</w:t>
      </w:r>
      <w:r w:rsidRPr="003C37D4">
        <w:rPr>
          <w:rFonts w:ascii="Arial" w:hAnsi="Arial" w:cs="Arial"/>
          <w:sz w:val="28"/>
          <w:szCs w:val="28"/>
          <w:vertAlign w:val="subscript"/>
        </w:rPr>
        <w:t>4</w:t>
      </w:r>
      <w:r w:rsidRPr="003C37D4">
        <w:rPr>
          <w:rFonts w:ascii="Arial" w:hAnsi="Arial" w:cs="Arial"/>
          <w:sz w:val="28"/>
          <w:szCs w:val="28"/>
        </w:rPr>
        <w:t xml:space="preserve"> Expansion over East Asia</w:t>
      </w:r>
    </w:p>
    <w:p w14:paraId="135AEE58" w14:textId="04A7729E" w:rsidR="00B16F99" w:rsidRPr="00DC623A" w:rsidRDefault="00B16F99" w:rsidP="00B16F99">
      <w:pPr>
        <w:rPr>
          <w:rFonts w:ascii="Arial" w:hAnsi="Arial" w:cs="Arial"/>
          <w:szCs w:val="24"/>
        </w:rPr>
      </w:pPr>
    </w:p>
    <w:p w14:paraId="773A15B7" w14:textId="77777777" w:rsidR="00015F74" w:rsidRPr="00DC623A" w:rsidRDefault="00015F74" w:rsidP="007B5946">
      <w:pPr>
        <w:rPr>
          <w:rFonts w:ascii="Arial" w:hAnsi="Arial" w:cs="Arial"/>
          <w:sz w:val="20"/>
        </w:rPr>
      </w:pPr>
    </w:p>
    <w:p w14:paraId="6985025A" w14:textId="77777777" w:rsidR="00B16F99" w:rsidRPr="00DC623A" w:rsidRDefault="00B16F99" w:rsidP="007B5946">
      <w:pPr>
        <w:rPr>
          <w:rFonts w:ascii="Arial" w:hAnsi="Arial" w:cs="Arial"/>
          <w:sz w:val="20"/>
        </w:rPr>
      </w:pPr>
    </w:p>
    <w:p w14:paraId="01F12DED" w14:textId="77777777" w:rsidR="003C37D4" w:rsidRPr="003C37D4" w:rsidRDefault="003C37D4" w:rsidP="003C37D4">
      <w:pPr>
        <w:rPr>
          <w:rFonts w:ascii="Arial" w:hAnsi="Arial" w:cs="Arial"/>
          <w:sz w:val="20"/>
        </w:rPr>
      </w:pPr>
      <w:r w:rsidRPr="003C37D4">
        <w:rPr>
          <w:rFonts w:ascii="Arial" w:hAnsi="Arial" w:cs="Arial" w:hint="eastAsia"/>
          <w:sz w:val="20"/>
        </w:rPr>
        <w:t>Jiawei Da</w:t>
      </w:r>
      <w:r w:rsidRPr="003C37D4">
        <w:rPr>
          <w:rFonts w:ascii="Arial" w:hAnsi="Arial" w:cs="Arial" w:hint="eastAsia"/>
          <w:sz w:val="20"/>
          <w:vertAlign w:val="superscript"/>
        </w:rPr>
        <w:t>1,2*</w:t>
      </w:r>
      <w:r w:rsidRPr="003C37D4">
        <w:rPr>
          <w:rFonts w:ascii="Arial" w:hAnsi="Arial" w:cs="Arial"/>
          <w:sz w:val="20"/>
        </w:rPr>
        <w:t>†</w:t>
      </w:r>
      <w:r w:rsidRPr="003C37D4">
        <w:rPr>
          <w:rFonts w:ascii="Arial" w:hAnsi="Arial" w:cs="Arial" w:hint="eastAsia"/>
          <w:sz w:val="20"/>
        </w:rPr>
        <w:t>, Chijun Sun</w:t>
      </w:r>
      <w:r w:rsidRPr="003C37D4">
        <w:rPr>
          <w:rFonts w:ascii="Arial" w:hAnsi="Arial" w:cs="Arial"/>
          <w:sz w:val="20"/>
          <w:vertAlign w:val="superscript"/>
        </w:rPr>
        <w:t>3</w:t>
      </w:r>
      <w:r w:rsidRPr="003C37D4">
        <w:rPr>
          <w:rFonts w:ascii="Arial" w:hAnsi="Arial" w:cs="Arial" w:hint="eastAsia"/>
          <w:sz w:val="20"/>
        </w:rPr>
        <w:t xml:space="preserve">, </w:t>
      </w:r>
      <w:r w:rsidRPr="003C37D4">
        <w:rPr>
          <w:rFonts w:ascii="Arial" w:hAnsi="Arial" w:cs="Arial"/>
          <w:sz w:val="20"/>
        </w:rPr>
        <w:t>Lily Serach</w:t>
      </w:r>
      <w:r w:rsidRPr="003C37D4">
        <w:rPr>
          <w:rFonts w:ascii="Arial" w:hAnsi="Arial" w:cs="Arial" w:hint="eastAsia"/>
          <w:sz w:val="20"/>
          <w:vertAlign w:val="superscript"/>
        </w:rPr>
        <w:t>1</w:t>
      </w:r>
      <w:r w:rsidRPr="003C37D4">
        <w:rPr>
          <w:rFonts w:ascii="Arial" w:hAnsi="Arial" w:cs="Arial"/>
          <w:sz w:val="20"/>
        </w:rPr>
        <w:t>, Timothy Gallagher</w:t>
      </w:r>
      <w:r w:rsidRPr="003C37D4">
        <w:rPr>
          <w:rFonts w:ascii="Arial" w:hAnsi="Arial" w:cs="Arial"/>
          <w:sz w:val="20"/>
          <w:vertAlign w:val="superscript"/>
        </w:rPr>
        <w:t>4</w:t>
      </w:r>
      <w:r w:rsidRPr="003C37D4">
        <w:rPr>
          <w:rFonts w:ascii="Arial" w:hAnsi="Arial" w:cs="Arial"/>
          <w:sz w:val="20"/>
        </w:rPr>
        <w:t>, Huayu Lu</w:t>
      </w:r>
      <w:r w:rsidRPr="003C37D4">
        <w:rPr>
          <w:rFonts w:ascii="Arial" w:hAnsi="Arial" w:cs="Arial"/>
          <w:sz w:val="20"/>
          <w:vertAlign w:val="superscript"/>
        </w:rPr>
        <w:t>5</w:t>
      </w:r>
      <w:r w:rsidRPr="003C37D4">
        <w:rPr>
          <w:rFonts w:ascii="Arial" w:hAnsi="Arial" w:cs="Arial"/>
          <w:sz w:val="20"/>
        </w:rPr>
        <w:t>, Katharine Huntington</w:t>
      </w:r>
      <w:r w:rsidRPr="003C37D4">
        <w:rPr>
          <w:rFonts w:ascii="Arial" w:hAnsi="Arial" w:cs="Arial"/>
          <w:sz w:val="20"/>
          <w:vertAlign w:val="superscript"/>
        </w:rPr>
        <w:t>6</w:t>
      </w:r>
      <w:r w:rsidRPr="003C37D4">
        <w:rPr>
          <w:rFonts w:ascii="Arial" w:hAnsi="Arial" w:cs="Arial"/>
          <w:sz w:val="20"/>
        </w:rPr>
        <w:t>,</w:t>
      </w:r>
      <w:r w:rsidRPr="003C37D4">
        <w:rPr>
          <w:rFonts w:ascii="Arial" w:hAnsi="Arial" w:cs="Arial" w:hint="eastAsia"/>
          <w:sz w:val="20"/>
        </w:rPr>
        <w:t xml:space="preserve"> Ran Feng</w:t>
      </w:r>
      <w:r w:rsidRPr="003C37D4">
        <w:rPr>
          <w:rFonts w:ascii="Arial" w:hAnsi="Arial" w:cs="Arial"/>
          <w:sz w:val="20"/>
          <w:vertAlign w:val="superscript"/>
        </w:rPr>
        <w:t>7</w:t>
      </w:r>
      <w:r w:rsidRPr="003C37D4">
        <w:rPr>
          <w:rFonts w:ascii="Arial" w:hAnsi="Arial" w:cs="Arial" w:hint="eastAsia"/>
          <w:sz w:val="20"/>
        </w:rPr>
        <w:t xml:space="preserve">, </w:t>
      </w:r>
      <w:r w:rsidRPr="003C37D4">
        <w:rPr>
          <w:rFonts w:ascii="Arial" w:hAnsi="Arial" w:cs="Arial"/>
          <w:sz w:val="20"/>
        </w:rPr>
        <w:t>Hanzhi Zhang</w:t>
      </w:r>
      <w:r w:rsidRPr="003C37D4">
        <w:rPr>
          <w:rFonts w:ascii="Arial" w:hAnsi="Arial" w:cs="Arial"/>
          <w:sz w:val="20"/>
          <w:vertAlign w:val="superscript"/>
        </w:rPr>
        <w:t>5</w:t>
      </w:r>
      <w:r w:rsidRPr="003C37D4">
        <w:rPr>
          <w:rFonts w:ascii="Arial" w:hAnsi="Arial" w:cs="Arial"/>
          <w:sz w:val="20"/>
        </w:rPr>
        <w:t>, Hanlin Wang</w:t>
      </w:r>
      <w:r w:rsidRPr="003C37D4">
        <w:rPr>
          <w:rFonts w:ascii="Arial" w:hAnsi="Arial" w:cs="Arial"/>
          <w:sz w:val="20"/>
          <w:vertAlign w:val="superscript"/>
        </w:rPr>
        <w:t>8</w:t>
      </w:r>
      <w:r w:rsidRPr="003C37D4">
        <w:rPr>
          <w:rFonts w:ascii="Arial" w:hAnsi="Arial" w:cs="Arial"/>
          <w:sz w:val="20"/>
        </w:rPr>
        <w:t>, Shunchuan Ji</w:t>
      </w:r>
      <w:r w:rsidRPr="003C37D4">
        <w:rPr>
          <w:rFonts w:ascii="Arial" w:hAnsi="Arial" w:cs="Arial"/>
          <w:sz w:val="20"/>
          <w:vertAlign w:val="superscript"/>
        </w:rPr>
        <w:t>9</w:t>
      </w:r>
      <w:r w:rsidRPr="003C37D4">
        <w:rPr>
          <w:rFonts w:ascii="Arial" w:hAnsi="Arial" w:cs="Arial"/>
          <w:sz w:val="20"/>
        </w:rPr>
        <w:t xml:space="preserve">, </w:t>
      </w:r>
      <w:r w:rsidRPr="003C37D4">
        <w:rPr>
          <w:rFonts w:ascii="Arial" w:hAnsi="Arial" w:cs="Arial" w:hint="eastAsia"/>
          <w:sz w:val="20"/>
        </w:rPr>
        <w:t>Zachary Sharp</w:t>
      </w:r>
      <w:r w:rsidRPr="003C37D4">
        <w:rPr>
          <w:rFonts w:ascii="Arial" w:hAnsi="Arial" w:cs="Arial"/>
          <w:sz w:val="20"/>
          <w:vertAlign w:val="superscript"/>
        </w:rPr>
        <w:t>10</w:t>
      </w:r>
      <w:r w:rsidRPr="003C37D4">
        <w:rPr>
          <w:rFonts w:ascii="Arial" w:hAnsi="Arial" w:cs="Arial" w:hint="eastAsia"/>
          <w:sz w:val="20"/>
        </w:rPr>
        <w:t>,</w:t>
      </w:r>
      <w:r w:rsidRPr="003C37D4">
        <w:rPr>
          <w:rFonts w:ascii="Arial" w:hAnsi="Arial" w:cs="Arial"/>
          <w:sz w:val="20"/>
        </w:rPr>
        <w:t xml:space="preserve"> </w:t>
      </w:r>
      <w:r w:rsidRPr="003C37D4">
        <w:rPr>
          <w:rFonts w:ascii="Arial" w:hAnsi="Arial" w:cs="Arial" w:hint="eastAsia"/>
          <w:sz w:val="20"/>
        </w:rPr>
        <w:t>Junfeng Ji</w:t>
      </w:r>
      <w:r w:rsidRPr="003C37D4">
        <w:rPr>
          <w:rFonts w:ascii="Arial" w:hAnsi="Arial" w:cs="Arial"/>
          <w:sz w:val="20"/>
          <w:vertAlign w:val="superscript"/>
        </w:rPr>
        <w:t>2</w:t>
      </w:r>
      <w:r w:rsidRPr="003C37D4">
        <w:rPr>
          <w:rFonts w:ascii="Arial" w:hAnsi="Arial" w:cs="Arial"/>
          <w:sz w:val="20"/>
        </w:rPr>
        <w:t>, Daniel Breecker</w:t>
      </w:r>
      <w:r w:rsidRPr="003C37D4">
        <w:rPr>
          <w:rFonts w:ascii="Arial" w:hAnsi="Arial" w:cs="Arial"/>
          <w:sz w:val="20"/>
          <w:vertAlign w:val="superscript"/>
        </w:rPr>
        <w:t>1</w:t>
      </w:r>
    </w:p>
    <w:p w14:paraId="1EBDE992" w14:textId="77777777" w:rsidR="000F0DCE" w:rsidRPr="00DC623A" w:rsidRDefault="000F0DCE" w:rsidP="007B5946">
      <w:pPr>
        <w:rPr>
          <w:rFonts w:ascii="Arial" w:hAnsi="Arial" w:cs="Arial"/>
          <w:sz w:val="20"/>
        </w:rPr>
      </w:pPr>
    </w:p>
    <w:p w14:paraId="76B63DA2" w14:textId="055E0A94" w:rsidR="00943C3C" w:rsidRPr="00DC623A" w:rsidRDefault="003C37D4" w:rsidP="007B5946">
      <w:pPr>
        <w:rPr>
          <w:rFonts w:ascii="Arial" w:hAnsi="Arial" w:cs="Arial"/>
          <w:sz w:val="20"/>
        </w:rPr>
      </w:pPr>
      <w:r>
        <w:rPr>
          <w:rFonts w:ascii="Arial" w:hAnsi="Arial" w:cs="Arial"/>
          <w:sz w:val="20"/>
        </w:rPr>
        <w:t>Jiawei Da</w:t>
      </w:r>
    </w:p>
    <w:p w14:paraId="48676783" w14:textId="74E9A8D4" w:rsidR="004779CB" w:rsidRPr="00DC623A" w:rsidRDefault="00943C3C" w:rsidP="007B5946">
      <w:pPr>
        <w:rPr>
          <w:rFonts w:ascii="Arial" w:hAnsi="Arial" w:cs="Arial"/>
          <w:sz w:val="20"/>
        </w:rPr>
      </w:pPr>
      <w:r w:rsidRPr="00DC623A">
        <w:rPr>
          <w:rFonts w:ascii="Arial" w:hAnsi="Arial" w:cs="Arial"/>
          <w:sz w:val="20"/>
        </w:rPr>
        <w:t>Email:</w:t>
      </w:r>
      <w:r w:rsidR="004779CB" w:rsidRPr="00DC623A">
        <w:rPr>
          <w:rFonts w:ascii="Arial" w:hAnsi="Arial" w:cs="Arial"/>
          <w:sz w:val="20"/>
        </w:rPr>
        <w:t xml:space="preserve"> </w:t>
      </w:r>
      <w:r w:rsidR="003C37D4">
        <w:rPr>
          <w:rFonts w:ascii="Arial" w:hAnsi="Arial" w:cs="Arial"/>
          <w:sz w:val="20"/>
        </w:rPr>
        <w:t>jiawei@psu.edu</w:t>
      </w:r>
    </w:p>
    <w:p w14:paraId="41FAE993" w14:textId="77777777" w:rsidR="002C030F" w:rsidRPr="00DC623A" w:rsidRDefault="002C030F">
      <w:pPr>
        <w:rPr>
          <w:rFonts w:ascii="Arial" w:hAnsi="Arial" w:cs="Arial"/>
          <w:sz w:val="20"/>
        </w:rPr>
      </w:pPr>
    </w:p>
    <w:p w14:paraId="51DF9633" w14:textId="77777777" w:rsidR="00015F74" w:rsidRPr="00DC623A" w:rsidRDefault="00015F74">
      <w:pPr>
        <w:rPr>
          <w:rFonts w:ascii="Arial" w:hAnsi="Arial" w:cs="Arial"/>
          <w:b/>
          <w:sz w:val="20"/>
        </w:rPr>
      </w:pPr>
    </w:p>
    <w:p w14:paraId="09920EA7" w14:textId="77777777" w:rsidR="002C030F" w:rsidRPr="00DC623A" w:rsidRDefault="009743A9">
      <w:pPr>
        <w:rPr>
          <w:rFonts w:ascii="Arial" w:hAnsi="Arial" w:cs="Arial"/>
          <w:b/>
          <w:sz w:val="20"/>
        </w:rPr>
      </w:pPr>
      <w:r w:rsidRPr="00DC623A">
        <w:rPr>
          <w:rFonts w:ascii="Arial" w:hAnsi="Arial" w:cs="Arial"/>
          <w:b/>
          <w:sz w:val="20"/>
        </w:rPr>
        <w:t xml:space="preserve">This PDF file </w:t>
      </w:r>
      <w:r w:rsidR="002C030F" w:rsidRPr="00DC623A">
        <w:rPr>
          <w:rFonts w:ascii="Arial" w:hAnsi="Arial" w:cs="Arial"/>
          <w:b/>
          <w:sz w:val="20"/>
        </w:rPr>
        <w:t>includes:</w:t>
      </w:r>
    </w:p>
    <w:p w14:paraId="4348D444" w14:textId="77777777" w:rsidR="002C030F" w:rsidRPr="00DC623A" w:rsidRDefault="002C030F">
      <w:pPr>
        <w:rPr>
          <w:rFonts w:ascii="Arial" w:hAnsi="Arial" w:cs="Arial"/>
          <w:sz w:val="20"/>
        </w:rPr>
      </w:pPr>
    </w:p>
    <w:p w14:paraId="21670AEA" w14:textId="5BE49B97" w:rsidR="002C030F" w:rsidRPr="00DC623A" w:rsidRDefault="00DA59EA" w:rsidP="00262D72">
      <w:pPr>
        <w:ind w:left="720"/>
        <w:rPr>
          <w:rFonts w:ascii="Arial" w:hAnsi="Arial" w:cs="Arial"/>
          <w:sz w:val="20"/>
        </w:rPr>
      </w:pPr>
      <w:r w:rsidRPr="00DC623A">
        <w:rPr>
          <w:rFonts w:ascii="Arial" w:hAnsi="Arial" w:cs="Arial"/>
          <w:sz w:val="20"/>
        </w:rPr>
        <w:t>Figures</w:t>
      </w:r>
      <w:r w:rsidR="00A3403B" w:rsidRPr="00DC623A">
        <w:rPr>
          <w:rFonts w:ascii="Arial" w:hAnsi="Arial" w:cs="Arial"/>
          <w:sz w:val="20"/>
        </w:rPr>
        <w:t xml:space="preserve"> </w:t>
      </w:r>
      <w:r w:rsidR="002C030F" w:rsidRPr="00DC623A">
        <w:rPr>
          <w:rFonts w:ascii="Arial" w:hAnsi="Arial" w:cs="Arial"/>
          <w:sz w:val="20"/>
        </w:rPr>
        <w:t>S1</w:t>
      </w:r>
      <w:r w:rsidR="00A3403B" w:rsidRPr="00DC623A">
        <w:rPr>
          <w:rFonts w:ascii="Arial" w:hAnsi="Arial" w:cs="Arial"/>
          <w:sz w:val="20"/>
        </w:rPr>
        <w:t xml:space="preserve"> to </w:t>
      </w:r>
      <w:r w:rsidR="002C030F" w:rsidRPr="00DC623A">
        <w:rPr>
          <w:rFonts w:ascii="Arial" w:hAnsi="Arial" w:cs="Arial"/>
          <w:sz w:val="20"/>
        </w:rPr>
        <w:t>S</w:t>
      </w:r>
      <w:r w:rsidR="003C37D4">
        <w:rPr>
          <w:rFonts w:ascii="Arial" w:hAnsi="Arial" w:cs="Arial"/>
          <w:sz w:val="20"/>
        </w:rPr>
        <w:t>6</w:t>
      </w:r>
    </w:p>
    <w:p w14:paraId="0357822C" w14:textId="77777777" w:rsidR="00943C3C" w:rsidRPr="00DC623A" w:rsidRDefault="00943C3C" w:rsidP="001C0975">
      <w:pPr>
        <w:pStyle w:val="SMHeading"/>
        <w:rPr>
          <w:rFonts w:ascii="Arial" w:hAnsi="Arial" w:cs="Arial"/>
          <w:sz w:val="20"/>
          <w:szCs w:val="20"/>
        </w:rPr>
      </w:pPr>
    </w:p>
    <w:p w14:paraId="4F297BDE" w14:textId="77777777" w:rsidR="00943C3C" w:rsidRPr="00DC623A" w:rsidRDefault="00943C3C" w:rsidP="001C0975">
      <w:pPr>
        <w:pStyle w:val="SMHeading"/>
        <w:rPr>
          <w:rFonts w:ascii="Arial" w:hAnsi="Arial" w:cs="Arial"/>
          <w:sz w:val="20"/>
          <w:szCs w:val="20"/>
        </w:rPr>
      </w:pPr>
    </w:p>
    <w:p w14:paraId="62CB8284" w14:textId="5534E68C" w:rsidR="00355362" w:rsidRPr="00DC623A" w:rsidRDefault="00355362" w:rsidP="00D269AB">
      <w:pPr>
        <w:pStyle w:val="SMHeading"/>
        <w:rPr>
          <w:rFonts w:ascii="Arial" w:hAnsi="Arial" w:cs="Arial"/>
          <w:sz w:val="20"/>
          <w:szCs w:val="20"/>
        </w:rPr>
      </w:pPr>
      <w:bookmarkStart w:id="0" w:name="Tables"/>
      <w:bookmarkStart w:id="1" w:name="MaterialsMethods"/>
      <w:bookmarkEnd w:id="0"/>
      <w:bookmarkEnd w:id="1"/>
    </w:p>
    <w:p w14:paraId="697D767A" w14:textId="77777777" w:rsidR="00CF16C9" w:rsidRPr="00DC623A" w:rsidRDefault="00CF16C9" w:rsidP="00D269AB">
      <w:pPr>
        <w:pStyle w:val="SMHeading"/>
        <w:rPr>
          <w:rFonts w:ascii="Arial" w:hAnsi="Arial" w:cs="Arial"/>
          <w:sz w:val="20"/>
          <w:szCs w:val="20"/>
        </w:rPr>
      </w:pPr>
    </w:p>
    <w:p w14:paraId="345AECF4" w14:textId="77777777" w:rsidR="009A5287" w:rsidRPr="00DC623A" w:rsidRDefault="009A5287" w:rsidP="009A5287">
      <w:pPr>
        <w:pStyle w:val="SMText"/>
        <w:ind w:firstLine="0"/>
        <w:rPr>
          <w:rFonts w:ascii="Arial" w:hAnsi="Arial" w:cs="Arial"/>
          <w:sz w:val="20"/>
        </w:rPr>
      </w:pPr>
    </w:p>
    <w:p w14:paraId="1A62E49D" w14:textId="77777777" w:rsidR="00B73A1C" w:rsidRDefault="00B73A1C">
      <w:pPr>
        <w:rPr>
          <w:rFonts w:ascii="Arial" w:hAnsi="Arial" w:cs="Arial"/>
          <w:b/>
          <w:bCs/>
          <w:kern w:val="32"/>
          <w:sz w:val="20"/>
        </w:rPr>
      </w:pPr>
      <w:r>
        <w:rPr>
          <w:rFonts w:ascii="Arial" w:hAnsi="Arial" w:cs="Arial"/>
          <w:sz w:val="20"/>
        </w:rPr>
        <w:br w:type="page"/>
      </w:r>
    </w:p>
    <w:p w14:paraId="28731965" w14:textId="679D41FE" w:rsidR="00CD0E25" w:rsidRDefault="00CD0E25" w:rsidP="00B42F9C">
      <w:pPr>
        <w:pStyle w:val="SMHeading"/>
        <w:rPr>
          <w:rFonts w:ascii="Arial" w:hAnsi="Arial" w:cs="Arial"/>
          <w:sz w:val="20"/>
          <w:szCs w:val="20"/>
        </w:rPr>
      </w:pPr>
      <w:r>
        <w:rPr>
          <w:rFonts w:ascii="Arial" w:hAnsi="Arial" w:cs="Arial"/>
          <w:sz w:val="20"/>
          <w:szCs w:val="20"/>
        </w:rPr>
        <w:lastRenderedPageBreak/>
        <w:t>Figures</w:t>
      </w:r>
    </w:p>
    <w:p w14:paraId="7AE73A53" w14:textId="64EA4243" w:rsidR="004045E5" w:rsidRDefault="004045E5" w:rsidP="00B42F9C">
      <w:pPr>
        <w:pStyle w:val="SMHeading"/>
        <w:rPr>
          <w:rFonts w:ascii="Arial" w:hAnsi="Arial" w:cs="Arial"/>
          <w:sz w:val="20"/>
          <w:szCs w:val="20"/>
        </w:rPr>
      </w:pPr>
      <w:r>
        <w:rPr>
          <w:noProof/>
        </w:rPr>
        <w:drawing>
          <wp:inline distT="0" distB="0" distL="0" distR="0" wp14:anchorId="09FCFB8E" wp14:editId="1973EA12">
            <wp:extent cx="5486400" cy="2571457"/>
            <wp:effectExtent l="0" t="0" r="0" b="0"/>
            <wp:docPr id="500624492" name="Picture 6" descr="A map of the world with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map of the world with red dot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571457"/>
                    </a:xfrm>
                    <a:prstGeom prst="rect">
                      <a:avLst/>
                    </a:prstGeom>
                    <a:noFill/>
                    <a:ln>
                      <a:noFill/>
                    </a:ln>
                  </pic:spPr>
                </pic:pic>
              </a:graphicData>
            </a:graphic>
          </wp:inline>
        </w:drawing>
      </w:r>
    </w:p>
    <w:p w14:paraId="46A50B7B" w14:textId="31D7B63C" w:rsidR="004045E5" w:rsidRPr="004045E5" w:rsidRDefault="007411A1" w:rsidP="00A02969">
      <w:pPr>
        <w:pStyle w:val="SMHeading"/>
        <w:jc w:val="both"/>
        <w:rPr>
          <w:rFonts w:ascii="Arial" w:hAnsi="Arial" w:cs="Arial"/>
          <w:b w:val="0"/>
          <w:bCs w:val="0"/>
          <w:sz w:val="20"/>
          <w:szCs w:val="20"/>
        </w:rPr>
      </w:pPr>
      <w:r w:rsidRPr="00DC623A">
        <w:rPr>
          <w:rFonts w:ascii="Arial" w:hAnsi="Arial" w:cs="Arial"/>
          <w:sz w:val="20"/>
          <w:szCs w:val="20"/>
        </w:rPr>
        <w:t>Fig. S1.</w:t>
      </w:r>
      <w:r w:rsidR="00B42F9C" w:rsidRPr="00DC623A">
        <w:rPr>
          <w:rFonts w:ascii="Arial" w:hAnsi="Arial" w:cs="Arial"/>
          <w:sz w:val="20"/>
          <w:szCs w:val="20"/>
        </w:rPr>
        <w:t xml:space="preserve"> </w:t>
      </w:r>
      <w:r w:rsidR="004045E5" w:rsidRPr="004045E5">
        <w:rPr>
          <w:rFonts w:ascii="Arial" w:hAnsi="Arial" w:cs="Arial"/>
          <w:b w:val="0"/>
          <w:sz w:val="20"/>
          <w:szCs w:val="20"/>
        </w:rPr>
        <w:t>T</w:t>
      </w:r>
      <w:r w:rsidR="004045E5" w:rsidRPr="004045E5">
        <w:rPr>
          <w:rFonts w:ascii="Arial" w:hAnsi="Arial" w:cs="Arial"/>
          <w:sz w:val="20"/>
          <w:szCs w:val="20"/>
        </w:rPr>
        <w:t xml:space="preserve">he locations of Ocean Drilling Program (ODP) sites used in this study </w:t>
      </w:r>
      <w:r w:rsidR="004045E5" w:rsidRPr="004045E5">
        <w:rPr>
          <w:rFonts w:ascii="Arial" w:hAnsi="Arial" w:cs="Arial"/>
          <w:sz w:val="20"/>
          <w:szCs w:val="20"/>
        </w:rPr>
        <w:fldChar w:fldCharType="begin"/>
      </w:r>
      <w:r w:rsidR="00D74D9A">
        <w:rPr>
          <w:rFonts w:ascii="Arial" w:hAnsi="Arial" w:cs="Arial"/>
          <w:sz w:val="20"/>
          <w:szCs w:val="20"/>
        </w:rPr>
        <w:instrText xml:space="preserve"> ADDIN ZOTERO_ITEM CSL_CITATION {"citationID":"0QYZt9Z3","properties":{"formattedCitation":"(1)","plainCitation":"(1)","noteIndex":0},"citationItems":[{"id":877,"uris":["http://zotero.org/users/8787779/items/HNMURXJS"],"itemData":{"id":877,"type":"article-journal","container-title":"Nature Geoscience","issue":"11","title":"Late Miocene global cooling and the rise of modern ecosystems","volume":"9","author":[{"family":"Herbert","given":"Timothy D."},{"family":"Lawrence","given":"Kira T."},{"family":"Tzanova","given":"Alexandrina"},{"family":"Peterson","given":"Laura Cleaveland"},{"family":"Caballerogill","given":"Rocio"},{"family":"Kelly","given":"Christopher S."}],"issued":{"date-parts":[["2016"]]}}}],"schema":"https://github.com/citation-style-language/schema/raw/master/csl-citation.json"} </w:instrText>
      </w:r>
      <w:r w:rsidR="004045E5" w:rsidRPr="004045E5">
        <w:rPr>
          <w:rFonts w:ascii="Arial" w:hAnsi="Arial" w:cs="Arial"/>
          <w:sz w:val="20"/>
          <w:szCs w:val="20"/>
        </w:rPr>
        <w:fldChar w:fldCharType="separate"/>
      </w:r>
      <w:r w:rsidR="00D74D9A">
        <w:rPr>
          <w:rFonts w:ascii="Arial" w:hAnsi="Arial" w:cs="Arial"/>
          <w:sz w:val="20"/>
          <w:szCs w:val="20"/>
        </w:rPr>
        <w:t>(1)</w:t>
      </w:r>
      <w:r w:rsidR="004045E5" w:rsidRPr="004045E5">
        <w:rPr>
          <w:rFonts w:ascii="Arial" w:hAnsi="Arial" w:cs="Arial"/>
          <w:b w:val="0"/>
          <w:sz w:val="20"/>
          <w:szCs w:val="20"/>
        </w:rPr>
        <w:fldChar w:fldCharType="end"/>
      </w:r>
      <w:r w:rsidR="004045E5" w:rsidRPr="004045E5">
        <w:rPr>
          <w:rFonts w:ascii="Arial" w:hAnsi="Arial" w:cs="Arial"/>
          <w:sz w:val="20"/>
          <w:szCs w:val="20"/>
        </w:rPr>
        <w:t xml:space="preserve">. </w:t>
      </w:r>
      <w:r w:rsidR="004045E5" w:rsidRPr="004045E5">
        <w:rPr>
          <w:rFonts w:ascii="Arial" w:hAnsi="Arial" w:cs="Arial"/>
          <w:b w:val="0"/>
          <w:bCs w:val="0"/>
          <w:sz w:val="20"/>
        </w:rPr>
        <w:t xml:space="preserve">The red circles and blue boxes show sites for the Miocene-Pliocene and the Pleistocene sea surface temperature records, respectively. </w:t>
      </w:r>
    </w:p>
    <w:p w14:paraId="4E4ED6CB" w14:textId="44B640DB" w:rsidR="00015F74" w:rsidRPr="00DC623A" w:rsidRDefault="00015F74" w:rsidP="00B42F9C">
      <w:pPr>
        <w:pStyle w:val="SMHeading"/>
        <w:rPr>
          <w:rFonts w:ascii="Arial" w:hAnsi="Arial" w:cs="Arial"/>
          <w:b w:val="0"/>
          <w:sz w:val="20"/>
          <w:szCs w:val="20"/>
        </w:rPr>
      </w:pPr>
    </w:p>
    <w:p w14:paraId="419317AB" w14:textId="77777777" w:rsidR="009A5287" w:rsidRPr="00DC623A" w:rsidRDefault="009A5287" w:rsidP="00B9440A">
      <w:pPr>
        <w:pStyle w:val="SMcaption"/>
        <w:rPr>
          <w:rFonts w:ascii="Arial" w:hAnsi="Arial" w:cs="Arial"/>
          <w:sz w:val="20"/>
        </w:rPr>
      </w:pPr>
    </w:p>
    <w:p w14:paraId="3EF93A08" w14:textId="77777777" w:rsidR="00175C3E" w:rsidRDefault="00175C3E">
      <w:pPr>
        <w:rPr>
          <w:rFonts w:ascii="Arial" w:hAnsi="Arial" w:cs="Arial"/>
          <w:sz w:val="20"/>
        </w:rPr>
      </w:pPr>
      <w:r>
        <w:rPr>
          <w:rFonts w:ascii="Arial" w:hAnsi="Arial" w:cs="Arial"/>
          <w:b/>
          <w:bCs/>
          <w:sz w:val="20"/>
        </w:rPr>
        <w:br w:type="page"/>
      </w:r>
    </w:p>
    <w:p w14:paraId="350135D3" w14:textId="0A7AB766" w:rsidR="00A40406" w:rsidRDefault="00A40406" w:rsidP="00C31C4E">
      <w:pPr>
        <w:pStyle w:val="SMHeading"/>
        <w:jc w:val="center"/>
        <w:rPr>
          <w:rFonts w:ascii="Arial" w:hAnsi="Arial" w:cs="Arial"/>
          <w:sz w:val="20"/>
          <w:szCs w:val="20"/>
        </w:rPr>
      </w:pPr>
      <w:r>
        <w:rPr>
          <w:noProof/>
        </w:rPr>
        <w:lastRenderedPageBreak/>
        <w:drawing>
          <wp:inline distT="0" distB="0" distL="0" distR="0" wp14:anchorId="20DA6C12" wp14:editId="7670A1DD">
            <wp:extent cx="4055745" cy="4233545"/>
            <wp:effectExtent l="0" t="0" r="0" b="0"/>
            <wp:docPr id="924058743" name="Picture 5"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iagram of a graph&#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5745" cy="4233545"/>
                    </a:xfrm>
                    <a:prstGeom prst="rect">
                      <a:avLst/>
                    </a:prstGeom>
                    <a:noFill/>
                    <a:ln>
                      <a:noFill/>
                    </a:ln>
                  </pic:spPr>
                </pic:pic>
              </a:graphicData>
            </a:graphic>
          </wp:inline>
        </w:drawing>
      </w:r>
    </w:p>
    <w:p w14:paraId="0C39C92A" w14:textId="53F317EA" w:rsidR="00A40406" w:rsidRPr="00A40406" w:rsidRDefault="00112C5B" w:rsidP="00A40406">
      <w:pPr>
        <w:pStyle w:val="SMHeading"/>
        <w:jc w:val="both"/>
        <w:rPr>
          <w:rFonts w:ascii="Arial" w:hAnsi="Arial" w:cs="Arial"/>
          <w:b w:val="0"/>
          <w:bCs w:val="0"/>
          <w:sz w:val="20"/>
        </w:rPr>
      </w:pPr>
      <w:r w:rsidRPr="00DC623A">
        <w:rPr>
          <w:rFonts w:ascii="Arial" w:hAnsi="Arial" w:cs="Arial"/>
          <w:sz w:val="20"/>
          <w:szCs w:val="20"/>
        </w:rPr>
        <w:t>Fig. S2</w:t>
      </w:r>
      <w:r w:rsidR="00B42F9C" w:rsidRPr="00DC623A">
        <w:rPr>
          <w:rFonts w:ascii="Arial" w:hAnsi="Arial" w:cs="Arial"/>
          <w:sz w:val="20"/>
          <w:szCs w:val="20"/>
        </w:rPr>
        <w:t xml:space="preserve">. </w:t>
      </w:r>
      <w:r w:rsidR="00A40406" w:rsidRPr="00A40406">
        <w:rPr>
          <w:rFonts w:ascii="Arial" w:hAnsi="Arial" w:cs="Arial"/>
          <w:sz w:val="20"/>
          <w:szCs w:val="20"/>
        </w:rPr>
        <w:t>Measurements from calcite nodules.</w:t>
      </w:r>
      <w:r w:rsidR="00A40406">
        <w:rPr>
          <w:rFonts w:ascii="Arial" w:hAnsi="Arial" w:cs="Arial"/>
          <w:sz w:val="20"/>
          <w:szCs w:val="20"/>
        </w:rPr>
        <w:t xml:space="preserve"> </w:t>
      </w:r>
      <w:r w:rsidR="00A40406" w:rsidRPr="00A40406">
        <w:rPr>
          <w:rFonts w:ascii="Arial" w:hAnsi="Arial" w:cs="Arial"/>
          <w:b w:val="0"/>
          <w:bCs w:val="0"/>
          <w:sz w:val="20"/>
        </w:rPr>
        <w:t>(a) Clumped isotope temperature (T</w:t>
      </w:r>
      <w:r w:rsidR="00A40406" w:rsidRPr="00A40406">
        <w:rPr>
          <w:rFonts w:ascii="Arial" w:hAnsi="Arial" w:cs="Arial"/>
          <w:b w:val="0"/>
          <w:bCs w:val="0"/>
          <w:sz w:val="20"/>
          <w:vertAlign w:val="subscript"/>
        </w:rPr>
        <w:t>Δ47</w:t>
      </w:r>
      <w:r w:rsidR="00A40406" w:rsidRPr="00A40406">
        <w:rPr>
          <w:rFonts w:ascii="Arial" w:hAnsi="Arial" w:cs="Arial"/>
          <w:b w:val="0"/>
          <w:bCs w:val="0"/>
          <w:sz w:val="20"/>
        </w:rPr>
        <w:t>). (b) The stable oxygen isotopic compositions (δ</w:t>
      </w:r>
      <w:r w:rsidR="00A40406" w:rsidRPr="00A40406">
        <w:rPr>
          <w:rFonts w:ascii="Arial" w:hAnsi="Arial" w:cs="Arial"/>
          <w:b w:val="0"/>
          <w:bCs w:val="0"/>
          <w:sz w:val="20"/>
          <w:vertAlign w:val="superscript"/>
        </w:rPr>
        <w:t>18</w:t>
      </w:r>
      <w:r w:rsidR="00A40406" w:rsidRPr="00A40406">
        <w:rPr>
          <w:rFonts w:ascii="Arial" w:hAnsi="Arial" w:cs="Arial"/>
          <w:b w:val="0"/>
          <w:bCs w:val="0"/>
          <w:sz w:val="20"/>
        </w:rPr>
        <w:t>O</w:t>
      </w:r>
      <w:r w:rsidR="00A40406" w:rsidRPr="00A40406">
        <w:rPr>
          <w:rFonts w:ascii="Arial" w:hAnsi="Arial" w:cs="Arial"/>
          <w:b w:val="0"/>
          <w:bCs w:val="0"/>
          <w:sz w:val="20"/>
          <w:vertAlign w:val="subscript"/>
        </w:rPr>
        <w:t>c</w:t>
      </w:r>
      <w:r w:rsidR="00A40406" w:rsidRPr="00A40406">
        <w:rPr>
          <w:rFonts w:ascii="Arial" w:hAnsi="Arial" w:cs="Arial"/>
          <w:b w:val="0"/>
          <w:bCs w:val="0"/>
          <w:sz w:val="20"/>
        </w:rPr>
        <w:t>). (b) The Δ′</w:t>
      </w:r>
      <w:r w:rsidR="00A40406" w:rsidRPr="00A40406">
        <w:rPr>
          <w:rFonts w:ascii="Arial" w:hAnsi="Arial" w:cs="Arial"/>
          <w:b w:val="0"/>
          <w:bCs w:val="0"/>
          <w:sz w:val="20"/>
          <w:vertAlign w:val="superscript"/>
        </w:rPr>
        <w:t>17</w:t>
      </w:r>
      <w:r w:rsidR="00A40406" w:rsidRPr="00A40406">
        <w:rPr>
          <w:rFonts w:ascii="Arial" w:hAnsi="Arial" w:cs="Arial"/>
          <w:b w:val="0"/>
          <w:bCs w:val="0"/>
          <w:sz w:val="20"/>
        </w:rPr>
        <w:t>O values (Δ′</w:t>
      </w:r>
      <w:r w:rsidR="00A40406" w:rsidRPr="00A40406">
        <w:rPr>
          <w:rFonts w:ascii="Arial" w:hAnsi="Arial" w:cs="Arial"/>
          <w:b w:val="0"/>
          <w:bCs w:val="0"/>
          <w:sz w:val="20"/>
          <w:vertAlign w:val="superscript"/>
        </w:rPr>
        <w:t>17</w:t>
      </w:r>
      <w:r w:rsidR="00A40406" w:rsidRPr="00A40406">
        <w:rPr>
          <w:rFonts w:ascii="Arial" w:hAnsi="Arial" w:cs="Arial"/>
          <w:b w:val="0"/>
          <w:bCs w:val="0"/>
          <w:sz w:val="20"/>
        </w:rPr>
        <w:t>O</w:t>
      </w:r>
      <w:r w:rsidR="00A40406" w:rsidRPr="00A40406">
        <w:rPr>
          <w:rFonts w:ascii="Arial" w:hAnsi="Arial" w:cs="Arial"/>
          <w:b w:val="0"/>
          <w:bCs w:val="0"/>
          <w:sz w:val="20"/>
          <w:vertAlign w:val="subscript"/>
        </w:rPr>
        <w:t>c</w:t>
      </w:r>
      <w:r w:rsidR="00A40406" w:rsidRPr="00A40406">
        <w:rPr>
          <w:rFonts w:ascii="Arial" w:hAnsi="Arial" w:cs="Arial"/>
          <w:b w:val="0"/>
          <w:bCs w:val="0"/>
          <w:sz w:val="20"/>
        </w:rPr>
        <w:t>). Error bars denote standard errors from replicate analyses. Note the reversed scale for Δ′</w:t>
      </w:r>
      <w:r w:rsidR="00A40406" w:rsidRPr="00A40406">
        <w:rPr>
          <w:rFonts w:ascii="Arial" w:hAnsi="Arial" w:cs="Arial"/>
          <w:b w:val="0"/>
          <w:bCs w:val="0"/>
          <w:sz w:val="20"/>
          <w:vertAlign w:val="superscript"/>
        </w:rPr>
        <w:t>17</w:t>
      </w:r>
      <w:r w:rsidR="00A40406" w:rsidRPr="00A40406">
        <w:rPr>
          <w:rFonts w:ascii="Arial" w:hAnsi="Arial" w:cs="Arial"/>
          <w:b w:val="0"/>
          <w:bCs w:val="0"/>
          <w:sz w:val="20"/>
        </w:rPr>
        <w:t>O</w:t>
      </w:r>
      <w:r w:rsidR="00A40406" w:rsidRPr="00A40406">
        <w:rPr>
          <w:rFonts w:ascii="Arial" w:hAnsi="Arial" w:cs="Arial"/>
          <w:b w:val="0"/>
          <w:bCs w:val="0"/>
          <w:sz w:val="20"/>
          <w:vertAlign w:val="subscript"/>
        </w:rPr>
        <w:t>c</w:t>
      </w:r>
      <w:r w:rsidR="00A40406" w:rsidRPr="00A40406">
        <w:rPr>
          <w:rFonts w:ascii="Arial" w:hAnsi="Arial" w:cs="Arial"/>
          <w:b w:val="0"/>
          <w:bCs w:val="0"/>
          <w:sz w:val="20"/>
        </w:rPr>
        <w:t xml:space="preserve">. The black lines in panels a are the LOESS lines (span = 0.3). </w:t>
      </w:r>
    </w:p>
    <w:p w14:paraId="695F73DE" w14:textId="1FE6F6EC" w:rsidR="00670299" w:rsidRPr="00DC623A" w:rsidRDefault="00670299" w:rsidP="00A40406">
      <w:pPr>
        <w:pStyle w:val="SMHeading"/>
        <w:rPr>
          <w:rFonts w:ascii="Arial" w:hAnsi="Arial" w:cs="Arial"/>
          <w:sz w:val="20"/>
        </w:rPr>
      </w:pPr>
    </w:p>
    <w:p w14:paraId="6A341F04" w14:textId="023A3A47" w:rsidR="00C31C4E" w:rsidRDefault="00C31C4E">
      <w:pPr>
        <w:rPr>
          <w:rFonts w:ascii="Arial" w:hAnsi="Arial" w:cs="Arial"/>
          <w:sz w:val="20"/>
        </w:rPr>
      </w:pPr>
      <w:r>
        <w:rPr>
          <w:rFonts w:ascii="Arial" w:hAnsi="Arial" w:cs="Arial"/>
          <w:sz w:val="20"/>
        </w:rPr>
        <w:br w:type="page"/>
      </w:r>
    </w:p>
    <w:p w14:paraId="0EDA7543" w14:textId="3E282E1D" w:rsidR="00C50C6D" w:rsidRDefault="00C31C4E" w:rsidP="00EC0261">
      <w:pPr>
        <w:pStyle w:val="SMcaption"/>
        <w:jc w:val="center"/>
        <w:rPr>
          <w:rFonts w:ascii="Arial" w:hAnsi="Arial" w:cs="Arial"/>
          <w:sz w:val="20"/>
        </w:rPr>
      </w:pPr>
      <w:r>
        <w:rPr>
          <w:noProof/>
        </w:rPr>
        <w:lastRenderedPageBreak/>
        <w:drawing>
          <wp:inline distT="0" distB="0" distL="0" distR="0" wp14:anchorId="267DE7ED" wp14:editId="62B35DF1">
            <wp:extent cx="4133916" cy="4195011"/>
            <wp:effectExtent l="0" t="0" r="0" b="0"/>
            <wp:docPr id="1083713712" name="Picture 4" descr="A diagram of different types of wa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iagram of different types of waves&#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37592" cy="4198741"/>
                    </a:xfrm>
                    <a:prstGeom prst="rect">
                      <a:avLst/>
                    </a:prstGeom>
                    <a:noFill/>
                    <a:ln>
                      <a:noFill/>
                    </a:ln>
                  </pic:spPr>
                </pic:pic>
              </a:graphicData>
            </a:graphic>
          </wp:inline>
        </w:drawing>
      </w:r>
    </w:p>
    <w:p w14:paraId="154FEF39" w14:textId="77777777" w:rsidR="00C31C4E" w:rsidRDefault="00C31C4E" w:rsidP="00477182">
      <w:pPr>
        <w:pStyle w:val="SMcaption"/>
        <w:rPr>
          <w:rFonts w:ascii="Arial" w:hAnsi="Arial" w:cs="Arial"/>
          <w:sz w:val="20"/>
        </w:rPr>
      </w:pPr>
    </w:p>
    <w:p w14:paraId="3CC602D8" w14:textId="4557DF9A" w:rsidR="00175C3E" w:rsidRDefault="002D3B19" w:rsidP="00B1615D">
      <w:pPr>
        <w:pStyle w:val="SMcaption"/>
        <w:jc w:val="both"/>
        <w:rPr>
          <w:rFonts w:ascii="Arial" w:hAnsi="Arial" w:cs="Arial"/>
          <w:sz w:val="20"/>
        </w:rPr>
      </w:pPr>
      <w:r w:rsidRPr="00B1615D">
        <w:rPr>
          <w:rFonts w:ascii="Arial" w:hAnsi="Arial" w:cs="Arial"/>
          <w:b/>
          <w:bCs/>
          <w:sz w:val="20"/>
        </w:rPr>
        <w:t xml:space="preserve">Fig. S3. </w:t>
      </w:r>
      <w:r w:rsidR="00B1615D" w:rsidRPr="00B1615D">
        <w:rPr>
          <w:rFonts w:ascii="Arial" w:hAnsi="Arial" w:cs="Arial"/>
          <w:b/>
          <w:bCs/>
          <w:sz w:val="20"/>
        </w:rPr>
        <w:t xml:space="preserve">Comparison of nodule-derived records with obliquity signal. </w:t>
      </w:r>
      <w:r w:rsidR="00D22BBF">
        <w:rPr>
          <w:rFonts w:ascii="Arial" w:hAnsi="Arial" w:cs="Arial"/>
          <w:sz w:val="20"/>
        </w:rPr>
        <w:t>(</w:t>
      </w:r>
      <w:r w:rsidR="00D22BBF" w:rsidRPr="00B1615D">
        <w:rPr>
          <w:rFonts w:ascii="Arial" w:hAnsi="Arial" w:cs="Arial"/>
          <w:sz w:val="20"/>
        </w:rPr>
        <w:t xml:space="preserve">a) Obliquity signal in La2004 astronomical solution along with its filtered </w:t>
      </w:r>
      <w:r w:rsidR="00D22BBF" w:rsidRPr="00B1615D">
        <w:rPr>
          <w:rFonts w:ascii="Cambria Math" w:hAnsi="Cambria Math" w:cs="Cambria Math"/>
          <w:sz w:val="20"/>
        </w:rPr>
        <w:t>∼</w:t>
      </w:r>
      <w:r w:rsidR="00D22BBF" w:rsidRPr="00B1615D">
        <w:rPr>
          <w:rFonts w:ascii="Arial" w:hAnsi="Arial" w:cs="Arial"/>
          <w:sz w:val="20"/>
        </w:rPr>
        <w:t xml:space="preserve">1.2-Myr amplitude modulation. (b) 25° - 65°N summer insolation gradient (SIG) with its filtered </w:t>
      </w:r>
      <w:r w:rsidR="00D22BBF" w:rsidRPr="00B1615D">
        <w:rPr>
          <w:rFonts w:ascii="Cambria Math" w:hAnsi="Cambria Math" w:cs="Cambria Math"/>
          <w:sz w:val="20"/>
        </w:rPr>
        <w:t>∼</w:t>
      </w:r>
      <w:r w:rsidR="00D22BBF" w:rsidRPr="00B1615D">
        <w:rPr>
          <w:rFonts w:ascii="Arial" w:hAnsi="Arial" w:cs="Arial"/>
          <w:sz w:val="20"/>
        </w:rPr>
        <w:t>1.2-Myr amplitude modulation. (c) Clumped isotope temperature (T</w:t>
      </w:r>
      <w:r w:rsidR="00D22BBF" w:rsidRPr="00B1615D">
        <w:rPr>
          <w:rFonts w:ascii="Arial" w:hAnsi="Arial" w:cs="Arial"/>
          <w:sz w:val="20"/>
          <w:vertAlign w:val="subscript"/>
        </w:rPr>
        <w:t>Δ47</w:t>
      </w:r>
      <w:r w:rsidR="00D22BBF" w:rsidRPr="00B1615D">
        <w:rPr>
          <w:rFonts w:ascii="Arial" w:hAnsi="Arial" w:cs="Arial"/>
          <w:sz w:val="20"/>
        </w:rPr>
        <w:t>). Error bars denote standard errors from replicate analyses. (d) Reconstructed δ</w:t>
      </w:r>
      <w:r w:rsidR="00D22BBF" w:rsidRPr="00B1615D">
        <w:rPr>
          <w:rFonts w:ascii="Arial" w:hAnsi="Arial" w:cs="Arial"/>
          <w:sz w:val="20"/>
          <w:vertAlign w:val="superscript"/>
        </w:rPr>
        <w:t>18</w:t>
      </w:r>
      <w:r w:rsidR="00D22BBF" w:rsidRPr="00B1615D">
        <w:rPr>
          <w:rFonts w:ascii="Arial" w:hAnsi="Arial" w:cs="Arial"/>
          <w:sz w:val="20"/>
        </w:rPr>
        <w:t>O o</w:t>
      </w:r>
      <w:r w:rsidR="00D22BBF">
        <w:rPr>
          <w:rFonts w:ascii="Arial" w:hAnsi="Arial" w:cs="Arial"/>
          <w:sz w:val="20"/>
        </w:rPr>
        <w:t xml:space="preserve">f </w:t>
      </w:r>
      <w:r w:rsidR="00B1615D" w:rsidRPr="00B1615D">
        <w:rPr>
          <w:rFonts w:ascii="Arial" w:hAnsi="Arial" w:cs="Arial"/>
          <w:sz w:val="20"/>
        </w:rPr>
        <w:t>soil waters (δ</w:t>
      </w:r>
      <w:r w:rsidR="00B1615D" w:rsidRPr="00B1615D">
        <w:rPr>
          <w:rFonts w:ascii="Arial" w:hAnsi="Arial" w:cs="Arial"/>
          <w:sz w:val="20"/>
          <w:vertAlign w:val="superscript"/>
        </w:rPr>
        <w:t>18</w:t>
      </w:r>
      <w:r w:rsidR="00B1615D" w:rsidRPr="00B1615D">
        <w:rPr>
          <w:rFonts w:ascii="Arial" w:hAnsi="Arial" w:cs="Arial"/>
          <w:sz w:val="20"/>
        </w:rPr>
        <w:t>O</w:t>
      </w:r>
      <w:r w:rsidR="00B1615D" w:rsidRPr="00B1615D">
        <w:rPr>
          <w:rFonts w:ascii="Arial" w:hAnsi="Arial" w:cs="Arial"/>
          <w:sz w:val="20"/>
          <w:vertAlign w:val="subscript"/>
        </w:rPr>
        <w:t>sw</w:t>
      </w:r>
      <w:r w:rsidR="00B1615D" w:rsidRPr="00B1615D">
        <w:rPr>
          <w:rFonts w:ascii="Arial" w:hAnsi="Arial" w:cs="Arial"/>
          <w:sz w:val="20"/>
        </w:rPr>
        <w:t>) using paired δ</w:t>
      </w:r>
      <w:r w:rsidR="00B1615D" w:rsidRPr="00B1615D">
        <w:rPr>
          <w:rFonts w:ascii="Arial" w:hAnsi="Arial" w:cs="Arial"/>
          <w:sz w:val="20"/>
          <w:vertAlign w:val="superscript"/>
        </w:rPr>
        <w:t>18</w:t>
      </w:r>
      <w:r w:rsidR="00B1615D" w:rsidRPr="00B1615D">
        <w:rPr>
          <w:rFonts w:ascii="Arial" w:hAnsi="Arial" w:cs="Arial"/>
          <w:sz w:val="20"/>
        </w:rPr>
        <w:t>O</w:t>
      </w:r>
      <w:r w:rsidR="00B1615D" w:rsidRPr="00B1615D">
        <w:rPr>
          <w:rFonts w:ascii="Arial" w:hAnsi="Arial" w:cs="Arial"/>
          <w:sz w:val="20"/>
          <w:vertAlign w:val="subscript"/>
        </w:rPr>
        <w:t>c</w:t>
      </w:r>
      <w:r w:rsidR="00B1615D" w:rsidRPr="00B1615D">
        <w:rPr>
          <w:rFonts w:ascii="Arial" w:hAnsi="Arial" w:cs="Arial"/>
          <w:sz w:val="20"/>
        </w:rPr>
        <w:t>-T</w:t>
      </w:r>
      <w:r w:rsidR="00B1615D" w:rsidRPr="00B1615D">
        <w:rPr>
          <w:rFonts w:ascii="Arial" w:hAnsi="Arial" w:cs="Arial"/>
          <w:sz w:val="20"/>
          <w:vertAlign w:val="subscript"/>
        </w:rPr>
        <w:t>Δ47</w:t>
      </w:r>
      <w:r w:rsidR="00B1615D" w:rsidRPr="00B1615D">
        <w:rPr>
          <w:rFonts w:ascii="Arial" w:hAnsi="Arial" w:cs="Arial"/>
          <w:sz w:val="20"/>
        </w:rPr>
        <w:t xml:space="preserve"> measurements. Error bars are propagated from uncertainties in δ</w:t>
      </w:r>
      <w:r w:rsidR="00B1615D" w:rsidRPr="00B1615D">
        <w:rPr>
          <w:rFonts w:ascii="Arial" w:hAnsi="Arial" w:cs="Arial"/>
          <w:sz w:val="20"/>
          <w:vertAlign w:val="superscript"/>
        </w:rPr>
        <w:t>18</w:t>
      </w:r>
      <w:r w:rsidR="00B1615D" w:rsidRPr="00B1615D">
        <w:rPr>
          <w:rFonts w:ascii="Arial" w:hAnsi="Arial" w:cs="Arial"/>
          <w:sz w:val="20"/>
        </w:rPr>
        <w:t>O</w:t>
      </w:r>
      <w:r w:rsidR="00B1615D" w:rsidRPr="00B1615D">
        <w:rPr>
          <w:rFonts w:ascii="Arial" w:hAnsi="Arial" w:cs="Arial"/>
          <w:sz w:val="20"/>
          <w:vertAlign w:val="subscript"/>
        </w:rPr>
        <w:t>c</w:t>
      </w:r>
      <w:r w:rsidR="00B1615D" w:rsidRPr="00B1615D">
        <w:rPr>
          <w:rFonts w:ascii="Arial" w:hAnsi="Arial" w:cs="Arial"/>
          <w:sz w:val="20"/>
        </w:rPr>
        <w:t xml:space="preserve"> and T</w:t>
      </w:r>
      <w:r w:rsidR="00B1615D" w:rsidRPr="00B1615D">
        <w:rPr>
          <w:rFonts w:ascii="Arial" w:hAnsi="Arial" w:cs="Arial"/>
          <w:sz w:val="20"/>
          <w:vertAlign w:val="subscript"/>
        </w:rPr>
        <w:t>Δ47</w:t>
      </w:r>
      <w:r w:rsidR="00B1615D" w:rsidRPr="00B1615D">
        <w:rPr>
          <w:rFonts w:ascii="Arial" w:hAnsi="Arial" w:cs="Arial"/>
          <w:sz w:val="20"/>
        </w:rPr>
        <w:t xml:space="preserve"> using Monte Carlo random sampling. (e) The Δ′</w:t>
      </w:r>
      <w:r w:rsidR="00B1615D" w:rsidRPr="00B1615D">
        <w:rPr>
          <w:rFonts w:ascii="Arial" w:hAnsi="Arial" w:cs="Arial"/>
          <w:sz w:val="20"/>
          <w:vertAlign w:val="superscript"/>
        </w:rPr>
        <w:t>17</w:t>
      </w:r>
      <w:r w:rsidR="00B1615D" w:rsidRPr="00B1615D">
        <w:rPr>
          <w:rFonts w:ascii="Arial" w:hAnsi="Arial" w:cs="Arial"/>
          <w:sz w:val="20"/>
        </w:rPr>
        <w:t>O of soil waters (Δ′</w:t>
      </w:r>
      <w:r w:rsidR="00B1615D" w:rsidRPr="00B1615D">
        <w:rPr>
          <w:rFonts w:ascii="Arial" w:hAnsi="Arial" w:cs="Arial"/>
          <w:sz w:val="20"/>
          <w:vertAlign w:val="superscript"/>
        </w:rPr>
        <w:t>17</w:t>
      </w:r>
      <w:r w:rsidR="00B1615D" w:rsidRPr="00B1615D">
        <w:rPr>
          <w:rFonts w:ascii="Arial" w:hAnsi="Arial" w:cs="Arial"/>
          <w:sz w:val="20"/>
        </w:rPr>
        <w:t>O</w:t>
      </w:r>
      <w:r w:rsidR="00B1615D" w:rsidRPr="00B1615D">
        <w:rPr>
          <w:rFonts w:ascii="Arial" w:hAnsi="Arial" w:cs="Arial"/>
          <w:sz w:val="20"/>
          <w:vertAlign w:val="subscript"/>
        </w:rPr>
        <w:t>sw</w:t>
      </w:r>
      <w:r w:rsidR="00B1615D" w:rsidRPr="00B1615D">
        <w:rPr>
          <w:rFonts w:ascii="Arial" w:hAnsi="Arial" w:cs="Arial"/>
          <w:sz w:val="20"/>
        </w:rPr>
        <w:t>) calculated from paired T</w:t>
      </w:r>
      <w:r w:rsidR="00B1615D" w:rsidRPr="00B1615D">
        <w:rPr>
          <w:rFonts w:ascii="Arial" w:hAnsi="Arial" w:cs="Arial"/>
          <w:sz w:val="20"/>
          <w:vertAlign w:val="subscript"/>
        </w:rPr>
        <w:t>Δ47</w:t>
      </w:r>
      <w:r w:rsidR="00B1615D" w:rsidRPr="00B1615D">
        <w:rPr>
          <w:rFonts w:ascii="Arial" w:hAnsi="Arial" w:cs="Arial"/>
          <w:sz w:val="20"/>
        </w:rPr>
        <w:t>-Δ′</w:t>
      </w:r>
      <w:r w:rsidR="00B1615D" w:rsidRPr="00B1615D">
        <w:rPr>
          <w:rFonts w:ascii="Arial" w:hAnsi="Arial" w:cs="Arial"/>
          <w:sz w:val="20"/>
          <w:vertAlign w:val="superscript"/>
        </w:rPr>
        <w:t>17</w:t>
      </w:r>
      <w:r w:rsidR="00B1615D" w:rsidRPr="00B1615D">
        <w:rPr>
          <w:rFonts w:ascii="Arial" w:hAnsi="Arial" w:cs="Arial"/>
          <w:sz w:val="20"/>
        </w:rPr>
        <w:t>O</w:t>
      </w:r>
      <w:r w:rsidR="00B1615D" w:rsidRPr="00B1615D">
        <w:rPr>
          <w:rFonts w:ascii="Arial" w:hAnsi="Arial" w:cs="Arial"/>
          <w:sz w:val="20"/>
          <w:vertAlign w:val="subscript"/>
        </w:rPr>
        <w:t>c</w:t>
      </w:r>
      <w:r w:rsidR="00B1615D" w:rsidRPr="00B1615D">
        <w:rPr>
          <w:rFonts w:ascii="Arial" w:hAnsi="Arial" w:cs="Arial"/>
          <w:sz w:val="20"/>
        </w:rPr>
        <w:t xml:space="preserve"> measurements. Note the reversed scale for SIG and Δ′</w:t>
      </w:r>
      <w:r w:rsidR="00B1615D" w:rsidRPr="00B1615D">
        <w:rPr>
          <w:rFonts w:ascii="Arial" w:hAnsi="Arial" w:cs="Arial"/>
          <w:sz w:val="20"/>
          <w:vertAlign w:val="superscript"/>
        </w:rPr>
        <w:t>17</w:t>
      </w:r>
      <w:r w:rsidR="00B1615D" w:rsidRPr="00B1615D">
        <w:rPr>
          <w:rFonts w:ascii="Arial" w:hAnsi="Arial" w:cs="Arial"/>
          <w:sz w:val="20"/>
        </w:rPr>
        <w:t>O</w:t>
      </w:r>
      <w:r w:rsidR="00B1615D" w:rsidRPr="00B1615D">
        <w:rPr>
          <w:rFonts w:ascii="Arial" w:hAnsi="Arial" w:cs="Arial"/>
          <w:sz w:val="20"/>
          <w:vertAlign w:val="subscript"/>
        </w:rPr>
        <w:t>sw</w:t>
      </w:r>
      <w:r w:rsidR="00B1615D" w:rsidRPr="00B1615D">
        <w:rPr>
          <w:rFonts w:ascii="Arial" w:hAnsi="Arial" w:cs="Arial"/>
          <w:sz w:val="20"/>
        </w:rPr>
        <w:t>. The black lines in panels c-d are the LOESS lines (span = 0.3).</w:t>
      </w:r>
    </w:p>
    <w:p w14:paraId="16574BE8" w14:textId="77777777" w:rsidR="00175C3E" w:rsidRDefault="00175C3E" w:rsidP="00477182">
      <w:pPr>
        <w:pStyle w:val="SMcaption"/>
        <w:rPr>
          <w:rFonts w:ascii="Arial" w:hAnsi="Arial" w:cs="Arial"/>
          <w:sz w:val="20"/>
        </w:rPr>
      </w:pPr>
    </w:p>
    <w:p w14:paraId="7C875947" w14:textId="75145A6D" w:rsidR="00914154" w:rsidRDefault="00914154">
      <w:pPr>
        <w:rPr>
          <w:rFonts w:ascii="Arial" w:hAnsi="Arial" w:cs="Arial"/>
          <w:sz w:val="20"/>
        </w:rPr>
      </w:pPr>
      <w:r>
        <w:rPr>
          <w:rFonts w:ascii="Arial" w:hAnsi="Arial" w:cs="Arial"/>
          <w:sz w:val="20"/>
        </w:rPr>
        <w:br w:type="page"/>
      </w:r>
    </w:p>
    <w:p w14:paraId="28DE0A59" w14:textId="19A57BE2" w:rsidR="00175C3E" w:rsidRDefault="00914154" w:rsidP="006A30D4">
      <w:pPr>
        <w:pStyle w:val="SMcaption"/>
        <w:jc w:val="center"/>
        <w:rPr>
          <w:rFonts w:ascii="Arial" w:hAnsi="Arial" w:cs="Arial"/>
          <w:sz w:val="20"/>
        </w:rPr>
      </w:pPr>
      <w:r>
        <w:rPr>
          <w:b/>
          <w:noProof/>
          <w:sz w:val="22"/>
          <w:szCs w:val="22"/>
        </w:rPr>
        <w:lastRenderedPageBreak/>
        <w:drawing>
          <wp:inline distT="0" distB="0" distL="0" distR="0" wp14:anchorId="7C8E4837" wp14:editId="7975723E">
            <wp:extent cx="2514600" cy="4233545"/>
            <wp:effectExtent l="0" t="0" r="0" b="0"/>
            <wp:docPr id="800544602" name="Picture 3" descr="A diagram of different types of wa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diagram of different types of waves&#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4233545"/>
                    </a:xfrm>
                    <a:prstGeom prst="rect">
                      <a:avLst/>
                    </a:prstGeom>
                    <a:noFill/>
                    <a:ln>
                      <a:noFill/>
                    </a:ln>
                  </pic:spPr>
                </pic:pic>
              </a:graphicData>
            </a:graphic>
          </wp:inline>
        </w:drawing>
      </w:r>
    </w:p>
    <w:p w14:paraId="3E97546D" w14:textId="77777777" w:rsidR="006B54BB" w:rsidRDefault="006B54BB" w:rsidP="006A30D4">
      <w:pPr>
        <w:pStyle w:val="SMcaption"/>
        <w:jc w:val="center"/>
        <w:rPr>
          <w:rFonts w:ascii="Arial" w:hAnsi="Arial" w:cs="Arial"/>
          <w:sz w:val="20"/>
        </w:rPr>
      </w:pPr>
    </w:p>
    <w:p w14:paraId="196663B8" w14:textId="17804473" w:rsidR="00EC0261" w:rsidRDefault="00EC0261" w:rsidP="00EC0261">
      <w:pPr>
        <w:pStyle w:val="SMcaption"/>
        <w:jc w:val="both"/>
        <w:rPr>
          <w:rFonts w:ascii="Arial" w:hAnsi="Arial" w:cs="Arial"/>
          <w:sz w:val="20"/>
        </w:rPr>
      </w:pPr>
      <w:r w:rsidRPr="00B1615D">
        <w:rPr>
          <w:rFonts w:ascii="Arial" w:hAnsi="Arial" w:cs="Arial"/>
          <w:b/>
          <w:bCs/>
          <w:sz w:val="20"/>
        </w:rPr>
        <w:t>Fig. S</w:t>
      </w:r>
      <w:r>
        <w:rPr>
          <w:rFonts w:ascii="Arial" w:hAnsi="Arial" w:cs="Arial"/>
          <w:b/>
          <w:bCs/>
          <w:sz w:val="20"/>
        </w:rPr>
        <w:t>4</w:t>
      </w:r>
      <w:r w:rsidRPr="00B1615D">
        <w:rPr>
          <w:rFonts w:ascii="Arial" w:hAnsi="Arial" w:cs="Arial"/>
          <w:b/>
          <w:bCs/>
          <w:sz w:val="20"/>
        </w:rPr>
        <w:t xml:space="preserve">. </w:t>
      </w:r>
      <w:r w:rsidRPr="00EC0261">
        <w:rPr>
          <w:rFonts w:ascii="Arial" w:hAnsi="Arial" w:cs="Arial"/>
          <w:b/>
          <w:bCs/>
          <w:sz w:val="20"/>
        </w:rPr>
        <w:t xml:space="preserve">Proxy-derived records from the CLP.  </w:t>
      </w:r>
      <w:r w:rsidRPr="00EC0261">
        <w:rPr>
          <w:rFonts w:ascii="Arial" w:hAnsi="Arial" w:cs="Arial"/>
          <w:sz w:val="20"/>
        </w:rPr>
        <w:t>(a) δ</w:t>
      </w:r>
      <w:r w:rsidRPr="00EC0261">
        <w:rPr>
          <w:rFonts w:ascii="Arial" w:hAnsi="Arial" w:cs="Arial"/>
          <w:sz w:val="20"/>
          <w:vertAlign w:val="superscript"/>
        </w:rPr>
        <w:t>18</w:t>
      </w:r>
      <w:r w:rsidRPr="00EC0261">
        <w:rPr>
          <w:rFonts w:ascii="Arial" w:hAnsi="Arial" w:cs="Arial"/>
          <w:sz w:val="20"/>
        </w:rPr>
        <w:t>O</w:t>
      </w:r>
      <w:r w:rsidRPr="00EC0261">
        <w:rPr>
          <w:rFonts w:ascii="Arial" w:hAnsi="Arial" w:cs="Arial"/>
          <w:sz w:val="20"/>
          <w:vertAlign w:val="subscript"/>
        </w:rPr>
        <w:t>sw</w:t>
      </w:r>
      <w:r w:rsidRPr="00EC0261">
        <w:rPr>
          <w:rFonts w:ascii="Arial" w:hAnsi="Arial" w:cs="Arial"/>
          <w:sz w:val="20"/>
        </w:rPr>
        <w:t xml:space="preserve"> from this study. (b) Summer monsoon index based on soil magnetic susceptibility and carbonate content from Lingtai section</w:t>
      </w:r>
      <w:r w:rsidRPr="00EC0261">
        <w:rPr>
          <w:rFonts w:ascii="Arial" w:hAnsi="Arial" w:cs="Arial"/>
          <w:sz w:val="20"/>
          <w:vertAlign w:val="superscript"/>
        </w:rPr>
        <w:t>14</w:t>
      </w:r>
      <w:r w:rsidRPr="00EC0261">
        <w:rPr>
          <w:rFonts w:ascii="Arial" w:hAnsi="Arial" w:cs="Arial"/>
          <w:sz w:val="20"/>
        </w:rPr>
        <w:t xml:space="preserve">. (c) The </w:t>
      </w:r>
      <w:proofErr w:type="spellStart"/>
      <w:r w:rsidRPr="00EC0261">
        <w:rPr>
          <w:rFonts w:ascii="Arial" w:hAnsi="Arial" w:cs="Arial"/>
          <w:sz w:val="20"/>
        </w:rPr>
        <w:t>brGDGT</w:t>
      </w:r>
      <w:proofErr w:type="spellEnd"/>
      <w:r w:rsidRPr="00EC0261">
        <w:rPr>
          <w:rFonts w:ascii="Arial" w:hAnsi="Arial" w:cs="Arial"/>
          <w:sz w:val="20"/>
        </w:rPr>
        <w:t xml:space="preserve">-based aridity indicators (BIT) from Shilou section </w:t>
      </w:r>
      <w:r w:rsidRPr="00EC0261">
        <w:rPr>
          <w:rFonts w:ascii="Arial" w:hAnsi="Arial" w:cs="Arial"/>
          <w:sz w:val="20"/>
        </w:rPr>
        <w:fldChar w:fldCharType="begin"/>
      </w:r>
      <w:r w:rsidR="00D74D9A">
        <w:rPr>
          <w:rFonts w:ascii="Arial" w:hAnsi="Arial" w:cs="Arial"/>
          <w:sz w:val="20"/>
        </w:rPr>
        <w:instrText xml:space="preserve"> ADDIN ZOTERO_ITEM CSL_CITATION {"citationID":"a1tk565pq2j","properties":{"formattedCitation":"(2)","plainCitation":"(2)","noteIndex":0},"citationItems":[{"id":1410,"uris":["http://zotero.org/users/8787779/items/YJKAKSPL"],"itemData":{"id":1410,"type":"article-journal","abstract":"The evolution of hydroclimate in East Asia during the Pliocene—a potential analog of the future greenhouse climate—remains highly uncertain. Here we reconstruct changes in the hydroclimate of Northern China during this epoch. Our results reveal previously undocumented severe drought conditions that persisted through the early Pliocene with a significantly greater magnitude than suggested by other records. Using a broad hierarchy of climate simulations, we find that reduction in the Pacific meridional sea surface temperature (SST) gradient has particularly strong impacts on precipitation over Northern China, which suggests its key role in maintaining drought conditions during the early Pliocene. The weaker Pacific meridional SST gradient causes the weakening of the East Asian summer monsoon precipitation over this region via a reduction of atmospheric northward moisture transport from the ocean, which enhances aridity inland. Our results highlight the fundamental control of the tropical ocean on the extra-tropical hydrological cycle.","container-title":"Geophysical Research Letters","DOI":"10.1029/2022GL098813","ISSN":"1944-8007","issue":"14","language":"en","note":"_eprint: https://onlinelibrary.wiley.com/doi/pdf/10.1029/2022GL098813","page":"e2022GL098813","source":"Wiley Online Library","title":"Severe Drought Conditions in Northern East Asia During the Early Pliocene Caused by Weakened Pacific Meridional Temperature Gradient","volume":"49","author":[{"family":"Zheng","given":"Yanhong"},{"family":"Fedorov","given":"Alexey V."},{"family":"Burls","given":"Natalie J."},{"family":"Zhang","given":"Rui"},{"family":"Brierley","given":"Chris M."},{"family":"Fang","given":"Zhengkun"},{"family":"Yu","given":"Xuefeng"},{"family":"Xian","given":"Feng"},{"family":"Lu","given":"Hongxuan"}],"issued":{"date-parts":[["2022"]]}}}],"schema":"https://github.com/citation-style-language/schema/raw/master/csl-citation.json"} </w:instrText>
      </w:r>
      <w:r w:rsidRPr="00EC0261">
        <w:rPr>
          <w:rFonts w:ascii="Arial" w:hAnsi="Arial" w:cs="Arial"/>
          <w:sz w:val="20"/>
        </w:rPr>
        <w:fldChar w:fldCharType="separate"/>
      </w:r>
      <w:r w:rsidR="00D74D9A">
        <w:rPr>
          <w:rFonts w:ascii="Arial" w:hAnsi="Arial" w:cs="Arial"/>
          <w:sz w:val="20"/>
        </w:rPr>
        <w:t>(2)</w:t>
      </w:r>
      <w:r w:rsidRPr="00EC0261">
        <w:rPr>
          <w:rFonts w:ascii="Arial" w:hAnsi="Arial" w:cs="Arial"/>
          <w:sz w:val="20"/>
        </w:rPr>
        <w:fldChar w:fldCharType="end"/>
      </w:r>
      <w:r w:rsidRPr="00EC0261">
        <w:rPr>
          <w:rFonts w:ascii="Arial" w:hAnsi="Arial" w:cs="Arial"/>
          <w:sz w:val="20"/>
        </w:rPr>
        <w:t xml:space="preserve">. (d) The ratio of free iron to total iron content from Pianguan section </w:t>
      </w:r>
      <w:r w:rsidRPr="00EC0261">
        <w:rPr>
          <w:rFonts w:ascii="Arial" w:hAnsi="Arial" w:cs="Arial"/>
          <w:sz w:val="20"/>
        </w:rPr>
        <w:fldChar w:fldCharType="begin"/>
      </w:r>
      <w:r w:rsidR="00D74D9A">
        <w:rPr>
          <w:rFonts w:ascii="Arial" w:hAnsi="Arial" w:cs="Arial"/>
          <w:sz w:val="20"/>
        </w:rPr>
        <w:instrText xml:space="preserve"> ADDIN ZOTERO_ITEM CSL_CITATION {"citationID":"fUP7ezXg","properties":{"formattedCitation":"(3)","plainCitation":"(3)","noteIndex":0},"citationItems":[{"id":1425,"uris":["http://zotero.org/users/8787779/items/YBM8HTMZ"],"itemData":{"id":1425,"type":"article-journal","abstract":"The Pliocene epoch (5.3–2.6 Ma) is the most recent geological interval in which atmospheric CO2 levels were similar to those of the present day (</w:instrText>
      </w:r>
      <w:r w:rsidR="00D74D9A">
        <w:rPr>
          <w:rFonts w:ascii="Cambria Math" w:hAnsi="Cambria Math" w:cs="Cambria Math"/>
          <w:sz w:val="20"/>
        </w:rPr>
        <w:instrText>∼</w:instrText>
      </w:r>
      <w:r w:rsidR="00D74D9A">
        <w:rPr>
          <w:rFonts w:ascii="Arial" w:hAnsi="Arial" w:cs="Arial"/>
          <w:sz w:val="20"/>
        </w:rPr>
        <w:instrText>400 ppmv). This epoch is therefore considered to be the best ancient analog for predicting a future anthropogenic greenhouse world. In order to determine the response of the East Asian Summer Monsoon (EASM) rainbelt during Pliocene warmth, a 71.9 m-thick aeolian ‘red clay’ sequence at Pianguan was investigated. Rock magnetic experiments suggest that magnetite of pseudo-single domain size is the dominant remanence carrier in the ‘red clay’ sequence. Magnetostratigraphic data, constrained by lithostratigraphy, show that the polarity zones of the ‘red clay’ section correlate with those between subchrons C2An.2r and C3An.2n of the geomagnetic polarity time scale (GPTS), yielding an age range of 6.9–2.9 Ma. The ‘red clay’ deposits exhibit enhanced weathering intensity over two time intervals, namely 5.23–4.3 Ma and 3.7–2.9 Ma, as evidenced by their well-developed pedogenic characteristics, as well as their high free to total Fe2O3 ratios and high redness (a</w:instrText>
      </w:r>
      <w:r w:rsidR="00D74D9A">
        <w:rPr>
          <w:rFonts w:ascii="Cambria Math" w:hAnsi="Cambria Math" w:cs="Cambria Math"/>
          <w:sz w:val="20"/>
        </w:rPr>
        <w:instrText>∗</w:instrText>
      </w:r>
      <w:r w:rsidR="00D74D9A">
        <w:rPr>
          <w:rFonts w:ascii="Arial" w:hAnsi="Arial" w:cs="Arial"/>
          <w:sz w:val="20"/>
        </w:rPr>
        <w:instrText>) values, which in turn indicate an increased summer monsoon intensity during most of the Pliocene. Furthermore, the pedogenic characteristics of the well-weathered Pliocene soils were compared with those of paleosol unit S5 (one of the best-developed soil units found in Pleistocene loess) from the Yulin, Luochuan and Lantian sections, which constitute a north-south transect across the Chinese Loess Plateau (CLP). The Pliocene soils at Pianguan show a pedogenic development similar to the S5 (</w:instrText>
      </w:r>
      <w:r w:rsidR="00D74D9A">
        <w:rPr>
          <w:rFonts w:ascii="Cambria Math" w:hAnsi="Cambria Math" w:cs="Cambria Math"/>
          <w:sz w:val="20"/>
        </w:rPr>
        <w:instrText>∼</w:instrText>
      </w:r>
      <w:r w:rsidR="00D74D9A">
        <w:rPr>
          <w:rFonts w:ascii="Arial" w:hAnsi="Arial" w:cs="Arial"/>
          <w:sz w:val="20"/>
        </w:rPr>
        <w:instrText>0.5 Ma) at Luochuan in the central Plateau, which is located some 3.7° latitude south of Pianguan, but this development is much stronger than that observed at Yulin in the north, and weaker than that seen at Lantian in the south. This may imply a more northerly penetration (</w:instrText>
      </w:r>
      <w:r w:rsidR="00D74D9A">
        <w:rPr>
          <w:rFonts w:ascii="Cambria Math" w:hAnsi="Cambria Math" w:cs="Cambria Math"/>
          <w:sz w:val="20"/>
        </w:rPr>
        <w:instrText>∼</w:instrText>
      </w:r>
      <w:r w:rsidR="00D74D9A">
        <w:rPr>
          <w:rFonts w:ascii="Arial" w:hAnsi="Arial" w:cs="Arial"/>
          <w:sz w:val="20"/>
        </w:rPr>
        <w:instrText>400 km) of the monsoon rainbelt during Pliocene warmth compared with the Pleistocene interglacial period (</w:instrText>
      </w:r>
      <w:r w:rsidR="00D74D9A">
        <w:rPr>
          <w:rFonts w:ascii="Cambria Math" w:hAnsi="Cambria Math" w:cs="Cambria Math"/>
          <w:sz w:val="20"/>
        </w:rPr>
        <w:instrText>∼</w:instrText>
      </w:r>
      <w:r w:rsidR="00D74D9A">
        <w:rPr>
          <w:rFonts w:ascii="Arial" w:hAnsi="Arial" w:cs="Arial"/>
          <w:sz w:val="20"/>
        </w:rPr>
        <w:instrText xml:space="preserve">0.5 Ma ago), supporting the prediction that the EASM rainbelt shifts northward in a warmer world. In addition, our results show that Pliocene warmth was unlikely to have been characterized by a permanent El Niño-like state, but was possibly influenced by a La Niña-like state.","collection-title":"Loess and climatic record: memory of Professor Liu Tungsheng for his scientific contributions and his centenary birthday","container-title":"Journal of Asian Earth Sciences","DOI":"10.1016/j.jseaes.2017.10.020","ISSN":"1367-9120","journalAbbreviation":"Journal of Asian Earth Sciences","language":"en","page":"124-133","source":"ScienceDirect","title":"A strengthened East Asian Summer Monsoon during Pliocene warmth: Evidence from ‘red clay’ sediments at Pianguan, northern China","title-short":"A strengthened East Asian Summer Monsoon during Pliocene warmth","volume":"155","author":[{"family":"Yang","given":"Shiling"},{"family":"Ding","given":"Zhongli"},{"family":"Feng","given":"Shaohua"},{"family":"Jiang","given":"Wenying"},{"family":"Huang","given":"Xiaofang"},{"family":"Guo","given":"Licheng"}],"issued":{"date-parts":[["2018",4,15]]}}}],"schema":"https://github.com/citation-style-language/schema/raw/master/csl-citation.json"} </w:instrText>
      </w:r>
      <w:r w:rsidRPr="00EC0261">
        <w:rPr>
          <w:rFonts w:ascii="Arial" w:hAnsi="Arial" w:cs="Arial"/>
          <w:sz w:val="20"/>
        </w:rPr>
        <w:fldChar w:fldCharType="separate"/>
      </w:r>
      <w:r w:rsidR="00D74D9A">
        <w:rPr>
          <w:rFonts w:ascii="Arial" w:hAnsi="Arial" w:cs="Arial"/>
          <w:sz w:val="20"/>
        </w:rPr>
        <w:t>(3)</w:t>
      </w:r>
      <w:r w:rsidRPr="00EC0261">
        <w:rPr>
          <w:rFonts w:ascii="Arial" w:hAnsi="Arial" w:cs="Arial"/>
          <w:sz w:val="20"/>
        </w:rPr>
        <w:fldChar w:fldCharType="end"/>
      </w:r>
      <w:r w:rsidRPr="00EC0261">
        <w:rPr>
          <w:rFonts w:ascii="Arial" w:hAnsi="Arial" w:cs="Arial"/>
          <w:sz w:val="20"/>
        </w:rPr>
        <w:t xml:space="preserve">. (e) Relative abundance of mollusk assemblages (red: warm-humid, blue: cold-dry) </w:t>
      </w:r>
      <w:r w:rsidRPr="00EC0261">
        <w:rPr>
          <w:rFonts w:ascii="Arial" w:hAnsi="Arial" w:cs="Arial"/>
          <w:sz w:val="20"/>
        </w:rPr>
        <w:fldChar w:fldCharType="begin"/>
      </w:r>
      <w:r w:rsidR="00D74D9A">
        <w:rPr>
          <w:rFonts w:ascii="Arial" w:hAnsi="Arial" w:cs="Arial"/>
          <w:sz w:val="20"/>
        </w:rPr>
        <w:instrText xml:space="preserve"> ADDIN ZOTERO_ITEM CSL_CITATION {"citationID":"a2f0ve5sp5j","properties":{"formattedCitation":"(4)","plainCitation":"(4)","noteIndex":0},"citationItems":[{"id":1343,"uris":["http://zotero.org/users/8787779/items/JW8CVXUN"],"itemData":{"id":1343,"type":"article-journal","abstract":"More and more evidence indicates that the onset of the East Asian (EA) monsoon can be traced back to the Oligocene–Miocene boundary (at about 23 Ma). However, the process of its evolution is still less well-known until now. Here we investigate its late Neogene evolution by analyzing a terrestrial mollusk sequence, from the Chinese Loess Plateau (CLP), covering the period between 7.1 and 3.5 Ma. Considering the modern ecological requirements of these organisms, we were able to define two groups of cold-aridiphilous (CA) and thermo-humidiphilous (TH) species, representing the EA winter and summer monsoon variations, respectively, as previously defined in the Quaternary glacial–interglacial cycles. Variations in these two groups indicate two different monsoon dominated periods during 7.1–3.5 Ma. First, between 7.1 and 5.5 Ma, the EA winter monsoon, with a 100-kyr periodicity, was dominant. Second, between 5.1 and 4 Ma, the EA summer monsoon dominated, with a 41-kyr periodicity. Furthermore, our mollusk record yields valuable evidence for a late Miocene–Pliocene transition of about 400 kyr from winter monsoon dominated towards summer monsoon dominated, associated with a periodicity transition from weak 100 kyr to 41 kyr. The strengthened winter monsoon interval, with a 100-kyr periodicity, is coeval with orbital-scale global ice-volume changes, in conjunction with the uplift of the Tibetan Plateau which probably reinforced the winter monsoon sub-regime. Conversely, closures of the Panama and Indonesian seaways, associated with changes in obliquity between 5.1 and 4 Ma, are probably major forcing factors for the observed dominant summer monsoon with 41-kyr frequency, favoring heat and moisture transports between low and high latitudes to allow TH mollusks to grow and develop in the CLP.","container-title":"Earth and Planetary Science Letters","DOI":"10.1016/j.epsl.2008.07.038","ISSN":"0012-821X","issue":"3","journalAbbreviation":"Earth and Planetary Science Letters","language":"en","page":"439-447","source":"ScienceDirect","title":"Late Neogene evolution of the East Asian monsoon revealed by terrestrial mollusk record in Western Chinese Loess Plateau: From winter to summer dominated sub-regime","title-short":"Late Neogene evolution of the East Asian monsoon revealed by terrestrial mollusk record in Western Chinese Loess Plateau","volume":"274","author":[{"family":"Li","given":"Fengjiang"},{"family":"Rousseau","given":"Denis-Didier"},{"family":"Wu","given":"Naiqin"},{"family":"Hao","given":"Qingzhen"},{"family":"Pei","given":"Yunpeng"}],"issued":{"date-parts":[["2008",10,15]]}}}],"schema":"https://github.com/citation-style-language/schema/raw/master/csl-citation.json"} </w:instrText>
      </w:r>
      <w:r w:rsidRPr="00EC0261">
        <w:rPr>
          <w:rFonts w:ascii="Arial" w:hAnsi="Arial" w:cs="Arial"/>
          <w:sz w:val="20"/>
        </w:rPr>
        <w:fldChar w:fldCharType="separate"/>
      </w:r>
      <w:r w:rsidR="00D74D9A">
        <w:rPr>
          <w:rFonts w:ascii="Arial" w:hAnsi="Arial" w:cs="Arial"/>
          <w:sz w:val="20"/>
        </w:rPr>
        <w:t>(4)</w:t>
      </w:r>
      <w:r w:rsidRPr="00EC0261">
        <w:rPr>
          <w:rFonts w:ascii="Arial" w:hAnsi="Arial" w:cs="Arial"/>
          <w:sz w:val="20"/>
        </w:rPr>
        <w:fldChar w:fldCharType="end"/>
      </w:r>
      <w:r w:rsidRPr="00EC0261">
        <w:rPr>
          <w:rFonts w:ascii="Arial" w:hAnsi="Arial" w:cs="Arial"/>
          <w:sz w:val="20"/>
        </w:rPr>
        <w:t xml:space="preserve">. (f) Bulk soil Rb/Sr ratio from Shilou section </w:t>
      </w:r>
      <w:r w:rsidRPr="00EC0261">
        <w:rPr>
          <w:rFonts w:ascii="Arial" w:hAnsi="Arial" w:cs="Arial"/>
          <w:sz w:val="20"/>
        </w:rPr>
        <w:fldChar w:fldCharType="begin"/>
      </w:r>
      <w:r w:rsidR="00D74D9A">
        <w:rPr>
          <w:rFonts w:ascii="Arial" w:hAnsi="Arial" w:cs="Arial"/>
          <w:sz w:val="20"/>
        </w:rPr>
        <w:instrText xml:space="preserve"> ADDIN ZOTERO_ITEM CSL_CITATION {"citationID":"a1onkml3vra","properties":{"formattedCitation":"(5)","plainCitation":"(5)","noteIndex":0},"citationItems":[{"id":562,"uris":["http://zotero.org/users/8787779/items/DRDG98XD"],"itemData":{"id":562,"type":"article-journal","abstract":"Across the Miocene–Pliocene boundary (MPB; 5.3 million years ago, Ma), late Miocene cooling gave way to the early-to-middle Pliocene Warm Period. This transition, across which atmospheric CO2 concentrations increased to levels similar to present, holds potential for deciphering regional climate responses in Asia—currently home to more than half of the world’s population— to global climate change. Here we find that CO2-induced MPB warming both increased summer monsoon moisture transport over East Asia, and enhanced aridification over large parts of Central Asia by increasing evaporation, based on integration of our ~1–2-thousand-year (kyr) resolution summer monsoon records from the Chinese Loess Plateau aeolian red clay with existing terrestrial records, land-sea correlations, and climate model simulations. Our results offer palaeoclimate-based support for ‘wet-gets-wetter and dry-gets-drier’ projections of future regional hydroclimate responses to sustained anthropogenic forcing. Moreover, our high-resolution monsoon records reveal a dynamic response to eccentricity modulation of solar insolation, with predominant 405-kyr and ~100-kyr periodicities between 8.1 and 3.4 Ma.","container-title":"Nature Communications","DOI":"10.1038/s41467-021-27054-5","ISSN":"2041-1723","issue":"1","journalAbbreviation":"Nature Communications","page":"6935","title":"Global warming-induced Asian hydrological climate transition across the Miocene–Pliocene boundary","volume":"12","author":[{"family":"Ao","given":"Hong"},{"family":"Rohling","given":"Eelco J."},{"family":"Zhang","given":"Ran"},{"family":"Roberts","given":"Andrew P."},{"family":"Holbourn","given":"Ann E."},{"family":"Ladant","given":"Jean-Baptiste"},{"family":"Dupont-Nivet","given":"Guillaume"},{"family":"Kuhnt","given":"Wolfgang"},{"family":"Zhang","given":"Peng"},{"family":"Wu","given":"Feng"},{"family":"Dekkers","given":"Mark J."},{"family":"Liu","given":"Qingsong"},{"family":"Liu","given":"Zhonghui"},{"family":"Xu","given":"Yong"},{"family":"Poulsen","given":"Christopher J."},{"family":"Licht","given":"Alexis"},{"family":"Sun","given":"Qiang"},{"family":"Chiang","given":"John C. H."},{"family":"Liu","given":"Xiaodong"},{"family":"Wu","given":"Guoxiong"},{"family":"Ma","given":"Chao"},{"family":"Zhou","given":"Weijian"},{"family":"Jin","given":"Zhangdong"},{"family":"Li","given":"Xinxia"},{"family":"Li","given":"Xinzhou"},{"family":"Peng","given":"Xianzhe"},{"family":"Qiang","given":"Xiaoke"},{"family":"An","given":"Zhisheng"}],"issued":{"date-parts":[["2021"]]}}}],"schema":"https://github.com/citation-style-language/schema/raw/master/csl-citation.json"} </w:instrText>
      </w:r>
      <w:r w:rsidRPr="00EC0261">
        <w:rPr>
          <w:rFonts w:ascii="Arial" w:hAnsi="Arial" w:cs="Arial"/>
          <w:sz w:val="20"/>
        </w:rPr>
        <w:fldChar w:fldCharType="separate"/>
      </w:r>
      <w:r w:rsidR="00D74D9A">
        <w:rPr>
          <w:rFonts w:ascii="Arial" w:hAnsi="Arial" w:cs="Arial"/>
          <w:sz w:val="20"/>
        </w:rPr>
        <w:t>(5)</w:t>
      </w:r>
      <w:r w:rsidRPr="00EC0261">
        <w:rPr>
          <w:rFonts w:ascii="Arial" w:hAnsi="Arial" w:cs="Arial"/>
          <w:sz w:val="20"/>
        </w:rPr>
        <w:fldChar w:fldCharType="end"/>
      </w:r>
      <w:r w:rsidRPr="00EC0261">
        <w:rPr>
          <w:rFonts w:ascii="Arial" w:hAnsi="Arial" w:cs="Arial"/>
          <w:sz w:val="20"/>
        </w:rPr>
        <w:t xml:space="preserve">. Higher values in panels b-d and f were interpreted to indicate stronger monsoon and/or wetter climate. Red curves in panels a, b, and d show the ~1.2 Ma obliquity amplitude modulation. </w:t>
      </w:r>
    </w:p>
    <w:p w14:paraId="426C8040" w14:textId="77777777" w:rsidR="00EC0261" w:rsidRPr="00EC0261" w:rsidRDefault="00EC0261" w:rsidP="00EC0261">
      <w:pPr>
        <w:pStyle w:val="SMcaption"/>
        <w:jc w:val="both"/>
        <w:rPr>
          <w:rFonts w:ascii="Arial" w:hAnsi="Arial" w:cs="Arial"/>
          <w:sz w:val="20"/>
        </w:rPr>
      </w:pPr>
    </w:p>
    <w:p w14:paraId="7764C5C3" w14:textId="1B4C12CF" w:rsidR="00714AEB" w:rsidRDefault="00714AEB">
      <w:pPr>
        <w:rPr>
          <w:rFonts w:ascii="Arial" w:hAnsi="Arial" w:cs="Arial"/>
          <w:sz w:val="20"/>
        </w:rPr>
      </w:pPr>
      <w:r>
        <w:rPr>
          <w:rFonts w:ascii="Arial" w:hAnsi="Arial" w:cs="Arial"/>
          <w:sz w:val="20"/>
        </w:rPr>
        <w:br w:type="page"/>
      </w:r>
    </w:p>
    <w:p w14:paraId="507A464F" w14:textId="02925004" w:rsidR="00914154" w:rsidRDefault="006A30D4" w:rsidP="00477182">
      <w:pPr>
        <w:pStyle w:val="SMcaption"/>
        <w:rPr>
          <w:rFonts w:ascii="Arial" w:hAnsi="Arial" w:cs="Arial"/>
          <w:sz w:val="20"/>
        </w:rPr>
      </w:pPr>
      <w:r>
        <w:rPr>
          <w:noProof/>
        </w:rPr>
        <w:lastRenderedPageBreak/>
        <w:drawing>
          <wp:inline distT="0" distB="0" distL="0" distR="0" wp14:anchorId="42144E18" wp14:editId="4DB334A8">
            <wp:extent cx="5486400" cy="1805354"/>
            <wp:effectExtent l="0" t="0" r="0" b="0"/>
            <wp:docPr id="578544628" name="Picture 2" descr="A diagram of a diagram of different sizes and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diagram of different sizes and color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1805354"/>
                    </a:xfrm>
                    <a:prstGeom prst="rect">
                      <a:avLst/>
                    </a:prstGeom>
                    <a:noFill/>
                    <a:ln>
                      <a:noFill/>
                    </a:ln>
                  </pic:spPr>
                </pic:pic>
              </a:graphicData>
            </a:graphic>
          </wp:inline>
        </w:drawing>
      </w:r>
    </w:p>
    <w:p w14:paraId="171446F5" w14:textId="77777777" w:rsidR="00EC0261" w:rsidRDefault="00EC0261" w:rsidP="00477182">
      <w:pPr>
        <w:pStyle w:val="SMcaption"/>
        <w:rPr>
          <w:rFonts w:ascii="Arial" w:hAnsi="Arial" w:cs="Arial"/>
          <w:sz w:val="20"/>
        </w:rPr>
      </w:pPr>
    </w:p>
    <w:p w14:paraId="27515305" w14:textId="14DD6D80" w:rsidR="006A30D4" w:rsidRDefault="006A30D4" w:rsidP="000E7987">
      <w:pPr>
        <w:pStyle w:val="SMcaption"/>
        <w:jc w:val="both"/>
        <w:rPr>
          <w:rFonts w:ascii="Arial" w:hAnsi="Arial" w:cs="Arial"/>
          <w:sz w:val="20"/>
        </w:rPr>
      </w:pPr>
      <w:r w:rsidRPr="006A30D4">
        <w:rPr>
          <w:rFonts w:ascii="Arial" w:hAnsi="Arial" w:cs="Arial"/>
          <w:b/>
          <w:bCs/>
          <w:sz w:val="20"/>
        </w:rPr>
        <w:t xml:space="preserve">Fig. S5. Posteriors from Bayesian inversion of the steady state model. </w:t>
      </w:r>
      <w:r w:rsidRPr="006A30D4">
        <w:rPr>
          <w:rFonts w:ascii="Arial" w:hAnsi="Arial" w:cs="Arial"/>
          <w:sz w:val="20"/>
        </w:rPr>
        <w:t>To quantitatively estimate environmental parameters that affect the oxygen isotope compositions of soil water (δ</w:t>
      </w:r>
      <w:r w:rsidRPr="006A30D4">
        <w:rPr>
          <w:rFonts w:ascii="Arial" w:hAnsi="Arial" w:cs="Arial"/>
          <w:sz w:val="20"/>
          <w:vertAlign w:val="superscript"/>
        </w:rPr>
        <w:t>18</w:t>
      </w:r>
      <w:r w:rsidRPr="006A30D4">
        <w:rPr>
          <w:rFonts w:ascii="Arial" w:hAnsi="Arial" w:cs="Arial"/>
          <w:sz w:val="20"/>
        </w:rPr>
        <w:t>O</w:t>
      </w:r>
      <w:r w:rsidRPr="006A30D4">
        <w:rPr>
          <w:rFonts w:ascii="Arial" w:hAnsi="Arial" w:cs="Arial"/>
          <w:sz w:val="20"/>
          <w:vertAlign w:val="subscript"/>
        </w:rPr>
        <w:t>sw</w:t>
      </w:r>
      <w:r w:rsidRPr="006A30D4">
        <w:rPr>
          <w:rFonts w:ascii="Arial" w:hAnsi="Arial" w:cs="Arial"/>
          <w:sz w:val="20"/>
        </w:rPr>
        <w:t xml:space="preserve"> and Δ′</w:t>
      </w:r>
      <w:r w:rsidRPr="006A30D4">
        <w:rPr>
          <w:rFonts w:ascii="Arial" w:hAnsi="Arial" w:cs="Arial"/>
          <w:sz w:val="20"/>
          <w:vertAlign w:val="superscript"/>
        </w:rPr>
        <w:t>17</w:t>
      </w:r>
      <w:r w:rsidRPr="006A30D4">
        <w:rPr>
          <w:rFonts w:ascii="Arial" w:hAnsi="Arial" w:cs="Arial"/>
          <w:sz w:val="20"/>
        </w:rPr>
        <w:t>O</w:t>
      </w:r>
      <w:r w:rsidRPr="006A30D4">
        <w:rPr>
          <w:rFonts w:ascii="Arial" w:hAnsi="Arial" w:cs="Arial"/>
          <w:sz w:val="20"/>
          <w:vertAlign w:val="subscript"/>
        </w:rPr>
        <w:t>sw</w:t>
      </w:r>
      <w:r w:rsidRPr="006A30D4">
        <w:rPr>
          <w:rFonts w:ascii="Arial" w:hAnsi="Arial" w:cs="Arial"/>
          <w:sz w:val="20"/>
        </w:rPr>
        <w:t xml:space="preserve">), we employed Bayesian inversion to a steady-state isotope model </w:t>
      </w:r>
      <w:r w:rsidRPr="006A30D4">
        <w:rPr>
          <w:rFonts w:ascii="Arial" w:hAnsi="Arial" w:cs="Arial"/>
          <w:sz w:val="20"/>
        </w:rPr>
        <w:fldChar w:fldCharType="begin"/>
      </w:r>
      <w:r w:rsidR="00D74D9A">
        <w:rPr>
          <w:rFonts w:ascii="Arial" w:hAnsi="Arial" w:cs="Arial"/>
          <w:sz w:val="20"/>
        </w:rPr>
        <w:instrText xml:space="preserve"> ADDIN ZOTERO_ITEM CSL_CITATION {"citationID":"ViYtYngU","properties":{"formattedCitation":"(6, 7)","plainCitation":"(6, 7)","noteIndex":0},"citationItems":[{"id":1418,"uris":["http://zotero.org/users/8787779/items/YGXJHWSV"],"itemData":{"id":1418,"type":"article-journal","abstract":"A mathematical model is developed describing the shape of H218O and HDO depth profiles which result from evaporation of water from dry soil under quasi-steady state conditions. Typically, isotope concentrations rise from a minimum at the soil surface to a maximum a short distance beneath the surface, and then decrease approximately exponentially to constant concentrations at depth. The model predicts that for isothermal conditions, the slope of the relationship between 18O and deuterium δ-values of samples of the soil water will be </w:instrText>
      </w:r>
      <w:r w:rsidR="00D74D9A">
        <w:rPr>
          <w:rFonts w:ascii="Cambria Math" w:hAnsi="Cambria Math" w:cs="Cambria Math"/>
          <w:sz w:val="20"/>
        </w:rPr>
        <w:instrText>∼</w:instrText>
      </w:r>
      <w:r w:rsidR="00D74D9A">
        <w:rPr>
          <w:rFonts w:ascii="Arial" w:hAnsi="Arial" w:cs="Arial"/>
          <w:sz w:val="20"/>
        </w:rPr>
        <w:instrText xml:space="preserve">30% lower for a dry soil than for a wet soil evaporating under the same conditions. It is concluded that low slopes should be indicative of soil water or groundwater recharged under arid or semi-arid conditions. Using the shape of the 18O and deuterium profiles, three independent methods for estimating evaporation for dry soils are developed. When water loss occurs by both transpiration and evaporation, the slope of the 18O-D relationship should be slightly lower than that for a site where water loss occurs by evaporation alone.","container-title":"Journal of Hydrology","DOI":"10.1016/0022-1694(83)90018-5","ISSN":"0022-1694","issue":"1","journalAbbreviation":"Journal of Hydrology","language":"en","page":"141-156","source":"ScienceDirect","title":"The distribution of deuterium and 18O in dry soils: 1. Theory","title-short":"The distribution of deuterium and 18O in dry soils","volume":"60","author":[{"family":"Barnes","given":"C. J."},{"family":"Allison","given":"G. B."}],"issued":{"date-parts":[["1983",1,1]]}}},{"id":108,"uris":["http://zotero.org/users/8787779/items/NQR8ZGK2"],"itemData":{"id":108,"type":"article-journal","abstract":"The stable isotopic composition of pedogenic carbonates is central to many studies of past climate and topography, providing a basis for our understanding of Earth's terrestrial history. A core assumption of many applications of oxygen isotope values (δ18O) of pedogenic carbonate is that they reflect the δ18O value of precipitation (rain/snow). This assumption is violated if soil carbonates form in evaporated soil waters. In this work, we develop a means to identify evaporation in ancient soils using the triple oxygen isotope composition (16O-17O-18O) of pedogenic carbonates. Both theoretical predictions of isotope kinetics during evaporation and studies of triple oxygen isotopes in other geological materials show that the deviation in the relationship between δ17O and δ18O from a reference line, evaluated using the parameter Δ'17O, is sensitive to evaporation. As a first step in developing the use of Δ'17O in ancient pedogenic carbonates, we report Δ'17O values from 47 near-modern pedogenic carbonate samples from globally distributed environments that vary in aridity (hyper-arid to humid). The Δ'17O values of pedogenic carbonate range from -154 to -60 per meg (as CaCO3, measured via O2, VSMOW-SLAP), corresponding to calculated soil water values of -66 to +27 per meg (VSMOW-SLAP) (using a carbonate-water triple oxygen isotope fractionation exponent of 0.5250 and clumped isotope-derived carbonate growth temperatures). The Δ'17O values indicate that evaporative modification of soil water from which pedogenic carbonate forms is common, especially in arid environments. Arid environments host pedogenic carbonates formed from soil waters ranging from highly to minimally evaporated, while humid environments host pedogenic carbonates formed from waters that are only minimally evaporated. The variability in Δ'17O within environments classified by the same aridity may relate to the fact that pedogenic carbonates record soil conditions only during times of carbonate mineralization, which may deviate from annual conditions. Thus, Δ'17O may be useful in understanding the specific circumstances of pedogenic carbonate formation but may not provide incontrovertible evidence of the magnitude of environmental aridity. Evaporative modification of δ18O values of pedogenic carbonates can be detected with Δ'17O, thereby improving estimates of δ18O of unevaporated waters. Our data show that evaporation must be (re)considered for all paleoclimate inferences based on the δ18O of pedogenic carbonate. The addition of Δ'17O will re-energize paleoclimate studies that use (or have avoided using) δ18O of pedogenic carbonate.","container-title":"Geochimica et Cosmochimica Acta","DOI":"10.1016/j.gca.2023.06.034","ISSN":"0016-7037","journalAbbreviation":"Geochimica et Cosmochimica Acta","language":"en","source":"ScienceDirect","title":"Triple oxygen isotope compositions of globally distributed soil carbonates record widespread evaporation of soil waters","URL":"https://www.sciencedirect.com/science/article/pii/S0016703723003083","author":[{"family":"Kelson","given":"Julia R."},{"family":"Huth","given":"Tyler E."},{"family":"Passey","given":"Benjamin H."},{"family":"Levin","given":"Naomi E."},{"family":"Petersen","given":"Sierra V."},{"family":"Ballato","given":"Paolo"},{"family":"Beverly","given":"Emily J."},{"family":"Breecker","given":"Daniel O."},{"family":"Hoke","given":"Gregory D."},{"family":"Hudson","given":"Adam M."},{"family":"Ji","given":"Haoyuan"},{"family":"Licht","given":"Alexis"},{"family":"Oerter","given":"Erik"},{"family":"Quade","given":"Jay"}],"accessed":{"date-parts":[["2023",7,6]]},"issued":{"date-parts":[["2023",7,3]]}}}],"schema":"https://github.com/citation-style-language/schema/raw/master/csl-citation.json"} </w:instrText>
      </w:r>
      <w:r w:rsidRPr="006A30D4">
        <w:rPr>
          <w:rFonts w:ascii="Arial" w:hAnsi="Arial" w:cs="Arial"/>
          <w:sz w:val="20"/>
        </w:rPr>
        <w:fldChar w:fldCharType="separate"/>
      </w:r>
      <w:r w:rsidR="00D74D9A">
        <w:rPr>
          <w:rFonts w:ascii="Arial" w:hAnsi="Arial" w:cs="Arial"/>
          <w:sz w:val="20"/>
        </w:rPr>
        <w:t>(6, 7)</w:t>
      </w:r>
      <w:r w:rsidRPr="006A30D4">
        <w:rPr>
          <w:rFonts w:ascii="Arial" w:hAnsi="Arial" w:cs="Arial"/>
          <w:sz w:val="20"/>
        </w:rPr>
        <w:fldChar w:fldCharType="end"/>
      </w:r>
      <w:r w:rsidRPr="006A30D4">
        <w:rPr>
          <w:rFonts w:ascii="Arial" w:hAnsi="Arial" w:cs="Arial"/>
          <w:sz w:val="20"/>
        </w:rPr>
        <w:t>, which accounts for liquid and vapor transport within a 1-D soil column under isothermal condition. Here, the prior range of input parameters, including air humidity (RH), the δ</w:t>
      </w:r>
      <w:r w:rsidRPr="006A30D4">
        <w:rPr>
          <w:rFonts w:ascii="Arial" w:hAnsi="Arial" w:cs="Arial"/>
          <w:sz w:val="20"/>
          <w:vertAlign w:val="superscript"/>
        </w:rPr>
        <w:t>18</w:t>
      </w:r>
      <w:r w:rsidRPr="006A30D4">
        <w:rPr>
          <w:rFonts w:ascii="Arial" w:hAnsi="Arial" w:cs="Arial"/>
          <w:sz w:val="20"/>
        </w:rPr>
        <w:t>O of rainfall, carbonate formation depth, and evaporation rate were set to uniform distributions of 10-90%, -25 - -5‰, 0-100 cm, and 10</w:t>
      </w:r>
      <w:r w:rsidRPr="006A30D4">
        <w:rPr>
          <w:rFonts w:ascii="Arial" w:hAnsi="Arial" w:cs="Arial"/>
          <w:sz w:val="20"/>
          <w:vertAlign w:val="superscript"/>
        </w:rPr>
        <w:t>-10</w:t>
      </w:r>
      <w:r w:rsidRPr="006A30D4">
        <w:rPr>
          <w:rFonts w:ascii="Arial" w:hAnsi="Arial" w:cs="Arial"/>
          <w:sz w:val="20"/>
        </w:rPr>
        <w:t xml:space="preserve"> - 10</w:t>
      </w:r>
      <w:r w:rsidRPr="006A30D4">
        <w:rPr>
          <w:rFonts w:ascii="Arial" w:hAnsi="Arial" w:cs="Arial"/>
          <w:sz w:val="20"/>
          <w:vertAlign w:val="superscript"/>
        </w:rPr>
        <w:t>-9</w:t>
      </w:r>
      <w:r w:rsidRPr="006A30D4">
        <w:rPr>
          <w:rFonts w:ascii="Arial" w:hAnsi="Arial" w:cs="Arial"/>
          <w:sz w:val="20"/>
        </w:rPr>
        <w:t xml:space="preserve"> m/s, respectively, based on modern observations. Panels a-c are posterior estimates of RH and evaporation rate, and carbonate formation depth plotted against the reconstructed δ</w:t>
      </w:r>
      <w:r w:rsidRPr="006A30D4">
        <w:rPr>
          <w:rFonts w:ascii="Arial" w:hAnsi="Arial" w:cs="Arial"/>
          <w:sz w:val="20"/>
          <w:vertAlign w:val="superscript"/>
        </w:rPr>
        <w:t>18</w:t>
      </w:r>
      <w:r w:rsidRPr="006A30D4">
        <w:rPr>
          <w:rFonts w:ascii="Arial" w:hAnsi="Arial" w:cs="Arial"/>
          <w:sz w:val="20"/>
        </w:rPr>
        <w:t>O</w:t>
      </w:r>
      <w:r w:rsidRPr="006A30D4">
        <w:rPr>
          <w:rFonts w:ascii="Arial" w:hAnsi="Arial" w:cs="Arial"/>
          <w:sz w:val="20"/>
          <w:vertAlign w:val="subscript"/>
        </w:rPr>
        <w:t>sw</w:t>
      </w:r>
      <w:r w:rsidRPr="006A30D4">
        <w:rPr>
          <w:rFonts w:ascii="Arial" w:hAnsi="Arial" w:cs="Arial"/>
          <w:sz w:val="20"/>
        </w:rPr>
        <w:t>, respectively. Different sections and T</w:t>
      </w:r>
      <w:r w:rsidRPr="006A30D4">
        <w:rPr>
          <w:rFonts w:ascii="Arial" w:hAnsi="Arial" w:cs="Arial"/>
          <w:sz w:val="20"/>
          <w:vertAlign w:val="subscript"/>
        </w:rPr>
        <w:t>Δ47</w:t>
      </w:r>
      <w:r w:rsidRPr="006A30D4">
        <w:rPr>
          <w:rFonts w:ascii="Arial" w:hAnsi="Arial" w:cs="Arial"/>
          <w:sz w:val="20"/>
        </w:rPr>
        <w:t xml:space="preserve"> are shape- and color-coded, respectively. Error bars represent 1σ error resulting from 16</w:t>
      </w:r>
      <w:r w:rsidRPr="006A30D4">
        <w:rPr>
          <w:rFonts w:ascii="Arial" w:hAnsi="Arial" w:cs="Arial"/>
          <w:sz w:val="20"/>
          <w:vertAlign w:val="superscript"/>
        </w:rPr>
        <w:t>th</w:t>
      </w:r>
      <w:r w:rsidRPr="006A30D4">
        <w:rPr>
          <w:rFonts w:ascii="Arial" w:hAnsi="Arial" w:cs="Arial"/>
          <w:sz w:val="20"/>
        </w:rPr>
        <w:t xml:space="preserve"> and 84</w:t>
      </w:r>
      <w:r w:rsidRPr="006A30D4">
        <w:rPr>
          <w:rFonts w:ascii="Arial" w:hAnsi="Arial" w:cs="Arial"/>
          <w:sz w:val="20"/>
          <w:vertAlign w:val="superscript"/>
        </w:rPr>
        <w:t>th</w:t>
      </w:r>
      <w:r w:rsidRPr="006A30D4">
        <w:rPr>
          <w:rFonts w:ascii="Arial" w:hAnsi="Arial" w:cs="Arial"/>
          <w:sz w:val="20"/>
        </w:rPr>
        <w:t xml:space="preserve"> percentiles of the posterior distributions. </w:t>
      </w:r>
    </w:p>
    <w:p w14:paraId="582DACD3" w14:textId="73F3D99D" w:rsidR="00720156" w:rsidRDefault="00720156">
      <w:pPr>
        <w:rPr>
          <w:rFonts w:ascii="Arial" w:hAnsi="Arial" w:cs="Arial"/>
          <w:sz w:val="20"/>
        </w:rPr>
      </w:pPr>
      <w:r>
        <w:rPr>
          <w:rFonts w:ascii="Arial" w:hAnsi="Arial" w:cs="Arial"/>
          <w:sz w:val="20"/>
        </w:rPr>
        <w:br w:type="page"/>
      </w:r>
    </w:p>
    <w:p w14:paraId="6CF049CE" w14:textId="47958A4D" w:rsidR="000E7987" w:rsidRDefault="005A0624" w:rsidP="009C5394">
      <w:pPr>
        <w:pStyle w:val="SMcaption"/>
        <w:jc w:val="center"/>
        <w:rPr>
          <w:rFonts w:ascii="Arial" w:hAnsi="Arial" w:cs="Arial"/>
          <w:sz w:val="20"/>
        </w:rPr>
      </w:pPr>
      <w:r>
        <w:rPr>
          <w:noProof/>
          <w:sz w:val="16"/>
          <w:szCs w:val="16"/>
        </w:rPr>
        <w:lastRenderedPageBreak/>
        <w:drawing>
          <wp:inline distT="0" distB="0" distL="0" distR="0" wp14:anchorId="4EE77853" wp14:editId="20FFE584">
            <wp:extent cx="4775200" cy="4546600"/>
            <wp:effectExtent l="0" t="0" r="0" b="0"/>
            <wp:docPr id="1367597715" name="Picture 1" descr="A screenshot of a map of the wea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creenshot of a map of the weather&#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75200" cy="4546600"/>
                    </a:xfrm>
                    <a:prstGeom prst="rect">
                      <a:avLst/>
                    </a:prstGeom>
                    <a:noFill/>
                    <a:ln>
                      <a:noFill/>
                    </a:ln>
                  </pic:spPr>
                </pic:pic>
              </a:graphicData>
            </a:graphic>
          </wp:inline>
        </w:drawing>
      </w:r>
    </w:p>
    <w:p w14:paraId="01795864" w14:textId="77777777" w:rsidR="00C62178" w:rsidRDefault="00C62178" w:rsidP="000E7987">
      <w:pPr>
        <w:pStyle w:val="SMcaption"/>
        <w:jc w:val="both"/>
        <w:rPr>
          <w:rFonts w:ascii="Arial" w:hAnsi="Arial" w:cs="Arial"/>
          <w:sz w:val="20"/>
        </w:rPr>
      </w:pPr>
    </w:p>
    <w:p w14:paraId="520AB98A" w14:textId="4328ED91" w:rsidR="00ED136B" w:rsidRPr="00ED136B" w:rsidRDefault="00ED136B" w:rsidP="00ED136B">
      <w:pPr>
        <w:pStyle w:val="SMcaption"/>
        <w:jc w:val="both"/>
        <w:rPr>
          <w:rFonts w:ascii="Arial" w:hAnsi="Arial" w:cs="Arial"/>
          <w:sz w:val="20"/>
        </w:rPr>
      </w:pPr>
      <w:r w:rsidRPr="00ED136B">
        <w:rPr>
          <w:rFonts w:ascii="Arial" w:hAnsi="Arial" w:cs="Arial"/>
          <w:b/>
          <w:bCs/>
          <w:sz w:val="20"/>
        </w:rPr>
        <w:t xml:space="preserve">Fig. S6. The westerly jet, western Pacific subtropical high, and East Asian monthly rainfall from model simulations. </w:t>
      </w:r>
      <w:r w:rsidRPr="00ED136B">
        <w:rPr>
          <w:rFonts w:ascii="Arial" w:hAnsi="Arial" w:cs="Arial"/>
          <w:sz w:val="20"/>
        </w:rPr>
        <w:t xml:space="preserve">(a-b) Differences in zonal winds at 300 </w:t>
      </w:r>
      <w:proofErr w:type="spellStart"/>
      <w:r w:rsidRPr="00ED136B">
        <w:rPr>
          <w:rFonts w:ascii="Arial" w:hAnsi="Arial" w:cs="Arial"/>
          <w:sz w:val="20"/>
        </w:rPr>
        <w:t>hPa</w:t>
      </w:r>
      <w:proofErr w:type="spellEnd"/>
      <w:r w:rsidRPr="00ED136B">
        <w:rPr>
          <w:rFonts w:ascii="Arial" w:hAnsi="Arial" w:cs="Arial"/>
          <w:sz w:val="20"/>
        </w:rPr>
        <w:t xml:space="preserve"> in July. The markers denote the axis of the westerly jet defined as the latitude with the maximum zonal wind speed over 10-50°N. (c-d) Differences in the eddy geopotential height (EGH, shading) and horizontal wind (vectors) at 850 </w:t>
      </w:r>
      <w:proofErr w:type="spellStart"/>
      <w:r w:rsidRPr="00ED136B">
        <w:rPr>
          <w:rFonts w:ascii="Arial" w:hAnsi="Arial" w:cs="Arial"/>
          <w:sz w:val="20"/>
        </w:rPr>
        <w:t>hPa</w:t>
      </w:r>
      <w:proofErr w:type="spellEnd"/>
      <w:r w:rsidRPr="00ED136B">
        <w:rPr>
          <w:rFonts w:ascii="Arial" w:hAnsi="Arial" w:cs="Arial"/>
          <w:sz w:val="20"/>
        </w:rPr>
        <w:t xml:space="preserve"> in July. (e-f) Monthly precipitation anomaly over 105-120°E. The left panels show the differences between Pliocene 280 ppm (Eoi280) and pre-industrial (E280) experiments, whereas the right panels show the differences between Pliocene 400 ppm (Eoi400) and E280 experiments. Yellow boxes highlight the CLP region. </w:t>
      </w:r>
    </w:p>
    <w:p w14:paraId="66E4094A" w14:textId="77777777" w:rsidR="005A0624" w:rsidRPr="006A30D4" w:rsidRDefault="005A0624" w:rsidP="000E7987">
      <w:pPr>
        <w:pStyle w:val="SMcaption"/>
        <w:jc w:val="both"/>
        <w:rPr>
          <w:rFonts w:ascii="Arial" w:hAnsi="Arial" w:cs="Arial"/>
          <w:sz w:val="20"/>
        </w:rPr>
      </w:pPr>
    </w:p>
    <w:p w14:paraId="2697E81E" w14:textId="77777777" w:rsidR="00EC0261" w:rsidRPr="00DC623A" w:rsidRDefault="00EC0261" w:rsidP="00477182">
      <w:pPr>
        <w:pStyle w:val="SMcaption"/>
        <w:rPr>
          <w:rFonts w:ascii="Arial" w:hAnsi="Arial" w:cs="Arial"/>
          <w:sz w:val="20"/>
        </w:rPr>
      </w:pPr>
    </w:p>
    <w:p w14:paraId="0AA738C7" w14:textId="12A488F1" w:rsidR="009C5394" w:rsidRDefault="009C5394">
      <w:pPr>
        <w:rPr>
          <w:rFonts w:ascii="Arial" w:hAnsi="Arial" w:cs="Arial"/>
          <w:sz w:val="20"/>
        </w:rPr>
      </w:pPr>
      <w:r>
        <w:rPr>
          <w:rFonts w:ascii="Arial" w:hAnsi="Arial" w:cs="Arial"/>
          <w:sz w:val="20"/>
        </w:rPr>
        <w:br w:type="page"/>
      </w:r>
    </w:p>
    <w:p w14:paraId="6C96BED5" w14:textId="4B2FC6DA" w:rsidR="00820484" w:rsidRPr="00DC623A" w:rsidRDefault="00F514EC" w:rsidP="00477182">
      <w:pPr>
        <w:pStyle w:val="SMcaption"/>
        <w:rPr>
          <w:rFonts w:ascii="Arial" w:hAnsi="Arial" w:cs="Arial"/>
          <w:b/>
          <w:sz w:val="20"/>
        </w:rPr>
      </w:pPr>
      <w:r w:rsidRPr="00DC623A">
        <w:rPr>
          <w:rFonts w:ascii="Arial" w:hAnsi="Arial" w:cs="Arial"/>
          <w:b/>
          <w:sz w:val="20"/>
        </w:rPr>
        <w:lastRenderedPageBreak/>
        <w:t xml:space="preserve">SI </w:t>
      </w:r>
      <w:r w:rsidR="00820484" w:rsidRPr="00DC623A">
        <w:rPr>
          <w:rFonts w:ascii="Arial" w:hAnsi="Arial" w:cs="Arial"/>
          <w:b/>
          <w:sz w:val="20"/>
        </w:rPr>
        <w:t>References</w:t>
      </w:r>
    </w:p>
    <w:p w14:paraId="59D77E69" w14:textId="7EA1072C" w:rsidR="002C667A" w:rsidRPr="00DC623A" w:rsidRDefault="002C667A" w:rsidP="00477182">
      <w:pPr>
        <w:pStyle w:val="SMcaption"/>
        <w:rPr>
          <w:rFonts w:ascii="Arial" w:hAnsi="Arial" w:cs="Arial"/>
          <w:b/>
          <w:sz w:val="20"/>
        </w:rPr>
      </w:pPr>
    </w:p>
    <w:p w14:paraId="1386134B" w14:textId="77777777" w:rsidR="00D74D9A" w:rsidRPr="00D74D9A" w:rsidRDefault="00D74D9A" w:rsidP="00D74D9A">
      <w:pPr>
        <w:pStyle w:val="Bibliography"/>
        <w:rPr>
          <w:rFonts w:ascii="Arial" w:hAnsi="Arial" w:cs="Arial"/>
          <w:sz w:val="20"/>
        </w:rPr>
      </w:pPr>
      <w:r>
        <w:rPr>
          <w:rFonts w:ascii="Arial" w:hAnsi="Arial" w:cs="Arial"/>
          <w:sz w:val="20"/>
        </w:rPr>
        <w:fldChar w:fldCharType="begin"/>
      </w:r>
      <w:r>
        <w:rPr>
          <w:rFonts w:ascii="Arial" w:hAnsi="Arial" w:cs="Arial"/>
          <w:sz w:val="20"/>
        </w:rPr>
        <w:instrText xml:space="preserve"> ADDIN ZOTERO_BIBL {"uncited":[],"omitted":[],"custom":[]} CSL_BIBLIOGRAPHY </w:instrText>
      </w:r>
      <w:r>
        <w:rPr>
          <w:rFonts w:ascii="Arial" w:hAnsi="Arial" w:cs="Arial"/>
          <w:sz w:val="20"/>
        </w:rPr>
        <w:fldChar w:fldCharType="separate"/>
      </w:r>
      <w:r w:rsidRPr="00D74D9A">
        <w:rPr>
          <w:rFonts w:ascii="Arial" w:hAnsi="Arial" w:cs="Arial"/>
          <w:sz w:val="20"/>
        </w:rPr>
        <w:t xml:space="preserve">1. </w:t>
      </w:r>
      <w:r w:rsidRPr="00D74D9A">
        <w:rPr>
          <w:rFonts w:ascii="Arial" w:hAnsi="Arial" w:cs="Arial"/>
          <w:sz w:val="20"/>
        </w:rPr>
        <w:tab/>
        <w:t xml:space="preserve">T. D. Herbert, </w:t>
      </w:r>
      <w:r w:rsidRPr="00D74D9A">
        <w:rPr>
          <w:rFonts w:ascii="Arial" w:hAnsi="Arial" w:cs="Arial"/>
          <w:i/>
          <w:iCs/>
          <w:sz w:val="20"/>
        </w:rPr>
        <w:t>et al.</w:t>
      </w:r>
      <w:r w:rsidRPr="00D74D9A">
        <w:rPr>
          <w:rFonts w:ascii="Arial" w:hAnsi="Arial" w:cs="Arial"/>
          <w:sz w:val="20"/>
        </w:rPr>
        <w:t xml:space="preserve">, Late Miocene global cooling and the rise of modern ecosystems. </w:t>
      </w:r>
      <w:r w:rsidRPr="00D74D9A">
        <w:rPr>
          <w:rFonts w:ascii="Arial" w:hAnsi="Arial" w:cs="Arial"/>
          <w:i/>
          <w:iCs/>
          <w:sz w:val="20"/>
        </w:rPr>
        <w:t>Nature Geoscience</w:t>
      </w:r>
      <w:r w:rsidRPr="00D74D9A">
        <w:rPr>
          <w:rFonts w:ascii="Arial" w:hAnsi="Arial" w:cs="Arial"/>
          <w:sz w:val="20"/>
        </w:rPr>
        <w:t xml:space="preserve"> </w:t>
      </w:r>
      <w:r w:rsidRPr="00D74D9A">
        <w:rPr>
          <w:rFonts w:ascii="Arial" w:hAnsi="Arial" w:cs="Arial"/>
          <w:b/>
          <w:bCs/>
          <w:sz w:val="20"/>
        </w:rPr>
        <w:t>9</w:t>
      </w:r>
      <w:r w:rsidRPr="00D74D9A">
        <w:rPr>
          <w:rFonts w:ascii="Arial" w:hAnsi="Arial" w:cs="Arial"/>
          <w:sz w:val="20"/>
        </w:rPr>
        <w:t xml:space="preserve"> (2016).</w:t>
      </w:r>
    </w:p>
    <w:p w14:paraId="199ECF7B" w14:textId="77777777" w:rsidR="00D74D9A" w:rsidRPr="00D74D9A" w:rsidRDefault="00D74D9A" w:rsidP="00D74D9A">
      <w:pPr>
        <w:pStyle w:val="Bibliography"/>
        <w:rPr>
          <w:rFonts w:ascii="Arial" w:hAnsi="Arial" w:cs="Arial"/>
          <w:sz w:val="20"/>
        </w:rPr>
      </w:pPr>
      <w:r w:rsidRPr="00D74D9A">
        <w:rPr>
          <w:rFonts w:ascii="Arial" w:hAnsi="Arial" w:cs="Arial"/>
          <w:sz w:val="20"/>
        </w:rPr>
        <w:t xml:space="preserve">2. </w:t>
      </w:r>
      <w:r w:rsidRPr="00D74D9A">
        <w:rPr>
          <w:rFonts w:ascii="Arial" w:hAnsi="Arial" w:cs="Arial"/>
          <w:sz w:val="20"/>
        </w:rPr>
        <w:tab/>
        <w:t xml:space="preserve">Y. Zheng, </w:t>
      </w:r>
      <w:r w:rsidRPr="00D74D9A">
        <w:rPr>
          <w:rFonts w:ascii="Arial" w:hAnsi="Arial" w:cs="Arial"/>
          <w:i/>
          <w:iCs/>
          <w:sz w:val="20"/>
        </w:rPr>
        <w:t>et al.</w:t>
      </w:r>
      <w:r w:rsidRPr="00D74D9A">
        <w:rPr>
          <w:rFonts w:ascii="Arial" w:hAnsi="Arial" w:cs="Arial"/>
          <w:sz w:val="20"/>
        </w:rPr>
        <w:t xml:space="preserve">, Severe Drought Conditions in Northern East Asia During the Early Pliocene Caused by Weakened Pacific Meridional Temperature Gradient. </w:t>
      </w:r>
      <w:r w:rsidRPr="00D74D9A">
        <w:rPr>
          <w:rFonts w:ascii="Arial" w:hAnsi="Arial" w:cs="Arial"/>
          <w:i/>
          <w:iCs/>
          <w:sz w:val="20"/>
        </w:rPr>
        <w:t>Geophysical Research Letters</w:t>
      </w:r>
      <w:r w:rsidRPr="00D74D9A">
        <w:rPr>
          <w:rFonts w:ascii="Arial" w:hAnsi="Arial" w:cs="Arial"/>
          <w:sz w:val="20"/>
        </w:rPr>
        <w:t xml:space="preserve"> </w:t>
      </w:r>
      <w:r w:rsidRPr="00D74D9A">
        <w:rPr>
          <w:rFonts w:ascii="Arial" w:hAnsi="Arial" w:cs="Arial"/>
          <w:b/>
          <w:bCs/>
          <w:sz w:val="20"/>
        </w:rPr>
        <w:t>49</w:t>
      </w:r>
      <w:r w:rsidRPr="00D74D9A">
        <w:rPr>
          <w:rFonts w:ascii="Arial" w:hAnsi="Arial" w:cs="Arial"/>
          <w:sz w:val="20"/>
        </w:rPr>
        <w:t>, e2022GL098813 (2022).</w:t>
      </w:r>
    </w:p>
    <w:p w14:paraId="7C8A741A" w14:textId="77777777" w:rsidR="00D74D9A" w:rsidRPr="00D74D9A" w:rsidRDefault="00D74D9A" w:rsidP="00D74D9A">
      <w:pPr>
        <w:pStyle w:val="Bibliography"/>
        <w:rPr>
          <w:rFonts w:ascii="Arial" w:hAnsi="Arial" w:cs="Arial"/>
          <w:sz w:val="20"/>
        </w:rPr>
      </w:pPr>
      <w:r w:rsidRPr="00D74D9A">
        <w:rPr>
          <w:rFonts w:ascii="Arial" w:hAnsi="Arial" w:cs="Arial"/>
          <w:sz w:val="20"/>
        </w:rPr>
        <w:t xml:space="preserve">3. </w:t>
      </w:r>
      <w:r w:rsidRPr="00D74D9A">
        <w:rPr>
          <w:rFonts w:ascii="Arial" w:hAnsi="Arial" w:cs="Arial"/>
          <w:sz w:val="20"/>
        </w:rPr>
        <w:tab/>
        <w:t xml:space="preserve">S. Yang, </w:t>
      </w:r>
      <w:r w:rsidRPr="00D74D9A">
        <w:rPr>
          <w:rFonts w:ascii="Arial" w:hAnsi="Arial" w:cs="Arial"/>
          <w:i/>
          <w:iCs/>
          <w:sz w:val="20"/>
        </w:rPr>
        <w:t>et al.</w:t>
      </w:r>
      <w:r w:rsidRPr="00D74D9A">
        <w:rPr>
          <w:rFonts w:ascii="Arial" w:hAnsi="Arial" w:cs="Arial"/>
          <w:sz w:val="20"/>
        </w:rPr>
        <w:t xml:space="preserve">, A strengthened East Asian Summer Monsoon during Pliocene warmth: Evidence from ‘red clay’ sediments at Pianguan, northern China. </w:t>
      </w:r>
      <w:r w:rsidRPr="00D74D9A">
        <w:rPr>
          <w:rFonts w:ascii="Arial" w:hAnsi="Arial" w:cs="Arial"/>
          <w:i/>
          <w:iCs/>
          <w:sz w:val="20"/>
        </w:rPr>
        <w:t>Journal of Asian Earth Sciences</w:t>
      </w:r>
      <w:r w:rsidRPr="00D74D9A">
        <w:rPr>
          <w:rFonts w:ascii="Arial" w:hAnsi="Arial" w:cs="Arial"/>
          <w:sz w:val="20"/>
        </w:rPr>
        <w:t xml:space="preserve"> </w:t>
      </w:r>
      <w:r w:rsidRPr="00D74D9A">
        <w:rPr>
          <w:rFonts w:ascii="Arial" w:hAnsi="Arial" w:cs="Arial"/>
          <w:b/>
          <w:bCs/>
          <w:sz w:val="20"/>
        </w:rPr>
        <w:t>155</w:t>
      </w:r>
      <w:r w:rsidRPr="00D74D9A">
        <w:rPr>
          <w:rFonts w:ascii="Arial" w:hAnsi="Arial" w:cs="Arial"/>
          <w:sz w:val="20"/>
        </w:rPr>
        <w:t>, 124–133 (2018).</w:t>
      </w:r>
    </w:p>
    <w:p w14:paraId="66950227" w14:textId="77777777" w:rsidR="00D74D9A" w:rsidRPr="00D74D9A" w:rsidRDefault="00D74D9A" w:rsidP="00D74D9A">
      <w:pPr>
        <w:pStyle w:val="Bibliography"/>
        <w:rPr>
          <w:rFonts w:ascii="Arial" w:hAnsi="Arial" w:cs="Arial"/>
          <w:sz w:val="20"/>
        </w:rPr>
      </w:pPr>
      <w:r w:rsidRPr="00D74D9A">
        <w:rPr>
          <w:rFonts w:ascii="Arial" w:hAnsi="Arial" w:cs="Arial"/>
          <w:sz w:val="20"/>
        </w:rPr>
        <w:t xml:space="preserve">4. </w:t>
      </w:r>
      <w:r w:rsidRPr="00D74D9A">
        <w:rPr>
          <w:rFonts w:ascii="Arial" w:hAnsi="Arial" w:cs="Arial"/>
          <w:sz w:val="20"/>
        </w:rPr>
        <w:tab/>
        <w:t xml:space="preserve">F. Li, D.-D. Rousseau, N. Wu, Q. Hao, Y. Pei, Late Neogene evolution of the East Asian monsoon revealed by terrestrial mollusk record in Western Chinese Loess Plateau: From winter to summer dominated sub-regime. </w:t>
      </w:r>
      <w:r w:rsidRPr="00D74D9A">
        <w:rPr>
          <w:rFonts w:ascii="Arial" w:hAnsi="Arial" w:cs="Arial"/>
          <w:i/>
          <w:iCs/>
          <w:sz w:val="20"/>
        </w:rPr>
        <w:t>Earth and Planetary Science Letters</w:t>
      </w:r>
      <w:r w:rsidRPr="00D74D9A">
        <w:rPr>
          <w:rFonts w:ascii="Arial" w:hAnsi="Arial" w:cs="Arial"/>
          <w:sz w:val="20"/>
        </w:rPr>
        <w:t xml:space="preserve"> </w:t>
      </w:r>
      <w:r w:rsidRPr="00D74D9A">
        <w:rPr>
          <w:rFonts w:ascii="Arial" w:hAnsi="Arial" w:cs="Arial"/>
          <w:b/>
          <w:bCs/>
          <w:sz w:val="20"/>
        </w:rPr>
        <w:t>274</w:t>
      </w:r>
      <w:r w:rsidRPr="00D74D9A">
        <w:rPr>
          <w:rFonts w:ascii="Arial" w:hAnsi="Arial" w:cs="Arial"/>
          <w:sz w:val="20"/>
        </w:rPr>
        <w:t>, 439–447 (2008).</w:t>
      </w:r>
    </w:p>
    <w:p w14:paraId="7D8083FB" w14:textId="77777777" w:rsidR="00D74D9A" w:rsidRPr="00D74D9A" w:rsidRDefault="00D74D9A" w:rsidP="00D74D9A">
      <w:pPr>
        <w:pStyle w:val="Bibliography"/>
        <w:rPr>
          <w:rFonts w:ascii="Arial" w:hAnsi="Arial" w:cs="Arial"/>
          <w:sz w:val="20"/>
        </w:rPr>
      </w:pPr>
      <w:r w:rsidRPr="00D74D9A">
        <w:rPr>
          <w:rFonts w:ascii="Arial" w:hAnsi="Arial" w:cs="Arial"/>
          <w:sz w:val="20"/>
        </w:rPr>
        <w:t xml:space="preserve">5. </w:t>
      </w:r>
      <w:r w:rsidRPr="00D74D9A">
        <w:rPr>
          <w:rFonts w:ascii="Arial" w:hAnsi="Arial" w:cs="Arial"/>
          <w:sz w:val="20"/>
        </w:rPr>
        <w:tab/>
        <w:t xml:space="preserve">H. Ao, </w:t>
      </w:r>
      <w:r w:rsidRPr="00D74D9A">
        <w:rPr>
          <w:rFonts w:ascii="Arial" w:hAnsi="Arial" w:cs="Arial"/>
          <w:i/>
          <w:iCs/>
          <w:sz w:val="20"/>
        </w:rPr>
        <w:t>et al.</w:t>
      </w:r>
      <w:r w:rsidRPr="00D74D9A">
        <w:rPr>
          <w:rFonts w:ascii="Arial" w:hAnsi="Arial" w:cs="Arial"/>
          <w:sz w:val="20"/>
        </w:rPr>
        <w:t xml:space="preserve">, Global warming-induced Asian hydrological climate transition across the Miocene–Pliocene boundary. </w:t>
      </w:r>
      <w:r w:rsidRPr="00D74D9A">
        <w:rPr>
          <w:rFonts w:ascii="Arial" w:hAnsi="Arial" w:cs="Arial"/>
          <w:i/>
          <w:iCs/>
          <w:sz w:val="20"/>
        </w:rPr>
        <w:t>Nature Communications</w:t>
      </w:r>
      <w:r w:rsidRPr="00D74D9A">
        <w:rPr>
          <w:rFonts w:ascii="Arial" w:hAnsi="Arial" w:cs="Arial"/>
          <w:sz w:val="20"/>
        </w:rPr>
        <w:t xml:space="preserve"> </w:t>
      </w:r>
      <w:r w:rsidRPr="00D74D9A">
        <w:rPr>
          <w:rFonts w:ascii="Arial" w:hAnsi="Arial" w:cs="Arial"/>
          <w:b/>
          <w:bCs/>
          <w:sz w:val="20"/>
        </w:rPr>
        <w:t>12</w:t>
      </w:r>
      <w:r w:rsidRPr="00D74D9A">
        <w:rPr>
          <w:rFonts w:ascii="Arial" w:hAnsi="Arial" w:cs="Arial"/>
          <w:sz w:val="20"/>
        </w:rPr>
        <w:t>, 6935 (2021).</w:t>
      </w:r>
    </w:p>
    <w:p w14:paraId="46543104" w14:textId="77777777" w:rsidR="00D74D9A" w:rsidRPr="00D74D9A" w:rsidRDefault="00D74D9A" w:rsidP="00D74D9A">
      <w:pPr>
        <w:pStyle w:val="Bibliography"/>
        <w:rPr>
          <w:rFonts w:ascii="Arial" w:hAnsi="Arial" w:cs="Arial"/>
          <w:sz w:val="20"/>
        </w:rPr>
      </w:pPr>
      <w:r w:rsidRPr="00D74D9A">
        <w:rPr>
          <w:rFonts w:ascii="Arial" w:hAnsi="Arial" w:cs="Arial"/>
          <w:sz w:val="20"/>
        </w:rPr>
        <w:t xml:space="preserve">6. </w:t>
      </w:r>
      <w:r w:rsidRPr="00D74D9A">
        <w:rPr>
          <w:rFonts w:ascii="Arial" w:hAnsi="Arial" w:cs="Arial"/>
          <w:sz w:val="20"/>
        </w:rPr>
        <w:tab/>
        <w:t xml:space="preserve">C. J. Barnes, G. B. Allison, The distribution of deuterium and 18O in dry soils: 1. Theory. </w:t>
      </w:r>
      <w:r w:rsidRPr="00D74D9A">
        <w:rPr>
          <w:rFonts w:ascii="Arial" w:hAnsi="Arial" w:cs="Arial"/>
          <w:i/>
          <w:iCs/>
          <w:sz w:val="20"/>
        </w:rPr>
        <w:t>Journal of Hydrology</w:t>
      </w:r>
      <w:r w:rsidRPr="00D74D9A">
        <w:rPr>
          <w:rFonts w:ascii="Arial" w:hAnsi="Arial" w:cs="Arial"/>
          <w:sz w:val="20"/>
        </w:rPr>
        <w:t xml:space="preserve"> </w:t>
      </w:r>
      <w:r w:rsidRPr="00D74D9A">
        <w:rPr>
          <w:rFonts w:ascii="Arial" w:hAnsi="Arial" w:cs="Arial"/>
          <w:b/>
          <w:bCs/>
          <w:sz w:val="20"/>
        </w:rPr>
        <w:t>60</w:t>
      </w:r>
      <w:r w:rsidRPr="00D74D9A">
        <w:rPr>
          <w:rFonts w:ascii="Arial" w:hAnsi="Arial" w:cs="Arial"/>
          <w:sz w:val="20"/>
        </w:rPr>
        <w:t>, 141–156 (1983).</w:t>
      </w:r>
    </w:p>
    <w:p w14:paraId="26E93175" w14:textId="77777777" w:rsidR="00D74D9A" w:rsidRPr="00D74D9A" w:rsidRDefault="00D74D9A" w:rsidP="00D74D9A">
      <w:pPr>
        <w:pStyle w:val="Bibliography"/>
        <w:rPr>
          <w:rFonts w:ascii="Arial" w:hAnsi="Arial" w:cs="Arial"/>
          <w:sz w:val="20"/>
        </w:rPr>
      </w:pPr>
      <w:r w:rsidRPr="00D74D9A">
        <w:rPr>
          <w:rFonts w:ascii="Arial" w:hAnsi="Arial" w:cs="Arial"/>
          <w:sz w:val="20"/>
        </w:rPr>
        <w:t xml:space="preserve">7. </w:t>
      </w:r>
      <w:r w:rsidRPr="00D74D9A">
        <w:rPr>
          <w:rFonts w:ascii="Arial" w:hAnsi="Arial" w:cs="Arial"/>
          <w:sz w:val="20"/>
        </w:rPr>
        <w:tab/>
        <w:t xml:space="preserve">J. R. Kelson, </w:t>
      </w:r>
      <w:r w:rsidRPr="00D74D9A">
        <w:rPr>
          <w:rFonts w:ascii="Arial" w:hAnsi="Arial" w:cs="Arial"/>
          <w:i/>
          <w:iCs/>
          <w:sz w:val="20"/>
        </w:rPr>
        <w:t>et al.</w:t>
      </w:r>
      <w:r w:rsidRPr="00D74D9A">
        <w:rPr>
          <w:rFonts w:ascii="Arial" w:hAnsi="Arial" w:cs="Arial"/>
          <w:sz w:val="20"/>
        </w:rPr>
        <w:t xml:space="preserve">, Triple oxygen isotope compositions of globally distributed soil carbonates record widespread evaporation of soil waters. </w:t>
      </w:r>
      <w:r w:rsidRPr="00D74D9A">
        <w:rPr>
          <w:rFonts w:ascii="Arial" w:hAnsi="Arial" w:cs="Arial"/>
          <w:i/>
          <w:iCs/>
          <w:sz w:val="20"/>
        </w:rPr>
        <w:t>Geochimica et Cosmochimica Acta</w:t>
      </w:r>
      <w:r w:rsidRPr="00D74D9A">
        <w:rPr>
          <w:rFonts w:ascii="Arial" w:hAnsi="Arial" w:cs="Arial"/>
          <w:sz w:val="20"/>
        </w:rPr>
        <w:t xml:space="preserve"> (2023). https://doi.org/10.1016/j.gca.2023.06.034.</w:t>
      </w:r>
    </w:p>
    <w:p w14:paraId="10C22F57" w14:textId="5B1B2886" w:rsidR="007843C9" w:rsidRPr="00DC623A" w:rsidRDefault="00D74D9A" w:rsidP="009C5394">
      <w:pPr>
        <w:pStyle w:val="NormalWeb"/>
        <w:shd w:val="clear" w:color="auto" w:fill="FFFFFF"/>
        <w:textAlignment w:val="baseline"/>
        <w:rPr>
          <w:rFonts w:ascii="Arial" w:hAnsi="Arial" w:cs="Arial"/>
          <w:sz w:val="20"/>
          <w:szCs w:val="20"/>
        </w:rPr>
      </w:pPr>
      <w:r>
        <w:rPr>
          <w:rFonts w:ascii="Arial" w:hAnsi="Arial" w:cs="Arial"/>
          <w:sz w:val="20"/>
          <w:szCs w:val="20"/>
        </w:rPr>
        <w:fldChar w:fldCharType="end"/>
      </w:r>
    </w:p>
    <w:sectPr w:rsidR="007843C9" w:rsidRPr="00DC623A" w:rsidSect="00F125EE">
      <w:headerReference w:type="default" r:id="rId14"/>
      <w:footerReference w:type="default" r:id="rId15"/>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8524F8" w14:textId="77777777" w:rsidR="005A2D25" w:rsidRDefault="005A2D25">
      <w:r>
        <w:separator/>
      </w:r>
    </w:p>
  </w:endnote>
  <w:endnote w:type="continuationSeparator" w:id="0">
    <w:p w14:paraId="582A3AA6" w14:textId="77777777" w:rsidR="005A2D25" w:rsidRDefault="005A2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Times">
    <w:altName w:val="Times New Roman"/>
    <w:panose1 w:val="020B06040202020202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96907" w14:textId="193174C0" w:rsidR="00F125EE" w:rsidRDefault="00114193">
    <w:pPr>
      <w:pStyle w:val="Footer"/>
      <w:jc w:val="right"/>
    </w:pPr>
    <w:r>
      <w:fldChar w:fldCharType="begin"/>
    </w:r>
    <w:r>
      <w:instrText xml:space="preserve"> PAGE   \* MERGEFORMAT </w:instrText>
    </w:r>
    <w:r>
      <w:fldChar w:fldCharType="separate"/>
    </w:r>
    <w:r w:rsidR="009D6B1C">
      <w:rPr>
        <w:noProof/>
      </w:rPr>
      <w:t>1</w:t>
    </w:r>
    <w:r>
      <w:fldChar w:fldCharType="end"/>
    </w:r>
  </w:p>
  <w:p w14:paraId="180EEFF6" w14:textId="77777777" w:rsidR="00F125EE" w:rsidRDefault="00F12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EFCB2" w14:textId="77777777" w:rsidR="005A2D25" w:rsidRDefault="005A2D25">
      <w:r>
        <w:separator/>
      </w:r>
    </w:p>
  </w:footnote>
  <w:footnote w:type="continuationSeparator" w:id="0">
    <w:p w14:paraId="000197A7" w14:textId="77777777" w:rsidR="005A2D25" w:rsidRDefault="005A2D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40DC9" w14:textId="77777777" w:rsidR="003A2FD8" w:rsidRPr="005001AC" w:rsidRDefault="003A2FD8" w:rsidP="005001AC">
    <w:pPr>
      <w:jc w:val="right"/>
      <w:rPr>
        <w:sz w:val="20"/>
      </w:rPr>
    </w:pPr>
  </w:p>
  <w:p w14:paraId="0091C365"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B963FF"/>
    <w:multiLevelType w:val="hybridMultilevel"/>
    <w:tmpl w:val="43A20FFE"/>
    <w:lvl w:ilvl="0" w:tplc="041866E8">
      <w:start w:val="202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8D4926"/>
    <w:multiLevelType w:val="hybridMultilevel"/>
    <w:tmpl w:val="2FCC0058"/>
    <w:lvl w:ilvl="0" w:tplc="7FF679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116BDC"/>
    <w:multiLevelType w:val="hybridMultilevel"/>
    <w:tmpl w:val="1D98BF46"/>
    <w:lvl w:ilvl="0" w:tplc="F40C2976">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3630088">
    <w:abstractNumId w:val="9"/>
  </w:num>
  <w:num w:numId="2" w16cid:durableId="922104590">
    <w:abstractNumId w:val="7"/>
  </w:num>
  <w:num w:numId="3" w16cid:durableId="216168773">
    <w:abstractNumId w:val="6"/>
  </w:num>
  <w:num w:numId="4" w16cid:durableId="867454114">
    <w:abstractNumId w:val="5"/>
  </w:num>
  <w:num w:numId="5" w16cid:durableId="73163237">
    <w:abstractNumId w:val="4"/>
  </w:num>
  <w:num w:numId="6" w16cid:durableId="1477145114">
    <w:abstractNumId w:val="8"/>
  </w:num>
  <w:num w:numId="7" w16cid:durableId="1560357261">
    <w:abstractNumId w:val="3"/>
  </w:num>
  <w:num w:numId="8" w16cid:durableId="866601076">
    <w:abstractNumId w:val="2"/>
  </w:num>
  <w:num w:numId="9" w16cid:durableId="487744975">
    <w:abstractNumId w:val="1"/>
  </w:num>
  <w:num w:numId="10" w16cid:durableId="50621420">
    <w:abstractNumId w:val="0"/>
  </w:num>
  <w:num w:numId="11" w16cid:durableId="2143037510">
    <w:abstractNumId w:val="10"/>
  </w:num>
  <w:num w:numId="12" w16cid:durableId="147022406">
    <w:abstractNumId w:val="12"/>
  </w:num>
  <w:num w:numId="13" w16cid:durableId="319190897">
    <w:abstractNumId w:val="13"/>
  </w:num>
  <w:num w:numId="14" w16cid:durableId="10534298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59"/>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04B2"/>
    <w:rsid w:val="00015F74"/>
    <w:rsid w:val="00017C53"/>
    <w:rsid w:val="00030840"/>
    <w:rsid w:val="00065EBD"/>
    <w:rsid w:val="00083B44"/>
    <w:rsid w:val="000850DC"/>
    <w:rsid w:val="000A41E4"/>
    <w:rsid w:val="000C2771"/>
    <w:rsid w:val="000C5F36"/>
    <w:rsid w:val="000E7987"/>
    <w:rsid w:val="000F0DCE"/>
    <w:rsid w:val="0010376C"/>
    <w:rsid w:val="00112C5B"/>
    <w:rsid w:val="00114193"/>
    <w:rsid w:val="00115A38"/>
    <w:rsid w:val="0011687B"/>
    <w:rsid w:val="00124F82"/>
    <w:rsid w:val="0016337A"/>
    <w:rsid w:val="00164269"/>
    <w:rsid w:val="00175C3E"/>
    <w:rsid w:val="001A1BDE"/>
    <w:rsid w:val="001A60C6"/>
    <w:rsid w:val="001C0520"/>
    <w:rsid w:val="001C0975"/>
    <w:rsid w:val="001F0876"/>
    <w:rsid w:val="001F167C"/>
    <w:rsid w:val="001F5E91"/>
    <w:rsid w:val="002077B9"/>
    <w:rsid w:val="00262D72"/>
    <w:rsid w:val="0027562B"/>
    <w:rsid w:val="00294FBB"/>
    <w:rsid w:val="002A3D86"/>
    <w:rsid w:val="002C030F"/>
    <w:rsid w:val="002C667A"/>
    <w:rsid w:val="002D3B19"/>
    <w:rsid w:val="00325D90"/>
    <w:rsid w:val="00331D75"/>
    <w:rsid w:val="00332BFB"/>
    <w:rsid w:val="00355362"/>
    <w:rsid w:val="00363E44"/>
    <w:rsid w:val="00387114"/>
    <w:rsid w:val="00395E86"/>
    <w:rsid w:val="00397983"/>
    <w:rsid w:val="003A2FD8"/>
    <w:rsid w:val="003B40E6"/>
    <w:rsid w:val="003C37D4"/>
    <w:rsid w:val="003F6E14"/>
    <w:rsid w:val="004045E5"/>
    <w:rsid w:val="00405336"/>
    <w:rsid w:val="004571D5"/>
    <w:rsid w:val="00461D81"/>
    <w:rsid w:val="0046356B"/>
    <w:rsid w:val="00477182"/>
    <w:rsid w:val="004779CB"/>
    <w:rsid w:val="004A159F"/>
    <w:rsid w:val="004B2F21"/>
    <w:rsid w:val="004E42D8"/>
    <w:rsid w:val="004E7BA2"/>
    <w:rsid w:val="004F7EDF"/>
    <w:rsid w:val="005001AC"/>
    <w:rsid w:val="00527D71"/>
    <w:rsid w:val="005607DD"/>
    <w:rsid w:val="005609E9"/>
    <w:rsid w:val="005A0624"/>
    <w:rsid w:val="005A26C4"/>
    <w:rsid w:val="005A2D25"/>
    <w:rsid w:val="005A558C"/>
    <w:rsid w:val="005C52D5"/>
    <w:rsid w:val="005D088E"/>
    <w:rsid w:val="005E28F8"/>
    <w:rsid w:val="005E6513"/>
    <w:rsid w:val="006069C6"/>
    <w:rsid w:val="00611A19"/>
    <w:rsid w:val="006140DF"/>
    <w:rsid w:val="00651114"/>
    <w:rsid w:val="0065772A"/>
    <w:rsid w:val="00670299"/>
    <w:rsid w:val="00690668"/>
    <w:rsid w:val="00691985"/>
    <w:rsid w:val="006A1B64"/>
    <w:rsid w:val="006A30D4"/>
    <w:rsid w:val="006B54BB"/>
    <w:rsid w:val="006D169A"/>
    <w:rsid w:val="006E3E68"/>
    <w:rsid w:val="007108F5"/>
    <w:rsid w:val="00713E5B"/>
    <w:rsid w:val="00714AEB"/>
    <w:rsid w:val="00720156"/>
    <w:rsid w:val="007402FC"/>
    <w:rsid w:val="007411A1"/>
    <w:rsid w:val="00763345"/>
    <w:rsid w:val="007843C9"/>
    <w:rsid w:val="00797F24"/>
    <w:rsid w:val="007B5946"/>
    <w:rsid w:val="007F5297"/>
    <w:rsid w:val="00807D35"/>
    <w:rsid w:val="00820484"/>
    <w:rsid w:val="00824DF3"/>
    <w:rsid w:val="00840BB2"/>
    <w:rsid w:val="00885C9B"/>
    <w:rsid w:val="008C069B"/>
    <w:rsid w:val="008D5D2A"/>
    <w:rsid w:val="00914154"/>
    <w:rsid w:val="00914B63"/>
    <w:rsid w:val="009258B8"/>
    <w:rsid w:val="009354F3"/>
    <w:rsid w:val="00943C3C"/>
    <w:rsid w:val="009447DC"/>
    <w:rsid w:val="009519CF"/>
    <w:rsid w:val="00961BA5"/>
    <w:rsid w:val="009743A9"/>
    <w:rsid w:val="009A5287"/>
    <w:rsid w:val="009A670E"/>
    <w:rsid w:val="009B2AC5"/>
    <w:rsid w:val="009B7984"/>
    <w:rsid w:val="009C5394"/>
    <w:rsid w:val="009D6B1C"/>
    <w:rsid w:val="009F4BED"/>
    <w:rsid w:val="009F7D93"/>
    <w:rsid w:val="00A02969"/>
    <w:rsid w:val="00A25E2C"/>
    <w:rsid w:val="00A3403B"/>
    <w:rsid w:val="00A40406"/>
    <w:rsid w:val="00A51A12"/>
    <w:rsid w:val="00A627D4"/>
    <w:rsid w:val="00A72B81"/>
    <w:rsid w:val="00A74DA2"/>
    <w:rsid w:val="00AC15B4"/>
    <w:rsid w:val="00AD499C"/>
    <w:rsid w:val="00AE5A70"/>
    <w:rsid w:val="00B003EE"/>
    <w:rsid w:val="00B038F4"/>
    <w:rsid w:val="00B15008"/>
    <w:rsid w:val="00B1615D"/>
    <w:rsid w:val="00B16F99"/>
    <w:rsid w:val="00B36869"/>
    <w:rsid w:val="00B42F9C"/>
    <w:rsid w:val="00B43B31"/>
    <w:rsid w:val="00B47CFA"/>
    <w:rsid w:val="00B57F00"/>
    <w:rsid w:val="00B73A1C"/>
    <w:rsid w:val="00B77B2A"/>
    <w:rsid w:val="00B82C22"/>
    <w:rsid w:val="00B8723B"/>
    <w:rsid w:val="00B93DBA"/>
    <w:rsid w:val="00B9440A"/>
    <w:rsid w:val="00BB2D2A"/>
    <w:rsid w:val="00BD58CF"/>
    <w:rsid w:val="00C046DC"/>
    <w:rsid w:val="00C04CC1"/>
    <w:rsid w:val="00C31C4E"/>
    <w:rsid w:val="00C364C5"/>
    <w:rsid w:val="00C47714"/>
    <w:rsid w:val="00C50C6D"/>
    <w:rsid w:val="00C600D9"/>
    <w:rsid w:val="00C62178"/>
    <w:rsid w:val="00CB19BC"/>
    <w:rsid w:val="00CB2D3D"/>
    <w:rsid w:val="00CC1384"/>
    <w:rsid w:val="00CD0E25"/>
    <w:rsid w:val="00CD3720"/>
    <w:rsid w:val="00CF16C9"/>
    <w:rsid w:val="00CF1848"/>
    <w:rsid w:val="00CF5C2F"/>
    <w:rsid w:val="00D04BCF"/>
    <w:rsid w:val="00D143D9"/>
    <w:rsid w:val="00D22BBF"/>
    <w:rsid w:val="00D269AB"/>
    <w:rsid w:val="00D346C2"/>
    <w:rsid w:val="00D74D9A"/>
    <w:rsid w:val="00DA22DA"/>
    <w:rsid w:val="00DA59EA"/>
    <w:rsid w:val="00DB0B1D"/>
    <w:rsid w:val="00DC623A"/>
    <w:rsid w:val="00DD421A"/>
    <w:rsid w:val="00E257C8"/>
    <w:rsid w:val="00E31A47"/>
    <w:rsid w:val="00E37047"/>
    <w:rsid w:val="00E60D0F"/>
    <w:rsid w:val="00E9773B"/>
    <w:rsid w:val="00EA596B"/>
    <w:rsid w:val="00EC0261"/>
    <w:rsid w:val="00EC13A3"/>
    <w:rsid w:val="00EC7C85"/>
    <w:rsid w:val="00ED136B"/>
    <w:rsid w:val="00F04CD9"/>
    <w:rsid w:val="00F125EE"/>
    <w:rsid w:val="00F12E98"/>
    <w:rsid w:val="00F22029"/>
    <w:rsid w:val="00F25DEF"/>
    <w:rsid w:val="00F514EC"/>
    <w:rsid w:val="00F60CD4"/>
    <w:rsid w:val="00F630EA"/>
    <w:rsid w:val="00F7007E"/>
    <w:rsid w:val="00F70200"/>
    <w:rsid w:val="00F707B3"/>
    <w:rsid w:val="00F73193"/>
    <w:rsid w:val="00F74F95"/>
    <w:rsid w:val="00F80705"/>
    <w:rsid w:val="00F80AFE"/>
    <w:rsid w:val="00FA1481"/>
    <w:rsid w:val="00FF04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7D1EA8"/>
  <w15:docId w15:val="{44D555E4-DB32-4E4E-914C-3E579D6D7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basedOn w:val="DefaultParagraphFont"/>
    <w:link w:val="Heading1"/>
    <w:semiHidden/>
    <w:rsid w:val="00FF04E3"/>
    <w:rPr>
      <w:b/>
      <w:bCs/>
      <w:kern w:val="32"/>
      <w:sz w:val="24"/>
      <w:szCs w:val="24"/>
    </w:rPr>
  </w:style>
  <w:style w:type="character" w:customStyle="1" w:styleId="Heading2Char">
    <w:name w:val="Heading 2 Char"/>
    <w:basedOn w:val="DefaultParagraphFont"/>
    <w:link w:val="Heading2"/>
    <w:semiHidden/>
    <w:rsid w:val="00FF04E3"/>
    <w:rPr>
      <w:rFonts w:ascii="Cambria" w:hAnsi="Cambria"/>
      <w:b/>
      <w:bCs/>
      <w:i/>
      <w:iCs/>
      <w:sz w:val="28"/>
      <w:szCs w:val="28"/>
    </w:rPr>
  </w:style>
  <w:style w:type="character" w:customStyle="1" w:styleId="Heading5Char">
    <w:name w:val="Heading 5 Char"/>
    <w:basedOn w:val="DefaultParagraphFont"/>
    <w:link w:val="Heading5"/>
    <w:semiHidden/>
    <w:rsid w:val="00FF04E3"/>
    <w:rPr>
      <w:rFonts w:ascii="Calibri" w:hAnsi="Calibri"/>
      <w:b/>
      <w:bCs/>
      <w:i/>
      <w:iCs/>
      <w:sz w:val="26"/>
      <w:szCs w:val="26"/>
    </w:rPr>
  </w:style>
  <w:style w:type="character" w:customStyle="1" w:styleId="Heading6Char">
    <w:name w:val="Heading 6 Char"/>
    <w:basedOn w:val="DefaultParagraphFont"/>
    <w:link w:val="Heading6"/>
    <w:semiHidden/>
    <w:rsid w:val="00FF04E3"/>
    <w:rPr>
      <w:rFonts w:ascii="Calibri" w:hAnsi="Calibri"/>
      <w:b/>
      <w:bCs/>
      <w:sz w:val="22"/>
      <w:szCs w:val="22"/>
    </w:rPr>
  </w:style>
  <w:style w:type="character" w:customStyle="1" w:styleId="Heading7Char">
    <w:name w:val="Heading 7 Char"/>
    <w:basedOn w:val="DefaultParagraphFont"/>
    <w:link w:val="Heading7"/>
    <w:semiHidden/>
    <w:rsid w:val="00FF04E3"/>
    <w:rPr>
      <w:rFonts w:ascii="Calibri" w:hAnsi="Calibri"/>
      <w:sz w:val="24"/>
      <w:szCs w:val="24"/>
    </w:rPr>
  </w:style>
  <w:style w:type="character" w:customStyle="1" w:styleId="Heading8Char">
    <w:name w:val="Heading 8 Char"/>
    <w:basedOn w:val="DefaultParagraphFont"/>
    <w:link w:val="Heading8"/>
    <w:semiHidden/>
    <w:rsid w:val="00FF04E3"/>
    <w:rPr>
      <w:rFonts w:ascii="Calibri" w:hAnsi="Calibri"/>
      <w:i/>
      <w:iCs/>
      <w:sz w:val="24"/>
      <w:szCs w:val="24"/>
    </w:rPr>
  </w:style>
  <w:style w:type="character" w:customStyle="1" w:styleId="Heading9Char">
    <w:name w:val="Heading 9 Char"/>
    <w:basedOn w:val="DefaultParagraphFont"/>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basedOn w:val="DefaultParagraphFont"/>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pPr>
      <w:tabs>
        <w:tab w:val="left" w:pos="380"/>
      </w:tabs>
      <w:spacing w:after="240"/>
      <w:ind w:left="384" w:hanging="384"/>
    </w:pPr>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basedOn w:val="DefaultParagraphFont"/>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basedOn w:val="DefaultParagraphFont"/>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basedOn w:val="DefaultParagraphFont"/>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basedOn w:val="DefaultParagraphFont"/>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basedOn w:val="DefaultParagraphFont"/>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basedOn w:val="DefaultParagraphFont"/>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basedOn w:val="DefaultParagraphFont"/>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basedOn w:val="CommentText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basedOn w:val="DefaultParagraphFont"/>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basedOn w:val="DefaultParagraphFont"/>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basedOn w:val="DefaultParagraphFont"/>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basedOn w:val="DefaultParagraphFont"/>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basedOn w:val="DefaultParagraphFont"/>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basedOn w:val="DefaultParagraphFont"/>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basedOn w:val="DefaultParagraphFont"/>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basedOn w:val="DefaultParagraphFont"/>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basedOn w:val="DefaultParagraphFont"/>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basedOn w:val="DefaultParagraphFont"/>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basedOn w:val="DefaultParagraphFont"/>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basedOn w:val="DefaultParagraphFont"/>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basedOn w:val="DefaultParagraphFont"/>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basedOn w:val="DefaultParagraphFont"/>
    <w:semiHidden/>
    <w:rsid w:val="007402FC"/>
    <w:rPr>
      <w:color w:val="0000FF"/>
      <w:u w:val="single"/>
    </w:rPr>
  </w:style>
  <w:style w:type="character" w:styleId="Emphasis">
    <w:name w:val="Emphasis"/>
    <w:basedOn w:val="DefaultParagraphFont"/>
    <w:uiPriority w:val="20"/>
    <w:qFormat/>
    <w:rsid w:val="00B42F9C"/>
    <w:rPr>
      <w:i/>
      <w:iCs/>
    </w:rPr>
  </w:style>
  <w:style w:type="character" w:styleId="CommentReference">
    <w:name w:val="annotation reference"/>
    <w:basedOn w:val="DefaultParagraphFont"/>
    <w:semiHidden/>
    <w:rsid w:val="009258B8"/>
    <w:rPr>
      <w:sz w:val="16"/>
      <w:szCs w:val="16"/>
    </w:rPr>
  </w:style>
  <w:style w:type="character" w:styleId="FollowedHyperlink">
    <w:name w:val="FollowedHyperlink"/>
    <w:basedOn w:val="DefaultParagraphFont"/>
    <w:semiHidden/>
    <w:unhideWhenUsed/>
    <w:rsid w:val="00611A19"/>
    <w:rPr>
      <w:color w:val="800080" w:themeColor="followedHyperlink"/>
      <w:u w:val="single"/>
    </w:rPr>
  </w:style>
  <w:style w:type="paragraph" w:styleId="Revision">
    <w:name w:val="Revision"/>
    <w:hidden/>
    <w:uiPriority w:val="99"/>
    <w:semiHidden/>
    <w:rsid w:val="00CD0E2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3178651">
      <w:bodyDiv w:val="1"/>
      <w:marLeft w:val="0"/>
      <w:marRight w:val="0"/>
      <w:marTop w:val="0"/>
      <w:marBottom w:val="0"/>
      <w:divBdr>
        <w:top w:val="none" w:sz="0" w:space="0" w:color="auto"/>
        <w:left w:val="none" w:sz="0" w:space="0" w:color="auto"/>
        <w:bottom w:val="none" w:sz="0" w:space="0" w:color="auto"/>
        <w:right w:val="none" w:sz="0" w:space="0" w:color="auto"/>
      </w:divBdr>
    </w:div>
    <w:div w:id="1140808172">
      <w:bodyDiv w:val="1"/>
      <w:marLeft w:val="0"/>
      <w:marRight w:val="0"/>
      <w:marTop w:val="0"/>
      <w:marBottom w:val="0"/>
      <w:divBdr>
        <w:top w:val="none" w:sz="0" w:space="0" w:color="auto"/>
        <w:left w:val="none" w:sz="0" w:space="0" w:color="auto"/>
        <w:bottom w:val="none" w:sz="0" w:space="0" w:color="auto"/>
        <w:right w:val="none" w:sz="0" w:space="0" w:color="auto"/>
      </w:divBdr>
    </w:div>
    <w:div w:id="1469545632">
      <w:bodyDiv w:val="1"/>
      <w:marLeft w:val="0"/>
      <w:marRight w:val="0"/>
      <w:marTop w:val="0"/>
      <w:marBottom w:val="0"/>
      <w:divBdr>
        <w:top w:val="none" w:sz="0" w:space="0" w:color="auto"/>
        <w:left w:val="none" w:sz="0" w:space="0" w:color="auto"/>
        <w:bottom w:val="none" w:sz="0" w:space="0" w:color="auto"/>
        <w:right w:val="none" w:sz="0" w:space="0" w:color="auto"/>
      </w:divBdr>
    </w:div>
    <w:div w:id="195108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0068E-FBFC-4AD4-B24B-EC375A059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8</Pages>
  <Words>3535</Words>
  <Characters>20155</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23643</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c:creator>
  <cp:lastModifiedBy>Da, Jiawei</cp:lastModifiedBy>
  <cp:revision>27</cp:revision>
  <cp:lastPrinted>2018-02-26T17:19:00Z</cp:lastPrinted>
  <dcterms:created xsi:type="dcterms:W3CDTF">2025-08-15T16:35:00Z</dcterms:created>
  <dcterms:modified xsi:type="dcterms:W3CDTF">2025-12-05T16:15:00Z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zotero-version="7.0.29"&gt;&lt;session id="yawXn8D8"/&gt;&lt;style id="http://www.zotero.org/styles/pnas" hasBibliography="1" bibliographyStyleHasBeenSet="1"/&gt;&lt;prefs&gt;&lt;pref name="fieldType" value="Field"/&gt;&lt;/prefs&gt;&lt;/data&gt;</vt:lpwstr>
  </property>
</Properties>
</file>