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B9450" w14:textId="012B4B4C" w:rsidR="000C2E47" w:rsidRDefault="00321DC2" w:rsidP="00632FC1">
      <w:pPr>
        <w:pStyle w:val="Title"/>
        <w:rPr>
          <w:rFonts w:ascii="Times New Roman" w:hAnsi="Times New Roman" w:cs="Times New Roman"/>
          <w:b/>
          <w:bCs/>
          <w:sz w:val="28"/>
          <w:szCs w:val="28"/>
        </w:rPr>
      </w:pPr>
      <w:r w:rsidRPr="00590ED8">
        <w:rPr>
          <w:rFonts w:ascii="Times New Roman" w:hAnsi="Times New Roman" w:cs="Times New Roman"/>
          <w:b/>
          <w:bCs/>
          <w:sz w:val="28"/>
          <w:szCs w:val="28"/>
        </w:rPr>
        <w:t>SUPPLEMENTARY INFORMATION: DATA AND CALCULATION METHODS</w:t>
      </w:r>
    </w:p>
    <w:p w14:paraId="70F4F8B6" w14:textId="744EDE40" w:rsidR="006B6922" w:rsidRPr="006B6922" w:rsidRDefault="006B6922" w:rsidP="006B6922">
      <w:pPr>
        <w:jc w:val="center"/>
        <w:rPr>
          <w:rFonts w:ascii="Times New Roman" w:hAnsi="Times New Roman" w:cs="Times New Roman"/>
        </w:rPr>
      </w:pPr>
      <w:r w:rsidRPr="006B6922">
        <w:rPr>
          <w:rFonts w:ascii="Times New Roman" w:hAnsi="Times New Roman" w:cs="Times New Roman"/>
        </w:rPr>
        <w:t>For</w:t>
      </w:r>
    </w:p>
    <w:p w14:paraId="28141C07" w14:textId="77777777" w:rsidR="006B6922" w:rsidRPr="003751C4" w:rsidRDefault="006B6922" w:rsidP="006B6922">
      <w:pPr>
        <w:tabs>
          <w:tab w:val="left" w:pos="9900"/>
        </w:tabs>
        <w:ind w:right="180"/>
        <w:jc w:val="center"/>
        <w:rPr>
          <w:rFonts w:ascii="Times New Roman" w:hAnsi="Times New Roman" w:cs="Times New Roman"/>
          <w:b/>
          <w:bCs/>
          <w:sz w:val="32"/>
          <w:szCs w:val="32"/>
        </w:rPr>
      </w:pPr>
      <w:r w:rsidRPr="003751C4">
        <w:rPr>
          <w:rFonts w:ascii="Times New Roman" w:hAnsi="Times New Roman" w:cs="Times New Roman"/>
          <w:b/>
          <w:bCs/>
          <w:sz w:val="32"/>
          <w:szCs w:val="32"/>
        </w:rPr>
        <w:t>Greenhouse Gas and Carbon Profile of the US Forest Products Industry: 1990 TO 2020</w:t>
      </w:r>
    </w:p>
    <w:p w14:paraId="31AFAC1A" w14:textId="77777777" w:rsidR="006B6922" w:rsidRPr="006B6922" w:rsidRDefault="006B6922" w:rsidP="006B6922"/>
    <w:sdt>
      <w:sdtPr>
        <w:rPr>
          <w:rFonts w:ascii="Times New Roman" w:hAnsi="Times New Roman" w:cs="Times New Roman"/>
          <w:b/>
          <w:bCs/>
          <w:caps/>
          <w:color w:val="auto"/>
          <w:sz w:val="24"/>
          <w:szCs w:val="24"/>
        </w:rPr>
        <w:id w:val="-2012979907"/>
        <w:docPartObj>
          <w:docPartGallery w:val="Table of Contents"/>
          <w:docPartUnique/>
        </w:docPartObj>
      </w:sdtPr>
      <w:sdtEndPr>
        <w:rPr>
          <w:rFonts w:asciiTheme="minorHAnsi" w:eastAsiaTheme="minorHAnsi" w:hAnsiTheme="minorHAnsi" w:cstheme="minorBidi"/>
          <w:caps w:val="0"/>
          <w:noProof/>
          <w:kern w:val="2"/>
          <w14:ligatures w14:val="standardContextual"/>
        </w:rPr>
      </w:sdtEndPr>
      <w:sdtContent>
        <w:p w14:paraId="3549B0FE" w14:textId="35817F6E" w:rsidR="006B6922" w:rsidRPr="006B6922" w:rsidRDefault="006B6922">
          <w:pPr>
            <w:pStyle w:val="TOCHeading"/>
            <w:rPr>
              <w:rFonts w:ascii="Times New Roman" w:hAnsi="Times New Roman" w:cs="Times New Roman"/>
              <w:b/>
              <w:bCs/>
              <w:caps/>
              <w:color w:val="auto"/>
              <w:sz w:val="24"/>
              <w:szCs w:val="24"/>
            </w:rPr>
          </w:pPr>
          <w:r w:rsidRPr="006B6922">
            <w:rPr>
              <w:rFonts w:ascii="Times New Roman" w:hAnsi="Times New Roman" w:cs="Times New Roman"/>
              <w:b/>
              <w:bCs/>
              <w:caps/>
              <w:color w:val="auto"/>
              <w:sz w:val="24"/>
              <w:szCs w:val="24"/>
            </w:rPr>
            <w:t>Contents</w:t>
          </w:r>
        </w:p>
        <w:p w14:paraId="4F11144E" w14:textId="48A69768" w:rsidR="00470B6E" w:rsidRPr="00470B6E" w:rsidRDefault="006B6922">
          <w:pPr>
            <w:pStyle w:val="TOC1"/>
            <w:rPr>
              <w:rFonts w:asciiTheme="minorHAnsi" w:eastAsiaTheme="minorEastAsia" w:hAnsiTheme="minorHAnsi"/>
              <w:caps w:val="0"/>
              <w:kern w:val="2"/>
              <w:sz w:val="24"/>
              <w:szCs w:val="24"/>
              <w14:ligatures w14:val="standardContextual"/>
            </w:rPr>
          </w:pPr>
          <w:r w:rsidRPr="00470B6E">
            <w:rPr>
              <w:rFonts w:cs="Times New Roman"/>
            </w:rPr>
            <w:fldChar w:fldCharType="begin"/>
          </w:r>
          <w:r w:rsidRPr="00470B6E">
            <w:rPr>
              <w:rFonts w:cs="Times New Roman"/>
            </w:rPr>
            <w:instrText xml:space="preserve"> TOC \o "1-3" \h \z \u </w:instrText>
          </w:r>
          <w:r w:rsidRPr="00470B6E">
            <w:rPr>
              <w:rFonts w:cs="Times New Roman"/>
            </w:rPr>
            <w:fldChar w:fldCharType="separate"/>
          </w:r>
          <w:hyperlink w:anchor="_Toc215829599" w:history="1">
            <w:r w:rsidR="00470B6E" w:rsidRPr="00470B6E">
              <w:rPr>
                <w:rStyle w:val="Hyperlink"/>
              </w:rPr>
              <w:t>CARBON STORED IN FOREST PRODUCTS</w:t>
            </w:r>
            <w:r w:rsidR="00470B6E" w:rsidRPr="00470B6E">
              <w:rPr>
                <w:webHidden/>
              </w:rPr>
              <w:tab/>
            </w:r>
            <w:r w:rsidR="00470B6E" w:rsidRPr="00470B6E">
              <w:rPr>
                <w:webHidden/>
              </w:rPr>
              <w:fldChar w:fldCharType="begin"/>
            </w:r>
            <w:r w:rsidR="00470B6E" w:rsidRPr="00470B6E">
              <w:rPr>
                <w:webHidden/>
              </w:rPr>
              <w:instrText xml:space="preserve"> PAGEREF _Toc215829599 \h </w:instrText>
            </w:r>
            <w:r w:rsidR="00470B6E" w:rsidRPr="00470B6E">
              <w:rPr>
                <w:webHidden/>
              </w:rPr>
            </w:r>
            <w:r w:rsidR="00470B6E" w:rsidRPr="00470B6E">
              <w:rPr>
                <w:webHidden/>
              </w:rPr>
              <w:fldChar w:fldCharType="separate"/>
            </w:r>
            <w:r w:rsidR="00470B6E" w:rsidRPr="00470B6E">
              <w:rPr>
                <w:webHidden/>
              </w:rPr>
              <w:t>3</w:t>
            </w:r>
            <w:r w:rsidR="00470B6E" w:rsidRPr="00470B6E">
              <w:rPr>
                <w:webHidden/>
              </w:rPr>
              <w:fldChar w:fldCharType="end"/>
            </w:r>
          </w:hyperlink>
        </w:p>
        <w:p w14:paraId="5D44D212" w14:textId="613CE4C6" w:rsidR="00470B6E" w:rsidRPr="00470B6E" w:rsidRDefault="00470B6E">
          <w:pPr>
            <w:pStyle w:val="TOC2"/>
            <w:rPr>
              <w:rFonts w:eastAsiaTheme="minorEastAsia"/>
              <w:noProof/>
              <w:kern w:val="2"/>
              <w:sz w:val="24"/>
              <w:szCs w:val="24"/>
              <w14:ligatures w14:val="standardContextual"/>
            </w:rPr>
          </w:pPr>
          <w:hyperlink w:anchor="_Toc215829600" w:history="1">
            <w:r w:rsidRPr="00470B6E">
              <w:rPr>
                <w:rStyle w:val="Hyperlink"/>
                <w:rFonts w:ascii="Times New Roman" w:hAnsi="Times New Roman"/>
                <w:noProof/>
              </w:rPr>
              <w:t>Carbon Stored in Products in Use</w:t>
            </w:r>
            <w:r w:rsidRPr="00470B6E">
              <w:rPr>
                <w:noProof/>
                <w:webHidden/>
              </w:rPr>
              <w:tab/>
            </w:r>
            <w:r w:rsidRPr="00470B6E">
              <w:rPr>
                <w:noProof/>
                <w:webHidden/>
              </w:rPr>
              <w:fldChar w:fldCharType="begin"/>
            </w:r>
            <w:r w:rsidRPr="00470B6E">
              <w:rPr>
                <w:noProof/>
                <w:webHidden/>
              </w:rPr>
              <w:instrText xml:space="preserve"> PAGEREF _Toc215829600 \h </w:instrText>
            </w:r>
            <w:r w:rsidRPr="00470B6E">
              <w:rPr>
                <w:noProof/>
                <w:webHidden/>
              </w:rPr>
            </w:r>
            <w:r w:rsidRPr="00470B6E">
              <w:rPr>
                <w:noProof/>
                <w:webHidden/>
              </w:rPr>
              <w:fldChar w:fldCharType="separate"/>
            </w:r>
            <w:r w:rsidRPr="00470B6E">
              <w:rPr>
                <w:noProof/>
                <w:webHidden/>
              </w:rPr>
              <w:t>3</w:t>
            </w:r>
            <w:r w:rsidRPr="00470B6E">
              <w:rPr>
                <w:noProof/>
                <w:webHidden/>
              </w:rPr>
              <w:fldChar w:fldCharType="end"/>
            </w:r>
          </w:hyperlink>
        </w:p>
        <w:p w14:paraId="343BDF4C" w14:textId="33A2DF0C" w:rsidR="00470B6E" w:rsidRPr="00470B6E" w:rsidRDefault="00470B6E">
          <w:pPr>
            <w:pStyle w:val="TOC2"/>
            <w:rPr>
              <w:rFonts w:eastAsiaTheme="minorEastAsia"/>
              <w:noProof/>
              <w:kern w:val="2"/>
              <w:sz w:val="24"/>
              <w:szCs w:val="24"/>
              <w14:ligatures w14:val="standardContextual"/>
            </w:rPr>
          </w:pPr>
          <w:hyperlink w:anchor="_Toc215829601" w:history="1">
            <w:r w:rsidRPr="00470B6E">
              <w:rPr>
                <w:rStyle w:val="Hyperlink"/>
                <w:rFonts w:ascii="Times New Roman" w:hAnsi="Times New Roman"/>
                <w:noProof/>
              </w:rPr>
              <w:t>Carbon Stored in Products in Landfills</w:t>
            </w:r>
            <w:r w:rsidRPr="00470B6E">
              <w:rPr>
                <w:noProof/>
                <w:webHidden/>
              </w:rPr>
              <w:tab/>
            </w:r>
            <w:r w:rsidRPr="00470B6E">
              <w:rPr>
                <w:noProof/>
                <w:webHidden/>
              </w:rPr>
              <w:fldChar w:fldCharType="begin"/>
            </w:r>
            <w:r w:rsidRPr="00470B6E">
              <w:rPr>
                <w:noProof/>
                <w:webHidden/>
              </w:rPr>
              <w:instrText xml:space="preserve"> PAGEREF _Toc215829601 \h </w:instrText>
            </w:r>
            <w:r w:rsidRPr="00470B6E">
              <w:rPr>
                <w:noProof/>
                <w:webHidden/>
              </w:rPr>
            </w:r>
            <w:r w:rsidRPr="00470B6E">
              <w:rPr>
                <w:noProof/>
                <w:webHidden/>
              </w:rPr>
              <w:fldChar w:fldCharType="separate"/>
            </w:r>
            <w:r w:rsidRPr="00470B6E">
              <w:rPr>
                <w:noProof/>
                <w:webHidden/>
              </w:rPr>
              <w:t>5</w:t>
            </w:r>
            <w:r w:rsidRPr="00470B6E">
              <w:rPr>
                <w:noProof/>
                <w:webHidden/>
              </w:rPr>
              <w:fldChar w:fldCharType="end"/>
            </w:r>
          </w:hyperlink>
        </w:p>
        <w:p w14:paraId="77F22984" w14:textId="46BCD921" w:rsidR="00470B6E" w:rsidRPr="00470B6E" w:rsidRDefault="00470B6E">
          <w:pPr>
            <w:pStyle w:val="TOC2"/>
            <w:rPr>
              <w:rFonts w:eastAsiaTheme="minorEastAsia"/>
              <w:noProof/>
              <w:kern w:val="2"/>
              <w:sz w:val="24"/>
              <w:szCs w:val="24"/>
              <w14:ligatures w14:val="standardContextual"/>
            </w:rPr>
          </w:pPr>
          <w:hyperlink w:anchor="_Toc215829602" w:history="1">
            <w:r w:rsidRPr="00470B6E">
              <w:rPr>
                <w:rStyle w:val="Hyperlink"/>
                <w:rFonts w:ascii="Times New Roman" w:hAnsi="Times New Roman"/>
                <w:noProof/>
              </w:rPr>
              <w:t>Total Carbon Storage in Forest Products</w:t>
            </w:r>
            <w:r w:rsidRPr="00470B6E">
              <w:rPr>
                <w:noProof/>
                <w:webHidden/>
              </w:rPr>
              <w:tab/>
            </w:r>
            <w:r w:rsidRPr="00470B6E">
              <w:rPr>
                <w:noProof/>
                <w:webHidden/>
              </w:rPr>
              <w:fldChar w:fldCharType="begin"/>
            </w:r>
            <w:r w:rsidRPr="00470B6E">
              <w:rPr>
                <w:noProof/>
                <w:webHidden/>
              </w:rPr>
              <w:instrText xml:space="preserve"> PAGEREF _Toc215829602 \h </w:instrText>
            </w:r>
            <w:r w:rsidRPr="00470B6E">
              <w:rPr>
                <w:noProof/>
                <w:webHidden/>
              </w:rPr>
            </w:r>
            <w:r w:rsidRPr="00470B6E">
              <w:rPr>
                <w:noProof/>
                <w:webHidden/>
              </w:rPr>
              <w:fldChar w:fldCharType="separate"/>
            </w:r>
            <w:r w:rsidRPr="00470B6E">
              <w:rPr>
                <w:noProof/>
                <w:webHidden/>
              </w:rPr>
              <w:t>5</w:t>
            </w:r>
            <w:r w:rsidRPr="00470B6E">
              <w:rPr>
                <w:noProof/>
                <w:webHidden/>
              </w:rPr>
              <w:fldChar w:fldCharType="end"/>
            </w:r>
          </w:hyperlink>
        </w:p>
        <w:p w14:paraId="202FB506" w14:textId="73CD64D6"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03" w:history="1">
            <w:r w:rsidRPr="00470B6E">
              <w:rPr>
                <w:rStyle w:val="Hyperlink"/>
              </w:rPr>
              <w:t>GREENHOUSE GAS EMISSION FACTORS</w:t>
            </w:r>
            <w:r w:rsidRPr="00470B6E">
              <w:rPr>
                <w:webHidden/>
              </w:rPr>
              <w:tab/>
            </w:r>
            <w:r w:rsidRPr="00470B6E">
              <w:rPr>
                <w:webHidden/>
              </w:rPr>
              <w:fldChar w:fldCharType="begin"/>
            </w:r>
            <w:r w:rsidRPr="00470B6E">
              <w:rPr>
                <w:webHidden/>
              </w:rPr>
              <w:instrText xml:space="preserve"> PAGEREF _Toc215829603 \h </w:instrText>
            </w:r>
            <w:r w:rsidRPr="00470B6E">
              <w:rPr>
                <w:webHidden/>
              </w:rPr>
            </w:r>
            <w:r w:rsidRPr="00470B6E">
              <w:rPr>
                <w:webHidden/>
              </w:rPr>
              <w:fldChar w:fldCharType="separate"/>
            </w:r>
            <w:r w:rsidRPr="00470B6E">
              <w:rPr>
                <w:webHidden/>
              </w:rPr>
              <w:t>8</w:t>
            </w:r>
            <w:r w:rsidRPr="00470B6E">
              <w:rPr>
                <w:webHidden/>
              </w:rPr>
              <w:fldChar w:fldCharType="end"/>
            </w:r>
          </w:hyperlink>
        </w:p>
        <w:p w14:paraId="61407B9F" w14:textId="571F3BCC"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04" w:history="1">
            <w:r w:rsidRPr="00470B6E">
              <w:rPr>
                <w:rStyle w:val="Hyperlink"/>
              </w:rPr>
              <w:t>SCOPE 1 COMBUSTION-RELATED GHG EMISSIONS</w:t>
            </w:r>
            <w:r w:rsidRPr="00470B6E">
              <w:rPr>
                <w:webHidden/>
              </w:rPr>
              <w:tab/>
            </w:r>
            <w:r w:rsidRPr="00470B6E">
              <w:rPr>
                <w:webHidden/>
              </w:rPr>
              <w:fldChar w:fldCharType="begin"/>
            </w:r>
            <w:r w:rsidRPr="00470B6E">
              <w:rPr>
                <w:webHidden/>
              </w:rPr>
              <w:instrText xml:space="preserve"> PAGEREF _Toc215829604 \h </w:instrText>
            </w:r>
            <w:r w:rsidRPr="00470B6E">
              <w:rPr>
                <w:webHidden/>
              </w:rPr>
            </w:r>
            <w:r w:rsidRPr="00470B6E">
              <w:rPr>
                <w:webHidden/>
              </w:rPr>
              <w:fldChar w:fldCharType="separate"/>
            </w:r>
            <w:r w:rsidRPr="00470B6E">
              <w:rPr>
                <w:webHidden/>
              </w:rPr>
              <w:t>8</w:t>
            </w:r>
            <w:r w:rsidRPr="00470B6E">
              <w:rPr>
                <w:webHidden/>
              </w:rPr>
              <w:fldChar w:fldCharType="end"/>
            </w:r>
          </w:hyperlink>
        </w:p>
        <w:p w14:paraId="01D377CE" w14:textId="67C5043F" w:rsidR="00470B6E" w:rsidRPr="00470B6E" w:rsidRDefault="00470B6E">
          <w:pPr>
            <w:pStyle w:val="TOC2"/>
            <w:rPr>
              <w:rFonts w:eastAsiaTheme="minorEastAsia"/>
              <w:noProof/>
              <w:kern w:val="2"/>
              <w:sz w:val="24"/>
              <w:szCs w:val="24"/>
              <w14:ligatures w14:val="standardContextual"/>
            </w:rPr>
          </w:pPr>
          <w:hyperlink w:anchor="_Toc215829605" w:history="1">
            <w:r w:rsidRPr="00470B6E">
              <w:rPr>
                <w:rStyle w:val="Hyperlink"/>
                <w:rFonts w:ascii="Times New Roman" w:hAnsi="Times New Roman"/>
                <w:noProof/>
              </w:rPr>
              <w:t>Pulp and Paper Mill Emissions</w:t>
            </w:r>
            <w:r w:rsidRPr="00470B6E">
              <w:rPr>
                <w:noProof/>
                <w:webHidden/>
              </w:rPr>
              <w:tab/>
            </w:r>
            <w:r w:rsidRPr="00470B6E">
              <w:rPr>
                <w:noProof/>
                <w:webHidden/>
              </w:rPr>
              <w:fldChar w:fldCharType="begin"/>
            </w:r>
            <w:r w:rsidRPr="00470B6E">
              <w:rPr>
                <w:noProof/>
                <w:webHidden/>
              </w:rPr>
              <w:instrText xml:space="preserve"> PAGEREF _Toc215829605 \h </w:instrText>
            </w:r>
            <w:r w:rsidRPr="00470B6E">
              <w:rPr>
                <w:noProof/>
                <w:webHidden/>
              </w:rPr>
            </w:r>
            <w:r w:rsidRPr="00470B6E">
              <w:rPr>
                <w:noProof/>
                <w:webHidden/>
              </w:rPr>
              <w:fldChar w:fldCharType="separate"/>
            </w:r>
            <w:r w:rsidRPr="00470B6E">
              <w:rPr>
                <w:noProof/>
                <w:webHidden/>
              </w:rPr>
              <w:t>9</w:t>
            </w:r>
            <w:r w:rsidRPr="00470B6E">
              <w:rPr>
                <w:noProof/>
                <w:webHidden/>
              </w:rPr>
              <w:fldChar w:fldCharType="end"/>
            </w:r>
          </w:hyperlink>
        </w:p>
        <w:p w14:paraId="28A7C2AC" w14:textId="303CD98E" w:rsidR="00470B6E" w:rsidRPr="00470B6E" w:rsidRDefault="00470B6E">
          <w:pPr>
            <w:pStyle w:val="TOC2"/>
            <w:rPr>
              <w:rFonts w:eastAsiaTheme="minorEastAsia"/>
              <w:noProof/>
              <w:kern w:val="2"/>
              <w:sz w:val="24"/>
              <w:szCs w:val="24"/>
              <w14:ligatures w14:val="standardContextual"/>
            </w:rPr>
          </w:pPr>
          <w:hyperlink w:anchor="_Toc215829606" w:history="1">
            <w:r w:rsidRPr="00470B6E">
              <w:rPr>
                <w:rStyle w:val="Hyperlink"/>
                <w:rFonts w:ascii="Times New Roman" w:hAnsi="Times New Roman"/>
                <w:noProof/>
              </w:rPr>
              <w:t>Wood Products Mills</w:t>
            </w:r>
            <w:r w:rsidRPr="00470B6E">
              <w:rPr>
                <w:noProof/>
                <w:webHidden/>
              </w:rPr>
              <w:tab/>
            </w:r>
            <w:r w:rsidRPr="00470B6E">
              <w:rPr>
                <w:noProof/>
                <w:webHidden/>
              </w:rPr>
              <w:fldChar w:fldCharType="begin"/>
            </w:r>
            <w:r w:rsidRPr="00470B6E">
              <w:rPr>
                <w:noProof/>
                <w:webHidden/>
              </w:rPr>
              <w:instrText xml:space="preserve"> PAGEREF _Toc215829606 \h </w:instrText>
            </w:r>
            <w:r w:rsidRPr="00470B6E">
              <w:rPr>
                <w:noProof/>
                <w:webHidden/>
              </w:rPr>
            </w:r>
            <w:r w:rsidRPr="00470B6E">
              <w:rPr>
                <w:noProof/>
                <w:webHidden/>
              </w:rPr>
              <w:fldChar w:fldCharType="separate"/>
            </w:r>
            <w:r w:rsidRPr="00470B6E">
              <w:rPr>
                <w:noProof/>
                <w:webHidden/>
              </w:rPr>
              <w:t>15</w:t>
            </w:r>
            <w:r w:rsidRPr="00470B6E">
              <w:rPr>
                <w:noProof/>
                <w:webHidden/>
              </w:rPr>
              <w:fldChar w:fldCharType="end"/>
            </w:r>
          </w:hyperlink>
        </w:p>
        <w:p w14:paraId="46E41A1A" w14:textId="38F1B5F4" w:rsidR="00470B6E" w:rsidRPr="00470B6E" w:rsidRDefault="00470B6E">
          <w:pPr>
            <w:pStyle w:val="TOC2"/>
            <w:rPr>
              <w:rFonts w:eastAsiaTheme="minorEastAsia"/>
              <w:noProof/>
              <w:kern w:val="2"/>
              <w:sz w:val="24"/>
              <w:szCs w:val="24"/>
              <w14:ligatures w14:val="standardContextual"/>
            </w:rPr>
          </w:pPr>
          <w:hyperlink w:anchor="_Toc215829607" w:history="1">
            <w:r w:rsidRPr="00470B6E">
              <w:rPr>
                <w:rStyle w:val="Hyperlink"/>
                <w:rFonts w:ascii="Times New Roman" w:hAnsi="Times New Roman"/>
                <w:noProof/>
              </w:rPr>
              <w:t>Biogenic Emissions from Forest Product Industry Manufacturing</w:t>
            </w:r>
            <w:r w:rsidRPr="00470B6E">
              <w:rPr>
                <w:noProof/>
                <w:webHidden/>
              </w:rPr>
              <w:tab/>
            </w:r>
            <w:r w:rsidRPr="00470B6E">
              <w:rPr>
                <w:noProof/>
                <w:webHidden/>
              </w:rPr>
              <w:fldChar w:fldCharType="begin"/>
            </w:r>
            <w:r w:rsidRPr="00470B6E">
              <w:rPr>
                <w:noProof/>
                <w:webHidden/>
              </w:rPr>
              <w:instrText xml:space="preserve"> PAGEREF _Toc215829607 \h </w:instrText>
            </w:r>
            <w:r w:rsidRPr="00470B6E">
              <w:rPr>
                <w:noProof/>
                <w:webHidden/>
              </w:rPr>
            </w:r>
            <w:r w:rsidRPr="00470B6E">
              <w:rPr>
                <w:noProof/>
                <w:webHidden/>
              </w:rPr>
              <w:fldChar w:fldCharType="separate"/>
            </w:r>
            <w:r w:rsidRPr="00470B6E">
              <w:rPr>
                <w:noProof/>
                <w:webHidden/>
              </w:rPr>
              <w:t>18</w:t>
            </w:r>
            <w:r w:rsidRPr="00470B6E">
              <w:rPr>
                <w:noProof/>
                <w:webHidden/>
              </w:rPr>
              <w:fldChar w:fldCharType="end"/>
            </w:r>
          </w:hyperlink>
        </w:p>
        <w:p w14:paraId="37CA2B37" w14:textId="0453C993" w:rsidR="00470B6E" w:rsidRPr="00470B6E" w:rsidRDefault="00470B6E">
          <w:pPr>
            <w:pStyle w:val="TOC2"/>
            <w:rPr>
              <w:rFonts w:eastAsiaTheme="minorEastAsia"/>
              <w:noProof/>
              <w:kern w:val="2"/>
              <w:sz w:val="24"/>
              <w:szCs w:val="24"/>
              <w14:ligatures w14:val="standardContextual"/>
            </w:rPr>
          </w:pPr>
          <w:hyperlink w:anchor="_Toc215829608" w:history="1">
            <w:r w:rsidRPr="00470B6E">
              <w:rPr>
                <w:rStyle w:val="Hyperlink"/>
                <w:rFonts w:ascii="Times New Roman" w:hAnsi="Times New Roman"/>
                <w:noProof/>
              </w:rPr>
              <w:t>Converting Operations</w:t>
            </w:r>
            <w:r w:rsidRPr="00470B6E">
              <w:rPr>
                <w:noProof/>
                <w:webHidden/>
              </w:rPr>
              <w:tab/>
            </w:r>
            <w:r w:rsidRPr="00470B6E">
              <w:rPr>
                <w:noProof/>
                <w:webHidden/>
              </w:rPr>
              <w:fldChar w:fldCharType="begin"/>
            </w:r>
            <w:r w:rsidRPr="00470B6E">
              <w:rPr>
                <w:noProof/>
                <w:webHidden/>
              </w:rPr>
              <w:instrText xml:space="preserve"> PAGEREF _Toc215829608 \h </w:instrText>
            </w:r>
            <w:r w:rsidRPr="00470B6E">
              <w:rPr>
                <w:noProof/>
                <w:webHidden/>
              </w:rPr>
            </w:r>
            <w:r w:rsidRPr="00470B6E">
              <w:rPr>
                <w:noProof/>
                <w:webHidden/>
              </w:rPr>
              <w:fldChar w:fldCharType="separate"/>
            </w:r>
            <w:r w:rsidRPr="00470B6E">
              <w:rPr>
                <w:noProof/>
                <w:webHidden/>
              </w:rPr>
              <w:t>19</w:t>
            </w:r>
            <w:r w:rsidRPr="00470B6E">
              <w:rPr>
                <w:noProof/>
                <w:webHidden/>
              </w:rPr>
              <w:fldChar w:fldCharType="end"/>
            </w:r>
          </w:hyperlink>
        </w:p>
        <w:p w14:paraId="61E8B9AA" w14:textId="59506CFC" w:rsidR="00470B6E" w:rsidRPr="00470B6E" w:rsidRDefault="00470B6E">
          <w:pPr>
            <w:pStyle w:val="TOC2"/>
            <w:rPr>
              <w:rFonts w:eastAsiaTheme="minorEastAsia"/>
              <w:noProof/>
              <w:kern w:val="2"/>
              <w:sz w:val="24"/>
              <w:szCs w:val="24"/>
              <w14:ligatures w14:val="standardContextual"/>
            </w:rPr>
          </w:pPr>
          <w:hyperlink w:anchor="_Toc215829609" w:history="1">
            <w:r w:rsidRPr="00470B6E">
              <w:rPr>
                <w:rStyle w:val="Hyperlink"/>
                <w:rFonts w:ascii="Times New Roman" w:hAnsi="Times New Roman"/>
                <w:noProof/>
              </w:rPr>
              <w:t>Total Forest Products Industry Direct Emissions from Fuel Combustion</w:t>
            </w:r>
            <w:r w:rsidRPr="00470B6E">
              <w:rPr>
                <w:noProof/>
                <w:webHidden/>
              </w:rPr>
              <w:tab/>
            </w:r>
            <w:r w:rsidRPr="00470B6E">
              <w:rPr>
                <w:noProof/>
                <w:webHidden/>
              </w:rPr>
              <w:fldChar w:fldCharType="begin"/>
            </w:r>
            <w:r w:rsidRPr="00470B6E">
              <w:rPr>
                <w:noProof/>
                <w:webHidden/>
              </w:rPr>
              <w:instrText xml:space="preserve"> PAGEREF _Toc215829609 \h </w:instrText>
            </w:r>
            <w:r w:rsidRPr="00470B6E">
              <w:rPr>
                <w:noProof/>
                <w:webHidden/>
              </w:rPr>
            </w:r>
            <w:r w:rsidRPr="00470B6E">
              <w:rPr>
                <w:noProof/>
                <w:webHidden/>
              </w:rPr>
              <w:fldChar w:fldCharType="separate"/>
            </w:r>
            <w:r w:rsidRPr="00470B6E">
              <w:rPr>
                <w:noProof/>
                <w:webHidden/>
              </w:rPr>
              <w:t>24</w:t>
            </w:r>
            <w:r w:rsidRPr="00470B6E">
              <w:rPr>
                <w:noProof/>
                <w:webHidden/>
              </w:rPr>
              <w:fldChar w:fldCharType="end"/>
            </w:r>
          </w:hyperlink>
        </w:p>
        <w:p w14:paraId="3827A30C" w14:textId="1303E445"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10" w:history="1">
            <w:r w:rsidRPr="00470B6E">
              <w:rPr>
                <w:rStyle w:val="Hyperlink"/>
              </w:rPr>
              <w:t>SCOPE 2 INDIRECT EMMISSIONS ASSOCIATED WITH PURCHASED ELECTRICITY AND STEAM</w:t>
            </w:r>
            <w:r w:rsidRPr="00470B6E">
              <w:rPr>
                <w:webHidden/>
              </w:rPr>
              <w:tab/>
            </w:r>
            <w:r w:rsidRPr="00470B6E">
              <w:rPr>
                <w:webHidden/>
              </w:rPr>
              <w:fldChar w:fldCharType="begin"/>
            </w:r>
            <w:r w:rsidRPr="00470B6E">
              <w:rPr>
                <w:webHidden/>
              </w:rPr>
              <w:instrText xml:space="preserve"> PAGEREF _Toc215829610 \h </w:instrText>
            </w:r>
            <w:r w:rsidRPr="00470B6E">
              <w:rPr>
                <w:webHidden/>
              </w:rPr>
            </w:r>
            <w:r w:rsidRPr="00470B6E">
              <w:rPr>
                <w:webHidden/>
              </w:rPr>
              <w:fldChar w:fldCharType="separate"/>
            </w:r>
            <w:r w:rsidRPr="00470B6E">
              <w:rPr>
                <w:webHidden/>
              </w:rPr>
              <w:t>25</w:t>
            </w:r>
            <w:r w:rsidRPr="00470B6E">
              <w:rPr>
                <w:webHidden/>
              </w:rPr>
              <w:fldChar w:fldCharType="end"/>
            </w:r>
          </w:hyperlink>
        </w:p>
        <w:p w14:paraId="63A6D99A" w14:textId="49413671" w:rsidR="00470B6E" w:rsidRPr="00470B6E" w:rsidRDefault="00470B6E">
          <w:pPr>
            <w:pStyle w:val="TOC2"/>
            <w:rPr>
              <w:rFonts w:eastAsiaTheme="minorEastAsia"/>
              <w:noProof/>
              <w:kern w:val="2"/>
              <w:sz w:val="24"/>
              <w:szCs w:val="24"/>
              <w14:ligatures w14:val="standardContextual"/>
            </w:rPr>
          </w:pPr>
          <w:hyperlink w:anchor="_Toc215829611" w:history="1">
            <w:r w:rsidRPr="00470B6E">
              <w:rPr>
                <w:rStyle w:val="Hyperlink"/>
                <w:rFonts w:ascii="Times New Roman" w:hAnsi="Times New Roman"/>
                <w:noProof/>
              </w:rPr>
              <w:t>Pulp and Paper Mills</w:t>
            </w:r>
            <w:r w:rsidRPr="00470B6E">
              <w:rPr>
                <w:noProof/>
                <w:webHidden/>
              </w:rPr>
              <w:tab/>
            </w:r>
            <w:r w:rsidRPr="00470B6E">
              <w:rPr>
                <w:noProof/>
                <w:webHidden/>
              </w:rPr>
              <w:fldChar w:fldCharType="begin"/>
            </w:r>
            <w:r w:rsidRPr="00470B6E">
              <w:rPr>
                <w:noProof/>
                <w:webHidden/>
              </w:rPr>
              <w:instrText xml:space="preserve"> PAGEREF _Toc215829611 \h </w:instrText>
            </w:r>
            <w:r w:rsidRPr="00470B6E">
              <w:rPr>
                <w:noProof/>
                <w:webHidden/>
              </w:rPr>
            </w:r>
            <w:r w:rsidRPr="00470B6E">
              <w:rPr>
                <w:noProof/>
                <w:webHidden/>
              </w:rPr>
              <w:fldChar w:fldCharType="separate"/>
            </w:r>
            <w:r w:rsidRPr="00470B6E">
              <w:rPr>
                <w:noProof/>
                <w:webHidden/>
              </w:rPr>
              <w:t>25</w:t>
            </w:r>
            <w:r w:rsidRPr="00470B6E">
              <w:rPr>
                <w:noProof/>
                <w:webHidden/>
              </w:rPr>
              <w:fldChar w:fldCharType="end"/>
            </w:r>
          </w:hyperlink>
        </w:p>
        <w:p w14:paraId="12F6C569" w14:textId="536BCE61" w:rsidR="00470B6E" w:rsidRPr="00470B6E" w:rsidRDefault="00470B6E">
          <w:pPr>
            <w:pStyle w:val="TOC2"/>
            <w:rPr>
              <w:rFonts w:eastAsiaTheme="minorEastAsia"/>
              <w:noProof/>
              <w:kern w:val="2"/>
              <w:sz w:val="24"/>
              <w:szCs w:val="24"/>
              <w14:ligatures w14:val="standardContextual"/>
            </w:rPr>
          </w:pPr>
          <w:hyperlink w:anchor="_Toc215829612" w:history="1">
            <w:r w:rsidRPr="00470B6E">
              <w:rPr>
                <w:rStyle w:val="Hyperlink"/>
                <w:rFonts w:ascii="Times New Roman" w:hAnsi="Times New Roman"/>
                <w:noProof/>
              </w:rPr>
              <w:t>Wood Products Mills</w:t>
            </w:r>
            <w:r w:rsidRPr="00470B6E">
              <w:rPr>
                <w:noProof/>
                <w:webHidden/>
              </w:rPr>
              <w:tab/>
            </w:r>
            <w:r w:rsidRPr="00470B6E">
              <w:rPr>
                <w:noProof/>
                <w:webHidden/>
              </w:rPr>
              <w:fldChar w:fldCharType="begin"/>
            </w:r>
            <w:r w:rsidRPr="00470B6E">
              <w:rPr>
                <w:noProof/>
                <w:webHidden/>
              </w:rPr>
              <w:instrText xml:space="preserve"> PAGEREF _Toc215829612 \h </w:instrText>
            </w:r>
            <w:r w:rsidRPr="00470B6E">
              <w:rPr>
                <w:noProof/>
                <w:webHidden/>
              </w:rPr>
            </w:r>
            <w:r w:rsidRPr="00470B6E">
              <w:rPr>
                <w:noProof/>
                <w:webHidden/>
              </w:rPr>
              <w:fldChar w:fldCharType="separate"/>
            </w:r>
            <w:r w:rsidRPr="00470B6E">
              <w:rPr>
                <w:noProof/>
                <w:webHidden/>
              </w:rPr>
              <w:t>29</w:t>
            </w:r>
            <w:r w:rsidRPr="00470B6E">
              <w:rPr>
                <w:noProof/>
                <w:webHidden/>
              </w:rPr>
              <w:fldChar w:fldCharType="end"/>
            </w:r>
          </w:hyperlink>
        </w:p>
        <w:p w14:paraId="2000062B" w14:textId="4EA5F7F8" w:rsidR="00470B6E" w:rsidRPr="00470B6E" w:rsidRDefault="00470B6E">
          <w:pPr>
            <w:pStyle w:val="TOC2"/>
            <w:rPr>
              <w:rFonts w:eastAsiaTheme="minorEastAsia"/>
              <w:noProof/>
              <w:kern w:val="2"/>
              <w:sz w:val="24"/>
              <w:szCs w:val="24"/>
              <w14:ligatures w14:val="standardContextual"/>
            </w:rPr>
          </w:pPr>
          <w:hyperlink w:anchor="_Toc215829613" w:history="1">
            <w:r w:rsidRPr="00470B6E">
              <w:rPr>
                <w:rStyle w:val="Hyperlink"/>
                <w:rFonts w:ascii="Times New Roman" w:hAnsi="Times New Roman"/>
                <w:noProof/>
              </w:rPr>
              <w:t>Converting Operations</w:t>
            </w:r>
            <w:r w:rsidRPr="00470B6E">
              <w:rPr>
                <w:noProof/>
                <w:webHidden/>
              </w:rPr>
              <w:tab/>
            </w:r>
            <w:r w:rsidRPr="00470B6E">
              <w:rPr>
                <w:noProof/>
                <w:webHidden/>
              </w:rPr>
              <w:fldChar w:fldCharType="begin"/>
            </w:r>
            <w:r w:rsidRPr="00470B6E">
              <w:rPr>
                <w:noProof/>
                <w:webHidden/>
              </w:rPr>
              <w:instrText xml:space="preserve"> PAGEREF _Toc215829613 \h </w:instrText>
            </w:r>
            <w:r w:rsidRPr="00470B6E">
              <w:rPr>
                <w:noProof/>
                <w:webHidden/>
              </w:rPr>
            </w:r>
            <w:r w:rsidRPr="00470B6E">
              <w:rPr>
                <w:noProof/>
                <w:webHidden/>
              </w:rPr>
              <w:fldChar w:fldCharType="separate"/>
            </w:r>
            <w:r w:rsidRPr="00470B6E">
              <w:rPr>
                <w:noProof/>
                <w:webHidden/>
              </w:rPr>
              <w:t>31</w:t>
            </w:r>
            <w:r w:rsidRPr="00470B6E">
              <w:rPr>
                <w:noProof/>
                <w:webHidden/>
              </w:rPr>
              <w:fldChar w:fldCharType="end"/>
            </w:r>
          </w:hyperlink>
        </w:p>
        <w:p w14:paraId="3BF95BDD" w14:textId="7BB0CEE3" w:rsidR="00470B6E" w:rsidRPr="00470B6E" w:rsidRDefault="00470B6E">
          <w:pPr>
            <w:pStyle w:val="TOC2"/>
            <w:rPr>
              <w:rFonts w:eastAsiaTheme="minorEastAsia"/>
              <w:noProof/>
              <w:kern w:val="2"/>
              <w:sz w:val="24"/>
              <w:szCs w:val="24"/>
              <w14:ligatures w14:val="standardContextual"/>
            </w:rPr>
          </w:pPr>
          <w:hyperlink w:anchor="_Toc215829614" w:history="1">
            <w:r w:rsidRPr="00470B6E">
              <w:rPr>
                <w:rStyle w:val="Hyperlink"/>
                <w:rFonts w:ascii="Times New Roman" w:hAnsi="Times New Roman"/>
                <w:noProof/>
              </w:rPr>
              <w:t>Total Forest Products Industry</w:t>
            </w:r>
            <w:r w:rsidRPr="00470B6E">
              <w:rPr>
                <w:noProof/>
                <w:webHidden/>
              </w:rPr>
              <w:tab/>
            </w:r>
            <w:r w:rsidRPr="00470B6E">
              <w:rPr>
                <w:noProof/>
                <w:webHidden/>
              </w:rPr>
              <w:fldChar w:fldCharType="begin"/>
            </w:r>
            <w:r w:rsidRPr="00470B6E">
              <w:rPr>
                <w:noProof/>
                <w:webHidden/>
              </w:rPr>
              <w:instrText xml:space="preserve"> PAGEREF _Toc215829614 \h </w:instrText>
            </w:r>
            <w:r w:rsidRPr="00470B6E">
              <w:rPr>
                <w:noProof/>
                <w:webHidden/>
              </w:rPr>
            </w:r>
            <w:r w:rsidRPr="00470B6E">
              <w:rPr>
                <w:noProof/>
                <w:webHidden/>
              </w:rPr>
              <w:fldChar w:fldCharType="separate"/>
            </w:r>
            <w:r w:rsidRPr="00470B6E">
              <w:rPr>
                <w:noProof/>
                <w:webHidden/>
              </w:rPr>
              <w:t>34</w:t>
            </w:r>
            <w:r w:rsidRPr="00470B6E">
              <w:rPr>
                <w:noProof/>
                <w:webHidden/>
              </w:rPr>
              <w:fldChar w:fldCharType="end"/>
            </w:r>
          </w:hyperlink>
        </w:p>
        <w:p w14:paraId="6846089F" w14:textId="4C1CB67E"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15" w:history="1">
            <w:r w:rsidRPr="00470B6E">
              <w:rPr>
                <w:rStyle w:val="Hyperlink"/>
              </w:rPr>
              <w:t>SCOPE 3 INDIRECT EMISSIONS ASSOCIATED WITH PURCHASED ELECTRICITY AND STEAM</w:t>
            </w:r>
            <w:r w:rsidRPr="00470B6E">
              <w:rPr>
                <w:webHidden/>
              </w:rPr>
              <w:tab/>
            </w:r>
            <w:r w:rsidRPr="00470B6E">
              <w:rPr>
                <w:webHidden/>
              </w:rPr>
              <w:fldChar w:fldCharType="begin"/>
            </w:r>
            <w:r w:rsidRPr="00470B6E">
              <w:rPr>
                <w:webHidden/>
              </w:rPr>
              <w:instrText xml:space="preserve"> PAGEREF _Toc215829615 \h </w:instrText>
            </w:r>
            <w:r w:rsidRPr="00470B6E">
              <w:rPr>
                <w:webHidden/>
              </w:rPr>
            </w:r>
            <w:r w:rsidRPr="00470B6E">
              <w:rPr>
                <w:webHidden/>
              </w:rPr>
              <w:fldChar w:fldCharType="separate"/>
            </w:r>
            <w:r w:rsidRPr="00470B6E">
              <w:rPr>
                <w:webHidden/>
              </w:rPr>
              <w:t>35</w:t>
            </w:r>
            <w:r w:rsidRPr="00470B6E">
              <w:rPr>
                <w:webHidden/>
              </w:rPr>
              <w:fldChar w:fldCharType="end"/>
            </w:r>
          </w:hyperlink>
        </w:p>
        <w:p w14:paraId="61C5A5B5" w14:textId="684265A1"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16" w:history="1">
            <w:r w:rsidRPr="00470B6E">
              <w:rPr>
                <w:rStyle w:val="Hyperlink"/>
              </w:rPr>
              <w:t>FACTORS FOR PRODUCING NON-FIBER NON-FUEL INPUTS</w:t>
            </w:r>
            <w:r w:rsidRPr="00470B6E">
              <w:rPr>
                <w:webHidden/>
              </w:rPr>
              <w:tab/>
            </w:r>
            <w:r w:rsidRPr="00470B6E">
              <w:rPr>
                <w:webHidden/>
              </w:rPr>
              <w:fldChar w:fldCharType="begin"/>
            </w:r>
            <w:r w:rsidRPr="00470B6E">
              <w:rPr>
                <w:webHidden/>
              </w:rPr>
              <w:instrText xml:space="preserve"> PAGEREF _Toc215829616 \h </w:instrText>
            </w:r>
            <w:r w:rsidRPr="00470B6E">
              <w:rPr>
                <w:webHidden/>
              </w:rPr>
            </w:r>
            <w:r w:rsidRPr="00470B6E">
              <w:rPr>
                <w:webHidden/>
              </w:rPr>
              <w:fldChar w:fldCharType="separate"/>
            </w:r>
            <w:r w:rsidRPr="00470B6E">
              <w:rPr>
                <w:webHidden/>
              </w:rPr>
              <w:t>37</w:t>
            </w:r>
            <w:r w:rsidRPr="00470B6E">
              <w:rPr>
                <w:webHidden/>
              </w:rPr>
              <w:fldChar w:fldCharType="end"/>
            </w:r>
          </w:hyperlink>
        </w:p>
        <w:p w14:paraId="76730ACF" w14:textId="354A2E28"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17" w:history="1">
            <w:r w:rsidRPr="00470B6E">
              <w:rPr>
                <w:rStyle w:val="Hyperlink"/>
              </w:rPr>
              <w:t>EMISSIONS FROM SYSTEMS MANAGING FOREST PRODUCT INDUSTRY WASTES</w:t>
            </w:r>
            <w:r w:rsidRPr="00470B6E">
              <w:rPr>
                <w:webHidden/>
              </w:rPr>
              <w:tab/>
            </w:r>
            <w:r w:rsidRPr="00470B6E">
              <w:rPr>
                <w:webHidden/>
              </w:rPr>
              <w:fldChar w:fldCharType="begin"/>
            </w:r>
            <w:r w:rsidRPr="00470B6E">
              <w:rPr>
                <w:webHidden/>
              </w:rPr>
              <w:instrText xml:space="preserve"> PAGEREF _Toc215829617 \h </w:instrText>
            </w:r>
            <w:r w:rsidRPr="00470B6E">
              <w:rPr>
                <w:webHidden/>
              </w:rPr>
            </w:r>
            <w:r w:rsidRPr="00470B6E">
              <w:rPr>
                <w:webHidden/>
              </w:rPr>
              <w:fldChar w:fldCharType="separate"/>
            </w:r>
            <w:r w:rsidRPr="00470B6E">
              <w:rPr>
                <w:webHidden/>
              </w:rPr>
              <w:t>37</w:t>
            </w:r>
            <w:r w:rsidRPr="00470B6E">
              <w:rPr>
                <w:webHidden/>
              </w:rPr>
              <w:fldChar w:fldCharType="end"/>
            </w:r>
          </w:hyperlink>
        </w:p>
        <w:p w14:paraId="3672A348" w14:textId="28015DAA" w:rsidR="00470B6E" w:rsidRPr="00470B6E" w:rsidRDefault="00470B6E">
          <w:pPr>
            <w:pStyle w:val="TOC2"/>
            <w:rPr>
              <w:rFonts w:eastAsiaTheme="minorEastAsia"/>
              <w:noProof/>
              <w:kern w:val="2"/>
              <w:sz w:val="24"/>
              <w:szCs w:val="24"/>
              <w14:ligatures w14:val="standardContextual"/>
            </w:rPr>
          </w:pPr>
          <w:hyperlink w:anchor="_Toc215829618" w:history="1">
            <w:r w:rsidRPr="00470B6E">
              <w:rPr>
                <w:rStyle w:val="Hyperlink"/>
                <w:rFonts w:ascii="Times New Roman" w:hAnsi="Times New Roman"/>
                <w:noProof/>
              </w:rPr>
              <w:t>Emissions from Landfills Receiving Pulp and Paper Mill Wastes</w:t>
            </w:r>
            <w:r w:rsidRPr="00470B6E">
              <w:rPr>
                <w:noProof/>
                <w:webHidden/>
              </w:rPr>
              <w:tab/>
            </w:r>
            <w:r w:rsidRPr="00470B6E">
              <w:rPr>
                <w:noProof/>
                <w:webHidden/>
              </w:rPr>
              <w:fldChar w:fldCharType="begin"/>
            </w:r>
            <w:r w:rsidRPr="00470B6E">
              <w:rPr>
                <w:noProof/>
                <w:webHidden/>
              </w:rPr>
              <w:instrText xml:space="preserve"> PAGEREF _Toc215829618 \h </w:instrText>
            </w:r>
            <w:r w:rsidRPr="00470B6E">
              <w:rPr>
                <w:noProof/>
                <w:webHidden/>
              </w:rPr>
            </w:r>
            <w:r w:rsidRPr="00470B6E">
              <w:rPr>
                <w:noProof/>
                <w:webHidden/>
              </w:rPr>
              <w:fldChar w:fldCharType="separate"/>
            </w:r>
            <w:r w:rsidRPr="00470B6E">
              <w:rPr>
                <w:noProof/>
                <w:webHidden/>
              </w:rPr>
              <w:t>37</w:t>
            </w:r>
            <w:r w:rsidRPr="00470B6E">
              <w:rPr>
                <w:noProof/>
                <w:webHidden/>
              </w:rPr>
              <w:fldChar w:fldCharType="end"/>
            </w:r>
          </w:hyperlink>
        </w:p>
        <w:p w14:paraId="66EED333" w14:textId="713D6361" w:rsidR="00470B6E" w:rsidRPr="00470B6E" w:rsidRDefault="00470B6E">
          <w:pPr>
            <w:pStyle w:val="TOC2"/>
            <w:rPr>
              <w:rFonts w:eastAsiaTheme="minorEastAsia"/>
              <w:noProof/>
              <w:kern w:val="2"/>
              <w:sz w:val="24"/>
              <w:szCs w:val="24"/>
              <w14:ligatures w14:val="standardContextual"/>
            </w:rPr>
          </w:pPr>
          <w:hyperlink w:anchor="_Toc215829619" w:history="1">
            <w:r w:rsidRPr="00470B6E">
              <w:rPr>
                <w:rStyle w:val="Hyperlink"/>
                <w:rFonts w:ascii="Times New Roman" w:hAnsi="Times New Roman"/>
                <w:noProof/>
              </w:rPr>
              <w:t>Emissions from Wood Product Facility Landfills – Lumber Mills</w:t>
            </w:r>
            <w:r w:rsidRPr="00470B6E">
              <w:rPr>
                <w:noProof/>
                <w:webHidden/>
              </w:rPr>
              <w:tab/>
            </w:r>
            <w:r w:rsidRPr="00470B6E">
              <w:rPr>
                <w:noProof/>
                <w:webHidden/>
              </w:rPr>
              <w:fldChar w:fldCharType="begin"/>
            </w:r>
            <w:r w:rsidRPr="00470B6E">
              <w:rPr>
                <w:noProof/>
                <w:webHidden/>
              </w:rPr>
              <w:instrText xml:space="preserve"> PAGEREF _Toc215829619 \h </w:instrText>
            </w:r>
            <w:r w:rsidRPr="00470B6E">
              <w:rPr>
                <w:noProof/>
                <w:webHidden/>
              </w:rPr>
            </w:r>
            <w:r w:rsidRPr="00470B6E">
              <w:rPr>
                <w:noProof/>
                <w:webHidden/>
              </w:rPr>
              <w:fldChar w:fldCharType="separate"/>
            </w:r>
            <w:r w:rsidRPr="00470B6E">
              <w:rPr>
                <w:noProof/>
                <w:webHidden/>
              </w:rPr>
              <w:t>53</w:t>
            </w:r>
            <w:r w:rsidRPr="00470B6E">
              <w:rPr>
                <w:noProof/>
                <w:webHidden/>
              </w:rPr>
              <w:fldChar w:fldCharType="end"/>
            </w:r>
          </w:hyperlink>
        </w:p>
        <w:p w14:paraId="732947C1" w14:textId="207F5AAA" w:rsidR="00470B6E" w:rsidRPr="00470B6E" w:rsidRDefault="00470B6E">
          <w:pPr>
            <w:pStyle w:val="TOC2"/>
            <w:rPr>
              <w:rFonts w:eastAsiaTheme="minorEastAsia"/>
              <w:noProof/>
              <w:kern w:val="2"/>
              <w:sz w:val="24"/>
              <w:szCs w:val="24"/>
              <w14:ligatures w14:val="standardContextual"/>
            </w:rPr>
          </w:pPr>
          <w:hyperlink w:anchor="_Toc215829620" w:history="1">
            <w:r w:rsidRPr="00470B6E">
              <w:rPr>
                <w:rStyle w:val="Hyperlink"/>
                <w:rFonts w:ascii="Times New Roman" w:hAnsi="Times New Roman"/>
                <w:noProof/>
              </w:rPr>
              <w:t>Emissions from Wood Product Facility Landfills – Panel Plants</w:t>
            </w:r>
            <w:r w:rsidRPr="00470B6E">
              <w:rPr>
                <w:noProof/>
                <w:webHidden/>
              </w:rPr>
              <w:tab/>
            </w:r>
            <w:r w:rsidRPr="00470B6E">
              <w:rPr>
                <w:noProof/>
                <w:webHidden/>
              </w:rPr>
              <w:fldChar w:fldCharType="begin"/>
            </w:r>
            <w:r w:rsidRPr="00470B6E">
              <w:rPr>
                <w:noProof/>
                <w:webHidden/>
              </w:rPr>
              <w:instrText xml:space="preserve"> PAGEREF _Toc215829620 \h </w:instrText>
            </w:r>
            <w:r w:rsidRPr="00470B6E">
              <w:rPr>
                <w:noProof/>
                <w:webHidden/>
              </w:rPr>
            </w:r>
            <w:r w:rsidRPr="00470B6E">
              <w:rPr>
                <w:noProof/>
                <w:webHidden/>
              </w:rPr>
              <w:fldChar w:fldCharType="separate"/>
            </w:r>
            <w:r w:rsidRPr="00470B6E">
              <w:rPr>
                <w:noProof/>
                <w:webHidden/>
              </w:rPr>
              <w:t>56</w:t>
            </w:r>
            <w:r w:rsidRPr="00470B6E">
              <w:rPr>
                <w:noProof/>
                <w:webHidden/>
              </w:rPr>
              <w:fldChar w:fldCharType="end"/>
            </w:r>
          </w:hyperlink>
        </w:p>
        <w:p w14:paraId="11B2BD76" w14:textId="55D4C725"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21" w:history="1">
            <w:r w:rsidRPr="00470B6E">
              <w:rPr>
                <w:rStyle w:val="Hyperlink"/>
              </w:rPr>
              <w:t>CALCULATING TRANSPORT-RELATED EMISSIONS</w:t>
            </w:r>
            <w:r w:rsidRPr="00470B6E">
              <w:rPr>
                <w:webHidden/>
              </w:rPr>
              <w:tab/>
            </w:r>
            <w:r w:rsidRPr="00470B6E">
              <w:rPr>
                <w:webHidden/>
              </w:rPr>
              <w:fldChar w:fldCharType="begin"/>
            </w:r>
            <w:r w:rsidRPr="00470B6E">
              <w:rPr>
                <w:webHidden/>
              </w:rPr>
              <w:instrText xml:space="preserve"> PAGEREF _Toc215829621 \h </w:instrText>
            </w:r>
            <w:r w:rsidRPr="00470B6E">
              <w:rPr>
                <w:webHidden/>
              </w:rPr>
            </w:r>
            <w:r w:rsidRPr="00470B6E">
              <w:rPr>
                <w:webHidden/>
              </w:rPr>
              <w:fldChar w:fldCharType="separate"/>
            </w:r>
            <w:r w:rsidRPr="00470B6E">
              <w:rPr>
                <w:webHidden/>
              </w:rPr>
              <w:t>58</w:t>
            </w:r>
            <w:r w:rsidRPr="00470B6E">
              <w:rPr>
                <w:webHidden/>
              </w:rPr>
              <w:fldChar w:fldCharType="end"/>
            </w:r>
          </w:hyperlink>
        </w:p>
        <w:p w14:paraId="111B2592" w14:textId="1FC26BB3" w:rsidR="00470B6E" w:rsidRPr="00470B6E" w:rsidRDefault="00470B6E">
          <w:pPr>
            <w:pStyle w:val="TOC2"/>
            <w:rPr>
              <w:rFonts w:eastAsiaTheme="minorEastAsia"/>
              <w:noProof/>
              <w:kern w:val="2"/>
              <w:sz w:val="24"/>
              <w:szCs w:val="24"/>
              <w14:ligatures w14:val="standardContextual"/>
            </w:rPr>
          </w:pPr>
          <w:hyperlink w:anchor="_Toc215829622" w:history="1">
            <w:r w:rsidRPr="00470B6E">
              <w:rPr>
                <w:rStyle w:val="Hyperlink"/>
                <w:rFonts w:ascii="Times New Roman" w:hAnsi="Times New Roman"/>
                <w:noProof/>
              </w:rPr>
              <w:t>Using Data from the Commodity Flow Survey</w:t>
            </w:r>
            <w:r w:rsidRPr="00470B6E">
              <w:rPr>
                <w:noProof/>
                <w:webHidden/>
              </w:rPr>
              <w:tab/>
            </w:r>
            <w:r w:rsidRPr="00470B6E">
              <w:rPr>
                <w:noProof/>
                <w:webHidden/>
              </w:rPr>
              <w:fldChar w:fldCharType="begin"/>
            </w:r>
            <w:r w:rsidRPr="00470B6E">
              <w:rPr>
                <w:noProof/>
                <w:webHidden/>
              </w:rPr>
              <w:instrText xml:space="preserve"> PAGEREF _Toc215829622 \h </w:instrText>
            </w:r>
            <w:r w:rsidRPr="00470B6E">
              <w:rPr>
                <w:noProof/>
                <w:webHidden/>
              </w:rPr>
            </w:r>
            <w:r w:rsidRPr="00470B6E">
              <w:rPr>
                <w:noProof/>
                <w:webHidden/>
              </w:rPr>
              <w:fldChar w:fldCharType="separate"/>
            </w:r>
            <w:r w:rsidRPr="00470B6E">
              <w:rPr>
                <w:noProof/>
                <w:webHidden/>
              </w:rPr>
              <w:t>58</w:t>
            </w:r>
            <w:r w:rsidRPr="00470B6E">
              <w:rPr>
                <w:noProof/>
                <w:webHidden/>
              </w:rPr>
              <w:fldChar w:fldCharType="end"/>
            </w:r>
          </w:hyperlink>
        </w:p>
        <w:p w14:paraId="597D1360" w14:textId="29153D36" w:rsidR="00470B6E" w:rsidRPr="00470B6E" w:rsidRDefault="00470B6E">
          <w:pPr>
            <w:pStyle w:val="TOC2"/>
            <w:rPr>
              <w:rFonts w:eastAsiaTheme="minorEastAsia"/>
              <w:noProof/>
              <w:kern w:val="2"/>
              <w:sz w:val="24"/>
              <w:szCs w:val="24"/>
              <w14:ligatures w14:val="standardContextual"/>
            </w:rPr>
          </w:pPr>
          <w:hyperlink w:anchor="_Toc215829623" w:history="1">
            <w:r w:rsidRPr="00470B6E">
              <w:rPr>
                <w:rStyle w:val="Hyperlink"/>
                <w:rFonts w:ascii="Times New Roman" w:hAnsi="Times New Roman"/>
                <w:noProof/>
              </w:rPr>
              <w:t>Transport Emissions from Roundwood Shipments</w:t>
            </w:r>
            <w:r w:rsidRPr="00470B6E">
              <w:rPr>
                <w:noProof/>
                <w:webHidden/>
              </w:rPr>
              <w:tab/>
            </w:r>
            <w:r w:rsidRPr="00470B6E">
              <w:rPr>
                <w:noProof/>
                <w:webHidden/>
              </w:rPr>
              <w:fldChar w:fldCharType="begin"/>
            </w:r>
            <w:r w:rsidRPr="00470B6E">
              <w:rPr>
                <w:noProof/>
                <w:webHidden/>
              </w:rPr>
              <w:instrText xml:space="preserve"> PAGEREF _Toc215829623 \h </w:instrText>
            </w:r>
            <w:r w:rsidRPr="00470B6E">
              <w:rPr>
                <w:noProof/>
                <w:webHidden/>
              </w:rPr>
            </w:r>
            <w:r w:rsidRPr="00470B6E">
              <w:rPr>
                <w:noProof/>
                <w:webHidden/>
              </w:rPr>
              <w:fldChar w:fldCharType="separate"/>
            </w:r>
            <w:r w:rsidRPr="00470B6E">
              <w:rPr>
                <w:noProof/>
                <w:webHidden/>
              </w:rPr>
              <w:t>62</w:t>
            </w:r>
            <w:r w:rsidRPr="00470B6E">
              <w:rPr>
                <w:noProof/>
                <w:webHidden/>
              </w:rPr>
              <w:fldChar w:fldCharType="end"/>
            </w:r>
          </w:hyperlink>
        </w:p>
        <w:p w14:paraId="2E5D32B3" w14:textId="7D925611" w:rsidR="00470B6E" w:rsidRPr="00470B6E" w:rsidRDefault="00470B6E">
          <w:pPr>
            <w:pStyle w:val="TOC2"/>
            <w:rPr>
              <w:rFonts w:eastAsiaTheme="minorEastAsia"/>
              <w:noProof/>
              <w:kern w:val="2"/>
              <w:sz w:val="24"/>
              <w:szCs w:val="24"/>
              <w14:ligatures w14:val="standardContextual"/>
            </w:rPr>
          </w:pPr>
          <w:hyperlink w:anchor="_Toc215829624" w:history="1">
            <w:r w:rsidRPr="00470B6E">
              <w:rPr>
                <w:rStyle w:val="Hyperlink"/>
                <w:rFonts w:ascii="Times New Roman" w:hAnsi="Times New Roman"/>
                <w:noProof/>
              </w:rPr>
              <w:t>Transport Emissions from Wood Product Shipments</w:t>
            </w:r>
            <w:r w:rsidRPr="00470B6E">
              <w:rPr>
                <w:noProof/>
                <w:webHidden/>
              </w:rPr>
              <w:tab/>
            </w:r>
            <w:r w:rsidRPr="00470B6E">
              <w:rPr>
                <w:noProof/>
                <w:webHidden/>
              </w:rPr>
              <w:fldChar w:fldCharType="begin"/>
            </w:r>
            <w:r w:rsidRPr="00470B6E">
              <w:rPr>
                <w:noProof/>
                <w:webHidden/>
              </w:rPr>
              <w:instrText xml:space="preserve"> PAGEREF _Toc215829624 \h </w:instrText>
            </w:r>
            <w:r w:rsidRPr="00470B6E">
              <w:rPr>
                <w:noProof/>
                <w:webHidden/>
              </w:rPr>
            </w:r>
            <w:r w:rsidRPr="00470B6E">
              <w:rPr>
                <w:noProof/>
                <w:webHidden/>
              </w:rPr>
              <w:fldChar w:fldCharType="separate"/>
            </w:r>
            <w:r w:rsidRPr="00470B6E">
              <w:rPr>
                <w:noProof/>
                <w:webHidden/>
              </w:rPr>
              <w:t>62</w:t>
            </w:r>
            <w:r w:rsidRPr="00470B6E">
              <w:rPr>
                <w:noProof/>
                <w:webHidden/>
              </w:rPr>
              <w:fldChar w:fldCharType="end"/>
            </w:r>
          </w:hyperlink>
        </w:p>
        <w:p w14:paraId="486EDB49" w14:textId="07B5067E" w:rsidR="00470B6E" w:rsidRPr="00470B6E" w:rsidRDefault="00470B6E">
          <w:pPr>
            <w:pStyle w:val="TOC2"/>
            <w:rPr>
              <w:rFonts w:eastAsiaTheme="minorEastAsia"/>
              <w:noProof/>
              <w:kern w:val="2"/>
              <w:sz w:val="24"/>
              <w:szCs w:val="24"/>
              <w14:ligatures w14:val="standardContextual"/>
            </w:rPr>
          </w:pPr>
          <w:hyperlink w:anchor="_Toc215829625" w:history="1">
            <w:r w:rsidRPr="00470B6E">
              <w:rPr>
                <w:rStyle w:val="Hyperlink"/>
                <w:rFonts w:ascii="Times New Roman" w:hAnsi="Times New Roman"/>
                <w:noProof/>
              </w:rPr>
              <w:t>Transport Emissions from Paper Product Shipments</w:t>
            </w:r>
            <w:r w:rsidRPr="00470B6E">
              <w:rPr>
                <w:noProof/>
                <w:webHidden/>
              </w:rPr>
              <w:tab/>
            </w:r>
            <w:r w:rsidRPr="00470B6E">
              <w:rPr>
                <w:noProof/>
                <w:webHidden/>
              </w:rPr>
              <w:fldChar w:fldCharType="begin"/>
            </w:r>
            <w:r w:rsidRPr="00470B6E">
              <w:rPr>
                <w:noProof/>
                <w:webHidden/>
              </w:rPr>
              <w:instrText xml:space="preserve"> PAGEREF _Toc215829625 \h </w:instrText>
            </w:r>
            <w:r w:rsidRPr="00470B6E">
              <w:rPr>
                <w:noProof/>
                <w:webHidden/>
              </w:rPr>
            </w:r>
            <w:r w:rsidRPr="00470B6E">
              <w:rPr>
                <w:noProof/>
                <w:webHidden/>
              </w:rPr>
              <w:fldChar w:fldCharType="separate"/>
            </w:r>
            <w:r w:rsidRPr="00470B6E">
              <w:rPr>
                <w:noProof/>
                <w:webHidden/>
              </w:rPr>
              <w:t>65</w:t>
            </w:r>
            <w:r w:rsidRPr="00470B6E">
              <w:rPr>
                <w:noProof/>
                <w:webHidden/>
              </w:rPr>
              <w:fldChar w:fldCharType="end"/>
            </w:r>
          </w:hyperlink>
        </w:p>
        <w:p w14:paraId="5FDF6CB0" w14:textId="53F22C43" w:rsidR="00470B6E" w:rsidRPr="00470B6E" w:rsidRDefault="00470B6E">
          <w:pPr>
            <w:pStyle w:val="TOC2"/>
            <w:rPr>
              <w:rFonts w:eastAsiaTheme="minorEastAsia"/>
              <w:noProof/>
              <w:kern w:val="2"/>
              <w:sz w:val="24"/>
              <w:szCs w:val="24"/>
              <w14:ligatures w14:val="standardContextual"/>
            </w:rPr>
          </w:pPr>
          <w:hyperlink w:anchor="_Toc215829626" w:history="1">
            <w:r w:rsidRPr="00470B6E">
              <w:rPr>
                <w:rStyle w:val="Hyperlink"/>
                <w:rFonts w:ascii="Times New Roman" w:hAnsi="Times New Roman"/>
                <w:noProof/>
              </w:rPr>
              <w:t>Emissions from Pellet Transport</w:t>
            </w:r>
            <w:r w:rsidRPr="00470B6E">
              <w:rPr>
                <w:noProof/>
                <w:webHidden/>
              </w:rPr>
              <w:tab/>
            </w:r>
            <w:r w:rsidRPr="00470B6E">
              <w:rPr>
                <w:noProof/>
                <w:webHidden/>
              </w:rPr>
              <w:fldChar w:fldCharType="begin"/>
            </w:r>
            <w:r w:rsidRPr="00470B6E">
              <w:rPr>
                <w:noProof/>
                <w:webHidden/>
              </w:rPr>
              <w:instrText xml:space="preserve"> PAGEREF _Toc215829626 \h </w:instrText>
            </w:r>
            <w:r w:rsidRPr="00470B6E">
              <w:rPr>
                <w:noProof/>
                <w:webHidden/>
              </w:rPr>
            </w:r>
            <w:r w:rsidRPr="00470B6E">
              <w:rPr>
                <w:noProof/>
                <w:webHidden/>
              </w:rPr>
              <w:fldChar w:fldCharType="separate"/>
            </w:r>
            <w:r w:rsidRPr="00470B6E">
              <w:rPr>
                <w:noProof/>
                <w:webHidden/>
              </w:rPr>
              <w:t>67</w:t>
            </w:r>
            <w:r w:rsidRPr="00470B6E">
              <w:rPr>
                <w:noProof/>
                <w:webHidden/>
              </w:rPr>
              <w:fldChar w:fldCharType="end"/>
            </w:r>
          </w:hyperlink>
        </w:p>
        <w:p w14:paraId="19598EBB" w14:textId="63A8AAAB" w:rsidR="00470B6E" w:rsidRPr="00470B6E" w:rsidRDefault="00470B6E">
          <w:pPr>
            <w:pStyle w:val="TOC2"/>
            <w:rPr>
              <w:rFonts w:eastAsiaTheme="minorEastAsia"/>
              <w:noProof/>
              <w:kern w:val="2"/>
              <w:sz w:val="24"/>
              <w:szCs w:val="24"/>
              <w14:ligatures w14:val="standardContextual"/>
            </w:rPr>
          </w:pPr>
          <w:hyperlink w:anchor="_Toc215829627" w:history="1">
            <w:r w:rsidRPr="00470B6E">
              <w:rPr>
                <w:rStyle w:val="Hyperlink"/>
                <w:rFonts w:ascii="Times New Roman" w:eastAsia="Times New Roman" w:hAnsi="Times New Roman"/>
                <w:noProof/>
              </w:rPr>
              <w:t>Emissions from Transporting Non-Fiber, Non-Fuel Inputs to Manufacturing</w:t>
            </w:r>
            <w:r w:rsidRPr="00470B6E">
              <w:rPr>
                <w:noProof/>
                <w:webHidden/>
              </w:rPr>
              <w:tab/>
            </w:r>
            <w:r w:rsidRPr="00470B6E">
              <w:rPr>
                <w:noProof/>
                <w:webHidden/>
              </w:rPr>
              <w:fldChar w:fldCharType="begin"/>
            </w:r>
            <w:r w:rsidRPr="00470B6E">
              <w:rPr>
                <w:noProof/>
                <w:webHidden/>
              </w:rPr>
              <w:instrText xml:space="preserve"> PAGEREF _Toc215829627 \h </w:instrText>
            </w:r>
            <w:r w:rsidRPr="00470B6E">
              <w:rPr>
                <w:noProof/>
                <w:webHidden/>
              </w:rPr>
            </w:r>
            <w:r w:rsidRPr="00470B6E">
              <w:rPr>
                <w:noProof/>
                <w:webHidden/>
              </w:rPr>
              <w:fldChar w:fldCharType="separate"/>
            </w:r>
            <w:r w:rsidRPr="00470B6E">
              <w:rPr>
                <w:noProof/>
                <w:webHidden/>
              </w:rPr>
              <w:t>67</w:t>
            </w:r>
            <w:r w:rsidRPr="00470B6E">
              <w:rPr>
                <w:noProof/>
                <w:webHidden/>
              </w:rPr>
              <w:fldChar w:fldCharType="end"/>
            </w:r>
          </w:hyperlink>
        </w:p>
        <w:p w14:paraId="1BC559E7" w14:textId="4CF97108"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28" w:history="1">
            <w:r w:rsidRPr="00470B6E">
              <w:rPr>
                <w:rStyle w:val="Hyperlink"/>
                <w:rFonts w:eastAsia="Times New Roman"/>
              </w:rPr>
              <w:t>EMISSIONS FROM NON-INDUSTRIAL USE OF WOOD-BASED FUELS</w:t>
            </w:r>
            <w:r w:rsidRPr="00470B6E">
              <w:rPr>
                <w:webHidden/>
              </w:rPr>
              <w:tab/>
            </w:r>
            <w:r w:rsidRPr="00470B6E">
              <w:rPr>
                <w:webHidden/>
              </w:rPr>
              <w:fldChar w:fldCharType="begin"/>
            </w:r>
            <w:r w:rsidRPr="00470B6E">
              <w:rPr>
                <w:webHidden/>
              </w:rPr>
              <w:instrText xml:space="preserve"> PAGEREF _Toc215829628 \h </w:instrText>
            </w:r>
            <w:r w:rsidRPr="00470B6E">
              <w:rPr>
                <w:webHidden/>
              </w:rPr>
            </w:r>
            <w:r w:rsidRPr="00470B6E">
              <w:rPr>
                <w:webHidden/>
              </w:rPr>
              <w:fldChar w:fldCharType="separate"/>
            </w:r>
            <w:r w:rsidRPr="00470B6E">
              <w:rPr>
                <w:webHidden/>
              </w:rPr>
              <w:t>68</w:t>
            </w:r>
            <w:r w:rsidRPr="00470B6E">
              <w:rPr>
                <w:webHidden/>
              </w:rPr>
              <w:fldChar w:fldCharType="end"/>
            </w:r>
          </w:hyperlink>
        </w:p>
        <w:p w14:paraId="7D16AEB5" w14:textId="6FCD9DF7"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29" w:history="1">
            <w:r w:rsidRPr="00470B6E">
              <w:rPr>
                <w:rStyle w:val="Hyperlink"/>
              </w:rPr>
              <w:t>DATA AND CALCULATIONS OF END-OF-LIFE EMISSIONS FOR FOREST PRODUCTS</w:t>
            </w:r>
            <w:r w:rsidRPr="00470B6E">
              <w:rPr>
                <w:webHidden/>
              </w:rPr>
              <w:tab/>
            </w:r>
            <w:r w:rsidRPr="00470B6E">
              <w:rPr>
                <w:webHidden/>
              </w:rPr>
              <w:fldChar w:fldCharType="begin"/>
            </w:r>
            <w:r w:rsidRPr="00470B6E">
              <w:rPr>
                <w:webHidden/>
              </w:rPr>
              <w:instrText xml:space="preserve"> PAGEREF _Toc215829629 \h </w:instrText>
            </w:r>
            <w:r w:rsidRPr="00470B6E">
              <w:rPr>
                <w:webHidden/>
              </w:rPr>
            </w:r>
            <w:r w:rsidRPr="00470B6E">
              <w:rPr>
                <w:webHidden/>
              </w:rPr>
              <w:fldChar w:fldCharType="separate"/>
            </w:r>
            <w:r w:rsidRPr="00470B6E">
              <w:rPr>
                <w:webHidden/>
              </w:rPr>
              <w:t>68</w:t>
            </w:r>
            <w:r w:rsidRPr="00470B6E">
              <w:rPr>
                <w:webHidden/>
              </w:rPr>
              <w:fldChar w:fldCharType="end"/>
            </w:r>
          </w:hyperlink>
        </w:p>
        <w:p w14:paraId="6A395401" w14:textId="1F5B1344" w:rsidR="00470B6E" w:rsidRPr="00470B6E" w:rsidRDefault="00470B6E">
          <w:pPr>
            <w:pStyle w:val="TOC1"/>
            <w:rPr>
              <w:rFonts w:asciiTheme="minorHAnsi" w:eastAsiaTheme="minorEastAsia" w:hAnsiTheme="minorHAnsi"/>
              <w:caps w:val="0"/>
              <w:kern w:val="2"/>
              <w:sz w:val="24"/>
              <w:szCs w:val="24"/>
              <w14:ligatures w14:val="standardContextual"/>
            </w:rPr>
          </w:pPr>
          <w:hyperlink w:anchor="_Toc215829630" w:history="1">
            <w:r w:rsidRPr="00470B6E">
              <w:rPr>
                <w:rStyle w:val="Hyperlink"/>
              </w:rPr>
              <w:t>REFERENCES</w:t>
            </w:r>
            <w:r w:rsidRPr="00470B6E">
              <w:rPr>
                <w:webHidden/>
              </w:rPr>
              <w:tab/>
            </w:r>
            <w:r w:rsidRPr="00470B6E">
              <w:rPr>
                <w:webHidden/>
              </w:rPr>
              <w:fldChar w:fldCharType="begin"/>
            </w:r>
            <w:r w:rsidRPr="00470B6E">
              <w:rPr>
                <w:webHidden/>
              </w:rPr>
              <w:instrText xml:space="preserve"> PAGEREF _Toc215829630 \h </w:instrText>
            </w:r>
            <w:r w:rsidRPr="00470B6E">
              <w:rPr>
                <w:webHidden/>
              </w:rPr>
            </w:r>
            <w:r w:rsidRPr="00470B6E">
              <w:rPr>
                <w:webHidden/>
              </w:rPr>
              <w:fldChar w:fldCharType="separate"/>
            </w:r>
            <w:r w:rsidRPr="00470B6E">
              <w:rPr>
                <w:webHidden/>
              </w:rPr>
              <w:t>78</w:t>
            </w:r>
            <w:r w:rsidRPr="00470B6E">
              <w:rPr>
                <w:webHidden/>
              </w:rPr>
              <w:fldChar w:fldCharType="end"/>
            </w:r>
          </w:hyperlink>
        </w:p>
        <w:p w14:paraId="6717DF6E" w14:textId="3458AD1D" w:rsidR="006B6922" w:rsidRDefault="006B6922">
          <w:r w:rsidRPr="00470B6E">
            <w:rPr>
              <w:rFonts w:ascii="Times New Roman" w:hAnsi="Times New Roman" w:cs="Times New Roman"/>
              <w:noProof/>
            </w:rPr>
            <w:fldChar w:fldCharType="end"/>
          </w:r>
        </w:p>
      </w:sdtContent>
    </w:sdt>
    <w:p w14:paraId="184EDE02" w14:textId="77777777" w:rsidR="006B6922" w:rsidRDefault="006B6922" w:rsidP="00632FC1">
      <w:pPr>
        <w:pStyle w:val="Heading1"/>
        <w:rPr>
          <w:rFonts w:ascii="Times New Roman" w:hAnsi="Times New Roman" w:cs="Times New Roman"/>
          <w:b/>
          <w:bCs/>
          <w:color w:val="auto"/>
          <w:sz w:val="24"/>
          <w:szCs w:val="24"/>
        </w:rPr>
      </w:pPr>
    </w:p>
    <w:p w14:paraId="5778CAF8" w14:textId="77777777" w:rsidR="006B6922" w:rsidRDefault="006B6922">
      <w:pPr>
        <w:rPr>
          <w:rFonts w:ascii="Times New Roman" w:hAnsi="Times New Roman" w:cs="Times New Roman"/>
          <w:b/>
          <w:bCs/>
        </w:rPr>
        <w:sectPr w:rsidR="006B6922" w:rsidSect="001D05E2">
          <w:headerReference w:type="first" r:id="rId8"/>
          <w:pgSz w:w="12240" w:h="15840"/>
          <w:pgMar w:top="1440" w:right="1440" w:bottom="1440" w:left="1440" w:header="720" w:footer="720" w:gutter="0"/>
          <w:cols w:space="720"/>
          <w:docGrid w:linePitch="360"/>
        </w:sectPr>
      </w:pPr>
    </w:p>
    <w:p w14:paraId="11F506EC" w14:textId="3B930E6D" w:rsidR="00321DC2" w:rsidRPr="00590ED8" w:rsidRDefault="00321DC2" w:rsidP="006B6922">
      <w:pPr>
        <w:rPr>
          <w:rFonts w:ascii="Times New Roman" w:hAnsi="Times New Roman" w:cs="Times New Roman"/>
          <w:b/>
          <w:bCs/>
        </w:rPr>
      </w:pPr>
      <w:r w:rsidRPr="00590ED8">
        <w:rPr>
          <w:rFonts w:ascii="Times New Roman" w:hAnsi="Times New Roman" w:cs="Times New Roman"/>
          <w:b/>
          <w:bCs/>
        </w:rPr>
        <w:t xml:space="preserve">ALIGNMENT WITH THE GHG PROTOCOL </w:t>
      </w:r>
    </w:p>
    <w:p w14:paraId="00174270" w14:textId="568F6552" w:rsidR="00321DC2" w:rsidRPr="00321DC2" w:rsidRDefault="00321DC2" w:rsidP="00321DC2">
      <w:pPr>
        <w:rPr>
          <w:rFonts w:ascii="Times New Roman" w:hAnsi="Times New Roman" w:cs="Times New Roman"/>
        </w:rPr>
      </w:pPr>
      <w:r w:rsidRPr="00321DC2">
        <w:rPr>
          <w:rFonts w:ascii="Times New Roman" w:hAnsi="Times New Roman" w:cs="Times New Roman"/>
        </w:rPr>
        <w:t>An attempt has been made to include all relevant emission categories addressed in the GHG Protocol Corporate Standard</w:t>
      </w:r>
      <w:r w:rsidRPr="00321DC2">
        <w:rPr>
          <w:rFonts w:ascii="Times New Roman" w:hAnsi="Times New Roman" w:cs="Times New Roman"/>
        </w:rPr>
        <w:fldChar w:fldCharType="begin"/>
      </w:r>
      <w:r w:rsidRPr="00321DC2">
        <w:rPr>
          <w:rFonts w:ascii="Times New Roman" w:hAnsi="Times New Roman" w:cs="Times New Roman"/>
        </w:rPr>
        <w:instrText xml:space="preserve"> ADDIN ZOTERO_ITEM CSL_CITATION {"citationID":"dIU8HdLH","properties":{"formattedCitation":"\\super 1\\nosupersub{}","plainCitation":"1","noteIndex":0},"citationItems":[{"id":90,"uris":["http://zotero.org/users/18184231/items/2WHR2D6C"],"itemData":{"id":90,"type":"report","language":"en","source":"Zotero","title":"GHG Protocol Corporate Accounting and Reporting Standard","URL":"https://ghgprotocol.org/corporate-standard","author":[{"family":"WBCSD","given":""},{"family":"WRI","given":""}],"issued":{"date-parts":[["2004"]]}}}],"schema":"https://github.com/citation-style-language/schema/raw/master/csl-citation.json"}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1</w:t>
      </w:r>
      <w:r w:rsidRPr="00321DC2">
        <w:rPr>
          <w:rFonts w:ascii="Times New Roman" w:hAnsi="Times New Roman" w:cs="Times New Roman"/>
        </w:rPr>
        <w:fldChar w:fldCharType="end"/>
      </w:r>
      <w:r w:rsidRPr="00321DC2">
        <w:rPr>
          <w:rFonts w:ascii="Times New Roman" w:hAnsi="Times New Roman" w:cs="Times New Roman"/>
        </w:rPr>
        <w:t xml:space="preserve"> (which covers Scope 1 and 2 emissions) and the GHG Protocol Value Chain (Scope 3) Standard</w:t>
      </w:r>
      <w:r w:rsidRPr="00321DC2">
        <w:rPr>
          <w:rFonts w:ascii="Times New Roman" w:hAnsi="Times New Roman" w:cs="Times New Roman"/>
        </w:rPr>
        <w:fldChar w:fldCharType="begin"/>
      </w:r>
      <w:r w:rsidRPr="00321DC2">
        <w:rPr>
          <w:rFonts w:ascii="Times New Roman" w:hAnsi="Times New Roman" w:cs="Times New Roman"/>
        </w:rPr>
        <w:instrText xml:space="preserve"> ADDIN ZOTERO_ITEM CSL_CITATION {"citationID":"N1dnXnWd","properties":{"formattedCitation":"\\super 2\\nosupersub{}","plainCitation":"2","noteIndex":0},"citationItems":[{"id":89,"uris":["http://zotero.org/users/18184231/items/YCMLFPNH"],"itemData":{"id":89,"type":"report","title":"Corporate Value Chain (Scope 3) Standard | GHG Protocol","URL":"https://ghgprotocol.org/corporate-value-chain-scope-3-standard","author":[{"family":"WBCSD","given":""},{"family":"WRI","given":""}],"accessed":{"date-parts":[["2025",9,25]]},"issued":{"date-parts":[["2011"]]}}}],"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2</w:t>
      </w:r>
      <w:r w:rsidRPr="00321DC2">
        <w:rPr>
          <w:rFonts w:ascii="Times New Roman" w:hAnsi="Times New Roman" w:cs="Times New Roman"/>
        </w:rPr>
        <w:fldChar w:fldCharType="end"/>
      </w:r>
      <w:r w:rsidRPr="00321DC2">
        <w:rPr>
          <w:rFonts w:ascii="Times New Roman" w:hAnsi="Times New Roman" w:cs="Times New Roman"/>
        </w:rPr>
        <w:t>. For the purposes of this report, Scope 1 emissions are those from manufacturing and converting operations in the forest products value chain. Scope 2 emissions are those released by producers of electricity and steam purchased by the forest products industry. Scope 3 emissions are all other emissions in the forest products industry value chain. For a complete description of the emissions Scope concept, see the GHG Protocol Corporate Standard</w:t>
      </w:r>
      <w:r w:rsidRPr="00321DC2">
        <w:rPr>
          <w:rFonts w:ascii="Times New Roman" w:hAnsi="Times New Roman" w:cs="Times New Roman"/>
        </w:rPr>
        <w:fldChar w:fldCharType="begin"/>
      </w:r>
      <w:r w:rsidRPr="00321DC2">
        <w:rPr>
          <w:rFonts w:ascii="Times New Roman" w:hAnsi="Times New Roman" w:cs="Times New Roman"/>
        </w:rPr>
        <w:instrText xml:space="preserve"> ADDIN ZOTERO_ITEM CSL_CITATION {"citationID":"zoT0pSzs","properties":{"formattedCitation":"\\super 1\\nosupersub{}","plainCitation":"1","noteIndex":0},"citationItems":[{"id":90,"uris":["http://zotero.org/users/18184231/items/2WHR2D6C"],"itemData":{"id":90,"type":"report","language":"en","source":"Zotero","title":"GHG Protocol Corporate Accounting and Reporting Standard","URL":"https://ghgprotocol.org/corporate-standard","author":[{"family":"WBCSD","given":""},{"family":"WRI","given":""}],"issued":{"date-parts":[["2004"]]}}}],"schema":"https://github.com/citation-style-language/schema/raw/master/csl-citation.json"}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1</w:t>
      </w:r>
      <w:r w:rsidRPr="00321DC2">
        <w:rPr>
          <w:rFonts w:ascii="Times New Roman" w:hAnsi="Times New Roman" w:cs="Times New Roman"/>
        </w:rPr>
        <w:fldChar w:fldCharType="end"/>
      </w:r>
      <w:r w:rsidRPr="00321DC2">
        <w:rPr>
          <w:rFonts w:ascii="Times New Roman" w:hAnsi="Times New Roman" w:cs="Times New Roman"/>
        </w:rPr>
        <w:t xml:space="preserve">. The 15 categories in the Scope 3 Standard are shown in Table </w:t>
      </w:r>
      <w:r w:rsidR="002534F5">
        <w:rPr>
          <w:rFonts w:ascii="Times New Roman" w:hAnsi="Times New Roman" w:cs="Times New Roman"/>
        </w:rPr>
        <w:t>S</w:t>
      </w:r>
      <w:r w:rsidRPr="00321DC2">
        <w:rPr>
          <w:rFonts w:ascii="Times New Roman" w:hAnsi="Times New Roman" w:cs="Times New Roman"/>
        </w:rPr>
        <w:t>1. Those included in this study are identified. Excluded categories are either assumed to be so small as to be immaterial (i.e., capital goods, business travel, and employee commuting) or are considered irrelevant to an industry-wide inventory focused on the manufacturing value chain (i.e., upstream leased assets, downstream leased assets, and franchises not associated with the value chain).</w:t>
      </w:r>
    </w:p>
    <w:p w14:paraId="175C66B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This study does not include carbon credits (e.g., renewable energy credits or RECS) purchased or sold by the forest products industry</w:t>
      </w:r>
    </w:p>
    <w:p w14:paraId="4EDDD592" w14:textId="562ECC3C" w:rsidR="00321DC2" w:rsidRPr="00321DC2" w:rsidRDefault="00321DC2" w:rsidP="00632FC1">
      <w:pPr>
        <w:jc w:val="center"/>
        <w:rPr>
          <w:rFonts w:ascii="Times New Roman" w:hAnsi="Times New Roman" w:cs="Times New Roman"/>
        </w:rPr>
      </w:pPr>
      <w:bookmarkStart w:id="0" w:name="_Ref165549719"/>
      <w:bookmarkEnd w:id="0"/>
      <w:r w:rsidRPr="00321DC2">
        <w:rPr>
          <w:rFonts w:ascii="Times New Roman" w:hAnsi="Times New Roman" w:cs="Times New Roman"/>
          <w:b/>
          <w:bCs/>
        </w:rPr>
        <w:t xml:space="preserve">Table </w:t>
      </w:r>
      <w:r w:rsidR="002534F5">
        <w:rPr>
          <w:rFonts w:ascii="Times New Roman" w:hAnsi="Times New Roman" w:cs="Times New Roman"/>
          <w:b/>
          <w:bCs/>
        </w:rPr>
        <w:t>S</w:t>
      </w:r>
      <w:r w:rsidRPr="00321DC2">
        <w:rPr>
          <w:rFonts w:ascii="Times New Roman" w:hAnsi="Times New Roman" w:cs="Times New Roman"/>
          <w:b/>
          <w:bCs/>
        </w:rPr>
        <w:t xml:space="preserve">1. </w:t>
      </w:r>
      <w:r w:rsidRPr="00321DC2">
        <w:rPr>
          <w:rFonts w:ascii="Times New Roman" w:hAnsi="Times New Roman" w:cs="Times New Roman"/>
        </w:rPr>
        <w:t>GHG Protocol Scope 3 Categories Included in this Study</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3325"/>
      </w:tblGrid>
      <w:tr w:rsidR="00321DC2" w:rsidRPr="00321DC2" w14:paraId="5CCE8994" w14:textId="77777777" w:rsidTr="00360B83">
        <w:trPr>
          <w:trHeight w:hRule="exact" w:val="360"/>
        </w:trPr>
        <w:tc>
          <w:tcPr>
            <w:tcW w:w="6025" w:type="dxa"/>
            <w:tcBorders>
              <w:top w:val="single" w:sz="8" w:space="0" w:color="auto"/>
              <w:left w:val="nil"/>
              <w:bottom w:val="single" w:sz="8" w:space="0" w:color="auto"/>
            </w:tcBorders>
            <w:shd w:val="clear" w:color="auto" w:fill="D9D9D9" w:themeFill="background1" w:themeFillShade="D9"/>
            <w:noWrap/>
            <w:vAlign w:val="center"/>
          </w:tcPr>
          <w:p w14:paraId="2F572E08" w14:textId="77777777" w:rsidR="00321DC2" w:rsidRPr="00321DC2" w:rsidRDefault="00321DC2" w:rsidP="00321DC2">
            <w:pPr>
              <w:rPr>
                <w:rFonts w:ascii="Times New Roman" w:hAnsi="Times New Roman" w:cs="Times New Roman"/>
                <w:b/>
                <w:bCs/>
              </w:rPr>
            </w:pPr>
            <w:r w:rsidRPr="00321DC2">
              <w:rPr>
                <w:rFonts w:ascii="Times New Roman" w:hAnsi="Times New Roman" w:cs="Times New Roman"/>
                <w:b/>
                <w:bCs/>
              </w:rPr>
              <w:t>GHG Protocol Value Chain (Scope 3) Standard Category</w:t>
            </w:r>
          </w:p>
        </w:tc>
        <w:tc>
          <w:tcPr>
            <w:tcW w:w="3325" w:type="dxa"/>
            <w:tcBorders>
              <w:top w:val="single" w:sz="8" w:space="0" w:color="auto"/>
              <w:bottom w:val="single" w:sz="8" w:space="0" w:color="auto"/>
              <w:right w:val="nil"/>
            </w:tcBorders>
            <w:shd w:val="clear" w:color="auto" w:fill="D9D9D9" w:themeFill="background1" w:themeFillShade="D9"/>
          </w:tcPr>
          <w:p w14:paraId="3E8DB110" w14:textId="77777777" w:rsidR="00321DC2" w:rsidRPr="00321DC2" w:rsidRDefault="00321DC2" w:rsidP="00321DC2">
            <w:pPr>
              <w:rPr>
                <w:rFonts w:ascii="Times New Roman" w:hAnsi="Times New Roman" w:cs="Times New Roman"/>
                <w:b/>
                <w:bCs/>
              </w:rPr>
            </w:pPr>
            <w:r w:rsidRPr="00321DC2">
              <w:rPr>
                <w:rFonts w:ascii="Times New Roman" w:hAnsi="Times New Roman" w:cs="Times New Roman"/>
                <w:b/>
                <w:bCs/>
              </w:rPr>
              <w:t>Included in this Study?</w:t>
            </w:r>
          </w:p>
        </w:tc>
      </w:tr>
      <w:tr w:rsidR="00321DC2" w:rsidRPr="00321DC2" w14:paraId="3E849A8D" w14:textId="77777777" w:rsidTr="00360B83">
        <w:trPr>
          <w:trHeight w:hRule="exact" w:val="360"/>
        </w:trPr>
        <w:tc>
          <w:tcPr>
            <w:tcW w:w="6025" w:type="dxa"/>
            <w:tcBorders>
              <w:top w:val="single" w:sz="8" w:space="0" w:color="auto"/>
              <w:left w:val="nil"/>
            </w:tcBorders>
            <w:noWrap/>
            <w:vAlign w:val="center"/>
            <w:hideMark/>
          </w:tcPr>
          <w:p w14:paraId="7A80D9A4"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 Purchased goods and services</w:t>
            </w:r>
          </w:p>
        </w:tc>
        <w:tc>
          <w:tcPr>
            <w:tcW w:w="3325" w:type="dxa"/>
            <w:tcBorders>
              <w:top w:val="single" w:sz="8" w:space="0" w:color="auto"/>
              <w:right w:val="nil"/>
            </w:tcBorders>
          </w:tcPr>
          <w:p w14:paraId="3C2A517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7EB6AE38" w14:textId="77777777" w:rsidTr="00360B83">
        <w:trPr>
          <w:trHeight w:hRule="exact" w:val="360"/>
        </w:trPr>
        <w:tc>
          <w:tcPr>
            <w:tcW w:w="6025" w:type="dxa"/>
            <w:tcBorders>
              <w:left w:val="nil"/>
            </w:tcBorders>
            <w:noWrap/>
            <w:vAlign w:val="center"/>
            <w:hideMark/>
          </w:tcPr>
          <w:p w14:paraId="0029D5E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 Capital goods</w:t>
            </w:r>
          </w:p>
        </w:tc>
        <w:tc>
          <w:tcPr>
            <w:tcW w:w="3325" w:type="dxa"/>
            <w:tcBorders>
              <w:right w:val="nil"/>
            </w:tcBorders>
          </w:tcPr>
          <w:p w14:paraId="60001872"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Not included</w:t>
            </w:r>
          </w:p>
        </w:tc>
      </w:tr>
      <w:tr w:rsidR="00321DC2" w:rsidRPr="00321DC2" w14:paraId="5087B59B" w14:textId="77777777" w:rsidTr="00360B83">
        <w:trPr>
          <w:trHeight w:hRule="exact" w:val="360"/>
        </w:trPr>
        <w:tc>
          <w:tcPr>
            <w:tcW w:w="6025" w:type="dxa"/>
            <w:tcBorders>
              <w:left w:val="nil"/>
            </w:tcBorders>
            <w:noWrap/>
            <w:vAlign w:val="center"/>
            <w:hideMark/>
          </w:tcPr>
          <w:p w14:paraId="41469CA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3. Fuel- and energy-related activities (not in Scope 1 or 2)</w:t>
            </w:r>
          </w:p>
        </w:tc>
        <w:tc>
          <w:tcPr>
            <w:tcW w:w="3325" w:type="dxa"/>
            <w:tcBorders>
              <w:right w:val="nil"/>
            </w:tcBorders>
          </w:tcPr>
          <w:p w14:paraId="4CF43AFC"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2E30015E" w14:textId="77777777" w:rsidTr="00360B83">
        <w:trPr>
          <w:trHeight w:hRule="exact" w:val="360"/>
        </w:trPr>
        <w:tc>
          <w:tcPr>
            <w:tcW w:w="6025" w:type="dxa"/>
            <w:tcBorders>
              <w:left w:val="nil"/>
            </w:tcBorders>
            <w:noWrap/>
            <w:vAlign w:val="center"/>
            <w:hideMark/>
          </w:tcPr>
          <w:p w14:paraId="014ECFE8"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4. Upstream transportation and distribution</w:t>
            </w:r>
          </w:p>
        </w:tc>
        <w:tc>
          <w:tcPr>
            <w:tcW w:w="3325" w:type="dxa"/>
            <w:tcBorders>
              <w:right w:val="nil"/>
            </w:tcBorders>
          </w:tcPr>
          <w:p w14:paraId="478AAD8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19D22F03" w14:textId="77777777" w:rsidTr="00360B83">
        <w:trPr>
          <w:trHeight w:hRule="exact" w:val="360"/>
        </w:trPr>
        <w:tc>
          <w:tcPr>
            <w:tcW w:w="6025" w:type="dxa"/>
            <w:tcBorders>
              <w:left w:val="nil"/>
            </w:tcBorders>
            <w:noWrap/>
            <w:vAlign w:val="center"/>
            <w:hideMark/>
          </w:tcPr>
          <w:p w14:paraId="02B1329E"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5. Waste generated in operations</w:t>
            </w:r>
          </w:p>
        </w:tc>
        <w:tc>
          <w:tcPr>
            <w:tcW w:w="3325" w:type="dxa"/>
            <w:tcBorders>
              <w:right w:val="nil"/>
            </w:tcBorders>
          </w:tcPr>
          <w:p w14:paraId="62EF851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52D50498" w14:textId="77777777" w:rsidTr="00360B83">
        <w:trPr>
          <w:trHeight w:hRule="exact" w:val="360"/>
        </w:trPr>
        <w:tc>
          <w:tcPr>
            <w:tcW w:w="6025" w:type="dxa"/>
            <w:tcBorders>
              <w:left w:val="nil"/>
            </w:tcBorders>
            <w:noWrap/>
            <w:vAlign w:val="center"/>
            <w:hideMark/>
          </w:tcPr>
          <w:p w14:paraId="2F62342C"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6. Business travel</w:t>
            </w:r>
          </w:p>
        </w:tc>
        <w:tc>
          <w:tcPr>
            <w:tcW w:w="3325" w:type="dxa"/>
            <w:tcBorders>
              <w:right w:val="nil"/>
            </w:tcBorders>
          </w:tcPr>
          <w:p w14:paraId="65784AA8"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Not included</w:t>
            </w:r>
          </w:p>
        </w:tc>
      </w:tr>
      <w:tr w:rsidR="00321DC2" w:rsidRPr="00321DC2" w14:paraId="725CEAFA" w14:textId="77777777" w:rsidTr="00360B83">
        <w:trPr>
          <w:trHeight w:hRule="exact" w:val="360"/>
        </w:trPr>
        <w:tc>
          <w:tcPr>
            <w:tcW w:w="6025" w:type="dxa"/>
            <w:tcBorders>
              <w:left w:val="nil"/>
            </w:tcBorders>
            <w:noWrap/>
            <w:vAlign w:val="center"/>
            <w:hideMark/>
          </w:tcPr>
          <w:p w14:paraId="511E14D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7. Employee commuting</w:t>
            </w:r>
          </w:p>
        </w:tc>
        <w:tc>
          <w:tcPr>
            <w:tcW w:w="3325" w:type="dxa"/>
            <w:tcBorders>
              <w:right w:val="nil"/>
            </w:tcBorders>
          </w:tcPr>
          <w:p w14:paraId="0A121283"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Not included</w:t>
            </w:r>
          </w:p>
        </w:tc>
      </w:tr>
      <w:tr w:rsidR="00321DC2" w:rsidRPr="00321DC2" w14:paraId="53AE8F1E" w14:textId="77777777" w:rsidTr="00360B83">
        <w:trPr>
          <w:trHeight w:hRule="exact" w:val="360"/>
        </w:trPr>
        <w:tc>
          <w:tcPr>
            <w:tcW w:w="6025" w:type="dxa"/>
            <w:tcBorders>
              <w:left w:val="nil"/>
            </w:tcBorders>
            <w:noWrap/>
            <w:vAlign w:val="center"/>
            <w:hideMark/>
          </w:tcPr>
          <w:p w14:paraId="71AF6C48"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8. Upstream leased assets</w:t>
            </w:r>
          </w:p>
        </w:tc>
        <w:tc>
          <w:tcPr>
            <w:tcW w:w="3325" w:type="dxa"/>
            <w:tcBorders>
              <w:right w:val="nil"/>
            </w:tcBorders>
          </w:tcPr>
          <w:p w14:paraId="71DA02E9"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 if part of the value chain</w:t>
            </w:r>
          </w:p>
        </w:tc>
      </w:tr>
      <w:tr w:rsidR="00321DC2" w:rsidRPr="00321DC2" w14:paraId="260E8AEE" w14:textId="77777777" w:rsidTr="00360B83">
        <w:trPr>
          <w:trHeight w:hRule="exact" w:val="360"/>
        </w:trPr>
        <w:tc>
          <w:tcPr>
            <w:tcW w:w="6025" w:type="dxa"/>
            <w:tcBorders>
              <w:left w:val="nil"/>
            </w:tcBorders>
            <w:noWrap/>
            <w:vAlign w:val="center"/>
            <w:hideMark/>
          </w:tcPr>
          <w:p w14:paraId="6AB5501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9. Downstream transportation and distribution</w:t>
            </w:r>
          </w:p>
        </w:tc>
        <w:tc>
          <w:tcPr>
            <w:tcW w:w="3325" w:type="dxa"/>
            <w:tcBorders>
              <w:right w:val="nil"/>
            </w:tcBorders>
          </w:tcPr>
          <w:p w14:paraId="48CE1BD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2973078D" w14:textId="77777777" w:rsidTr="00360B83">
        <w:trPr>
          <w:trHeight w:hRule="exact" w:val="360"/>
        </w:trPr>
        <w:tc>
          <w:tcPr>
            <w:tcW w:w="6025" w:type="dxa"/>
            <w:tcBorders>
              <w:left w:val="nil"/>
            </w:tcBorders>
            <w:noWrap/>
            <w:vAlign w:val="center"/>
            <w:hideMark/>
          </w:tcPr>
          <w:p w14:paraId="16F48A0E"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10. Processing of sold products</w:t>
            </w:r>
          </w:p>
        </w:tc>
        <w:tc>
          <w:tcPr>
            <w:tcW w:w="3325" w:type="dxa"/>
            <w:tcBorders>
              <w:right w:val="nil"/>
            </w:tcBorders>
          </w:tcPr>
          <w:p w14:paraId="3E60FA6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3EB7EE90" w14:textId="77777777" w:rsidTr="00360B83">
        <w:trPr>
          <w:trHeight w:hRule="exact" w:val="360"/>
        </w:trPr>
        <w:tc>
          <w:tcPr>
            <w:tcW w:w="6025" w:type="dxa"/>
            <w:tcBorders>
              <w:left w:val="nil"/>
            </w:tcBorders>
            <w:noWrap/>
            <w:vAlign w:val="center"/>
            <w:hideMark/>
          </w:tcPr>
          <w:p w14:paraId="3CF586A9"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11. Use of sold products</w:t>
            </w:r>
          </w:p>
        </w:tc>
        <w:tc>
          <w:tcPr>
            <w:tcW w:w="3325" w:type="dxa"/>
            <w:tcBorders>
              <w:right w:val="nil"/>
            </w:tcBorders>
          </w:tcPr>
          <w:p w14:paraId="323BE473"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0D2EE912" w14:textId="77777777" w:rsidTr="00360B83">
        <w:trPr>
          <w:trHeight w:hRule="exact" w:val="360"/>
        </w:trPr>
        <w:tc>
          <w:tcPr>
            <w:tcW w:w="6025" w:type="dxa"/>
            <w:tcBorders>
              <w:left w:val="nil"/>
            </w:tcBorders>
            <w:noWrap/>
            <w:vAlign w:val="center"/>
            <w:hideMark/>
          </w:tcPr>
          <w:p w14:paraId="3147DB89"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12. End-of-life treatment of sold products</w:t>
            </w:r>
          </w:p>
        </w:tc>
        <w:tc>
          <w:tcPr>
            <w:tcW w:w="3325" w:type="dxa"/>
            <w:tcBorders>
              <w:right w:val="nil"/>
            </w:tcBorders>
          </w:tcPr>
          <w:p w14:paraId="2CBDECB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w:t>
            </w:r>
          </w:p>
        </w:tc>
      </w:tr>
      <w:tr w:rsidR="00321DC2" w:rsidRPr="00321DC2" w14:paraId="3C08C2DF" w14:textId="77777777" w:rsidTr="00360B83">
        <w:trPr>
          <w:trHeight w:hRule="exact" w:val="360"/>
        </w:trPr>
        <w:tc>
          <w:tcPr>
            <w:tcW w:w="6025" w:type="dxa"/>
            <w:tcBorders>
              <w:left w:val="nil"/>
            </w:tcBorders>
            <w:noWrap/>
            <w:vAlign w:val="center"/>
            <w:hideMark/>
          </w:tcPr>
          <w:p w14:paraId="5BB0210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13. Downstream leased assets</w:t>
            </w:r>
          </w:p>
        </w:tc>
        <w:tc>
          <w:tcPr>
            <w:tcW w:w="3325" w:type="dxa"/>
            <w:tcBorders>
              <w:right w:val="nil"/>
            </w:tcBorders>
          </w:tcPr>
          <w:p w14:paraId="0EF0841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 if part of the value chain</w:t>
            </w:r>
          </w:p>
        </w:tc>
      </w:tr>
      <w:tr w:rsidR="00321DC2" w:rsidRPr="00321DC2" w14:paraId="2D95EE34" w14:textId="77777777" w:rsidTr="00360B83">
        <w:trPr>
          <w:trHeight w:hRule="exact" w:val="360"/>
        </w:trPr>
        <w:tc>
          <w:tcPr>
            <w:tcW w:w="6025" w:type="dxa"/>
            <w:tcBorders>
              <w:left w:val="nil"/>
              <w:bottom w:val="single" w:sz="4" w:space="0" w:color="auto"/>
            </w:tcBorders>
            <w:noWrap/>
            <w:vAlign w:val="center"/>
            <w:hideMark/>
          </w:tcPr>
          <w:p w14:paraId="3728AE4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14. Franchises</w:t>
            </w:r>
          </w:p>
        </w:tc>
        <w:tc>
          <w:tcPr>
            <w:tcW w:w="3325" w:type="dxa"/>
            <w:tcBorders>
              <w:bottom w:val="single" w:sz="4" w:space="0" w:color="auto"/>
              <w:right w:val="nil"/>
            </w:tcBorders>
          </w:tcPr>
          <w:p w14:paraId="2EB33F73"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 if part of the value chain</w:t>
            </w:r>
          </w:p>
        </w:tc>
      </w:tr>
      <w:tr w:rsidR="00321DC2" w:rsidRPr="00321DC2" w14:paraId="6C20FAA6" w14:textId="77777777" w:rsidTr="00360B83">
        <w:trPr>
          <w:trHeight w:hRule="exact" w:val="360"/>
        </w:trPr>
        <w:tc>
          <w:tcPr>
            <w:tcW w:w="6025" w:type="dxa"/>
            <w:tcBorders>
              <w:left w:val="nil"/>
              <w:bottom w:val="single" w:sz="8" w:space="0" w:color="auto"/>
            </w:tcBorders>
            <w:noWrap/>
            <w:vAlign w:val="center"/>
            <w:hideMark/>
          </w:tcPr>
          <w:p w14:paraId="6BE0090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15. Investments</w:t>
            </w:r>
          </w:p>
        </w:tc>
        <w:tc>
          <w:tcPr>
            <w:tcW w:w="3325" w:type="dxa"/>
            <w:tcBorders>
              <w:bottom w:val="single" w:sz="8" w:space="0" w:color="auto"/>
              <w:right w:val="nil"/>
            </w:tcBorders>
          </w:tcPr>
          <w:p w14:paraId="0CC7E821"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Included if part of the value chain</w:t>
            </w:r>
          </w:p>
        </w:tc>
      </w:tr>
    </w:tbl>
    <w:p w14:paraId="483CA924" w14:textId="77777777" w:rsidR="00321DC2" w:rsidRPr="00321DC2" w:rsidRDefault="00321DC2" w:rsidP="00321DC2">
      <w:pPr>
        <w:rPr>
          <w:rFonts w:ascii="Times New Roman" w:hAnsi="Times New Roman" w:cs="Times New Roman"/>
        </w:rPr>
      </w:pPr>
    </w:p>
    <w:p w14:paraId="5A31A736" w14:textId="1DE50888" w:rsidR="00321DC2" w:rsidRPr="00321DC2" w:rsidRDefault="00321DC2" w:rsidP="00321DC2">
      <w:pPr>
        <w:rPr>
          <w:rFonts w:ascii="Times New Roman" w:hAnsi="Times New Roman" w:cs="Times New Roman"/>
        </w:rPr>
      </w:pPr>
      <w:r w:rsidRPr="00321DC2">
        <w:rPr>
          <w:rFonts w:ascii="Times New Roman" w:hAnsi="Times New Roman" w:cs="Times New Roman"/>
        </w:rPr>
        <w:lastRenderedPageBreak/>
        <w:t xml:space="preserve">The structure of this study reflects, in large part, the way available data and methods are organized. The elements of this study and the approximate alignment with the 15 categories (Table </w:t>
      </w:r>
      <w:r w:rsidR="002534F5">
        <w:rPr>
          <w:rFonts w:ascii="Times New Roman" w:hAnsi="Times New Roman" w:cs="Times New Roman"/>
        </w:rPr>
        <w:t>S</w:t>
      </w:r>
      <w:r w:rsidRPr="00321DC2">
        <w:rPr>
          <w:rFonts w:ascii="Times New Roman" w:hAnsi="Times New Roman" w:cs="Times New Roman"/>
        </w:rPr>
        <w:t xml:space="preserve">1) are shown in Table </w:t>
      </w:r>
      <w:r w:rsidR="002534F5">
        <w:rPr>
          <w:rFonts w:ascii="Times New Roman" w:hAnsi="Times New Roman" w:cs="Times New Roman"/>
        </w:rPr>
        <w:t>S</w:t>
      </w:r>
      <w:r w:rsidRPr="00321DC2">
        <w:rPr>
          <w:rFonts w:ascii="Times New Roman" w:hAnsi="Times New Roman" w:cs="Times New Roman"/>
        </w:rPr>
        <w:t>2. The alignment is not exact, however. Details of the calculations for each element are contained in this report.</w:t>
      </w:r>
    </w:p>
    <w:p w14:paraId="3DE8BA5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Net transfers of biogenic carbon to the atmosphere are estimated by “production accounting.” Using this approach, the net transfers of biogenic carbon are calculated as the net changes in stocks of stored carbon attributable to wood harvested in the US (e.g., see USEPA 2022</w:t>
      </w:r>
      <w:r w:rsidRPr="00321DC2">
        <w:rPr>
          <w:rFonts w:ascii="Times New Roman" w:hAnsi="Times New Roman" w:cs="Times New Roman"/>
          <w:kern w:val="0"/>
          <w:vertAlign w:val="superscript"/>
        </w:rPr>
        <w:t>3</w:t>
      </w:r>
      <w:r w:rsidRPr="00321DC2">
        <w:rPr>
          <w:rFonts w:ascii="Times New Roman" w:hAnsi="Times New Roman" w:cs="Times New Roman"/>
        </w:rPr>
        <w:t xml:space="preserve">). Mathematically, this provides the same estimate as adding the flows of biogenic carbon to and from the atmosphere along the value chain associated with wood harvested in the US. </w:t>
      </w:r>
    </w:p>
    <w:p w14:paraId="2441F294" w14:textId="2F07CBFB" w:rsidR="00321DC2" w:rsidRPr="00321DC2" w:rsidRDefault="00321DC2" w:rsidP="00321DC2">
      <w:pPr>
        <w:rPr>
          <w:rFonts w:ascii="Times New Roman" w:hAnsi="Times New Roman" w:cs="Times New Roman"/>
        </w:rPr>
      </w:pPr>
      <w:bookmarkStart w:id="1" w:name="_Ref165560389"/>
      <w:r w:rsidRPr="00321DC2">
        <w:rPr>
          <w:rFonts w:ascii="Times New Roman" w:hAnsi="Times New Roman" w:cs="Times New Roman"/>
          <w:b/>
          <w:bCs/>
        </w:rPr>
        <w:t xml:space="preserve">Table </w:t>
      </w:r>
      <w:bookmarkEnd w:id="1"/>
      <w:r w:rsidR="005D2234">
        <w:rPr>
          <w:rFonts w:ascii="Times New Roman" w:hAnsi="Times New Roman" w:cs="Times New Roman"/>
          <w:b/>
          <w:bCs/>
        </w:rPr>
        <w:t>S</w:t>
      </w:r>
      <w:r w:rsidRPr="00321DC2">
        <w:rPr>
          <w:rFonts w:ascii="Times New Roman" w:hAnsi="Times New Roman" w:cs="Times New Roman"/>
          <w:b/>
          <w:bCs/>
        </w:rPr>
        <w:t>2.</w:t>
      </w:r>
      <w:r w:rsidRPr="00321DC2">
        <w:rPr>
          <w:rFonts w:ascii="Times New Roman" w:hAnsi="Times New Roman" w:cs="Times New Roman"/>
        </w:rPr>
        <w:t xml:space="preserve"> Elements in GHG Profile and Approximate Comparison to GHG Protocol Categories</w:t>
      </w:r>
    </w:p>
    <w:tbl>
      <w:tblPr>
        <w:tblW w:w="935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10"/>
        <w:gridCol w:w="5840"/>
      </w:tblGrid>
      <w:tr w:rsidR="00321DC2" w:rsidRPr="00321DC2" w14:paraId="57FEC972" w14:textId="77777777" w:rsidTr="00360B83">
        <w:trPr>
          <w:trHeight w:val="292"/>
        </w:trPr>
        <w:tc>
          <w:tcPr>
            <w:tcW w:w="3510" w:type="dxa"/>
            <w:shd w:val="clear" w:color="auto" w:fill="D9D9D9" w:themeFill="background1" w:themeFillShade="D9"/>
            <w:noWrap/>
            <w:vAlign w:val="center"/>
          </w:tcPr>
          <w:p w14:paraId="1103D01D" w14:textId="77777777" w:rsidR="00321DC2" w:rsidRPr="00321DC2" w:rsidRDefault="00321DC2" w:rsidP="00321DC2">
            <w:pPr>
              <w:spacing w:after="0"/>
              <w:rPr>
                <w:rFonts w:ascii="Times New Roman" w:hAnsi="Times New Roman" w:cs="Times New Roman"/>
                <w:b/>
                <w:bCs/>
              </w:rPr>
            </w:pPr>
            <w:r w:rsidRPr="00321DC2">
              <w:rPr>
                <w:rFonts w:ascii="Times New Roman" w:hAnsi="Times New Roman" w:cs="Times New Roman"/>
                <w:b/>
                <w:bCs/>
              </w:rPr>
              <w:t>Element Description in this Study</w:t>
            </w:r>
          </w:p>
        </w:tc>
        <w:tc>
          <w:tcPr>
            <w:tcW w:w="5840" w:type="dxa"/>
            <w:shd w:val="clear" w:color="auto" w:fill="D9D9D9" w:themeFill="background1" w:themeFillShade="D9"/>
          </w:tcPr>
          <w:p w14:paraId="5A53B2CA" w14:textId="77777777" w:rsidR="00321DC2" w:rsidRPr="00321DC2" w:rsidRDefault="00321DC2" w:rsidP="00321DC2">
            <w:pPr>
              <w:spacing w:after="0"/>
              <w:rPr>
                <w:rFonts w:ascii="Times New Roman" w:hAnsi="Times New Roman" w:cs="Times New Roman"/>
                <w:b/>
                <w:bCs/>
              </w:rPr>
            </w:pPr>
            <w:r w:rsidRPr="00321DC2">
              <w:rPr>
                <w:rFonts w:ascii="Times New Roman" w:hAnsi="Times New Roman" w:cs="Times New Roman"/>
                <w:b/>
                <w:bCs/>
              </w:rPr>
              <w:t>GHG Protocol Category</w:t>
            </w:r>
          </w:p>
        </w:tc>
      </w:tr>
      <w:tr w:rsidR="00321DC2" w:rsidRPr="00321DC2" w14:paraId="2B3BA253" w14:textId="77777777" w:rsidTr="00360B83">
        <w:trPr>
          <w:trHeight w:val="292"/>
        </w:trPr>
        <w:tc>
          <w:tcPr>
            <w:tcW w:w="3510" w:type="dxa"/>
            <w:noWrap/>
            <w:vAlign w:val="center"/>
          </w:tcPr>
          <w:p w14:paraId="648300FD"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Changes in forest ecosystem carbon stocks</w:t>
            </w:r>
          </w:p>
        </w:tc>
        <w:tc>
          <w:tcPr>
            <w:tcW w:w="5840" w:type="dxa"/>
          </w:tcPr>
          <w:p w14:paraId="10C9DD4E"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Not included in Corporate or Scope 3 Standards</w:t>
            </w:r>
          </w:p>
        </w:tc>
      </w:tr>
      <w:tr w:rsidR="00321DC2" w:rsidRPr="00321DC2" w14:paraId="2F0E3F47" w14:textId="77777777" w:rsidTr="00360B83">
        <w:trPr>
          <w:trHeight w:val="292"/>
        </w:trPr>
        <w:tc>
          <w:tcPr>
            <w:tcW w:w="3510" w:type="dxa"/>
            <w:noWrap/>
            <w:vAlign w:val="center"/>
          </w:tcPr>
          <w:p w14:paraId="29CF0B57"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Changes in forest product carbon stocks</w:t>
            </w:r>
          </w:p>
        </w:tc>
        <w:tc>
          <w:tcPr>
            <w:tcW w:w="5840" w:type="dxa"/>
          </w:tcPr>
          <w:p w14:paraId="06F2E37F"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Not included in Corporate or Scope 3 Standards</w:t>
            </w:r>
          </w:p>
        </w:tc>
      </w:tr>
      <w:tr w:rsidR="00321DC2" w:rsidRPr="00321DC2" w14:paraId="19C6D2F0" w14:textId="77777777" w:rsidTr="00360B83">
        <w:trPr>
          <w:trHeight w:val="292"/>
        </w:trPr>
        <w:tc>
          <w:tcPr>
            <w:tcW w:w="3510" w:type="dxa"/>
            <w:noWrap/>
            <w:vAlign w:val="center"/>
            <w:hideMark/>
          </w:tcPr>
          <w:p w14:paraId="509E4CDA"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1 Fuel Combustion</w:t>
            </w:r>
          </w:p>
        </w:tc>
        <w:tc>
          <w:tcPr>
            <w:tcW w:w="5840" w:type="dxa"/>
          </w:tcPr>
          <w:p w14:paraId="63F71AAA"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Corporate Standard and Scope 3 category 10 (processing of sold products)</w:t>
            </w:r>
          </w:p>
        </w:tc>
      </w:tr>
      <w:tr w:rsidR="00321DC2" w:rsidRPr="00321DC2" w14:paraId="759963C1" w14:textId="77777777" w:rsidTr="00360B83">
        <w:trPr>
          <w:trHeight w:val="292"/>
        </w:trPr>
        <w:tc>
          <w:tcPr>
            <w:tcW w:w="3510" w:type="dxa"/>
            <w:noWrap/>
            <w:vAlign w:val="center"/>
            <w:hideMark/>
          </w:tcPr>
          <w:p w14:paraId="7B96F93B"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2</w:t>
            </w:r>
          </w:p>
        </w:tc>
        <w:tc>
          <w:tcPr>
            <w:tcW w:w="5840" w:type="dxa"/>
          </w:tcPr>
          <w:p w14:paraId="69E4478A"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Corporate Standard and Scope 3 category 10 (processing of sold products)</w:t>
            </w:r>
          </w:p>
        </w:tc>
      </w:tr>
      <w:tr w:rsidR="00321DC2" w:rsidRPr="00321DC2" w14:paraId="5D054F9F" w14:textId="77777777" w:rsidTr="00360B83">
        <w:trPr>
          <w:trHeight w:val="292"/>
        </w:trPr>
        <w:tc>
          <w:tcPr>
            <w:tcW w:w="3510" w:type="dxa"/>
            <w:noWrap/>
            <w:vAlign w:val="center"/>
            <w:hideMark/>
          </w:tcPr>
          <w:p w14:paraId="1894CF2A"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Waste management</w:t>
            </w:r>
          </w:p>
        </w:tc>
        <w:tc>
          <w:tcPr>
            <w:tcW w:w="5840" w:type="dxa"/>
          </w:tcPr>
          <w:p w14:paraId="1FDC2F0A"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5 (waste generated in operations)</w:t>
            </w:r>
          </w:p>
        </w:tc>
      </w:tr>
      <w:tr w:rsidR="00321DC2" w:rsidRPr="00321DC2" w14:paraId="6C22A76B" w14:textId="77777777" w:rsidTr="00360B83">
        <w:trPr>
          <w:trHeight w:val="292"/>
        </w:trPr>
        <w:tc>
          <w:tcPr>
            <w:tcW w:w="3510" w:type="dxa"/>
            <w:noWrap/>
            <w:vAlign w:val="center"/>
            <w:hideMark/>
          </w:tcPr>
          <w:p w14:paraId="2FCC816C"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Transport</w:t>
            </w:r>
          </w:p>
        </w:tc>
        <w:tc>
          <w:tcPr>
            <w:tcW w:w="5840" w:type="dxa"/>
          </w:tcPr>
          <w:p w14:paraId="538DCCF9"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4 (upstream transportation and distribution)</w:t>
            </w:r>
          </w:p>
          <w:p w14:paraId="01FD43E7"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9 (downstream transportation and distribution)</w:t>
            </w:r>
          </w:p>
        </w:tc>
      </w:tr>
      <w:tr w:rsidR="00321DC2" w:rsidRPr="00321DC2" w14:paraId="663AD33B" w14:textId="77777777" w:rsidTr="00360B83">
        <w:trPr>
          <w:trHeight w:val="292"/>
        </w:trPr>
        <w:tc>
          <w:tcPr>
            <w:tcW w:w="3510" w:type="dxa"/>
            <w:noWrap/>
            <w:vAlign w:val="center"/>
            <w:hideMark/>
          </w:tcPr>
          <w:p w14:paraId="087D9E0D"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Upstream – Purchased electricity</w:t>
            </w:r>
          </w:p>
        </w:tc>
        <w:tc>
          <w:tcPr>
            <w:tcW w:w="5840" w:type="dxa"/>
          </w:tcPr>
          <w:p w14:paraId="56250B99"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1 (purchased goods and services)</w:t>
            </w:r>
          </w:p>
        </w:tc>
      </w:tr>
      <w:tr w:rsidR="00321DC2" w:rsidRPr="00321DC2" w14:paraId="0F550E63" w14:textId="77777777" w:rsidTr="00360B83">
        <w:trPr>
          <w:trHeight w:val="292"/>
        </w:trPr>
        <w:tc>
          <w:tcPr>
            <w:tcW w:w="3510" w:type="dxa"/>
            <w:noWrap/>
            <w:vAlign w:val="center"/>
            <w:hideMark/>
          </w:tcPr>
          <w:p w14:paraId="79C678CA"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 xml:space="preserve">Upstream – </w:t>
            </w:r>
            <w:proofErr w:type="spellStart"/>
            <w:r w:rsidRPr="00321DC2">
              <w:rPr>
                <w:rFonts w:ascii="Times New Roman" w:hAnsi="Times New Roman" w:cs="Times New Roman"/>
              </w:rPr>
              <w:t>Nonfiber</w:t>
            </w:r>
            <w:proofErr w:type="spellEnd"/>
            <w:r w:rsidRPr="00321DC2">
              <w:rPr>
                <w:rFonts w:ascii="Times New Roman" w:hAnsi="Times New Roman" w:cs="Times New Roman"/>
              </w:rPr>
              <w:t xml:space="preserve"> input production</w:t>
            </w:r>
          </w:p>
        </w:tc>
        <w:tc>
          <w:tcPr>
            <w:tcW w:w="5840" w:type="dxa"/>
          </w:tcPr>
          <w:p w14:paraId="4E14CEF9"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1 (purchased goods and services)</w:t>
            </w:r>
          </w:p>
        </w:tc>
      </w:tr>
      <w:tr w:rsidR="00321DC2" w:rsidRPr="00321DC2" w14:paraId="45C08334" w14:textId="77777777" w:rsidTr="00360B83">
        <w:trPr>
          <w:trHeight w:val="292"/>
        </w:trPr>
        <w:tc>
          <w:tcPr>
            <w:tcW w:w="3510" w:type="dxa"/>
            <w:noWrap/>
            <w:vAlign w:val="center"/>
            <w:hideMark/>
          </w:tcPr>
          <w:p w14:paraId="4D159CF8"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Upstream – Fossil fuel production &amp; transport</w:t>
            </w:r>
          </w:p>
        </w:tc>
        <w:tc>
          <w:tcPr>
            <w:tcW w:w="5840" w:type="dxa"/>
          </w:tcPr>
          <w:p w14:paraId="5133A7FD"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3 (fuel- and energy-related activities [not included in Scope 1 or Scope 2])</w:t>
            </w:r>
          </w:p>
        </w:tc>
      </w:tr>
      <w:tr w:rsidR="00321DC2" w:rsidRPr="00321DC2" w14:paraId="5616ECB4" w14:textId="77777777" w:rsidTr="00360B83">
        <w:trPr>
          <w:trHeight w:val="292"/>
        </w:trPr>
        <w:tc>
          <w:tcPr>
            <w:tcW w:w="3510" w:type="dxa"/>
            <w:noWrap/>
            <w:vAlign w:val="center"/>
            <w:hideMark/>
          </w:tcPr>
          <w:p w14:paraId="05764A1F"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Product use</w:t>
            </w:r>
          </w:p>
        </w:tc>
        <w:tc>
          <w:tcPr>
            <w:tcW w:w="5840" w:type="dxa"/>
          </w:tcPr>
          <w:p w14:paraId="26062DC7"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11 (use of sold products)</w:t>
            </w:r>
          </w:p>
        </w:tc>
      </w:tr>
      <w:tr w:rsidR="00321DC2" w:rsidRPr="00321DC2" w14:paraId="207AC32A" w14:textId="77777777" w:rsidTr="00360B83">
        <w:trPr>
          <w:trHeight w:val="292"/>
        </w:trPr>
        <w:tc>
          <w:tcPr>
            <w:tcW w:w="3510" w:type="dxa"/>
            <w:noWrap/>
            <w:vAlign w:val="center"/>
            <w:hideMark/>
          </w:tcPr>
          <w:p w14:paraId="4883A52F"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Wood supply production</w:t>
            </w:r>
          </w:p>
        </w:tc>
        <w:tc>
          <w:tcPr>
            <w:tcW w:w="5840" w:type="dxa"/>
          </w:tcPr>
          <w:p w14:paraId="7D64D636"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1 (purchased goods and services)</w:t>
            </w:r>
          </w:p>
        </w:tc>
      </w:tr>
      <w:tr w:rsidR="00321DC2" w:rsidRPr="00321DC2" w14:paraId="2B0849FF" w14:textId="77777777" w:rsidTr="00360B83">
        <w:trPr>
          <w:trHeight w:val="292"/>
        </w:trPr>
        <w:tc>
          <w:tcPr>
            <w:tcW w:w="3510" w:type="dxa"/>
            <w:noWrap/>
            <w:vAlign w:val="center"/>
            <w:hideMark/>
          </w:tcPr>
          <w:p w14:paraId="209DEB51"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Product end-of-life</w:t>
            </w:r>
          </w:p>
        </w:tc>
        <w:tc>
          <w:tcPr>
            <w:tcW w:w="5840" w:type="dxa"/>
          </w:tcPr>
          <w:p w14:paraId="655939B9" w14:textId="77777777" w:rsidR="00321DC2" w:rsidRPr="00321DC2" w:rsidRDefault="00321DC2" w:rsidP="00321DC2">
            <w:pPr>
              <w:spacing w:after="0"/>
              <w:rPr>
                <w:rFonts w:ascii="Times New Roman" w:hAnsi="Times New Roman" w:cs="Times New Roman"/>
              </w:rPr>
            </w:pPr>
            <w:r w:rsidRPr="00321DC2">
              <w:rPr>
                <w:rFonts w:ascii="Times New Roman" w:hAnsi="Times New Roman" w:cs="Times New Roman"/>
              </w:rPr>
              <w:t>Scope 3 category 12 (end-of-life treatment of sold products)</w:t>
            </w:r>
          </w:p>
        </w:tc>
      </w:tr>
    </w:tbl>
    <w:p w14:paraId="780B82AA" w14:textId="77777777" w:rsidR="00321DC2" w:rsidRPr="00321DC2" w:rsidRDefault="00321DC2" w:rsidP="00321DC2">
      <w:pPr>
        <w:rPr>
          <w:rFonts w:ascii="Times New Roman" w:hAnsi="Times New Roman" w:cs="Times New Roman"/>
        </w:rPr>
      </w:pPr>
    </w:p>
    <w:p w14:paraId="6CA0BB73" w14:textId="77777777" w:rsidR="00321DC2" w:rsidRPr="00321DC2" w:rsidRDefault="00321DC2" w:rsidP="00321DC2">
      <w:pPr>
        <w:rPr>
          <w:rFonts w:ascii="Times New Roman" w:hAnsi="Times New Roman" w:cs="Times New Roman"/>
        </w:rPr>
      </w:pPr>
    </w:p>
    <w:p w14:paraId="6D44292E" w14:textId="77777777" w:rsidR="00321DC2" w:rsidRPr="00321DC2" w:rsidRDefault="00321DC2" w:rsidP="00321DC2">
      <w:pPr>
        <w:rPr>
          <w:rFonts w:ascii="Times New Roman" w:hAnsi="Times New Roman" w:cs="Times New Roman"/>
        </w:rPr>
      </w:pPr>
    </w:p>
    <w:p w14:paraId="6AECB408" w14:textId="77777777" w:rsidR="00321DC2" w:rsidRPr="00321DC2" w:rsidRDefault="00321DC2" w:rsidP="00321DC2">
      <w:pPr>
        <w:rPr>
          <w:rFonts w:ascii="Times New Roman" w:hAnsi="Times New Roman" w:cs="Times New Roman"/>
        </w:rPr>
      </w:pPr>
    </w:p>
    <w:p w14:paraId="3284E222" w14:textId="6BE9FE21" w:rsidR="00321DC2" w:rsidRPr="00590ED8" w:rsidRDefault="00321DC2" w:rsidP="00632FC1">
      <w:pPr>
        <w:pStyle w:val="Heading1"/>
        <w:rPr>
          <w:rFonts w:ascii="Times New Roman" w:hAnsi="Times New Roman" w:cs="Times New Roman"/>
          <w:b/>
          <w:bCs/>
          <w:color w:val="auto"/>
          <w:sz w:val="24"/>
          <w:szCs w:val="24"/>
        </w:rPr>
      </w:pPr>
      <w:bookmarkStart w:id="2" w:name="_Toc215829599"/>
      <w:r w:rsidRPr="00590ED8">
        <w:rPr>
          <w:rFonts w:ascii="Times New Roman" w:hAnsi="Times New Roman" w:cs="Times New Roman"/>
          <w:b/>
          <w:bCs/>
          <w:color w:val="auto"/>
          <w:sz w:val="24"/>
          <w:szCs w:val="24"/>
        </w:rPr>
        <w:t>CARBON STORED IN FOREST PRODUCTS</w:t>
      </w:r>
      <w:bookmarkEnd w:id="2"/>
    </w:p>
    <w:p w14:paraId="2EE40FDD"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Much of the carbon removed from forests by industry is transferred into products. These products store carbon during use and sometimes continue to store carbon in landfills. Small amounts of carbon are also stored in landfills receiving forest products manufacturing wastes, but the amounts of carbon are small and are not included in this report. Emissions of methane from industry landfills, however, are included and discussed elsewhere. </w:t>
      </w:r>
    </w:p>
    <w:p w14:paraId="7E415F22" w14:textId="1CDF6485" w:rsidR="00321DC2" w:rsidRPr="00321DC2" w:rsidRDefault="00321DC2" w:rsidP="00321DC2">
      <w:pPr>
        <w:rPr>
          <w:rFonts w:ascii="Times New Roman" w:hAnsi="Times New Roman" w:cs="Times New Roman"/>
        </w:rPr>
      </w:pPr>
      <w:r w:rsidRPr="00321DC2">
        <w:rPr>
          <w:rFonts w:ascii="Times New Roman" w:hAnsi="Times New Roman" w:cs="Times New Roman"/>
        </w:rPr>
        <w:t>US EPA publishes estimates of annual changes in stocks of carbon in forest products in its annual inventory of US GHG emissions and sinks. USAEPA’s estimates, which are developed for EPA by the US Forest Service, are used in this report to quantify carbon in forest products</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{"citationID":"Y3yfrGti","properties":{"formattedCitation":"\\super 3\\nosupersub{}","plainCitation":"3","noteIndex":0},"citationItems":[{"id":55,"uris":["http://zotero.org/users/18184231/items/3HISKBVL"],"itemData":{"id":55,"type":"report","abstract":"View or download the Inventory of U.S. Greenhouse Gas Emissions and Sinks: 1990-2020, including individual chapters and annexes.","genre":"Reports and Assessments","language":"en","number":"EPA 430-R-24-004","title":"Inventory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3</w:t>
      </w:r>
      <w:r w:rsidRPr="00321DC2">
        <w:rPr>
          <w:rFonts w:ascii="Times New Roman" w:hAnsi="Times New Roman" w:cs="Times New Roman"/>
        </w:rPr>
        <w:fldChar w:fldCharType="end"/>
      </w:r>
      <w:r w:rsidRPr="00321DC2">
        <w:rPr>
          <w:rFonts w:ascii="Times New Roman" w:hAnsi="Times New Roman" w:cs="Times New Roman"/>
        </w:rPr>
        <w:t xml:space="preserve"> </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{"citationID":"OVlDdJpJ","properties":{"formattedCitation":"\\super 4\\nosupersub{}","plainCitation":"4","noteIndex":0},"citationItems":[{"id":54,"uris":["http://zotero.org/users/18184231/items/B23L74R6"],"itemData":{"id":54,"type":"report","abstract":"View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4</w:t>
      </w:r>
      <w:r w:rsidRPr="00321DC2">
        <w:rPr>
          <w:rFonts w:ascii="Times New Roman" w:hAnsi="Times New Roman" w:cs="Times New Roman"/>
        </w:rPr>
        <w:fldChar w:fldCharType="end"/>
      </w:r>
      <w:r w:rsidRPr="00321DC2">
        <w:rPr>
          <w:rFonts w:ascii="Times New Roman" w:hAnsi="Times New Roman" w:cs="Times New Roman"/>
        </w:rPr>
        <w:t xml:space="preserve">. </w:t>
      </w:r>
    </w:p>
    <w:p w14:paraId="2CEB90FE" w14:textId="77777777" w:rsidR="00321DC2" w:rsidRPr="00590ED8" w:rsidRDefault="00321DC2" w:rsidP="00632FC1">
      <w:pPr>
        <w:pStyle w:val="Heading2"/>
        <w:rPr>
          <w:rFonts w:ascii="Times New Roman" w:hAnsi="Times New Roman" w:cs="Times New Roman"/>
          <w:b/>
          <w:bCs/>
          <w:color w:val="auto"/>
          <w:sz w:val="24"/>
          <w:szCs w:val="24"/>
        </w:rPr>
      </w:pPr>
      <w:bookmarkStart w:id="3" w:name="_Toc165549634"/>
      <w:bookmarkStart w:id="4" w:name="_Toc174876771"/>
      <w:bookmarkStart w:id="5" w:name="_Toc215829600"/>
      <w:r w:rsidRPr="00590ED8">
        <w:rPr>
          <w:rFonts w:ascii="Times New Roman" w:hAnsi="Times New Roman" w:cs="Times New Roman"/>
          <w:b/>
          <w:bCs/>
          <w:color w:val="auto"/>
          <w:sz w:val="24"/>
          <w:szCs w:val="24"/>
        </w:rPr>
        <w:t>Carbon Stored in Products in Use</w:t>
      </w:r>
      <w:bookmarkEnd w:id="3"/>
      <w:bookmarkEnd w:id="4"/>
      <w:bookmarkEnd w:id="5"/>
    </w:p>
    <w:p w14:paraId="64261AA4"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After manufacturing, forest products remain in use for periods varying from </w:t>
      </w:r>
      <w:proofErr w:type="gramStart"/>
      <w:r w:rsidRPr="00321DC2">
        <w:rPr>
          <w:rFonts w:ascii="Times New Roman" w:hAnsi="Times New Roman" w:cs="Times New Roman"/>
        </w:rPr>
        <w:t>days</w:t>
      </w:r>
      <w:proofErr w:type="gramEnd"/>
      <w:r w:rsidRPr="00321DC2">
        <w:rPr>
          <w:rFonts w:ascii="Times New Roman" w:hAnsi="Times New Roman" w:cs="Times New Roman"/>
        </w:rPr>
        <w:t xml:space="preserve"> to centuries. Carbon remains stored during this time, delaying its return to the atmosphere. If carbon is added to the pool of products in use faster than it is being removed by the retirement of older products, stocks of carbon in this pool grow.</w:t>
      </w:r>
    </w:p>
    <w:p w14:paraId="24D8F287" w14:textId="1F3026CC"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Estimates of annual changes in carbon held in forest products in use are reported annually in the US inventory of GHGs and sinks. The values in Table </w:t>
      </w:r>
      <w:r w:rsidR="005D2234">
        <w:rPr>
          <w:rFonts w:ascii="Times New Roman" w:hAnsi="Times New Roman" w:cs="Times New Roman"/>
        </w:rPr>
        <w:t>S3</w:t>
      </w:r>
      <w:r w:rsidRPr="00321DC2">
        <w:rPr>
          <w:rFonts w:ascii="Times New Roman" w:hAnsi="Times New Roman" w:cs="Times New Roman"/>
        </w:rPr>
        <w:t xml:space="preserve"> are from that report. (The estimates and their derivation are detailed in USEPA’s 2022 Inventory, Annex 3, Section 3.13.</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{"citationID":"pgRlYoqu","properties":{"formattedCitation":"\\super 4\\nosupersub{}","plainCitation":"4","noteIndex":0},"citationItems":[{"id":54,"uris":["http://zotero.org/users/18184231/items/B23L74R6"],"itemData":{"id":54,"type":"report","abstract":"View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4</w:t>
      </w:r>
      <w:r w:rsidRPr="00321DC2">
        <w:rPr>
          <w:rFonts w:ascii="Times New Roman" w:hAnsi="Times New Roman" w:cs="Times New Roman"/>
        </w:rPr>
        <w:fldChar w:fldCharType="end"/>
      </w:r>
      <w:r w:rsidRPr="00321DC2">
        <w:rPr>
          <w:rFonts w:ascii="Times New Roman" w:hAnsi="Times New Roman" w:cs="Times New Roman"/>
        </w:rPr>
        <w:t xml:space="preserve">) </w:t>
      </w:r>
    </w:p>
    <w:p w14:paraId="31DCDC91"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US EPA’s analysis shows that annual changes in stocks of carbon in use are small compared to the amounts already in use. The amount leaving the pool of products in use is relatively constant compared to the year-to-year change in inputs to this pool (i.e., new production). As a result, changes in industry production have a large impact on the annual changes in carbon stocks in use. </w:t>
      </w:r>
    </w:p>
    <w:p w14:paraId="01067102" w14:textId="77777777" w:rsidR="00321DC2" w:rsidRPr="00321DC2" w:rsidRDefault="00321DC2" w:rsidP="00321DC2">
      <w:pPr>
        <w:rPr>
          <w:rFonts w:ascii="Times New Roman" w:hAnsi="Times New Roman" w:cs="Times New Roman"/>
        </w:rPr>
      </w:pPr>
    </w:p>
    <w:p w14:paraId="6F2A1465" w14:textId="0CC4ACB7" w:rsidR="00321DC2" w:rsidRPr="00321DC2" w:rsidRDefault="00321DC2" w:rsidP="00321DC2">
      <w:pPr>
        <w:jc w:val="center"/>
        <w:rPr>
          <w:rFonts w:ascii="Times New Roman" w:hAnsi="Times New Roman" w:cs="Times New Roman"/>
        </w:rPr>
      </w:pPr>
      <w:r w:rsidRPr="00321DC2">
        <w:rPr>
          <w:rFonts w:ascii="Times New Roman" w:hAnsi="Times New Roman" w:cs="Times New Roman"/>
          <w:b/>
          <w:bCs/>
        </w:rPr>
        <w:t xml:space="preserve">Table </w:t>
      </w:r>
      <w:r w:rsidR="005D2234" w:rsidRPr="005D2234">
        <w:rPr>
          <w:rFonts w:ascii="Times New Roman" w:hAnsi="Times New Roman" w:cs="Times New Roman"/>
          <w:b/>
          <w:bCs/>
        </w:rPr>
        <w:t>S3</w:t>
      </w:r>
      <w:r w:rsidRPr="00321DC2">
        <w:rPr>
          <w:rFonts w:ascii="Times New Roman" w:hAnsi="Times New Roman" w:cs="Times New Roman"/>
        </w:rPr>
        <w:t>. Stocks of Carbon in US Forest Products in Use</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{"citationID":"n4wzqEOz","properties":{"formattedCitation":"\\super 4\\nosupersub{}","plainCitation":"4","noteIndex":0},"citationItems":[{"id":54,"uris":["http://zotero.org/users/18184231/items/B23L74R6"],"itemData":{"id":54,"type":"report","abstract":"View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4</w:t>
      </w:r>
      <w:r w:rsidRPr="00321DC2">
        <w:rPr>
          <w:rFonts w:ascii="Times New Roman" w:hAnsi="Times New Roman" w:cs="Times New Roman"/>
        </w:rPr>
        <w:fldChar w:fldCharType="end"/>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715"/>
        <w:gridCol w:w="3600"/>
        <w:gridCol w:w="3060"/>
      </w:tblGrid>
      <w:tr w:rsidR="00321DC2" w:rsidRPr="00321DC2" w14:paraId="22390FDA" w14:textId="77777777" w:rsidTr="00360B83">
        <w:trPr>
          <w:trHeight w:val="292"/>
          <w:jc w:val="center"/>
        </w:trPr>
        <w:tc>
          <w:tcPr>
            <w:tcW w:w="715" w:type="dxa"/>
            <w:shd w:val="clear" w:color="auto" w:fill="D9D9D9" w:themeFill="background1" w:themeFillShade="D9"/>
            <w:noWrap/>
            <w:hideMark/>
          </w:tcPr>
          <w:p w14:paraId="3C5D4926" w14:textId="77777777" w:rsidR="00321DC2" w:rsidRPr="00321DC2" w:rsidRDefault="00321DC2" w:rsidP="00321DC2">
            <w:pPr>
              <w:rPr>
                <w:rFonts w:ascii="Times New Roman" w:hAnsi="Times New Roman" w:cs="Times New Roman"/>
              </w:rPr>
            </w:pPr>
            <w:bookmarkStart w:id="6" w:name="_Hlk125456823"/>
            <w:r w:rsidRPr="00321DC2">
              <w:rPr>
                <w:rFonts w:ascii="Times New Roman" w:hAnsi="Times New Roman" w:cs="Times New Roman"/>
              </w:rPr>
              <w:t>Year</w:t>
            </w:r>
          </w:p>
        </w:tc>
        <w:tc>
          <w:tcPr>
            <w:tcW w:w="3600" w:type="dxa"/>
            <w:shd w:val="clear" w:color="auto" w:fill="D9D9D9" w:themeFill="background1" w:themeFillShade="D9"/>
            <w:noWrap/>
            <w:hideMark/>
          </w:tcPr>
          <w:p w14:paraId="61CC0FBE"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Net C Additions, </w:t>
            </w:r>
          </w:p>
          <w:p w14:paraId="6C84DD2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Million Metric Tons C/yr</w:t>
            </w:r>
          </w:p>
        </w:tc>
        <w:tc>
          <w:tcPr>
            <w:tcW w:w="3060" w:type="dxa"/>
            <w:shd w:val="clear" w:color="auto" w:fill="D9D9D9" w:themeFill="background1" w:themeFillShade="D9"/>
            <w:noWrap/>
            <w:hideMark/>
          </w:tcPr>
          <w:p w14:paraId="402578BD"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Total C Stocks, </w:t>
            </w:r>
          </w:p>
          <w:p w14:paraId="7895B476"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Million Metric Tons C</w:t>
            </w:r>
          </w:p>
        </w:tc>
      </w:tr>
      <w:tr w:rsidR="00321DC2" w:rsidRPr="00321DC2" w14:paraId="05D50888" w14:textId="77777777" w:rsidTr="00360B83">
        <w:trPr>
          <w:trHeight w:val="292"/>
          <w:jc w:val="center"/>
        </w:trPr>
        <w:tc>
          <w:tcPr>
            <w:tcW w:w="715" w:type="dxa"/>
            <w:noWrap/>
            <w:vAlign w:val="center"/>
            <w:hideMark/>
          </w:tcPr>
          <w:p w14:paraId="0221D0C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1990</w:t>
            </w:r>
          </w:p>
        </w:tc>
        <w:tc>
          <w:tcPr>
            <w:tcW w:w="3600" w:type="dxa"/>
            <w:noWrap/>
            <w:vAlign w:val="center"/>
            <w:hideMark/>
          </w:tcPr>
          <w:p w14:paraId="665306B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14.9</w:t>
            </w:r>
          </w:p>
        </w:tc>
        <w:tc>
          <w:tcPr>
            <w:tcW w:w="3060" w:type="dxa"/>
            <w:noWrap/>
            <w:vAlign w:val="center"/>
            <w:hideMark/>
          </w:tcPr>
          <w:p w14:paraId="1A35323D"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1,249</w:t>
            </w:r>
          </w:p>
        </w:tc>
      </w:tr>
      <w:tr w:rsidR="00321DC2" w:rsidRPr="00321DC2" w14:paraId="46909FB8" w14:textId="77777777" w:rsidTr="00360B83">
        <w:trPr>
          <w:trHeight w:val="292"/>
          <w:jc w:val="center"/>
        </w:trPr>
        <w:tc>
          <w:tcPr>
            <w:tcW w:w="715" w:type="dxa"/>
            <w:noWrap/>
            <w:vAlign w:val="center"/>
            <w:hideMark/>
          </w:tcPr>
          <w:p w14:paraId="58B50FFD"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2005</w:t>
            </w:r>
          </w:p>
        </w:tc>
        <w:tc>
          <w:tcPr>
            <w:tcW w:w="3600" w:type="dxa"/>
            <w:noWrap/>
            <w:vAlign w:val="center"/>
            <w:hideMark/>
          </w:tcPr>
          <w:p w14:paraId="35333ACC"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11.6</w:t>
            </w:r>
          </w:p>
        </w:tc>
        <w:tc>
          <w:tcPr>
            <w:tcW w:w="3060" w:type="dxa"/>
            <w:noWrap/>
            <w:vAlign w:val="center"/>
            <w:hideMark/>
          </w:tcPr>
          <w:p w14:paraId="09636E71"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1,447</w:t>
            </w:r>
          </w:p>
        </w:tc>
      </w:tr>
      <w:tr w:rsidR="00321DC2" w:rsidRPr="00321DC2" w14:paraId="626FE956" w14:textId="77777777" w:rsidTr="00360B83">
        <w:trPr>
          <w:trHeight w:val="292"/>
          <w:jc w:val="center"/>
        </w:trPr>
        <w:tc>
          <w:tcPr>
            <w:tcW w:w="715" w:type="dxa"/>
            <w:noWrap/>
            <w:vAlign w:val="center"/>
            <w:hideMark/>
          </w:tcPr>
          <w:p w14:paraId="354C384D"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2020</w:t>
            </w:r>
          </w:p>
        </w:tc>
        <w:tc>
          <w:tcPr>
            <w:tcW w:w="3600" w:type="dxa"/>
            <w:noWrap/>
            <w:vAlign w:val="center"/>
            <w:hideMark/>
          </w:tcPr>
          <w:p w14:paraId="4818AF60"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8.8</w:t>
            </w:r>
          </w:p>
        </w:tc>
        <w:tc>
          <w:tcPr>
            <w:tcW w:w="3060" w:type="dxa"/>
            <w:noWrap/>
            <w:vAlign w:val="center"/>
            <w:hideMark/>
          </w:tcPr>
          <w:p w14:paraId="760CC1B3"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1,530</w:t>
            </w:r>
          </w:p>
        </w:tc>
      </w:tr>
      <w:bookmarkEnd w:id="6"/>
    </w:tbl>
    <w:p w14:paraId="7A576513" w14:textId="77777777" w:rsidR="00321DC2" w:rsidRPr="00321DC2" w:rsidRDefault="00321DC2" w:rsidP="00321DC2">
      <w:pPr>
        <w:rPr>
          <w:rFonts w:ascii="Times New Roman" w:hAnsi="Times New Roman" w:cs="Times New Roman"/>
        </w:rPr>
      </w:pPr>
    </w:p>
    <w:p w14:paraId="05CD8C22" w14:textId="77777777" w:rsidR="00321DC2" w:rsidRPr="00321DC2" w:rsidRDefault="00321DC2" w:rsidP="00321DC2">
      <w:pPr>
        <w:rPr>
          <w:rFonts w:ascii="Times New Roman" w:hAnsi="Times New Roman" w:cs="Times New Roman"/>
        </w:rPr>
      </w:pPr>
    </w:p>
    <w:p w14:paraId="39859C24" w14:textId="2D207E5B"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The estimates shown in Table </w:t>
      </w:r>
      <w:r w:rsidR="005D2234">
        <w:rPr>
          <w:rFonts w:ascii="Times New Roman" w:hAnsi="Times New Roman" w:cs="Times New Roman"/>
        </w:rPr>
        <w:t>S3</w:t>
      </w:r>
      <w:r w:rsidRPr="00321DC2">
        <w:rPr>
          <w:rFonts w:ascii="Times New Roman" w:hAnsi="Times New Roman" w:cs="Times New Roman"/>
        </w:rPr>
        <w:t xml:space="preserve"> were developed for USEPA by the US Forest Service using the “production approach.” Under the production approach, any carbon stock change attributable to wood harvested in the US is included in the US’s results. This is true even if </w:t>
      </w:r>
      <w:proofErr w:type="gramStart"/>
      <w:r w:rsidRPr="00321DC2">
        <w:rPr>
          <w:rFonts w:ascii="Times New Roman" w:hAnsi="Times New Roman" w:cs="Times New Roman"/>
        </w:rPr>
        <w:t>the wood</w:t>
      </w:r>
      <w:proofErr w:type="gramEnd"/>
      <w:r w:rsidRPr="00321DC2">
        <w:rPr>
          <w:rFonts w:ascii="Times New Roman" w:hAnsi="Times New Roman" w:cs="Times New Roman"/>
        </w:rPr>
        <w:t xml:space="preserve"> or forest </w:t>
      </w:r>
      <w:r w:rsidRPr="00321DC2">
        <w:rPr>
          <w:rFonts w:ascii="Times New Roman" w:hAnsi="Times New Roman" w:cs="Times New Roman"/>
        </w:rPr>
        <w:lastRenderedPageBreak/>
        <w:t>products are exported and used in other countries. Conversely, changes in domestic stocks of carbon are not included if they are associated with wood produced elsewhere.</w:t>
      </w:r>
    </w:p>
    <w:p w14:paraId="55C3D5DC" w14:textId="529C29B9"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The primary reason for the decline in annual additions between 1990 and 2005 was decreasing domestic harvest. The correlation between domestic harvest and annual changes in stocks of carbon in products in use is evident in Figure </w:t>
      </w:r>
      <w:r w:rsidR="005D2234">
        <w:rPr>
          <w:rFonts w:ascii="Times New Roman" w:hAnsi="Times New Roman" w:cs="Times New Roman"/>
        </w:rPr>
        <w:t>S</w:t>
      </w:r>
      <w:r w:rsidRPr="00321DC2">
        <w:rPr>
          <w:rFonts w:ascii="Times New Roman" w:hAnsi="Times New Roman" w:cs="Times New Roman"/>
        </w:rPr>
        <w:t xml:space="preserve">1. </w:t>
      </w:r>
    </w:p>
    <w:p w14:paraId="54F04F62" w14:textId="77777777" w:rsidR="00321DC2" w:rsidRPr="00321DC2" w:rsidRDefault="00321DC2" w:rsidP="00321DC2">
      <w:pPr>
        <w:jc w:val="center"/>
        <w:rPr>
          <w:rFonts w:ascii="Times New Roman" w:hAnsi="Times New Roman" w:cs="Times New Roman"/>
        </w:rPr>
      </w:pPr>
      <w:r w:rsidRPr="00321DC2">
        <w:rPr>
          <w:rFonts w:ascii="Times New Roman" w:hAnsi="Times New Roman" w:cs="Times New Roman"/>
          <w:noProof/>
        </w:rPr>
        <w:drawing>
          <wp:inline distT="0" distB="0" distL="0" distR="0" wp14:anchorId="03997A02" wp14:editId="31EA5D5E">
            <wp:extent cx="4572000" cy="2743200"/>
            <wp:effectExtent l="0" t="0" r="0" b="0"/>
            <wp:docPr id="742272529" name="Chart 1">
              <a:extLst xmlns:a="http://schemas.openxmlformats.org/drawingml/2006/main">
                <a:ext uri="{FF2B5EF4-FFF2-40B4-BE49-F238E27FC236}">
                  <a16:creationId xmlns:a16="http://schemas.microsoft.com/office/drawing/2014/main" id="{06267907-830E-FE31-1983-1AC060AF2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22431D" w14:textId="4BF96EAE" w:rsidR="00321DC2" w:rsidRPr="00321DC2" w:rsidRDefault="00321DC2" w:rsidP="00321DC2">
      <w:pPr>
        <w:jc w:val="center"/>
        <w:rPr>
          <w:rFonts w:ascii="Times New Roman" w:hAnsi="Times New Roman" w:cs="Times New Roman"/>
        </w:rPr>
      </w:pPr>
      <w:r w:rsidRPr="00F33B23">
        <w:rPr>
          <w:rFonts w:ascii="Times New Roman" w:hAnsi="Times New Roman" w:cs="Times New Roman"/>
          <w:b/>
          <w:bCs/>
        </w:rPr>
        <w:t xml:space="preserve">Figure </w:t>
      </w:r>
      <w:r w:rsidR="005D2234" w:rsidRPr="00F33B23">
        <w:rPr>
          <w:rFonts w:ascii="Times New Roman" w:hAnsi="Times New Roman" w:cs="Times New Roman"/>
          <w:b/>
          <w:bCs/>
        </w:rPr>
        <w:t>S</w:t>
      </w:r>
      <w:r w:rsidRPr="00F33B23">
        <w:rPr>
          <w:rFonts w:ascii="Times New Roman" w:hAnsi="Times New Roman" w:cs="Times New Roman"/>
          <w:b/>
          <w:bCs/>
        </w:rPr>
        <w:t>1</w:t>
      </w:r>
      <w:r w:rsidRPr="00321DC2">
        <w:rPr>
          <w:rFonts w:ascii="Times New Roman" w:hAnsi="Times New Roman" w:cs="Times New Roman"/>
        </w:rPr>
        <w:t>. Changes in Harvested Wood and Product-in-Use Carbon</w:t>
      </w:r>
    </w:p>
    <w:p w14:paraId="17756137" w14:textId="77777777" w:rsidR="00321DC2" w:rsidRPr="00321DC2" w:rsidRDefault="00321DC2" w:rsidP="00321DC2">
      <w:pPr>
        <w:rPr>
          <w:rFonts w:ascii="Times New Roman" w:hAnsi="Times New Roman" w:cs="Times New Roman"/>
        </w:rPr>
      </w:pPr>
    </w:p>
    <w:p w14:paraId="0D1F3EDE" w14:textId="77777777" w:rsidR="00321DC2" w:rsidRPr="00321DC2" w:rsidRDefault="00321DC2" w:rsidP="00321DC2">
      <w:pPr>
        <w:rPr>
          <w:rFonts w:ascii="Times New Roman" w:hAnsi="Times New Roman" w:cs="Times New Roman"/>
        </w:rPr>
      </w:pPr>
    </w:p>
    <w:p w14:paraId="02BB93DC"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Between 1990 and 2006 the decline in domestic wood production was gradual, but the 2007–2009 recession caused a dramatic downturn in harvesting of wood, which had the expected impact on changes in stocks of carbon in products in use. Wood production and in-use carbon stocks subsequently increased.</w:t>
      </w:r>
    </w:p>
    <w:p w14:paraId="7123FDC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The years examined in the 2008 profile were 1990 and 2004/2005. For this update, 2020 is added and, where possible, 2005 is used as a historical comparison (instead of 2004/2005). The stocks of carbon in the products-in-use pool grew by 14.9 million metric tons C in 1990, 11.6 million metric tons C in 2005, and 8.8 million metric tons C in 2020. The growth in stocks of carbon in products in use represented removals of CO</w:t>
      </w:r>
      <w:r w:rsidRPr="00321DC2">
        <w:rPr>
          <w:rFonts w:ascii="Times New Roman" w:hAnsi="Times New Roman" w:cs="Times New Roman"/>
          <w:vertAlign w:val="subscript"/>
        </w:rPr>
        <w:t>2</w:t>
      </w:r>
      <w:r w:rsidRPr="00321DC2">
        <w:rPr>
          <w:rFonts w:ascii="Times New Roman" w:hAnsi="Times New Roman" w:cs="Times New Roman"/>
        </w:rPr>
        <w:t xml:space="preserve"> from the atmosphere of 54.6, 42.5, and 32.3 million metric tons of CO</w:t>
      </w:r>
      <w:r w:rsidRPr="00321DC2">
        <w:rPr>
          <w:rFonts w:ascii="Times New Roman" w:hAnsi="Times New Roman" w:cs="Times New Roman"/>
          <w:vertAlign w:val="subscript"/>
        </w:rPr>
        <w:t>2</w:t>
      </w:r>
      <w:r w:rsidRPr="00321DC2">
        <w:rPr>
          <w:rFonts w:ascii="Times New Roman" w:hAnsi="Times New Roman" w:cs="Times New Roman"/>
        </w:rPr>
        <w:t xml:space="preserve"> in 1990, 2005, and 2020, respectively.</w:t>
      </w:r>
    </w:p>
    <w:p w14:paraId="0CCC284C" w14:textId="1D76CA7E" w:rsidR="00321DC2" w:rsidRPr="00321DC2" w:rsidRDefault="00321DC2" w:rsidP="00321DC2">
      <w:pPr>
        <w:rPr>
          <w:rFonts w:ascii="Times New Roman" w:hAnsi="Times New Roman" w:cs="Times New Roman"/>
        </w:rPr>
      </w:pPr>
      <w:r w:rsidRPr="00321DC2">
        <w:rPr>
          <w:rFonts w:ascii="Times New Roman" w:hAnsi="Times New Roman" w:cs="Times New Roman"/>
        </w:rPr>
        <w:t>The stock change values for 1990 and 2005 in this update differ from those reported in Heath et. al. 2010</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{"citationID":"ImOQIjmF","properties":{"formattedCitation":"\\super 5\\nosupersub{}","plainCitation":"5","noteIndex":0},"citationItems":[{"id":87,"uris":["http://zotero.org/users/18184231/items/ANB9I5TV"],"itemData":{"id":87,"type":"article-journal","container-title":"Environmental Science &amp; Technology","DOI":"10.1021/es902723x","ISSN":"0013-936X, 1520-5851","issue":"10","journalAbbreviation":"Environ. Sci. Technol.","language":"en","license":"http://pubs.acs.org/page/policy/authorchoice_termsofuse.html","page":"3999-4005","source":"DOI.org (Crossref)","title":"Greenhouse Gas and Carbon Profile of the U.S. Forest Products Industry Value Chain","volume":"44","author":[{"family":"Heath","given":"Linda S."},{"family":"Maltby","given":"Van"},{"family":"Miner","given":"Reid"},{"family":"Skog","given":"Kenneth E."},{"family":"Smith","given":"James E."},{"family":"Unwin","given":"Jay"},{"family":"Upton","given":"Brad"}],"issued":{"date-parts":[["2010",5,15]]}}}],"schema":"https://github.com/citation-style-language/schema/raw/master/csl-citation.json"}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5</w:t>
      </w:r>
      <w:r w:rsidRPr="00321DC2">
        <w:rPr>
          <w:rFonts w:ascii="Times New Roman" w:hAnsi="Times New Roman" w:cs="Times New Roman"/>
        </w:rPr>
        <w:fldChar w:fldCharType="end"/>
      </w:r>
      <w:r w:rsidRPr="00321DC2">
        <w:rPr>
          <w:rFonts w:ascii="Times New Roman" w:hAnsi="Times New Roman" w:cs="Times New Roman"/>
        </w:rPr>
        <w:t xml:space="preserve">. The primary reason is that, in recent inventories, USEPA updated its past estimates based on updated analysis by the US Forest Service. USEPA lowered the 1990 increase in stocks of in-use carbon to 14.9 from 17.7 million metric tons C. Likewise, the estimated increase for 2005 has been reduced to 11.6 from 12.1 in earlier USEPA inventory reports. </w:t>
      </w:r>
    </w:p>
    <w:p w14:paraId="0F32A409" w14:textId="77777777" w:rsidR="00321DC2" w:rsidRPr="00590ED8" w:rsidRDefault="00321DC2" w:rsidP="00632FC1">
      <w:pPr>
        <w:pStyle w:val="Heading2"/>
        <w:rPr>
          <w:rFonts w:ascii="Times New Roman" w:hAnsi="Times New Roman" w:cs="Times New Roman"/>
          <w:b/>
          <w:bCs/>
          <w:color w:val="auto"/>
          <w:sz w:val="24"/>
          <w:szCs w:val="24"/>
        </w:rPr>
      </w:pPr>
      <w:bookmarkStart w:id="7" w:name="_Toc165549635"/>
      <w:bookmarkStart w:id="8" w:name="_Toc174876772"/>
      <w:bookmarkStart w:id="9" w:name="_Toc215829601"/>
      <w:r w:rsidRPr="00590ED8">
        <w:rPr>
          <w:rFonts w:ascii="Times New Roman" w:hAnsi="Times New Roman" w:cs="Times New Roman"/>
          <w:b/>
          <w:bCs/>
          <w:color w:val="auto"/>
          <w:sz w:val="24"/>
          <w:szCs w:val="24"/>
        </w:rPr>
        <w:lastRenderedPageBreak/>
        <w:t>Carbon Stored in Products in Landfills</w:t>
      </w:r>
      <w:bookmarkEnd w:id="7"/>
      <w:bookmarkEnd w:id="8"/>
      <w:bookmarkEnd w:id="9"/>
    </w:p>
    <w:p w14:paraId="24CB9821" w14:textId="1DD3AE30" w:rsidR="00321DC2" w:rsidRPr="00321DC2" w:rsidRDefault="00321DC2" w:rsidP="00321DC2">
      <w:pPr>
        <w:rPr>
          <w:rFonts w:ascii="Times New Roman" w:hAnsi="Times New Roman" w:cs="Times New Roman"/>
        </w:rPr>
      </w:pPr>
      <w:r w:rsidRPr="00321DC2">
        <w:rPr>
          <w:rFonts w:ascii="Times New Roman" w:hAnsi="Times New Roman" w:cs="Times New Roman"/>
        </w:rPr>
        <w:t>Forest products are recycled or discarded after use, with some going to landfills. Landfills gain carbon as new discards are added and lose carbon as products degrade into a mixture of methane and CO</w:t>
      </w:r>
      <w:r w:rsidRPr="00321DC2">
        <w:rPr>
          <w:rFonts w:ascii="Times New Roman" w:hAnsi="Times New Roman" w:cs="Times New Roman"/>
          <w:vertAlign w:val="subscript"/>
        </w:rPr>
        <w:t>2</w:t>
      </w:r>
      <w:r w:rsidRPr="00321DC2">
        <w:rPr>
          <w:rFonts w:ascii="Times New Roman" w:hAnsi="Times New Roman" w:cs="Times New Roman"/>
        </w:rPr>
        <w:t>. The annual balance between gains and losses determines whether stocks of biogenic carbon in landfills increase or decrease. US EPA’s annual inventories of GHG emissions and sinks include estimates of landfill forest product carbon stock changes</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{"citationID":"hiZWp3GI","properties":{"formattedCitation":"\\super 3,4\\nosupersub{}","plainCitation":"3,4","noteIndex":0},"citationItems":[{"id":55,"uris":["http://zotero.org/users/18184231/items/3HISKBVL"],"itemData":{"id":55,"type":"report","abstract":"View or download the Inventory of U.S. Greenhouse Gas Emissions and Sinks: 1990-2020, including individual chapters and annexes.","genre":"Reports and Assessments","language":"en","number":"EPA 430-R-24-004","title":"Inventory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3,4</w:t>
      </w:r>
      <w:r w:rsidRPr="00321DC2">
        <w:rPr>
          <w:rFonts w:ascii="Times New Roman" w:hAnsi="Times New Roman" w:cs="Times New Roman"/>
        </w:rPr>
        <w:fldChar w:fldCharType="end"/>
      </w:r>
      <w:r w:rsidRPr="00321DC2">
        <w:rPr>
          <w:rFonts w:ascii="Times New Roman" w:hAnsi="Times New Roman" w:cs="Times New Roman"/>
        </w:rPr>
        <w:t>. For this profile, we use those estimates and update the Heath et al.</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{"citationID":"T6OvUoWn","properties":{"formattedCitation":"\\super 5\\nosupersub{}","plainCitation":"5","noteIndex":0},"citationItems":[{"id":87,"uris":["http://zotero.org/users/18184231/items/ANB9I5TV"],"itemData":{"id":87,"type":"article-journal","container-title":"Environmental Science &amp; Technology","DOI":"10.1021/es902723x","ISSN":"0013-936X, 1520-5851","issue":"10","journalAbbreviation":"Environ. Sci. Technol.","language":"en","license":"http://pubs.acs.org/page/policy/authorchoice_termsofuse.html","page":"3999-4005","source":"DOI.org (Crossref)","title":"Greenhouse Gas and Carbon Profile of the U.S. Forest Products Industry Value Chain","volume":"44","author":[{"family":"Heath","given":"Linda S."},{"family":"Maltby","given":"Van"},{"family":"Miner","given":"Reid"},{"family":"Skog","given":"Kenneth E."},{"family":"Smith","given":"James E."},{"family":"Unwin","given":"Jay"},{"family":"Upton","given":"Brad"}],"issued":{"date-parts":[["2010",5,15]]}}}],"schema":"https://github.com/citation-style-language/schema/raw/master/csl-citation.json"}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5</w:t>
      </w:r>
      <w:r w:rsidRPr="00321DC2">
        <w:rPr>
          <w:rFonts w:ascii="Times New Roman" w:hAnsi="Times New Roman" w:cs="Times New Roman"/>
        </w:rPr>
        <w:fldChar w:fldCharType="end"/>
      </w:r>
      <w:r w:rsidRPr="00321DC2">
        <w:rPr>
          <w:rFonts w:ascii="Times New Roman" w:hAnsi="Times New Roman" w:cs="Times New Roman"/>
        </w:rPr>
        <w:t xml:space="preserve"> values to allow consistent comparisons with previous periods. As for products in use, these calculations are developed by the US Forest Service using the production approach. Under the production approach, any carbon stock change in landfills attributable to wood harvested in the US is included in the US’s results. This is true even if the landfills are in other countries. The changes in landfill carbon stocks attributable to forest products produced in the US are shown in Table </w:t>
      </w:r>
      <w:r w:rsidR="005D2234">
        <w:rPr>
          <w:rFonts w:ascii="Times New Roman" w:hAnsi="Times New Roman" w:cs="Times New Roman"/>
        </w:rPr>
        <w:t>S4</w:t>
      </w:r>
      <w:r w:rsidRPr="00321DC2">
        <w:rPr>
          <w:rFonts w:ascii="Times New Roman" w:hAnsi="Times New Roman" w:cs="Times New Roman"/>
        </w:rPr>
        <w:t>.</w:t>
      </w:r>
    </w:p>
    <w:p w14:paraId="3197FFEF" w14:textId="44B28B50" w:rsidR="00321DC2" w:rsidRPr="00321DC2" w:rsidRDefault="00321DC2" w:rsidP="00321DC2">
      <w:pPr>
        <w:rPr>
          <w:rFonts w:ascii="Times New Roman" w:hAnsi="Times New Roman" w:cs="Times New Roman"/>
        </w:rPr>
      </w:pPr>
      <w:r w:rsidRPr="00321DC2">
        <w:rPr>
          <w:rFonts w:ascii="Times New Roman" w:hAnsi="Times New Roman" w:cs="Times New Roman"/>
          <w:b/>
          <w:bCs/>
        </w:rPr>
        <w:t xml:space="preserve">Table </w:t>
      </w:r>
      <w:r w:rsidR="005D2234" w:rsidRPr="005D2234">
        <w:rPr>
          <w:rFonts w:ascii="Times New Roman" w:hAnsi="Times New Roman" w:cs="Times New Roman"/>
          <w:b/>
          <w:bCs/>
        </w:rPr>
        <w:t>S4</w:t>
      </w:r>
      <w:r w:rsidRPr="00321DC2">
        <w:rPr>
          <w:rFonts w:ascii="Times New Roman" w:hAnsi="Times New Roman" w:cs="Times New Roman"/>
        </w:rPr>
        <w:t>. Stocks and Stock Changes of Carbon in Forest Products in US Landfills</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{"citationID":"mJkyge3r","properties":{"formattedCitation":"\\super 4\\nosupersub{}","plainCitation":"4","noteIndex":0},"citationItems":[{"id":54,"uris":["http://zotero.org/users/18184231/items/B23L74R6"],"itemData":{"id":54,"type":"report","abstract":"View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4</w:t>
      </w:r>
      <w:r w:rsidRPr="00321DC2">
        <w:rPr>
          <w:rFonts w:ascii="Times New Roman" w:hAnsi="Times New Roman" w:cs="Times New Roman"/>
        </w:rPr>
        <w:fldChar w:fldCharType="end"/>
      </w:r>
    </w:p>
    <w:tbl>
      <w:tblPr>
        <w:tblW w:w="773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75"/>
        <w:gridCol w:w="3510"/>
        <w:gridCol w:w="3150"/>
      </w:tblGrid>
      <w:tr w:rsidR="00321DC2" w:rsidRPr="00321DC2" w14:paraId="73B77FC9" w14:textId="77777777" w:rsidTr="00360B83">
        <w:trPr>
          <w:trHeight w:val="300"/>
          <w:jc w:val="center"/>
        </w:trPr>
        <w:tc>
          <w:tcPr>
            <w:tcW w:w="1075" w:type="dxa"/>
            <w:shd w:val="clear" w:color="auto" w:fill="D9D9D9" w:themeFill="background1" w:themeFillShade="D9"/>
            <w:noWrap/>
            <w:vAlign w:val="bottom"/>
            <w:hideMark/>
          </w:tcPr>
          <w:p w14:paraId="2F42346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Year</w:t>
            </w:r>
          </w:p>
        </w:tc>
        <w:tc>
          <w:tcPr>
            <w:tcW w:w="3510" w:type="dxa"/>
            <w:shd w:val="clear" w:color="auto" w:fill="D9D9D9" w:themeFill="background1" w:themeFillShade="D9"/>
            <w:noWrap/>
            <w:vAlign w:val="bottom"/>
            <w:hideMark/>
          </w:tcPr>
          <w:p w14:paraId="19E19004"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Net C Additions, </w:t>
            </w:r>
          </w:p>
          <w:p w14:paraId="7D5EA432"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Million Metric Tons C/yr</w:t>
            </w:r>
          </w:p>
        </w:tc>
        <w:tc>
          <w:tcPr>
            <w:tcW w:w="3150" w:type="dxa"/>
            <w:shd w:val="clear" w:color="auto" w:fill="D9D9D9" w:themeFill="background1" w:themeFillShade="D9"/>
            <w:noWrap/>
            <w:vAlign w:val="bottom"/>
            <w:hideMark/>
          </w:tcPr>
          <w:p w14:paraId="32CDFB9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Total C Stocks, </w:t>
            </w:r>
          </w:p>
          <w:p w14:paraId="23399936"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Million Metric Tons C</w:t>
            </w:r>
          </w:p>
        </w:tc>
      </w:tr>
      <w:tr w:rsidR="00321DC2" w:rsidRPr="00321DC2" w14:paraId="11BDB145" w14:textId="77777777" w:rsidTr="00360B83">
        <w:trPr>
          <w:trHeight w:val="300"/>
          <w:jc w:val="center"/>
        </w:trPr>
        <w:tc>
          <w:tcPr>
            <w:tcW w:w="1075" w:type="dxa"/>
            <w:noWrap/>
            <w:vAlign w:val="bottom"/>
            <w:hideMark/>
          </w:tcPr>
          <w:p w14:paraId="61AE33AF"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1990</w:t>
            </w:r>
          </w:p>
        </w:tc>
        <w:tc>
          <w:tcPr>
            <w:tcW w:w="3510" w:type="dxa"/>
            <w:noWrap/>
            <w:vAlign w:val="bottom"/>
            <w:hideMark/>
          </w:tcPr>
          <w:p w14:paraId="7301AF8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18.8</w:t>
            </w:r>
          </w:p>
        </w:tc>
        <w:tc>
          <w:tcPr>
            <w:tcW w:w="3150" w:type="dxa"/>
            <w:noWrap/>
            <w:vAlign w:val="bottom"/>
            <w:hideMark/>
          </w:tcPr>
          <w:p w14:paraId="22B841B6"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646</w:t>
            </w:r>
          </w:p>
        </w:tc>
      </w:tr>
      <w:tr w:rsidR="00321DC2" w:rsidRPr="00321DC2" w14:paraId="7A5EE827" w14:textId="77777777" w:rsidTr="00360B83">
        <w:trPr>
          <w:trHeight w:val="300"/>
          <w:jc w:val="center"/>
        </w:trPr>
        <w:tc>
          <w:tcPr>
            <w:tcW w:w="1075" w:type="dxa"/>
            <w:noWrap/>
            <w:vAlign w:val="bottom"/>
            <w:hideMark/>
          </w:tcPr>
          <w:p w14:paraId="354668D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2005</w:t>
            </w:r>
          </w:p>
        </w:tc>
        <w:tc>
          <w:tcPr>
            <w:tcW w:w="3510" w:type="dxa"/>
            <w:noWrap/>
            <w:vAlign w:val="bottom"/>
            <w:hideMark/>
          </w:tcPr>
          <w:p w14:paraId="6931434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17.3</w:t>
            </w:r>
          </w:p>
        </w:tc>
        <w:tc>
          <w:tcPr>
            <w:tcW w:w="3150" w:type="dxa"/>
            <w:noWrap/>
            <w:vAlign w:val="bottom"/>
            <w:hideMark/>
          </w:tcPr>
          <w:p w14:paraId="21EF74C2"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906</w:t>
            </w:r>
          </w:p>
        </w:tc>
      </w:tr>
      <w:tr w:rsidR="00321DC2" w:rsidRPr="00321DC2" w14:paraId="0DEB1DFB" w14:textId="77777777" w:rsidTr="00360B83">
        <w:trPr>
          <w:trHeight w:val="300"/>
          <w:jc w:val="center"/>
        </w:trPr>
        <w:tc>
          <w:tcPr>
            <w:tcW w:w="1075" w:type="dxa"/>
            <w:noWrap/>
            <w:vAlign w:val="bottom"/>
            <w:hideMark/>
          </w:tcPr>
          <w:p w14:paraId="25FD0A6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2020</w:t>
            </w:r>
          </w:p>
        </w:tc>
        <w:tc>
          <w:tcPr>
            <w:tcW w:w="3510" w:type="dxa"/>
            <w:noWrap/>
            <w:vAlign w:val="bottom"/>
            <w:hideMark/>
          </w:tcPr>
          <w:p w14:paraId="77857439"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17.6</w:t>
            </w:r>
          </w:p>
        </w:tc>
        <w:tc>
          <w:tcPr>
            <w:tcW w:w="3150" w:type="dxa"/>
            <w:noWrap/>
            <w:vAlign w:val="bottom"/>
            <w:hideMark/>
          </w:tcPr>
          <w:p w14:paraId="55C8A83D"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1,165</w:t>
            </w:r>
          </w:p>
        </w:tc>
      </w:tr>
    </w:tbl>
    <w:p w14:paraId="0FE9D64A" w14:textId="77777777" w:rsidR="00321DC2" w:rsidRPr="00321DC2" w:rsidRDefault="00321DC2" w:rsidP="00321DC2">
      <w:pPr>
        <w:rPr>
          <w:rFonts w:ascii="Times New Roman" w:hAnsi="Times New Roman" w:cs="Times New Roman"/>
        </w:rPr>
      </w:pPr>
    </w:p>
    <w:p w14:paraId="18CE9FE4"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As is the case for carbon in products in use, carbon stocks in landfills are much larger than the annual net changes. The net changes, however, are much less variable than changes in stocks of carbon in products in use. This is primarily because inputs to landfill carbon stocks are far less variable than inputs to the pool of products in use. From 1990 to 2020, annual changes in landfill carbon stocks ranged from 6% less to 9% greater than the mean change. The range </w:t>
      </w:r>
      <w:proofErr w:type="gramStart"/>
      <w:r w:rsidRPr="00321DC2">
        <w:rPr>
          <w:rFonts w:ascii="Times New Roman" w:hAnsi="Times New Roman" w:cs="Times New Roman"/>
        </w:rPr>
        <w:t>for</w:t>
      </w:r>
      <w:proofErr w:type="gramEnd"/>
      <w:r w:rsidRPr="00321DC2">
        <w:rPr>
          <w:rFonts w:ascii="Times New Roman" w:hAnsi="Times New Roman" w:cs="Times New Roman"/>
        </w:rPr>
        <w:t xml:space="preserve"> changes in stocks of carbon in products in use was much larger: from 19% below the mean to 76% above the mean. </w:t>
      </w:r>
    </w:p>
    <w:p w14:paraId="49D89A7C"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Net additions to landfill carbon stocks in 1990, 2005, and 2020 were 18.8, 17.3, and 17.6 million metric tons C per year, respectively. These additions correspond to net removals of CO</w:t>
      </w:r>
      <w:r w:rsidRPr="00321DC2">
        <w:rPr>
          <w:rFonts w:ascii="Times New Roman" w:hAnsi="Times New Roman" w:cs="Times New Roman"/>
          <w:vertAlign w:val="subscript"/>
        </w:rPr>
        <w:t>2</w:t>
      </w:r>
      <w:r w:rsidRPr="00321DC2">
        <w:rPr>
          <w:rFonts w:ascii="Times New Roman" w:hAnsi="Times New Roman" w:cs="Times New Roman"/>
        </w:rPr>
        <w:t xml:space="preserve"> from the atmosphere of 68.9, 63.4, and 64.5 million metric tons CO</w:t>
      </w:r>
      <w:r w:rsidRPr="00321DC2">
        <w:rPr>
          <w:rFonts w:ascii="Times New Roman" w:hAnsi="Times New Roman" w:cs="Times New Roman"/>
          <w:vertAlign w:val="subscript"/>
        </w:rPr>
        <w:t>2</w:t>
      </w:r>
      <w:r w:rsidRPr="00321DC2">
        <w:rPr>
          <w:rFonts w:ascii="Times New Roman" w:hAnsi="Times New Roman" w:cs="Times New Roman"/>
        </w:rPr>
        <w:t xml:space="preserve"> per year in 1990, 2005, and 2020, respectively.</w:t>
      </w:r>
    </w:p>
    <w:p w14:paraId="15AB6AC8" w14:textId="77777777" w:rsidR="00321DC2" w:rsidRPr="00590ED8" w:rsidRDefault="00321DC2" w:rsidP="00632FC1">
      <w:pPr>
        <w:pStyle w:val="Heading2"/>
        <w:rPr>
          <w:rFonts w:ascii="Times New Roman" w:hAnsi="Times New Roman" w:cs="Times New Roman"/>
          <w:b/>
          <w:bCs/>
          <w:color w:val="auto"/>
          <w:sz w:val="24"/>
          <w:szCs w:val="24"/>
        </w:rPr>
      </w:pPr>
      <w:bookmarkStart w:id="10" w:name="_Toc165549636"/>
      <w:bookmarkStart w:id="11" w:name="_Toc174876773"/>
      <w:bookmarkStart w:id="12" w:name="_Toc215829602"/>
      <w:r w:rsidRPr="00590ED8">
        <w:rPr>
          <w:rFonts w:ascii="Times New Roman" w:hAnsi="Times New Roman" w:cs="Times New Roman"/>
          <w:b/>
          <w:bCs/>
          <w:color w:val="auto"/>
          <w:sz w:val="24"/>
          <w:szCs w:val="24"/>
        </w:rPr>
        <w:t>Total Carbon Storage in Forest Products</w:t>
      </w:r>
      <w:bookmarkEnd w:id="10"/>
      <w:bookmarkEnd w:id="11"/>
      <w:bookmarkEnd w:id="12"/>
      <w:r w:rsidRPr="00590ED8">
        <w:rPr>
          <w:rFonts w:ascii="Times New Roman" w:hAnsi="Times New Roman" w:cs="Times New Roman"/>
          <w:b/>
          <w:bCs/>
          <w:color w:val="auto"/>
          <w:sz w:val="24"/>
          <w:szCs w:val="24"/>
        </w:rPr>
        <w:t xml:space="preserve"> </w:t>
      </w:r>
    </w:p>
    <w:p w14:paraId="6C2C2510" w14:textId="10974D83"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In Figure </w:t>
      </w:r>
      <w:r w:rsidR="005D2234">
        <w:rPr>
          <w:rFonts w:ascii="Times New Roman" w:hAnsi="Times New Roman" w:cs="Times New Roman"/>
        </w:rPr>
        <w:t>S</w:t>
      </w:r>
      <w:r w:rsidRPr="00321DC2">
        <w:rPr>
          <w:rFonts w:ascii="Times New Roman" w:hAnsi="Times New Roman" w:cs="Times New Roman"/>
        </w:rPr>
        <w:t xml:space="preserve">2, the contributions of wood products and paper to carbon stock changes are shown separately. The data series stops in 2013 because after that date, US EPA stopped showing the separate contributions of wood and paper </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{"citationID":"pb4MiYFV","properties":{"formattedCitation":"\\super 6\\nosupersub{}","plainCitation":"6","noteIndex":0},"citationItems":[{"id":59,"uris":["http://zotero.org/users/18184231/items/N2SFCEP7"],"itemData":{"id":59,"type":"report","abstract":"View the 2015 U.S. Greenhouse Gas Inventory developed by the U.S. Government to meet U.S. commitments under the Framework Convention on Climate Change (UNFCCC). This version of the inventory covers the period from 1990 to 2013.","genre":"Reports and Assessments","language":"en","number":"EPA 430-R-15-004","title":"Annexes to Inventory of U.S. Greenhouse Gas Emissions and Sinks: 1990-2013","URL":"https://www.epa.gov/ghgemissions/inventory-us-greenhouse-gas-emissions-and-sinks-1990-2013","author":[{"family":"United States Environmental Protection Agency (EPA)","given":""}],"accessed":{"date-parts":[["2025",9,25]]},"issued":{"date-parts":[["2015"]]}}}],"schema":"https://github.com/citation-style-language/schema/raw/master/csl-citation.json"}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6</w:t>
      </w:r>
      <w:r w:rsidRPr="00321DC2">
        <w:rPr>
          <w:rFonts w:ascii="Times New Roman" w:hAnsi="Times New Roman" w:cs="Times New Roman"/>
        </w:rPr>
        <w:fldChar w:fldCharType="end"/>
      </w:r>
      <w:r w:rsidRPr="00321DC2">
        <w:rPr>
          <w:rFonts w:ascii="Times New Roman" w:hAnsi="Times New Roman" w:cs="Times New Roman"/>
        </w:rPr>
        <w:t xml:space="preserve">. Annual changes in carbon stocks in products in use </w:t>
      </w:r>
      <w:r w:rsidRPr="00321DC2">
        <w:rPr>
          <w:rFonts w:ascii="Times New Roman" w:hAnsi="Times New Roman" w:cs="Times New Roman"/>
        </w:rPr>
        <w:lastRenderedPageBreak/>
        <w:t xml:space="preserve">are highly dependent on changes in production rates for both wood and paper products. Indeed, during economic slowdowns, stocks of carbon in products in use can decrease (i.e., stocks change less than zero). Annual increases in stocks of carbon in wood products in use are consistently larger than those for paper due to the short time in use for paper products. Stocks of carbon in products in landfills increase annually over the entire record. This is because carbon in products continues to be added to landfills at a rate faster than decomposition removes carbon from landfills. </w:t>
      </w:r>
    </w:p>
    <w:p w14:paraId="7496CFAB" w14:textId="681D427E" w:rsidR="00321DC2" w:rsidRPr="00321DC2" w:rsidRDefault="00321DC2" w:rsidP="00321DC2">
      <w:pPr>
        <w:rPr>
          <w:rFonts w:ascii="Times New Roman" w:hAnsi="Times New Roman" w:cs="Times New Roman"/>
        </w:rPr>
      </w:pPr>
      <w:r w:rsidRPr="00321DC2">
        <w:rPr>
          <w:rFonts w:ascii="Times New Roman" w:hAnsi="Times New Roman" w:cs="Times New Roman"/>
        </w:rPr>
        <w:t xml:space="preserve">Total annual changes in carbon stocks attributable to forest products are shown in Figure </w:t>
      </w:r>
      <w:r w:rsidR="005D2234">
        <w:rPr>
          <w:rFonts w:ascii="Times New Roman" w:hAnsi="Times New Roman" w:cs="Times New Roman"/>
        </w:rPr>
        <w:t>S</w:t>
      </w:r>
      <w:r w:rsidRPr="00321DC2">
        <w:rPr>
          <w:rFonts w:ascii="Times New Roman" w:hAnsi="Times New Roman" w:cs="Times New Roman"/>
        </w:rPr>
        <w:t>3. While in the early 1990s net additions to products in use were comparable to additions to landfills, carbon stock changes due to products in use decreased over time. The total change in carbon stocks attributable to forest products has also decreased over time. The total net additions in units of carbon and CO</w:t>
      </w:r>
      <w:r w:rsidRPr="00321DC2">
        <w:rPr>
          <w:rFonts w:ascii="Times New Roman" w:hAnsi="Times New Roman" w:cs="Times New Roman"/>
          <w:vertAlign w:val="subscript"/>
        </w:rPr>
        <w:t>2</w:t>
      </w:r>
      <w:r w:rsidRPr="00321DC2">
        <w:rPr>
          <w:rFonts w:ascii="Times New Roman" w:hAnsi="Times New Roman" w:cs="Times New Roman"/>
        </w:rPr>
        <w:t xml:space="preserve"> are shown in Tables </w:t>
      </w:r>
      <w:r w:rsidR="005D2234">
        <w:rPr>
          <w:rFonts w:ascii="Times New Roman" w:hAnsi="Times New Roman" w:cs="Times New Roman"/>
        </w:rPr>
        <w:t>S5</w:t>
      </w:r>
      <w:r w:rsidRPr="00321DC2">
        <w:rPr>
          <w:rFonts w:ascii="Times New Roman" w:hAnsi="Times New Roman" w:cs="Times New Roman"/>
        </w:rPr>
        <w:t xml:space="preserve"> and </w:t>
      </w:r>
      <w:r w:rsidR="005D2234">
        <w:rPr>
          <w:rFonts w:ascii="Times New Roman" w:hAnsi="Times New Roman" w:cs="Times New Roman"/>
        </w:rPr>
        <w:t>S6</w:t>
      </w:r>
      <w:r w:rsidRPr="00321DC2">
        <w:rPr>
          <w:rFonts w:ascii="Times New Roman" w:hAnsi="Times New Roman" w:cs="Times New Roman"/>
        </w:rPr>
        <w:t>. These additions were 33.8, 28.9, and 26.4 million metric tons C per year in 1990, 2005, and 2020, respectively. These correspond to total net removals from the atmosphere of 124, 106, and 96.8 million metric tons CO</w:t>
      </w:r>
      <w:r w:rsidRPr="00321DC2">
        <w:rPr>
          <w:rFonts w:ascii="Times New Roman" w:hAnsi="Times New Roman" w:cs="Times New Roman"/>
          <w:vertAlign w:val="subscript"/>
        </w:rPr>
        <w:t>2</w:t>
      </w:r>
      <w:r w:rsidRPr="00321DC2">
        <w:rPr>
          <w:rFonts w:ascii="Times New Roman" w:hAnsi="Times New Roman" w:cs="Times New Roman"/>
        </w:rPr>
        <w:t xml:space="preserve"> per year in 1990, 2005, and 2020, respectively. The 1990 and 2005 estimates are very close to those in Heath et al. 2010</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{"citationID":"J8sA8hb3","properties":{"formattedCitation":"\\super 5\\nosupersub{}","plainCitation":"5","noteIndex":0},"citationItems":[{"id":87,"uris":["http://zotero.org/users/18184231/items/ANB9I5TV"],"itemData":{"id":87,"type":"article-journal","container-title":"Environmental Science &amp; Technology","DOI":"10.1021/es902723x","ISSN":"0013-936X, 1520-5851","issue":"10","journalAbbreviation":"Environ. Sci. Technol.","language":"en","license":"http://pubs.acs.org/page/policy/authorchoice_termsofuse.html","page":"3999-4005","source":"DOI.org (Crossref)","title":"Greenhouse Gas and Carbon Profile of the U.S. Forest Products Industry Value Chain","volume":"44","author":[{"family":"Heath","given":"Linda S."},{"family":"Maltby","given":"Van"},{"family":"Miner","given":"Reid"},{"family":"Skog","given":"Kenneth E."},{"family":"Smith","given":"James E."},{"family":"Unwin","given":"Jay"},{"family":"Upton","given":"Brad"}],"issued":{"date-parts":[["2010",5,15]]}}}],"schema":"https://github.com/citation-style-language/schema/raw/master/csl-citation.json"}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5</w:t>
      </w:r>
      <w:r w:rsidRPr="00321DC2">
        <w:rPr>
          <w:rFonts w:ascii="Times New Roman" w:hAnsi="Times New Roman" w:cs="Times New Roman"/>
        </w:rPr>
        <w:fldChar w:fldCharType="end"/>
      </w:r>
      <w:r w:rsidRPr="00321DC2">
        <w:rPr>
          <w:rFonts w:ascii="Times New Roman" w:hAnsi="Times New Roman" w:cs="Times New Roman"/>
        </w:rPr>
        <w:t xml:space="preserve">. This is not surprising as both are based on data and analysis from the US Forest Service. </w:t>
      </w:r>
    </w:p>
    <w:p w14:paraId="58A9D2DF" w14:textId="77777777" w:rsidR="00321DC2" w:rsidRPr="00321DC2" w:rsidRDefault="00321DC2" w:rsidP="00321DC2">
      <w:pPr>
        <w:rPr>
          <w:rFonts w:ascii="Times New Roman" w:hAnsi="Times New Roman" w:cs="Times New Roman"/>
        </w:rPr>
      </w:pPr>
    </w:p>
    <w:p w14:paraId="060BA9AE" w14:textId="77777777" w:rsidR="00321DC2" w:rsidRPr="00321DC2" w:rsidRDefault="00321DC2" w:rsidP="00321DC2">
      <w:pPr>
        <w:jc w:val="center"/>
        <w:rPr>
          <w:rFonts w:ascii="Times New Roman" w:hAnsi="Times New Roman" w:cs="Times New Roman"/>
        </w:rPr>
      </w:pPr>
      <w:r w:rsidRPr="00321DC2">
        <w:rPr>
          <w:rFonts w:ascii="Times New Roman" w:hAnsi="Times New Roman" w:cs="Times New Roman"/>
          <w:noProof/>
        </w:rPr>
        <w:drawing>
          <wp:inline distT="0" distB="0" distL="0" distR="0" wp14:anchorId="070CB34C" wp14:editId="0D471D6A">
            <wp:extent cx="4572000" cy="2743200"/>
            <wp:effectExtent l="0" t="0" r="0" b="0"/>
            <wp:docPr id="646528789" name="Chart 1">
              <a:extLst xmlns:a="http://schemas.openxmlformats.org/drawingml/2006/main">
                <a:ext uri="{FF2B5EF4-FFF2-40B4-BE49-F238E27FC236}">
                  <a16:creationId xmlns:a16="http://schemas.microsoft.com/office/drawing/2014/main" id="{8D9563F4-6941-47B1-9F5D-79672924F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792492" w14:textId="17855F14" w:rsidR="00321DC2" w:rsidRPr="00321DC2" w:rsidRDefault="00321DC2" w:rsidP="00321DC2">
      <w:pPr>
        <w:jc w:val="center"/>
        <w:rPr>
          <w:rFonts w:ascii="Times New Roman" w:hAnsi="Times New Roman" w:cs="Times New Roman"/>
        </w:rPr>
      </w:pPr>
      <w:r w:rsidRPr="00321DC2">
        <w:rPr>
          <w:rFonts w:ascii="Times New Roman" w:hAnsi="Times New Roman" w:cs="Times New Roman"/>
          <w:b/>
          <w:bCs/>
        </w:rPr>
        <w:t xml:space="preserve">Figure </w:t>
      </w:r>
      <w:r w:rsidR="005D2234" w:rsidRPr="005D2234">
        <w:rPr>
          <w:rFonts w:ascii="Times New Roman" w:hAnsi="Times New Roman" w:cs="Times New Roman"/>
          <w:b/>
          <w:bCs/>
        </w:rPr>
        <w:t>S</w:t>
      </w:r>
      <w:r w:rsidRPr="00321DC2">
        <w:rPr>
          <w:rFonts w:ascii="Times New Roman" w:hAnsi="Times New Roman" w:cs="Times New Roman"/>
          <w:b/>
          <w:bCs/>
        </w:rPr>
        <w:t>2</w:t>
      </w:r>
      <w:r w:rsidRPr="00321DC2">
        <w:rPr>
          <w:rFonts w:ascii="Times New Roman" w:hAnsi="Times New Roman" w:cs="Times New Roman"/>
        </w:rPr>
        <w:t xml:space="preserve">. Contributions of US Wood and Paper Products to Changes in Stocks of Carbon in Products in Use and in Landfills </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{"citationID":"W0fXCFVT","properties":{"formattedCitation":"\\super 6\\nosupersub{}","plainCitation":"6","noteIndex":0},"citationItems":[{"id":59,"uris":["http://zotero.org/users/18184231/items/N2SFCEP7"],"itemData":{"id":59,"type":"report","abstract":"View the 2015 U.S. Greenhouse Gas Inventory developed by the U.S. Government to meet U.S. commitments under the Framework Convention on Climate Change (UNFCCC). This version of the inventory covers the period from 1990 to 2013.","genre":"Reports and Assessments","language":"en","number":"EPA 430-R-15-004","title":"Annexes to Inventory of U.S. Greenhouse Gas Emissions and Sinks: 1990-2013","URL":"https://www.epa.gov/ghgemissions/inventory-us-greenhouse-gas-emissions-and-sinks-1990-2013","author":[{"family":"United States Environmental Protection Agency (EPA)","given":""}],"accessed":{"date-parts":[["2025",9,25]]},"issued":{"date-parts":[["2015"]]}}}],"schema":"https://github.com/citation-style-language/schema/raw/master/csl-citation.json"}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6</w:t>
      </w:r>
      <w:r w:rsidRPr="00321DC2">
        <w:rPr>
          <w:rFonts w:ascii="Times New Roman" w:hAnsi="Times New Roman" w:cs="Times New Roman"/>
        </w:rPr>
        <w:fldChar w:fldCharType="end"/>
      </w:r>
    </w:p>
    <w:p w14:paraId="2A7CBCE6" w14:textId="77777777" w:rsidR="00321DC2" w:rsidRPr="00321DC2" w:rsidRDefault="00321DC2" w:rsidP="00321DC2">
      <w:pPr>
        <w:rPr>
          <w:rFonts w:ascii="Times New Roman" w:hAnsi="Times New Roman" w:cs="Times New Roman"/>
        </w:rPr>
      </w:pPr>
    </w:p>
    <w:p w14:paraId="0E677E74" w14:textId="77777777" w:rsidR="00321DC2" w:rsidRPr="00321DC2" w:rsidRDefault="00321DC2" w:rsidP="00321DC2">
      <w:pPr>
        <w:rPr>
          <w:rFonts w:ascii="Times New Roman" w:hAnsi="Times New Roman" w:cs="Times New Roman"/>
        </w:rPr>
      </w:pPr>
    </w:p>
    <w:p w14:paraId="336AD2C7" w14:textId="77777777" w:rsidR="00321DC2" w:rsidRPr="00321DC2" w:rsidRDefault="00321DC2" w:rsidP="00321DC2">
      <w:pPr>
        <w:jc w:val="center"/>
        <w:rPr>
          <w:rFonts w:ascii="Times New Roman" w:hAnsi="Times New Roman" w:cs="Times New Roman"/>
        </w:rPr>
      </w:pPr>
      <w:r w:rsidRPr="00321DC2">
        <w:rPr>
          <w:rFonts w:ascii="Times New Roman" w:hAnsi="Times New Roman" w:cs="Times New Roman"/>
          <w:noProof/>
        </w:rPr>
        <w:lastRenderedPageBreak/>
        <w:drawing>
          <wp:inline distT="0" distB="0" distL="0" distR="0" wp14:anchorId="7C4024D3" wp14:editId="43D1B122">
            <wp:extent cx="4572000" cy="2743200"/>
            <wp:effectExtent l="0" t="0" r="0" b="0"/>
            <wp:docPr id="1633346121" name="Chart 1">
              <a:extLst xmlns:a="http://schemas.openxmlformats.org/drawingml/2006/main">
                <a:ext uri="{FF2B5EF4-FFF2-40B4-BE49-F238E27FC236}">
                  <a16:creationId xmlns:a16="http://schemas.microsoft.com/office/drawing/2014/main" id="{8E52CD9D-074F-4A62-DE88-3DF7DDACD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24DD55" w14:textId="729D367D" w:rsidR="00321DC2" w:rsidRPr="00321DC2" w:rsidRDefault="00321DC2" w:rsidP="00321DC2">
      <w:pPr>
        <w:jc w:val="center"/>
        <w:rPr>
          <w:rFonts w:ascii="Times New Roman" w:hAnsi="Times New Roman" w:cs="Times New Roman"/>
        </w:rPr>
      </w:pPr>
      <w:r w:rsidRPr="00321DC2">
        <w:rPr>
          <w:rFonts w:ascii="Times New Roman" w:hAnsi="Times New Roman" w:cs="Times New Roman"/>
          <w:b/>
          <w:bCs/>
        </w:rPr>
        <w:t xml:space="preserve">Figure </w:t>
      </w:r>
      <w:r w:rsidR="005D2234" w:rsidRPr="005D2234">
        <w:rPr>
          <w:rFonts w:ascii="Times New Roman" w:hAnsi="Times New Roman" w:cs="Times New Roman"/>
          <w:b/>
          <w:bCs/>
        </w:rPr>
        <w:t>S</w:t>
      </w:r>
      <w:r w:rsidRPr="00321DC2">
        <w:rPr>
          <w:rFonts w:ascii="Times New Roman" w:hAnsi="Times New Roman" w:cs="Times New Roman"/>
          <w:b/>
          <w:bCs/>
        </w:rPr>
        <w:t>3</w:t>
      </w:r>
      <w:r w:rsidRPr="00321DC2">
        <w:rPr>
          <w:rFonts w:ascii="Times New Roman" w:hAnsi="Times New Roman" w:cs="Times New Roman"/>
        </w:rPr>
        <w:t xml:space="preserve">. Net Additions to Carbon Stocks in Forest Products Produced from Wood Harvested in the US </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{"citationID":"aWmQwpO4","properties":{"formattedCitation":"\\super 4\\nosupersub{}","plainCitation":"4","noteIndex":0},"citationItems":[{"id":54,"uris":["http://zotero.org/users/18184231/items/B23L74R6"],"itemData":{"id":54,"type":"report","abstract":"View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4</w:t>
      </w:r>
      <w:r w:rsidRPr="00321DC2">
        <w:rPr>
          <w:rFonts w:ascii="Times New Roman" w:hAnsi="Times New Roman" w:cs="Times New Roman"/>
        </w:rPr>
        <w:fldChar w:fldCharType="end"/>
      </w:r>
    </w:p>
    <w:p w14:paraId="354BD2D5" w14:textId="77777777" w:rsidR="00321DC2" w:rsidRPr="00321DC2" w:rsidRDefault="00321DC2" w:rsidP="00321DC2">
      <w:pPr>
        <w:rPr>
          <w:rFonts w:ascii="Times New Roman" w:hAnsi="Times New Roman" w:cs="Times New Roman"/>
        </w:rPr>
      </w:pPr>
    </w:p>
    <w:p w14:paraId="38E3FDC3" w14:textId="21112684" w:rsidR="00321DC2" w:rsidRPr="00321DC2" w:rsidRDefault="00321DC2" w:rsidP="00321DC2">
      <w:pPr>
        <w:jc w:val="center"/>
        <w:rPr>
          <w:rFonts w:ascii="Times New Roman" w:hAnsi="Times New Roman" w:cs="Times New Roman"/>
        </w:rPr>
      </w:pPr>
      <w:r w:rsidRPr="00321DC2">
        <w:rPr>
          <w:rFonts w:ascii="Times New Roman" w:hAnsi="Times New Roman" w:cs="Times New Roman"/>
          <w:b/>
          <w:bCs/>
        </w:rPr>
        <w:t xml:space="preserve">Table </w:t>
      </w:r>
      <w:r w:rsidR="005D2234" w:rsidRPr="005D2234">
        <w:rPr>
          <w:rFonts w:ascii="Times New Roman" w:hAnsi="Times New Roman" w:cs="Times New Roman"/>
          <w:b/>
          <w:bCs/>
        </w:rPr>
        <w:t>S5</w:t>
      </w:r>
      <w:r w:rsidRPr="00321DC2">
        <w:rPr>
          <w:rFonts w:ascii="Times New Roman" w:hAnsi="Times New Roman" w:cs="Times New Roman"/>
        </w:rPr>
        <w:t xml:space="preserve">. Net Additions to US Carbon Stocks in 1990, 2005, and 2020 </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{"citationID":"XAPjRz81","properties":{"formattedCitation":"\\super 4\\nosupersub{}","plainCitation":"4","noteIndex":0},"citationItems":[{"id":54,"uris":["http://zotero.org/users/18184231/items/B23L74R6"],"itemData":{"id":54,"type":"report","abstract":"View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4</w:t>
      </w:r>
      <w:r w:rsidRPr="00321DC2">
        <w:rPr>
          <w:rFonts w:ascii="Times New Roman" w:hAnsi="Times New Roman" w:cs="Times New Roman"/>
        </w:rPr>
        <w:fldChar w:fldCharType="end"/>
      </w:r>
    </w:p>
    <w:tbl>
      <w:tblPr>
        <w:tblW w:w="873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1"/>
        <w:gridCol w:w="1409"/>
        <w:gridCol w:w="1890"/>
        <w:gridCol w:w="1440"/>
        <w:gridCol w:w="1530"/>
        <w:gridCol w:w="1440"/>
      </w:tblGrid>
      <w:tr w:rsidR="00321DC2" w:rsidRPr="00321DC2" w14:paraId="2EAB2685" w14:textId="77777777" w:rsidTr="00360B83">
        <w:trPr>
          <w:trHeight w:val="292"/>
          <w:jc w:val="center"/>
        </w:trPr>
        <w:tc>
          <w:tcPr>
            <w:tcW w:w="1021" w:type="dxa"/>
            <w:vMerge w:val="restart"/>
            <w:shd w:val="clear" w:color="auto" w:fill="D9D9D9" w:themeFill="background1" w:themeFillShade="D9"/>
            <w:noWrap/>
            <w:vAlign w:val="bottom"/>
            <w:hideMark/>
          </w:tcPr>
          <w:p w14:paraId="1D8AE72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Year</w:t>
            </w:r>
          </w:p>
        </w:tc>
        <w:tc>
          <w:tcPr>
            <w:tcW w:w="4739" w:type="dxa"/>
            <w:gridSpan w:val="3"/>
            <w:shd w:val="clear" w:color="auto" w:fill="D9D9D9" w:themeFill="background1" w:themeFillShade="D9"/>
            <w:noWrap/>
            <w:vAlign w:val="bottom"/>
            <w:hideMark/>
          </w:tcPr>
          <w:p w14:paraId="74D27751"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Net C Additions, Million Metric Tons C/yr</w:t>
            </w:r>
          </w:p>
        </w:tc>
        <w:tc>
          <w:tcPr>
            <w:tcW w:w="1530" w:type="dxa"/>
            <w:vMerge w:val="restart"/>
            <w:shd w:val="clear" w:color="auto" w:fill="D9D9D9" w:themeFill="background1" w:themeFillShade="D9"/>
          </w:tcPr>
          <w:p w14:paraId="49384873"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Fraction of 1990 Total</w:t>
            </w:r>
          </w:p>
        </w:tc>
        <w:tc>
          <w:tcPr>
            <w:tcW w:w="1440" w:type="dxa"/>
            <w:vMerge w:val="restart"/>
            <w:shd w:val="clear" w:color="auto" w:fill="D9D9D9" w:themeFill="background1" w:themeFillShade="D9"/>
          </w:tcPr>
          <w:p w14:paraId="0F403E8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Fraction of 2005 Total</w:t>
            </w:r>
          </w:p>
        </w:tc>
      </w:tr>
      <w:tr w:rsidR="00321DC2" w:rsidRPr="00321DC2" w14:paraId="6BB79A5D" w14:textId="77777777" w:rsidTr="00360B83">
        <w:trPr>
          <w:trHeight w:val="292"/>
          <w:jc w:val="center"/>
        </w:trPr>
        <w:tc>
          <w:tcPr>
            <w:tcW w:w="1021" w:type="dxa"/>
            <w:vMerge/>
            <w:noWrap/>
            <w:vAlign w:val="bottom"/>
            <w:hideMark/>
          </w:tcPr>
          <w:p w14:paraId="76F18A9D" w14:textId="77777777" w:rsidR="00321DC2" w:rsidRPr="00321DC2" w:rsidRDefault="00321DC2" w:rsidP="00321DC2">
            <w:pPr>
              <w:rPr>
                <w:rFonts w:ascii="Times New Roman" w:hAnsi="Times New Roman" w:cs="Times New Roman"/>
              </w:rPr>
            </w:pPr>
          </w:p>
        </w:tc>
        <w:tc>
          <w:tcPr>
            <w:tcW w:w="1409" w:type="dxa"/>
            <w:shd w:val="clear" w:color="auto" w:fill="D9D9D9" w:themeFill="background1" w:themeFillShade="D9"/>
            <w:noWrap/>
            <w:vAlign w:val="bottom"/>
            <w:hideMark/>
          </w:tcPr>
          <w:p w14:paraId="2B5FA21F"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 Use</w:t>
            </w:r>
          </w:p>
        </w:tc>
        <w:tc>
          <w:tcPr>
            <w:tcW w:w="1890" w:type="dxa"/>
            <w:shd w:val="clear" w:color="auto" w:fill="D9D9D9" w:themeFill="background1" w:themeFillShade="D9"/>
            <w:noWrap/>
            <w:vAlign w:val="bottom"/>
            <w:hideMark/>
          </w:tcPr>
          <w:p w14:paraId="0EDB471F"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In Landfills</w:t>
            </w:r>
          </w:p>
        </w:tc>
        <w:tc>
          <w:tcPr>
            <w:tcW w:w="1440" w:type="dxa"/>
            <w:shd w:val="clear" w:color="auto" w:fill="D9D9D9" w:themeFill="background1" w:themeFillShade="D9"/>
            <w:vAlign w:val="bottom"/>
          </w:tcPr>
          <w:p w14:paraId="0D442B29"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Total</w:t>
            </w:r>
          </w:p>
        </w:tc>
        <w:tc>
          <w:tcPr>
            <w:tcW w:w="1530" w:type="dxa"/>
            <w:vMerge/>
          </w:tcPr>
          <w:p w14:paraId="0B386E88" w14:textId="77777777" w:rsidR="00321DC2" w:rsidRPr="00321DC2" w:rsidRDefault="00321DC2" w:rsidP="00321DC2">
            <w:pPr>
              <w:rPr>
                <w:rFonts w:ascii="Times New Roman" w:hAnsi="Times New Roman" w:cs="Times New Roman"/>
              </w:rPr>
            </w:pPr>
          </w:p>
        </w:tc>
        <w:tc>
          <w:tcPr>
            <w:tcW w:w="1440" w:type="dxa"/>
            <w:vMerge/>
          </w:tcPr>
          <w:p w14:paraId="0EF51873" w14:textId="77777777" w:rsidR="00321DC2" w:rsidRPr="00321DC2" w:rsidRDefault="00321DC2" w:rsidP="00321DC2">
            <w:pPr>
              <w:rPr>
                <w:rFonts w:ascii="Times New Roman" w:hAnsi="Times New Roman" w:cs="Times New Roman"/>
              </w:rPr>
            </w:pPr>
          </w:p>
        </w:tc>
      </w:tr>
      <w:tr w:rsidR="00321DC2" w:rsidRPr="00321DC2" w14:paraId="1255332B" w14:textId="77777777" w:rsidTr="00360B83">
        <w:trPr>
          <w:trHeight w:val="292"/>
          <w:jc w:val="center"/>
        </w:trPr>
        <w:tc>
          <w:tcPr>
            <w:tcW w:w="1021" w:type="dxa"/>
            <w:noWrap/>
            <w:vAlign w:val="bottom"/>
            <w:hideMark/>
          </w:tcPr>
          <w:p w14:paraId="7DA9D08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1990</w:t>
            </w:r>
          </w:p>
        </w:tc>
        <w:tc>
          <w:tcPr>
            <w:tcW w:w="1409" w:type="dxa"/>
            <w:noWrap/>
            <w:vAlign w:val="bottom"/>
            <w:hideMark/>
          </w:tcPr>
          <w:p w14:paraId="76B1B6DD"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14.9</w:t>
            </w:r>
          </w:p>
        </w:tc>
        <w:tc>
          <w:tcPr>
            <w:tcW w:w="1890" w:type="dxa"/>
            <w:noWrap/>
            <w:vAlign w:val="bottom"/>
            <w:hideMark/>
          </w:tcPr>
          <w:p w14:paraId="1AC124D0"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18.8</w:t>
            </w:r>
          </w:p>
        </w:tc>
        <w:tc>
          <w:tcPr>
            <w:tcW w:w="1440" w:type="dxa"/>
            <w:vAlign w:val="bottom"/>
          </w:tcPr>
          <w:p w14:paraId="7EAE020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33.8</w:t>
            </w:r>
          </w:p>
        </w:tc>
        <w:tc>
          <w:tcPr>
            <w:tcW w:w="1530" w:type="dxa"/>
          </w:tcPr>
          <w:p w14:paraId="74907E70"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1.00</w:t>
            </w:r>
          </w:p>
        </w:tc>
        <w:tc>
          <w:tcPr>
            <w:tcW w:w="1440" w:type="dxa"/>
          </w:tcPr>
          <w:p w14:paraId="664F7C02" w14:textId="77777777" w:rsidR="00321DC2" w:rsidRPr="00321DC2" w:rsidRDefault="00321DC2" w:rsidP="00321DC2">
            <w:pPr>
              <w:rPr>
                <w:rFonts w:ascii="Times New Roman" w:hAnsi="Times New Roman" w:cs="Times New Roman"/>
              </w:rPr>
            </w:pPr>
          </w:p>
        </w:tc>
      </w:tr>
      <w:tr w:rsidR="00321DC2" w:rsidRPr="00321DC2" w14:paraId="7F8579AE" w14:textId="77777777" w:rsidTr="00360B83">
        <w:trPr>
          <w:trHeight w:val="292"/>
          <w:jc w:val="center"/>
        </w:trPr>
        <w:tc>
          <w:tcPr>
            <w:tcW w:w="1021" w:type="dxa"/>
            <w:noWrap/>
            <w:vAlign w:val="bottom"/>
            <w:hideMark/>
          </w:tcPr>
          <w:p w14:paraId="6998B550"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2005</w:t>
            </w:r>
          </w:p>
        </w:tc>
        <w:tc>
          <w:tcPr>
            <w:tcW w:w="1409" w:type="dxa"/>
            <w:noWrap/>
            <w:vAlign w:val="bottom"/>
            <w:hideMark/>
          </w:tcPr>
          <w:p w14:paraId="22709CD9"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11.6</w:t>
            </w:r>
          </w:p>
        </w:tc>
        <w:tc>
          <w:tcPr>
            <w:tcW w:w="1890" w:type="dxa"/>
            <w:noWrap/>
            <w:vAlign w:val="bottom"/>
            <w:hideMark/>
          </w:tcPr>
          <w:p w14:paraId="553E020E"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17.3</w:t>
            </w:r>
          </w:p>
        </w:tc>
        <w:tc>
          <w:tcPr>
            <w:tcW w:w="1440" w:type="dxa"/>
            <w:vAlign w:val="bottom"/>
          </w:tcPr>
          <w:p w14:paraId="46E1A90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28.9</w:t>
            </w:r>
          </w:p>
        </w:tc>
        <w:tc>
          <w:tcPr>
            <w:tcW w:w="1530" w:type="dxa"/>
          </w:tcPr>
          <w:p w14:paraId="5A1E587E"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0.86</w:t>
            </w:r>
          </w:p>
        </w:tc>
        <w:tc>
          <w:tcPr>
            <w:tcW w:w="1440" w:type="dxa"/>
          </w:tcPr>
          <w:p w14:paraId="5935C9A4"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1.00</w:t>
            </w:r>
          </w:p>
        </w:tc>
      </w:tr>
      <w:tr w:rsidR="00321DC2" w:rsidRPr="00321DC2" w14:paraId="10085DA2" w14:textId="77777777" w:rsidTr="00360B83">
        <w:trPr>
          <w:trHeight w:val="292"/>
          <w:jc w:val="center"/>
        </w:trPr>
        <w:tc>
          <w:tcPr>
            <w:tcW w:w="1021" w:type="dxa"/>
            <w:noWrap/>
            <w:vAlign w:val="bottom"/>
            <w:hideMark/>
          </w:tcPr>
          <w:p w14:paraId="3E9A1800"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2020</w:t>
            </w:r>
          </w:p>
        </w:tc>
        <w:tc>
          <w:tcPr>
            <w:tcW w:w="1409" w:type="dxa"/>
            <w:noWrap/>
            <w:vAlign w:val="bottom"/>
            <w:hideMark/>
          </w:tcPr>
          <w:p w14:paraId="3897815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8.8</w:t>
            </w:r>
          </w:p>
        </w:tc>
        <w:tc>
          <w:tcPr>
            <w:tcW w:w="1890" w:type="dxa"/>
            <w:noWrap/>
            <w:vAlign w:val="bottom"/>
            <w:hideMark/>
          </w:tcPr>
          <w:p w14:paraId="274A533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17.6</w:t>
            </w:r>
          </w:p>
        </w:tc>
        <w:tc>
          <w:tcPr>
            <w:tcW w:w="1440" w:type="dxa"/>
            <w:vAlign w:val="bottom"/>
          </w:tcPr>
          <w:p w14:paraId="6967C9BC"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26.4</w:t>
            </w:r>
          </w:p>
        </w:tc>
        <w:tc>
          <w:tcPr>
            <w:tcW w:w="1530" w:type="dxa"/>
          </w:tcPr>
          <w:p w14:paraId="4DB32031"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0.78</w:t>
            </w:r>
          </w:p>
        </w:tc>
        <w:tc>
          <w:tcPr>
            <w:tcW w:w="1440" w:type="dxa"/>
          </w:tcPr>
          <w:p w14:paraId="6BE6CB0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0.91</w:t>
            </w:r>
          </w:p>
        </w:tc>
      </w:tr>
    </w:tbl>
    <w:p w14:paraId="2BFCD46A" w14:textId="77777777" w:rsidR="00321DC2" w:rsidRPr="00321DC2" w:rsidRDefault="00321DC2" w:rsidP="00321DC2">
      <w:pPr>
        <w:rPr>
          <w:rFonts w:ascii="Times New Roman" w:hAnsi="Times New Roman" w:cs="Times New Roman"/>
        </w:rPr>
      </w:pPr>
    </w:p>
    <w:p w14:paraId="1D6DA1B4" w14:textId="07F63700" w:rsidR="00321DC2" w:rsidRPr="00321DC2" w:rsidRDefault="00321DC2" w:rsidP="00321DC2">
      <w:pPr>
        <w:jc w:val="center"/>
        <w:rPr>
          <w:rFonts w:ascii="Times New Roman" w:hAnsi="Times New Roman" w:cs="Times New Roman"/>
        </w:rPr>
      </w:pPr>
      <w:r w:rsidRPr="00321DC2">
        <w:rPr>
          <w:rFonts w:ascii="Times New Roman" w:hAnsi="Times New Roman" w:cs="Times New Roman"/>
          <w:b/>
          <w:bCs/>
        </w:rPr>
        <w:t xml:space="preserve">Table </w:t>
      </w:r>
      <w:r w:rsidR="005D2234" w:rsidRPr="005D2234">
        <w:rPr>
          <w:rFonts w:ascii="Times New Roman" w:hAnsi="Times New Roman" w:cs="Times New Roman"/>
          <w:b/>
          <w:bCs/>
        </w:rPr>
        <w:t>S6</w:t>
      </w:r>
      <w:r w:rsidRPr="00321DC2">
        <w:rPr>
          <w:rFonts w:ascii="Times New Roman" w:hAnsi="Times New Roman" w:cs="Times New Roman"/>
        </w:rPr>
        <w:t xml:space="preserve">. Net Emissions Attributable to Changes in Carbon Stocks in US Forest Products </w:t>
      </w:r>
      <w:r w:rsidRPr="00321DC2">
        <w:rPr>
          <w:rFonts w:ascii="Times New Roman" w:hAnsi="Times New Roman" w:cs="Times New Roman"/>
        </w:rPr>
        <w:fldChar w:fldCharType="begin"/>
      </w:r>
      <w:r>
        <w:rPr>
          <w:rFonts w:ascii="Times New Roman" w:hAnsi="Times New Roman" w:cs="Times New Roman"/>
        </w:rPr>
        <w:instrText xml:space="preserve"> ADDIN ZOTERO_ITEM CSL_CITATION {"citationID":"vvqr33XO","properties":{"formattedCitation":"\\super 4\\nosupersub{}","plainCitation":"4","noteIndex":0},"citationItems":[{"id":54,"uris":["http://zotero.org/users/18184231/items/B23L74R6"],"itemData":{"id":54,"type":"report","abstract":"View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sidRPr="00321DC2">
        <w:rPr>
          <w:rFonts w:ascii="Times New Roman" w:hAnsi="Times New Roman" w:cs="Times New Roman"/>
        </w:rPr>
        <w:fldChar w:fldCharType="separate"/>
      </w:r>
      <w:r w:rsidRPr="00321DC2">
        <w:rPr>
          <w:rFonts w:ascii="Times New Roman" w:hAnsi="Times New Roman" w:cs="Times New Roman"/>
          <w:kern w:val="0"/>
          <w:vertAlign w:val="superscript"/>
        </w:rPr>
        <w:t>4</w:t>
      </w:r>
      <w:r w:rsidRPr="00321DC2">
        <w:rPr>
          <w:rFonts w:ascii="Times New Roman" w:hAnsi="Times New Roman" w:cs="Times New Roman"/>
        </w:rPr>
        <w:fldChar w:fldCharType="end"/>
      </w:r>
    </w:p>
    <w:tbl>
      <w:tblPr>
        <w:tblW w:w="855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10"/>
        <w:gridCol w:w="3060"/>
        <w:gridCol w:w="3510"/>
        <w:gridCol w:w="1170"/>
      </w:tblGrid>
      <w:tr w:rsidR="00321DC2" w:rsidRPr="00321DC2" w14:paraId="18066269" w14:textId="77777777" w:rsidTr="00360B83">
        <w:trPr>
          <w:trHeight w:val="251"/>
          <w:jc w:val="center"/>
        </w:trPr>
        <w:tc>
          <w:tcPr>
            <w:tcW w:w="810" w:type="dxa"/>
            <w:vMerge w:val="restart"/>
            <w:shd w:val="clear" w:color="auto" w:fill="D9D9D9" w:themeFill="background1" w:themeFillShade="D9"/>
            <w:noWrap/>
            <w:vAlign w:val="bottom"/>
            <w:hideMark/>
          </w:tcPr>
          <w:p w14:paraId="11E13CE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Year</w:t>
            </w:r>
          </w:p>
        </w:tc>
        <w:tc>
          <w:tcPr>
            <w:tcW w:w="7740" w:type="dxa"/>
            <w:gridSpan w:val="3"/>
            <w:shd w:val="clear" w:color="auto" w:fill="D9D9D9" w:themeFill="background1" w:themeFillShade="D9"/>
            <w:noWrap/>
            <w:vAlign w:val="bottom"/>
          </w:tcPr>
          <w:p w14:paraId="08EA1A7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Million Metric Tons CO</w:t>
            </w:r>
            <w:r w:rsidRPr="00321DC2">
              <w:rPr>
                <w:rFonts w:ascii="Times New Roman" w:hAnsi="Times New Roman" w:cs="Times New Roman"/>
                <w:vertAlign w:val="subscript"/>
              </w:rPr>
              <w:t>2</w:t>
            </w:r>
            <w:r w:rsidRPr="00321DC2">
              <w:rPr>
                <w:rFonts w:ascii="Times New Roman" w:hAnsi="Times New Roman" w:cs="Times New Roman"/>
              </w:rPr>
              <w:t>eq.</w:t>
            </w:r>
            <w:r w:rsidRPr="00321DC2">
              <w:rPr>
                <w:rFonts w:ascii="Times New Roman" w:hAnsi="Times New Roman" w:cs="Times New Roman"/>
                <w:vertAlign w:val="superscript"/>
              </w:rPr>
              <w:t>a</w:t>
            </w:r>
          </w:p>
        </w:tc>
      </w:tr>
      <w:tr w:rsidR="00321DC2" w:rsidRPr="00321DC2" w14:paraId="43E1B129" w14:textId="77777777" w:rsidTr="00360B83">
        <w:trPr>
          <w:trHeight w:val="292"/>
          <w:jc w:val="center"/>
        </w:trPr>
        <w:tc>
          <w:tcPr>
            <w:tcW w:w="810" w:type="dxa"/>
            <w:vMerge/>
            <w:shd w:val="clear" w:color="auto" w:fill="D9D9D9" w:themeFill="background1" w:themeFillShade="D9"/>
            <w:noWrap/>
            <w:vAlign w:val="bottom"/>
          </w:tcPr>
          <w:p w14:paraId="47FA1070" w14:textId="77777777" w:rsidR="00321DC2" w:rsidRPr="00321DC2" w:rsidRDefault="00321DC2" w:rsidP="00321DC2">
            <w:pPr>
              <w:rPr>
                <w:rFonts w:ascii="Times New Roman" w:hAnsi="Times New Roman" w:cs="Times New Roman"/>
              </w:rPr>
            </w:pPr>
          </w:p>
        </w:tc>
        <w:tc>
          <w:tcPr>
            <w:tcW w:w="3060" w:type="dxa"/>
            <w:shd w:val="clear" w:color="auto" w:fill="D9D9D9" w:themeFill="background1" w:themeFillShade="D9"/>
            <w:noWrap/>
          </w:tcPr>
          <w:p w14:paraId="5F557EAA"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Attributable to Products in Use</w:t>
            </w:r>
          </w:p>
        </w:tc>
        <w:tc>
          <w:tcPr>
            <w:tcW w:w="3510" w:type="dxa"/>
            <w:shd w:val="clear" w:color="auto" w:fill="D9D9D9" w:themeFill="background1" w:themeFillShade="D9"/>
            <w:noWrap/>
          </w:tcPr>
          <w:p w14:paraId="6DE921C3"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Attributable to Products in Landfills</w:t>
            </w:r>
          </w:p>
        </w:tc>
        <w:tc>
          <w:tcPr>
            <w:tcW w:w="1170" w:type="dxa"/>
            <w:shd w:val="clear" w:color="auto" w:fill="D9D9D9" w:themeFill="background1" w:themeFillShade="D9"/>
            <w:noWrap/>
          </w:tcPr>
          <w:p w14:paraId="23C12629"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Total</w:t>
            </w:r>
          </w:p>
        </w:tc>
      </w:tr>
      <w:tr w:rsidR="00321DC2" w:rsidRPr="00321DC2" w14:paraId="5888617B" w14:textId="77777777" w:rsidTr="00360B83">
        <w:trPr>
          <w:trHeight w:val="292"/>
          <w:jc w:val="center"/>
        </w:trPr>
        <w:tc>
          <w:tcPr>
            <w:tcW w:w="810" w:type="dxa"/>
            <w:noWrap/>
            <w:vAlign w:val="bottom"/>
            <w:hideMark/>
          </w:tcPr>
          <w:p w14:paraId="44564990"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1990</w:t>
            </w:r>
          </w:p>
        </w:tc>
        <w:tc>
          <w:tcPr>
            <w:tcW w:w="3060" w:type="dxa"/>
            <w:noWrap/>
            <w:vAlign w:val="bottom"/>
            <w:hideMark/>
          </w:tcPr>
          <w:p w14:paraId="3D50E0B8"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−54.6</w:t>
            </w:r>
          </w:p>
        </w:tc>
        <w:tc>
          <w:tcPr>
            <w:tcW w:w="3510" w:type="dxa"/>
            <w:noWrap/>
            <w:vAlign w:val="bottom"/>
            <w:hideMark/>
          </w:tcPr>
          <w:p w14:paraId="62C9D0A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−68.9</w:t>
            </w:r>
          </w:p>
        </w:tc>
        <w:tc>
          <w:tcPr>
            <w:tcW w:w="1170" w:type="dxa"/>
            <w:noWrap/>
            <w:vAlign w:val="bottom"/>
            <w:hideMark/>
          </w:tcPr>
          <w:p w14:paraId="73568064"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−123.9</w:t>
            </w:r>
          </w:p>
        </w:tc>
      </w:tr>
      <w:tr w:rsidR="00321DC2" w:rsidRPr="00321DC2" w14:paraId="341AECCC" w14:textId="77777777" w:rsidTr="00360B83">
        <w:trPr>
          <w:trHeight w:val="292"/>
          <w:jc w:val="center"/>
        </w:trPr>
        <w:tc>
          <w:tcPr>
            <w:tcW w:w="810" w:type="dxa"/>
            <w:noWrap/>
            <w:vAlign w:val="bottom"/>
            <w:hideMark/>
          </w:tcPr>
          <w:p w14:paraId="03108DEB"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2005</w:t>
            </w:r>
          </w:p>
        </w:tc>
        <w:tc>
          <w:tcPr>
            <w:tcW w:w="3060" w:type="dxa"/>
            <w:noWrap/>
            <w:vAlign w:val="bottom"/>
            <w:hideMark/>
          </w:tcPr>
          <w:p w14:paraId="2D2128DE"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−42.5</w:t>
            </w:r>
          </w:p>
        </w:tc>
        <w:tc>
          <w:tcPr>
            <w:tcW w:w="3510" w:type="dxa"/>
            <w:noWrap/>
            <w:vAlign w:val="bottom"/>
            <w:hideMark/>
          </w:tcPr>
          <w:p w14:paraId="6C29A4D7"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−63.4</w:t>
            </w:r>
          </w:p>
        </w:tc>
        <w:tc>
          <w:tcPr>
            <w:tcW w:w="1170" w:type="dxa"/>
            <w:noWrap/>
            <w:vAlign w:val="bottom"/>
            <w:hideMark/>
          </w:tcPr>
          <w:p w14:paraId="14A5B4EF"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−106.0</w:t>
            </w:r>
          </w:p>
        </w:tc>
      </w:tr>
      <w:tr w:rsidR="00321DC2" w:rsidRPr="00321DC2" w14:paraId="462B3EAD" w14:textId="77777777" w:rsidTr="00360B83">
        <w:trPr>
          <w:trHeight w:val="292"/>
          <w:jc w:val="center"/>
        </w:trPr>
        <w:tc>
          <w:tcPr>
            <w:tcW w:w="810" w:type="dxa"/>
            <w:noWrap/>
            <w:vAlign w:val="bottom"/>
            <w:hideMark/>
          </w:tcPr>
          <w:p w14:paraId="07FB1BE4"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2020</w:t>
            </w:r>
          </w:p>
        </w:tc>
        <w:tc>
          <w:tcPr>
            <w:tcW w:w="3060" w:type="dxa"/>
            <w:noWrap/>
            <w:vAlign w:val="bottom"/>
            <w:hideMark/>
          </w:tcPr>
          <w:p w14:paraId="47699BC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−32.3</w:t>
            </w:r>
          </w:p>
        </w:tc>
        <w:tc>
          <w:tcPr>
            <w:tcW w:w="3510" w:type="dxa"/>
            <w:noWrap/>
            <w:vAlign w:val="bottom"/>
            <w:hideMark/>
          </w:tcPr>
          <w:p w14:paraId="3989B945"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−64.5</w:t>
            </w:r>
          </w:p>
        </w:tc>
        <w:tc>
          <w:tcPr>
            <w:tcW w:w="1170" w:type="dxa"/>
            <w:noWrap/>
            <w:vAlign w:val="bottom"/>
            <w:hideMark/>
          </w:tcPr>
          <w:p w14:paraId="73956AB3"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−96.8</w:t>
            </w:r>
          </w:p>
        </w:tc>
      </w:tr>
    </w:tbl>
    <w:p w14:paraId="04105130" w14:textId="77777777" w:rsidR="00321DC2" w:rsidRPr="00321DC2" w:rsidRDefault="00321DC2" w:rsidP="00321DC2">
      <w:pPr>
        <w:rPr>
          <w:rFonts w:ascii="Times New Roman" w:hAnsi="Times New Roman" w:cs="Times New Roman"/>
        </w:rPr>
      </w:pPr>
      <w:r w:rsidRPr="00321DC2">
        <w:rPr>
          <w:rFonts w:ascii="Times New Roman" w:hAnsi="Times New Roman" w:cs="Times New Roman"/>
        </w:rPr>
        <w:tab/>
      </w:r>
      <w:proofErr w:type="gramStart"/>
      <w:r w:rsidRPr="00321DC2">
        <w:rPr>
          <w:rFonts w:ascii="Times New Roman" w:hAnsi="Times New Roman" w:cs="Times New Roman"/>
          <w:vertAlign w:val="superscript"/>
        </w:rPr>
        <w:t>a</w:t>
      </w:r>
      <w:r w:rsidRPr="00321DC2">
        <w:rPr>
          <w:rFonts w:ascii="Times New Roman" w:hAnsi="Times New Roman" w:cs="Times New Roman"/>
        </w:rPr>
        <w:t xml:space="preserve"> Negative</w:t>
      </w:r>
      <w:proofErr w:type="gramEnd"/>
      <w:r w:rsidRPr="00321DC2">
        <w:rPr>
          <w:rFonts w:ascii="Times New Roman" w:hAnsi="Times New Roman" w:cs="Times New Roman"/>
        </w:rPr>
        <w:t xml:space="preserve"> sign indicates a net removal of CO</w:t>
      </w:r>
      <w:r w:rsidRPr="00321DC2">
        <w:rPr>
          <w:rFonts w:ascii="Times New Roman" w:hAnsi="Times New Roman" w:cs="Times New Roman"/>
          <w:vertAlign w:val="subscript"/>
        </w:rPr>
        <w:t>2</w:t>
      </w:r>
      <w:r w:rsidRPr="00321DC2">
        <w:rPr>
          <w:rFonts w:ascii="Times New Roman" w:hAnsi="Times New Roman" w:cs="Times New Roman"/>
        </w:rPr>
        <w:t xml:space="preserve"> from the atmosphere. </w:t>
      </w:r>
    </w:p>
    <w:p w14:paraId="010745DB" w14:textId="77777777" w:rsidR="00321DC2" w:rsidRPr="00321DC2" w:rsidRDefault="00321DC2" w:rsidP="00321DC2">
      <w:pPr>
        <w:rPr>
          <w:rFonts w:ascii="Times New Roman" w:hAnsi="Times New Roman" w:cs="Times New Roman"/>
        </w:rPr>
      </w:pPr>
    </w:p>
    <w:p w14:paraId="54802CDB" w14:textId="6582EEC3" w:rsidR="007E2023" w:rsidRPr="00590ED8" w:rsidRDefault="00590ED8" w:rsidP="00590ED8">
      <w:pPr>
        <w:pStyle w:val="Heading1"/>
        <w:rPr>
          <w:rFonts w:ascii="Times New Roman" w:hAnsi="Times New Roman" w:cs="Times New Roman"/>
          <w:b/>
          <w:bCs/>
          <w:color w:val="auto"/>
          <w:sz w:val="24"/>
          <w:szCs w:val="24"/>
        </w:rPr>
      </w:pPr>
      <w:bookmarkStart w:id="13" w:name="_Toc215829603"/>
      <w:r w:rsidRPr="00590ED8">
        <w:rPr>
          <w:rFonts w:ascii="Times New Roman" w:hAnsi="Times New Roman" w:cs="Times New Roman"/>
          <w:b/>
          <w:bCs/>
          <w:color w:val="auto"/>
          <w:sz w:val="24"/>
          <w:szCs w:val="24"/>
        </w:rPr>
        <w:t>GREENHOUSE GAS EMISSION FACTORS</w:t>
      </w:r>
      <w:bookmarkEnd w:id="13"/>
    </w:p>
    <w:p w14:paraId="5445C07F" w14:textId="75EA58BB" w:rsidR="007E2023" w:rsidRPr="007E2023" w:rsidRDefault="007E2023" w:rsidP="007E2023">
      <w:pPr>
        <w:rPr>
          <w:rFonts w:ascii="Times New Roman" w:hAnsi="Times New Roman" w:cs="Times New Roman"/>
        </w:rPr>
      </w:pPr>
      <w:r w:rsidRPr="007E2023">
        <w:rPr>
          <w:rFonts w:ascii="Times New Roman" w:hAnsi="Times New Roman" w:cs="Times New Roman"/>
        </w:rPr>
        <w:t>Fuel-specific emission factors</w:t>
      </w:r>
      <w:r w:rsidR="002F7F0B">
        <w:rPr>
          <w:rFonts w:ascii="Times New Roman" w:hAnsi="Times New Roman" w:cs="Times New Roman"/>
        </w:rPr>
        <w:t xml:space="preserve"> </w:t>
      </w:r>
      <w:r w:rsidR="002F7F0B">
        <w:rPr>
          <w:rFonts w:ascii="Times New Roman" w:hAnsi="Times New Roman" w:cs="Times New Roman"/>
        </w:rPr>
        <w:fldChar w:fldCharType="begin"/>
      </w:r>
      <w:r w:rsidR="00775B85">
        <w:rPr>
          <w:rFonts w:ascii="Times New Roman" w:hAnsi="Times New Roman" w:cs="Times New Roman"/>
        </w:rPr>
        <w:instrText xml:space="preserve"> ADDIN ZOTERO_ITEM CSL_CITATION {"citationID":"cdz6sVPH","properties":{"formattedCitation":"\\super 7\\nosupersub{}","plainCitation":"7","noteIndex":0},"citationItems":[{"id":88,"uris":["http://zotero.org/users/local/T7KBDEDi/items/K7XZUS33","http://zotero.org/users/18184231/items/K7XZUS33"],"itemData":{"id":88,"type":"report","title":"2006 IPCC Guidelines for National Greenhouse Gas Inventories","URL":"https://www.ipcc-nggip.iges.or.jp/public/2006gl/index.html","author":[{"family":"IPCC (Intergovernmental Panel on Climate Change)","given":""}],"accessed":{"date-parts":[["2025",9,25]]},"issued":{"date-parts":[["2006"]]}}}],"schema":"https://github.com/citation-style-language/schema/raw/master/csl-citation.json"} </w:instrText>
      </w:r>
      <w:r w:rsidR="002F7F0B">
        <w:rPr>
          <w:rFonts w:ascii="Times New Roman" w:hAnsi="Times New Roman" w:cs="Times New Roman"/>
        </w:rPr>
        <w:fldChar w:fldCharType="separate"/>
      </w:r>
      <w:r w:rsidR="002F7F0B" w:rsidRPr="002F7F0B">
        <w:rPr>
          <w:rFonts w:ascii="Times New Roman" w:hAnsi="Times New Roman" w:cs="Times New Roman"/>
          <w:kern w:val="0"/>
          <w:vertAlign w:val="superscript"/>
        </w:rPr>
        <w:t>7</w:t>
      </w:r>
      <w:r w:rsidR="002F7F0B">
        <w:rPr>
          <w:rFonts w:ascii="Times New Roman" w:hAnsi="Times New Roman" w:cs="Times New Roman"/>
        </w:rPr>
        <w:fldChar w:fldCharType="end"/>
      </w:r>
      <w:r w:rsidR="002F7F0B">
        <w:rPr>
          <w:rFonts w:ascii="Times New Roman" w:hAnsi="Times New Roman" w:cs="Times New Roman"/>
        </w:rPr>
        <w:t xml:space="preserve"> a</w:t>
      </w:r>
      <w:r w:rsidRPr="007E2023">
        <w:rPr>
          <w:rFonts w:ascii="Times New Roman" w:hAnsi="Times New Roman" w:cs="Times New Roman"/>
        </w:rPr>
        <w:t>nd GWPs</w:t>
      </w:r>
      <w:r w:rsidR="002F7F0B">
        <w:rPr>
          <w:rFonts w:ascii="Times New Roman" w:hAnsi="Times New Roman" w:cs="Times New Roman"/>
        </w:rPr>
        <w:t xml:space="preserve"> </w:t>
      </w:r>
      <w:r w:rsidR="002F7F0B">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{"citationID":"HUBdpcpN","properties":{"formattedCitation":"\\super 8\\nosupersub{}","plainCitation":"8","noteIndex":0},"citationItems":[{"id":24,"uris":["http://zotero.org/users/18184231/items/96FZPUT9"],"itemData":{"id":24,"type":"report","publisher":"IPCC (Intergovernmental Panel on Climate Change)","title":"Climate Change 2013: The Physical Science Basis. Contribution of Working Group I to the Fifth Assessment Report of the Intergovernmental Panel on Climate Change","title-short":"AR5 Climate Change 2013","URL":"https://www.ipcc.ch/report/ar5/wg1/","author":[{"family":"IPCC (Intergovernmental Panel on Climate Change)","given":""}],"accessed":{"date-parts":[["2025",9,25]]},"issued":{"date-parts":[["2013"]]}}}],"schema":"https://github.com/citation-style-language/schema/raw/master/csl-citation.json"} </w:instrText>
      </w:r>
      <w:r w:rsidR="002F7F0B">
        <w:rPr>
          <w:rFonts w:ascii="Times New Roman" w:hAnsi="Times New Roman" w:cs="Times New Roman"/>
        </w:rPr>
        <w:fldChar w:fldCharType="separate"/>
      </w:r>
      <w:r w:rsidR="002F7F0B" w:rsidRPr="002F7F0B">
        <w:rPr>
          <w:rFonts w:ascii="Times New Roman" w:hAnsi="Times New Roman" w:cs="Times New Roman"/>
          <w:kern w:val="0"/>
          <w:vertAlign w:val="superscript"/>
        </w:rPr>
        <w:t>8</w:t>
      </w:r>
      <w:r w:rsidR="002F7F0B">
        <w:rPr>
          <w:rFonts w:ascii="Times New Roman" w:hAnsi="Times New Roman" w:cs="Times New Roman"/>
        </w:rPr>
        <w:fldChar w:fldCharType="end"/>
      </w:r>
      <w:r w:rsidRPr="007E2023">
        <w:rPr>
          <w:rFonts w:ascii="Times New Roman" w:hAnsi="Times New Roman" w:cs="Times New Roman"/>
        </w:rPr>
        <w:t xml:space="preserve"> published by the Intergovernmental Panel on Climate Change were used to convert subsector fuel use data into Scope 1 GHG emissions. However, in calculating CO</w:t>
      </w:r>
      <w:r w:rsidRPr="007E2023">
        <w:rPr>
          <w:rFonts w:ascii="Times New Roman" w:hAnsi="Times New Roman" w:cs="Times New Roman"/>
          <w:vertAlign w:val="subscript"/>
        </w:rPr>
        <w:t>2</w:t>
      </w:r>
      <w:r w:rsidRPr="007E2023">
        <w:rPr>
          <w:rFonts w:ascii="Times New Roman" w:hAnsi="Times New Roman" w:cs="Times New Roman"/>
        </w:rPr>
        <w:t>e emissions for CH</w:t>
      </w:r>
      <w:r w:rsidRPr="007E2023">
        <w:rPr>
          <w:rFonts w:ascii="Times New Roman" w:hAnsi="Times New Roman" w:cs="Times New Roman"/>
          <w:vertAlign w:val="subscript"/>
        </w:rPr>
        <w:t>4</w:t>
      </w:r>
      <w:r w:rsidRPr="007E2023">
        <w:rPr>
          <w:rFonts w:ascii="Times New Roman" w:hAnsi="Times New Roman" w:cs="Times New Roman"/>
        </w:rPr>
        <w:t xml:space="preserve"> and N</w:t>
      </w:r>
      <w:r w:rsidRPr="007E2023">
        <w:rPr>
          <w:rFonts w:ascii="Times New Roman" w:hAnsi="Times New Roman" w:cs="Times New Roman"/>
          <w:vertAlign w:val="subscript"/>
        </w:rPr>
        <w:t>2</w:t>
      </w:r>
      <w:r w:rsidRPr="007E2023">
        <w:rPr>
          <w:rFonts w:ascii="Times New Roman" w:hAnsi="Times New Roman" w:cs="Times New Roman"/>
        </w:rPr>
        <w:t>O from biomass combustion, factors from the World Resources Institute/World Business Council for Sustainable Development</w:t>
      </w:r>
      <w:r w:rsidR="002F7F0B">
        <w:rPr>
          <w:rFonts w:ascii="Times New Roman" w:hAnsi="Times New Roman" w:cs="Times New Roman"/>
        </w:rPr>
        <w:t xml:space="preserve"> </w:t>
      </w:r>
      <w:r w:rsidR="002F7F0B">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{"citationID":"9ktFeQqQ","properties":{"formattedCitation":"\\super 9\\nosupersub{}","plainCitation":"9","noteIndex":0},"citationItems":[{"id":52,"uris":["http://zotero.org/users/18184231/items/V9QEF4ZK"],"itemData":{"id":52,"type":"webpage","title":"GHG Protocol Calculation Tools and Guidance","URL":"https://ghgprotocol.org/calculation-tools-and-guidance?ap3c=IGXmCH6WDeDPomoEAGXmCH6mIt-Db9NCNH00dmje0ZqebCmgPw#sector_specific_tools_id","author":[{"family":"WBCSD","given":""},{"family":"WRI","given":""}],"accessed":{"date-parts":[["2025",9,25]]},"issued":{"date-parts":[["2009"]]}}}],"schema":"https://github.com/citation-style-language/schema/raw/master/csl-citation.json"} </w:instrText>
      </w:r>
      <w:r w:rsidR="002F7F0B">
        <w:rPr>
          <w:rFonts w:ascii="Times New Roman" w:hAnsi="Times New Roman" w:cs="Times New Roman"/>
        </w:rPr>
        <w:fldChar w:fldCharType="separate"/>
      </w:r>
      <w:r w:rsidR="002F7F0B" w:rsidRPr="002F7F0B">
        <w:rPr>
          <w:rFonts w:ascii="Times New Roman" w:hAnsi="Times New Roman" w:cs="Times New Roman"/>
          <w:kern w:val="0"/>
          <w:vertAlign w:val="superscript"/>
        </w:rPr>
        <w:t>9</w:t>
      </w:r>
      <w:r w:rsidR="002F7F0B">
        <w:rPr>
          <w:rFonts w:ascii="Times New Roman" w:hAnsi="Times New Roman" w:cs="Times New Roman"/>
        </w:rPr>
        <w:fldChar w:fldCharType="end"/>
      </w:r>
      <w:r w:rsidR="002F7F0B">
        <w:rPr>
          <w:rFonts w:ascii="Times New Roman" w:hAnsi="Times New Roman" w:cs="Times New Roman"/>
        </w:rPr>
        <w:t xml:space="preserve"> </w:t>
      </w:r>
      <w:r w:rsidRPr="007E2023">
        <w:rPr>
          <w:rFonts w:ascii="Times New Roman" w:hAnsi="Times New Roman" w:cs="Times New Roman"/>
        </w:rPr>
        <w:t>were used because of their better representation of CH</w:t>
      </w:r>
      <w:r w:rsidRPr="007E2023">
        <w:rPr>
          <w:rFonts w:ascii="Times New Roman" w:hAnsi="Times New Roman" w:cs="Times New Roman"/>
          <w:vertAlign w:val="subscript"/>
        </w:rPr>
        <w:t>4</w:t>
      </w:r>
      <w:r w:rsidRPr="007E2023">
        <w:rPr>
          <w:rFonts w:ascii="Times New Roman" w:hAnsi="Times New Roman" w:cs="Times New Roman"/>
        </w:rPr>
        <w:t xml:space="preserve"> and N</w:t>
      </w:r>
      <w:r w:rsidRPr="007E2023">
        <w:rPr>
          <w:rFonts w:ascii="Times New Roman" w:hAnsi="Times New Roman" w:cs="Times New Roman"/>
          <w:vertAlign w:val="subscript"/>
        </w:rPr>
        <w:t>2</w:t>
      </w:r>
      <w:r w:rsidRPr="007E2023">
        <w:rPr>
          <w:rFonts w:ascii="Times New Roman" w:hAnsi="Times New Roman" w:cs="Times New Roman"/>
        </w:rPr>
        <w:t>O emissions from US pulp and paper facilities. Note that only GHG contributions of CH</w:t>
      </w:r>
      <w:r w:rsidRPr="007E2023">
        <w:rPr>
          <w:rFonts w:ascii="Times New Roman" w:hAnsi="Times New Roman" w:cs="Times New Roman"/>
          <w:vertAlign w:val="subscript"/>
        </w:rPr>
        <w:t>4</w:t>
      </w:r>
      <w:r w:rsidRPr="007E2023">
        <w:rPr>
          <w:rFonts w:ascii="Times New Roman" w:hAnsi="Times New Roman" w:cs="Times New Roman"/>
        </w:rPr>
        <w:t xml:space="preserve"> and N</w:t>
      </w:r>
      <w:r w:rsidRPr="007E2023">
        <w:rPr>
          <w:rFonts w:ascii="Times New Roman" w:hAnsi="Times New Roman" w:cs="Times New Roman"/>
          <w:vertAlign w:val="subscript"/>
        </w:rPr>
        <w:t>2</w:t>
      </w:r>
      <w:r w:rsidRPr="007E2023">
        <w:rPr>
          <w:rFonts w:ascii="Times New Roman" w:hAnsi="Times New Roman" w:cs="Times New Roman"/>
        </w:rPr>
        <w:t>O are considered for biomass fuels. GWPs of 25 and 298 are used for CH</w:t>
      </w:r>
      <w:r w:rsidRPr="007E2023">
        <w:rPr>
          <w:rFonts w:ascii="Times New Roman" w:hAnsi="Times New Roman" w:cs="Times New Roman"/>
          <w:vertAlign w:val="subscript"/>
        </w:rPr>
        <w:t>4</w:t>
      </w:r>
      <w:r w:rsidRPr="007E2023">
        <w:rPr>
          <w:rFonts w:ascii="Times New Roman" w:hAnsi="Times New Roman" w:cs="Times New Roman"/>
        </w:rPr>
        <w:t xml:space="preserve"> and N</w:t>
      </w:r>
      <w:r w:rsidRPr="007E2023">
        <w:rPr>
          <w:rFonts w:ascii="Times New Roman" w:hAnsi="Times New Roman" w:cs="Times New Roman"/>
          <w:vertAlign w:val="subscript"/>
        </w:rPr>
        <w:t>2</w:t>
      </w:r>
      <w:r w:rsidRPr="007E2023">
        <w:rPr>
          <w:rFonts w:ascii="Times New Roman" w:hAnsi="Times New Roman" w:cs="Times New Roman"/>
        </w:rPr>
        <w:t xml:space="preserve">O, respectively, as these values are required under US EPA’s GHGRP </w:t>
      </w:r>
      <w:r w:rsidR="002F7F0B">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{"citationID":"lSRUvhcy","properties":{"formattedCitation":"\\super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002F7F0B">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002F7F0B">
        <w:rPr>
          <w:rFonts w:ascii="Times New Roman" w:hAnsi="Times New Roman" w:cs="Times New Roman"/>
        </w:rPr>
        <w:fldChar w:fldCharType="end"/>
      </w:r>
      <w:r w:rsidRPr="007E2023">
        <w:rPr>
          <w:rFonts w:ascii="Times New Roman" w:hAnsi="Times New Roman" w:cs="Times New Roman"/>
        </w:rPr>
        <w:t>. Biogenic CO</w:t>
      </w:r>
      <w:r w:rsidRPr="007E2023">
        <w:rPr>
          <w:rFonts w:ascii="Times New Roman" w:hAnsi="Times New Roman" w:cs="Times New Roman"/>
          <w:vertAlign w:val="subscript"/>
        </w:rPr>
        <w:t>2</w:t>
      </w:r>
      <w:r w:rsidRPr="007E2023">
        <w:rPr>
          <w:rFonts w:ascii="Times New Roman" w:hAnsi="Times New Roman" w:cs="Times New Roman"/>
        </w:rPr>
        <w:t xml:space="preserve"> emissions are not included in calculations of GHG emission totals as they are accounted for in the biomass carbon stock change calculations (see US EPA 2022</w:t>
      </w:r>
      <w:r w:rsidR="002F7F0B">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{"citationID":"QHC58txM","properties":{"formattedCitation":"\\super 11,12\\nosupersub{}","plainCitation":"11,12","noteIndex":0},"citationItems":[{"id":57,"uris":["http://zotero.org/users/18184231/items/WWG2FC8Q"],"itemData":{"id":57,"type":"report","abstract":"View or download the Inventory of U.S. Greenhouse Gas Emissions and Sinks: 1990-2020, including individual chapters and annexes.","genre":"Reports and Assessments","language":"en","number":"EPA 430-R-22-003","title":"Inventory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002F7F0B">
        <w:rPr>
          <w:rFonts w:ascii="Times New Roman" w:hAnsi="Times New Roman" w:cs="Times New Roman"/>
        </w:rPr>
        <w:fldChar w:fldCharType="separate"/>
      </w:r>
      <w:r w:rsidR="002F7F0B" w:rsidRPr="002F7F0B">
        <w:rPr>
          <w:rFonts w:ascii="Times New Roman" w:hAnsi="Times New Roman" w:cs="Times New Roman"/>
          <w:kern w:val="0"/>
          <w:vertAlign w:val="superscript"/>
        </w:rPr>
        <w:t>11,12</w:t>
      </w:r>
      <w:r w:rsidR="002F7F0B">
        <w:rPr>
          <w:rFonts w:ascii="Times New Roman" w:hAnsi="Times New Roman" w:cs="Times New Roman"/>
        </w:rPr>
        <w:fldChar w:fldCharType="end"/>
      </w:r>
      <w:r w:rsidRPr="007E2023">
        <w:rPr>
          <w:rFonts w:ascii="Times New Roman" w:hAnsi="Times New Roman" w:cs="Times New Roman"/>
        </w:rPr>
        <w:t xml:space="preserve"> for more information on biogenic carbon accounting). Nonetheless, these emissions are included for informational purposes, as required in the GHG Protocol Corporate Standard</w:t>
      </w:r>
      <w:r w:rsidR="00AE2CDA">
        <w:rPr>
          <w:rFonts w:ascii="Times New Roman" w:hAnsi="Times New Roman" w:cs="Times New Roman"/>
        </w:rPr>
        <w:fldChar w:fldCharType="begin"/>
      </w:r>
      <w:r w:rsidR="00AE2CDA">
        <w:rPr>
          <w:rFonts w:ascii="Times New Roman" w:hAnsi="Times New Roman" w:cs="Times New Roman"/>
        </w:rPr>
        <w:instrText xml:space="preserve"> ADDIN ZOTERO_ITEM CSL_CITATION {"citationID":"52PytkTi","properties":{"formattedCitation":"\\super 1\\nosupersub{}","plainCitation":"1","noteIndex":0},"citationItems":[{"id":90,"uris":["http://zotero.org/users/18184231/items/2WHR2D6C"],"itemData":{"id":90,"type":"report","language":"en","source":"Zotero","title":"GHG Protocol Corporate Accounting and Reporting Standard","URL":"https://ghgprotocol.org/corporate-standard","author":[{"family":"WBCSD","given":""},{"family":"WRI","given":""}],"issued":{"date-parts":[["2004"]]}}}],"schema":"https://github.com/citation-style-language/schema/raw/master/csl-citation.json"} </w:instrText>
      </w:r>
      <w:r w:rsidR="00AE2CDA">
        <w:rPr>
          <w:rFonts w:ascii="Times New Roman" w:hAnsi="Times New Roman" w:cs="Times New Roman"/>
        </w:rPr>
        <w:fldChar w:fldCharType="separate"/>
      </w:r>
      <w:r w:rsidR="00AE2CDA" w:rsidRPr="00AE2CDA">
        <w:rPr>
          <w:rFonts w:ascii="Times New Roman" w:hAnsi="Times New Roman" w:cs="Times New Roman"/>
          <w:kern w:val="0"/>
          <w:vertAlign w:val="superscript"/>
        </w:rPr>
        <w:t>1</w:t>
      </w:r>
      <w:r w:rsidR="00AE2CDA">
        <w:rPr>
          <w:rFonts w:ascii="Times New Roman" w:hAnsi="Times New Roman" w:cs="Times New Roman"/>
        </w:rPr>
        <w:fldChar w:fldCharType="end"/>
      </w:r>
      <w:r w:rsidRPr="007E2023">
        <w:rPr>
          <w:rFonts w:ascii="Times New Roman" w:hAnsi="Times New Roman" w:cs="Times New Roman"/>
        </w:rPr>
        <w:t xml:space="preserve">. </w:t>
      </w:r>
    </w:p>
    <w:p w14:paraId="12F6BA68" w14:textId="08D6D804" w:rsidR="007E2023" w:rsidRPr="007E2023" w:rsidRDefault="007E2023" w:rsidP="007E2023">
      <w:pPr>
        <w:rPr>
          <w:rFonts w:ascii="Times New Roman" w:hAnsi="Times New Roman" w:cs="Times New Roman"/>
        </w:rPr>
      </w:pPr>
      <w:r w:rsidRPr="007E2023">
        <w:rPr>
          <w:rFonts w:ascii="Times New Roman" w:hAnsi="Times New Roman" w:cs="Times New Roman"/>
        </w:rPr>
        <w:t xml:space="preserve">GHG emission factors for purchased electricity are taken from </w:t>
      </w:r>
      <w:proofErr w:type="spellStart"/>
      <w:r w:rsidRPr="007E2023">
        <w:rPr>
          <w:rFonts w:ascii="Times New Roman" w:hAnsi="Times New Roman" w:cs="Times New Roman"/>
        </w:rPr>
        <w:t>eGRID</w:t>
      </w:r>
      <w:proofErr w:type="spellEnd"/>
      <w:r w:rsidR="00AE2CDA">
        <w:rPr>
          <w:rFonts w:ascii="Times New Roman" w:hAnsi="Times New Roman" w:cs="Times New Roman"/>
        </w:rPr>
        <w:t xml:space="preserve"> </w:t>
      </w:r>
      <w:r w:rsidR="00AE2CDA">
        <w:rPr>
          <w:rFonts w:ascii="Times New Roman" w:hAnsi="Times New Roman" w:cs="Times New Roman"/>
        </w:rPr>
        <w:fldChar w:fldCharType="begin"/>
      </w:r>
      <w:r w:rsidR="00AE2CDA">
        <w:rPr>
          <w:rFonts w:ascii="Times New Roman" w:hAnsi="Times New Roman" w:cs="Times New Roman"/>
        </w:rPr>
        <w:instrText xml:space="preserve"> ADDIN ZOTERO_ITEM CSL_CITATION {"citationID":"ekQHVGCG","properties":{"formattedCitation":"\\super 13\\nosupersub{}","plainCitation":"13","noteIndex":0},"citationItems":[{"id":61,"uris":["http://zotero.org/users/18184231/items/JWYACEVL"],"itemData":{"id":61,"type":"webpage","abstract":"Data about the electric power generated in the United States. The data includes air emissions for nitrogen oxides, sulfur dioxide, carbon dioxide, methane, and nitrous oxide; emissions rates; net generation; resource mix; and and many other attributes.","genre":"Collections and Lists","language":"en","title":"Emissions &amp; Generation Resource Integrated Database (eGRID)","URL":"https://www.epa.gov/egrid","author":[{"family":"United States Environmental Protection Agency (EPA)","given":""}],"accessed":{"date-parts":[["2025",9,25]]},"issued":{"date-parts":[["2020",7,27]]}}}],"schema":"https://github.com/citation-style-language/schema/raw/master/csl-citation.json"} </w:instrText>
      </w:r>
      <w:r w:rsidR="00AE2CDA">
        <w:rPr>
          <w:rFonts w:ascii="Times New Roman" w:hAnsi="Times New Roman" w:cs="Times New Roman"/>
        </w:rPr>
        <w:fldChar w:fldCharType="separate"/>
      </w:r>
      <w:r w:rsidR="00AE2CDA" w:rsidRPr="00AE2CDA">
        <w:rPr>
          <w:rFonts w:ascii="Times New Roman" w:hAnsi="Times New Roman" w:cs="Times New Roman"/>
          <w:kern w:val="0"/>
          <w:vertAlign w:val="superscript"/>
        </w:rPr>
        <w:t>13</w:t>
      </w:r>
      <w:r w:rsidR="00AE2CDA">
        <w:rPr>
          <w:rFonts w:ascii="Times New Roman" w:hAnsi="Times New Roman" w:cs="Times New Roman"/>
        </w:rPr>
        <w:fldChar w:fldCharType="end"/>
      </w:r>
      <w:r w:rsidRPr="007E2023">
        <w:rPr>
          <w:rFonts w:ascii="Times New Roman" w:hAnsi="Times New Roman" w:cs="Times New Roman"/>
        </w:rPr>
        <w:t xml:space="preserve"> and are based on national averages for a given reporting year. Purchased electricity emission factors from </w:t>
      </w:r>
      <w:proofErr w:type="spellStart"/>
      <w:r w:rsidRPr="007E2023">
        <w:rPr>
          <w:rFonts w:ascii="Times New Roman" w:hAnsi="Times New Roman" w:cs="Times New Roman"/>
        </w:rPr>
        <w:t>eGRID</w:t>
      </w:r>
      <w:proofErr w:type="spellEnd"/>
      <w:r w:rsidRPr="007E2023">
        <w:rPr>
          <w:rFonts w:ascii="Times New Roman" w:hAnsi="Times New Roman" w:cs="Times New Roman"/>
        </w:rPr>
        <w:t xml:space="preserve"> date back to 1996. </w:t>
      </w:r>
      <w:proofErr w:type="spellStart"/>
      <w:r w:rsidRPr="007E2023">
        <w:rPr>
          <w:rFonts w:ascii="Times New Roman" w:hAnsi="Times New Roman" w:cs="Times New Roman"/>
        </w:rPr>
        <w:t>eGRID</w:t>
      </w:r>
      <w:proofErr w:type="spellEnd"/>
      <w:r w:rsidRPr="007E2023">
        <w:rPr>
          <w:rFonts w:ascii="Times New Roman" w:hAnsi="Times New Roman" w:cs="Times New Roman"/>
        </w:rPr>
        <w:t xml:space="preserve"> factors from 1996 have been applied to calculate GHG emissions from purchased electricity prior to 1996. Purchased steam emission factors over time are based on the approach used in US DOE Instructions for Form EIA</w:t>
      </w:r>
      <w:r w:rsidRPr="007E2023">
        <w:rPr>
          <w:rFonts w:ascii="Times New Roman" w:hAnsi="Times New Roman" w:cs="Times New Roman"/>
        </w:rPr>
        <w:noBreakHyphen/>
        <w:t>1605</w:t>
      </w:r>
      <w:r w:rsidR="00CA0CAA">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{"citationID":"rjgFS3cY","properties":{"formattedCitation":"\\super 14\\nosupersub{}","plainCitation":"14","noteIndex":0},"citationItems":[{"id":17,"uris":["http://zotero.org/users/18184231/items/EF8SE3ET"],"itemData":{"id":17,"type":"webpage","title":"EIA (US Energy Information Administration). 2007. Instructions for Form EIA-1605 Voluntary Reporting of Greenhouse Gases. April 25, 2007","URL":"https://www.reginfo.gov/public/do/DownloadDocument?objectID=2653501","author":[{"family":"United States Energy Information Agency (EIA)","given":""}],"accessed":{"date-parts":[["2025",9,23]]},"issued":{"date-parts":[["2007"]]}}}],"schema":"https://github.com/citation-style-language/schema/raw/master/csl-citation.json"} </w:instrText>
      </w:r>
      <w:r w:rsidR="00CA0CAA">
        <w:rPr>
          <w:rFonts w:ascii="Times New Roman" w:hAnsi="Times New Roman" w:cs="Times New Roman"/>
        </w:rPr>
        <w:fldChar w:fldCharType="separate"/>
      </w:r>
      <w:r w:rsidR="00CA0CAA" w:rsidRPr="00CA0CAA">
        <w:rPr>
          <w:rFonts w:ascii="Times New Roman" w:hAnsi="Times New Roman" w:cs="Times New Roman"/>
          <w:kern w:val="0"/>
          <w:vertAlign w:val="superscript"/>
        </w:rPr>
        <w:t>14</w:t>
      </w:r>
      <w:r w:rsidR="00CA0CAA">
        <w:rPr>
          <w:rFonts w:ascii="Times New Roman" w:hAnsi="Times New Roman" w:cs="Times New Roman"/>
        </w:rPr>
        <w:fldChar w:fldCharType="end"/>
      </w:r>
      <w:r w:rsidRPr="007E2023">
        <w:rPr>
          <w:rFonts w:ascii="Times New Roman" w:hAnsi="Times New Roman" w:cs="Times New Roman"/>
        </w:rPr>
        <w:t xml:space="preserve"> but using time series EIA MECS data</w:t>
      </w:r>
      <w:r w:rsidR="00CA0CAA">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{"citationID":"60xq6n7r","properties":{"formattedCitation":"\\super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sidR="00CA0CAA">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sidR="00CA0CAA">
        <w:rPr>
          <w:rFonts w:ascii="Times New Roman" w:hAnsi="Times New Roman" w:cs="Times New Roman"/>
        </w:rPr>
        <w:fldChar w:fldCharType="end"/>
      </w:r>
      <w:r w:rsidRPr="007E2023">
        <w:rPr>
          <w:rFonts w:ascii="Times New Roman" w:hAnsi="Times New Roman" w:cs="Times New Roman"/>
        </w:rPr>
        <w:t>. In form EIA</w:t>
      </w:r>
      <w:r w:rsidRPr="007E2023">
        <w:rPr>
          <w:rFonts w:ascii="Times New Roman" w:hAnsi="Times New Roman" w:cs="Times New Roman"/>
        </w:rPr>
        <w:noBreakHyphen/>
        <w:t>1605, the purchased steam emission factor is based on the weighted average from EIA’s 1998 MECS data on quantities of natural gas, coal, and residual and distillate fuel oils consumed as boiler fuel, carbon coefficients provided in EIA's Assumptions to the Annual Energy Outlook 2003</w:t>
      </w:r>
      <w:r w:rsidR="006B64BF">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{"citationID":"SD0zUJeL","properties":{"formattedCitation":"\\super 16\\nosupersub{}","plainCitation":"16","noteIndex":0},"citationItems":[{"id":177,"uris":["http://zotero.org/users/18184231/items/7WF2X6HX"],"itemData":{"id":177,"type":"webpage","title":"U.S. Energy Information Administration - EIA - AEO Archive","URL":"https://www.eia.gov/outlooks/aeo/archive.php","author":[{"family":"United States Energy Information Adminsitration","given":""}],"accessed":{"date-parts":[["2025",12,3]]},"issued":{"date-parts":[["2003"]]}}}],"schema":"https://github.com/citation-style-language/schema/raw/master/csl-citation.json"} </w:instrText>
      </w:r>
      <w:r w:rsidR="006B64BF">
        <w:rPr>
          <w:rFonts w:ascii="Times New Roman" w:hAnsi="Times New Roman" w:cs="Times New Roman"/>
        </w:rPr>
        <w:fldChar w:fldCharType="separate"/>
      </w:r>
      <w:r w:rsidR="006B64BF" w:rsidRPr="006B64BF">
        <w:rPr>
          <w:rFonts w:ascii="Times New Roman" w:hAnsi="Times New Roman" w:cs="Times New Roman"/>
          <w:kern w:val="0"/>
          <w:vertAlign w:val="superscript"/>
        </w:rPr>
        <w:t>16</w:t>
      </w:r>
      <w:r w:rsidR="006B64BF">
        <w:rPr>
          <w:rFonts w:ascii="Times New Roman" w:hAnsi="Times New Roman" w:cs="Times New Roman"/>
        </w:rPr>
        <w:fldChar w:fldCharType="end"/>
      </w:r>
      <w:r w:rsidR="006B64BF">
        <w:rPr>
          <w:rFonts w:ascii="Times New Roman" w:hAnsi="Times New Roman" w:cs="Times New Roman"/>
        </w:rPr>
        <w:t xml:space="preserve"> </w:t>
      </w:r>
      <w:r w:rsidRPr="007E2023">
        <w:rPr>
          <w:rFonts w:ascii="Times New Roman" w:hAnsi="Times New Roman" w:cs="Times New Roman"/>
        </w:rPr>
        <w:t>, and EIA/OIAF efficiency assumptions of 80%, 81%, and 82% for natural gas, coal, and petroleum boilers, respectively. The value also includes 10% loss during transmission. Emission intensities were calculated by dividing GHG emissions by 2018 sector-wide production amounts</w:t>
      </w:r>
      <w:r w:rsidR="006B64BF">
        <w:rPr>
          <w:rFonts w:ascii="Times New Roman" w:hAnsi="Times New Roman" w:cs="Times New Roman"/>
        </w:rPr>
        <w:fldChar w:fldCharType="begin"/>
      </w:r>
      <w:r w:rsidR="00092B8E">
        <w:rPr>
          <w:rFonts w:ascii="Times New Roman" w:hAnsi="Times New Roman" w:cs="Times New Roman"/>
        </w:rPr>
        <w:instrText xml:space="preserve"> ADDIN ZOTERO_ITEM CSL_CITATION {"citationID":"kJBjNWoq","properties":{"formattedCitation":"\\super 17,18\\nosupersub{}","plainCitation":"17,18","noteIndex":0},"citationItems":[{"id":51,"uris":["http://zotero.org/users/local/T7KBDEDi/items/UGVE2HUQ","http://zotero.org/users/18184231/items/UGVE2HUQ"],"itemData":{"id":51,"type":"report","publisher":"AF&amp;PA (American Forest and Paper Association), Washington D.C","title":"2019 Statistics, Paper, Paperboard &amp; Pulp","author":[{"family":"American Forest and Paper Association (AF&amp;PA)","given":""}],"issued":{"date-parts":[["2020"]]}}},{"id":20,"uris":["http://zotero.org/users/18184231/items/KP8C8THJ"],"itemData":{"id":20,"type":"report","publisher":"AF&amp;PA (American Forest and Paper Association), Washington D.C","title":"Capacity and Fiber Consumption - 61st Annual - 2020-2021","author":[{"family":"American Forest and Paper Association (AF&amp;PA)","given":""}],"issued":{"date-parts":[["2021"]]}}}],"schema":"https://github.com/citation-style-language/schema/raw/master/csl-citation.json"} </w:instrText>
      </w:r>
      <w:r w:rsidR="006B64BF">
        <w:rPr>
          <w:rFonts w:ascii="Times New Roman" w:hAnsi="Times New Roman" w:cs="Times New Roman"/>
        </w:rPr>
        <w:fldChar w:fldCharType="separate"/>
      </w:r>
      <w:r w:rsidR="006B64BF" w:rsidRPr="006B64BF">
        <w:rPr>
          <w:rFonts w:ascii="Times New Roman" w:hAnsi="Times New Roman" w:cs="Times New Roman"/>
          <w:kern w:val="0"/>
          <w:vertAlign w:val="superscript"/>
        </w:rPr>
        <w:t>17,18</w:t>
      </w:r>
      <w:r w:rsidR="006B64BF">
        <w:rPr>
          <w:rFonts w:ascii="Times New Roman" w:hAnsi="Times New Roman" w:cs="Times New Roman"/>
        </w:rPr>
        <w:fldChar w:fldCharType="end"/>
      </w:r>
      <w:r w:rsidRPr="007E2023">
        <w:rPr>
          <w:rFonts w:ascii="Times New Roman" w:hAnsi="Times New Roman" w:cs="Times New Roman"/>
        </w:rPr>
        <w:t>.</w:t>
      </w:r>
    </w:p>
    <w:p w14:paraId="1D5BB388" w14:textId="52839C13" w:rsidR="002F7F0B" w:rsidRPr="00590ED8" w:rsidRDefault="002F7F0B" w:rsidP="00632FC1">
      <w:pPr>
        <w:pStyle w:val="Heading1"/>
        <w:rPr>
          <w:rFonts w:ascii="Times New Roman" w:hAnsi="Times New Roman" w:cs="Times New Roman"/>
          <w:b/>
          <w:bCs/>
          <w:color w:val="auto"/>
          <w:sz w:val="24"/>
          <w:szCs w:val="24"/>
        </w:rPr>
      </w:pPr>
      <w:bookmarkStart w:id="14" w:name="_Toc215829604"/>
      <w:r w:rsidRPr="00590ED8">
        <w:rPr>
          <w:rFonts w:ascii="Times New Roman" w:hAnsi="Times New Roman" w:cs="Times New Roman"/>
          <w:b/>
          <w:bCs/>
          <w:color w:val="auto"/>
          <w:sz w:val="24"/>
          <w:szCs w:val="24"/>
        </w:rPr>
        <w:t xml:space="preserve">SCOPE 1 </w:t>
      </w:r>
      <w:r w:rsidR="000566CB">
        <w:rPr>
          <w:rFonts w:ascii="Times New Roman" w:hAnsi="Times New Roman" w:cs="Times New Roman"/>
          <w:b/>
          <w:bCs/>
          <w:color w:val="auto"/>
          <w:sz w:val="24"/>
          <w:szCs w:val="24"/>
        </w:rPr>
        <w:t>COMBUSTION-</w:t>
      </w:r>
      <w:r w:rsidRPr="00590ED8">
        <w:rPr>
          <w:rFonts w:ascii="Times New Roman" w:hAnsi="Times New Roman" w:cs="Times New Roman"/>
          <w:b/>
          <w:bCs/>
          <w:color w:val="auto"/>
          <w:sz w:val="24"/>
          <w:szCs w:val="24"/>
        </w:rPr>
        <w:t>RELATED GHG EMISSIONS</w:t>
      </w:r>
      <w:bookmarkEnd w:id="14"/>
      <w:r w:rsidRPr="00590ED8">
        <w:rPr>
          <w:rFonts w:ascii="Times New Roman" w:hAnsi="Times New Roman" w:cs="Times New Roman"/>
          <w:b/>
          <w:bCs/>
          <w:color w:val="auto"/>
          <w:sz w:val="24"/>
          <w:szCs w:val="24"/>
        </w:rPr>
        <w:t xml:space="preserve"> </w:t>
      </w:r>
    </w:p>
    <w:p w14:paraId="4B81098E" w14:textId="010A8206" w:rsidR="00321DC2" w:rsidRDefault="002F7F0B" w:rsidP="00321DC2">
      <w:pPr>
        <w:rPr>
          <w:rFonts w:ascii="Times New Roman" w:hAnsi="Times New Roman" w:cs="Times New Roman"/>
        </w:rPr>
      </w:pPr>
      <w:r>
        <w:rPr>
          <w:rFonts w:ascii="Times New Roman" w:hAnsi="Times New Roman" w:cs="Times New Roman"/>
        </w:rPr>
        <w:t xml:space="preserve">The </w:t>
      </w:r>
      <w:r w:rsidR="00321DC2" w:rsidRPr="006717D4">
        <w:rPr>
          <w:rFonts w:ascii="Times New Roman" w:hAnsi="Times New Roman" w:cs="Times New Roman"/>
        </w:rPr>
        <w:t xml:space="preserve">forest products industry both purchases and self-generates fuels, electricity, and steam to power its production processes. In this profile, emissions from the combustion of fuels at manufacturing and converting operations are classified as Scope 1 emissions. The emissions released from facilities producing electricity or steam purchased by these operations are accounted for as Scope 2 emissions. Emissions are also released in the production and transport of fuels used by the forest products industry and by its suppliers of electricity and steam. These are Scope 3 emissions. </w:t>
      </w:r>
    </w:p>
    <w:p w14:paraId="4BA5E687" w14:textId="2A51054D"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Historical energy and production data for the US forest products industry have been used to calculate fuel-related GHG trends for the industry since 1990 on both an absolute basis (mass of GHG emissions) and an intensity basis (mass of GHG emissions per unit of production). Direct </w:t>
      </w:r>
      <w:r w:rsidRPr="006717D4">
        <w:rPr>
          <w:rFonts w:ascii="Times New Roman" w:hAnsi="Times New Roman" w:cs="Times New Roman"/>
        </w:rPr>
        <w:lastRenderedPageBreak/>
        <w:t>emissions are reported in units of CO</w:t>
      </w:r>
      <w:r w:rsidRPr="006717D4">
        <w:rPr>
          <w:rFonts w:ascii="Times New Roman" w:hAnsi="Times New Roman" w:cs="Times New Roman"/>
          <w:vertAlign w:val="subscript"/>
        </w:rPr>
        <w:t>2</w:t>
      </w:r>
      <w:r w:rsidRPr="006717D4">
        <w:rPr>
          <w:rFonts w:ascii="Times New Roman" w:hAnsi="Times New Roman" w:cs="Times New Roman"/>
        </w:rPr>
        <w:t>e and calculated as the sum of carbon dioxide (CO</w:t>
      </w:r>
      <w:r w:rsidRPr="006717D4">
        <w:rPr>
          <w:rFonts w:ascii="Times New Roman" w:hAnsi="Times New Roman" w:cs="Times New Roman"/>
          <w:vertAlign w:val="subscript"/>
        </w:rPr>
        <w:t>2</w:t>
      </w:r>
      <w:r w:rsidRPr="006717D4">
        <w:rPr>
          <w:rFonts w:ascii="Times New Roman" w:hAnsi="Times New Roman" w:cs="Times New Roman"/>
        </w:rPr>
        <w:t>), methane (CH</w:t>
      </w:r>
      <w:r w:rsidRPr="006717D4">
        <w:rPr>
          <w:rFonts w:ascii="Times New Roman" w:hAnsi="Times New Roman" w:cs="Times New Roman"/>
          <w:vertAlign w:val="subscript"/>
        </w:rPr>
        <w:t>4</w:t>
      </w:r>
      <w:r w:rsidRPr="006717D4">
        <w:rPr>
          <w:rFonts w:ascii="Times New Roman" w:hAnsi="Times New Roman" w:cs="Times New Roman"/>
        </w:rPr>
        <w:t>), and nitrous oxide (N</w:t>
      </w:r>
      <w:r w:rsidRPr="006717D4">
        <w:rPr>
          <w:rFonts w:ascii="Times New Roman" w:hAnsi="Times New Roman" w:cs="Times New Roman"/>
          <w:vertAlign w:val="subscript"/>
        </w:rPr>
        <w:t>2</w:t>
      </w:r>
      <w:r w:rsidRPr="006717D4">
        <w:rPr>
          <w:rFonts w:ascii="Times New Roman" w:hAnsi="Times New Roman" w:cs="Times New Roman"/>
        </w:rPr>
        <w:t>O) from on-site fossil fuel sources and CH</w:t>
      </w:r>
      <w:r w:rsidRPr="006717D4">
        <w:rPr>
          <w:rFonts w:ascii="Times New Roman" w:hAnsi="Times New Roman" w:cs="Times New Roman"/>
          <w:vertAlign w:val="subscript"/>
        </w:rPr>
        <w:t>4</w:t>
      </w:r>
      <w:r w:rsidRPr="006717D4">
        <w:rPr>
          <w:rFonts w:ascii="Times New Roman" w:hAnsi="Times New Roman" w:cs="Times New Roman"/>
        </w:rPr>
        <w:t xml:space="preserve"> and N</w:t>
      </w:r>
      <w:r w:rsidRPr="006717D4">
        <w:rPr>
          <w:rFonts w:ascii="Times New Roman" w:hAnsi="Times New Roman" w:cs="Times New Roman"/>
          <w:vertAlign w:val="subscript"/>
        </w:rPr>
        <w:t>2</w:t>
      </w:r>
      <w:r w:rsidRPr="006717D4">
        <w:rPr>
          <w:rFonts w:ascii="Times New Roman" w:hAnsi="Times New Roman" w:cs="Times New Roman"/>
        </w:rPr>
        <w:t>O emissions from on-site biomass fuel sources. Global warming potentials (GWPs) of 25 and 298 are used for CH</w:t>
      </w:r>
      <w:r w:rsidRPr="006717D4">
        <w:rPr>
          <w:rFonts w:ascii="Times New Roman" w:hAnsi="Times New Roman" w:cs="Times New Roman"/>
          <w:vertAlign w:val="subscript"/>
        </w:rPr>
        <w:t>4</w:t>
      </w:r>
      <w:r w:rsidRPr="006717D4">
        <w:rPr>
          <w:rFonts w:ascii="Times New Roman" w:hAnsi="Times New Roman" w:cs="Times New Roman"/>
        </w:rPr>
        <w:t xml:space="preserve"> and N</w:t>
      </w:r>
      <w:r w:rsidRPr="006717D4">
        <w:rPr>
          <w:rFonts w:ascii="Times New Roman" w:hAnsi="Times New Roman" w:cs="Times New Roman"/>
          <w:vertAlign w:val="subscript"/>
        </w:rPr>
        <w:t>2</w:t>
      </w:r>
      <w:r w:rsidRPr="006717D4">
        <w:rPr>
          <w:rFonts w:ascii="Times New Roman" w:hAnsi="Times New Roman" w:cs="Times New Roman"/>
        </w:rPr>
        <w:t xml:space="preserve">O, respectively. Details on emission factor sources and GWPs used in calculations are provided </w:t>
      </w:r>
      <w:r w:rsidR="00F33B23">
        <w:rPr>
          <w:rFonts w:ascii="Times New Roman" w:hAnsi="Times New Roman" w:cs="Times New Roman"/>
        </w:rPr>
        <w:t>above</w:t>
      </w:r>
      <w:r w:rsidRPr="006717D4">
        <w:rPr>
          <w:rFonts w:ascii="Times New Roman" w:hAnsi="Times New Roman" w:cs="Times New Roman"/>
        </w:rPr>
        <w:t xml:space="preserve">. </w:t>
      </w:r>
    </w:p>
    <w:p w14:paraId="368998FE" w14:textId="77777777" w:rsidR="00321DC2" w:rsidRPr="000566CB" w:rsidRDefault="00321DC2" w:rsidP="000566CB">
      <w:pPr>
        <w:pStyle w:val="Heading2"/>
        <w:rPr>
          <w:rFonts w:ascii="Times New Roman" w:hAnsi="Times New Roman" w:cs="Times New Roman"/>
          <w:b/>
          <w:bCs/>
          <w:color w:val="auto"/>
          <w:sz w:val="24"/>
          <w:szCs w:val="24"/>
        </w:rPr>
      </w:pPr>
      <w:bookmarkStart w:id="15" w:name="_Toc165549640"/>
      <w:bookmarkStart w:id="16" w:name="_Toc174876777"/>
      <w:bookmarkStart w:id="17" w:name="_Toc215829605"/>
      <w:r w:rsidRPr="000566CB">
        <w:rPr>
          <w:rFonts w:ascii="Times New Roman" w:hAnsi="Times New Roman" w:cs="Times New Roman"/>
          <w:b/>
          <w:bCs/>
          <w:color w:val="auto"/>
          <w:sz w:val="24"/>
          <w:szCs w:val="24"/>
        </w:rPr>
        <w:t>Pulp and Paper Mill Emissions</w:t>
      </w:r>
      <w:bookmarkEnd w:id="15"/>
      <w:bookmarkEnd w:id="16"/>
      <w:bookmarkEnd w:id="17"/>
    </w:p>
    <w:p w14:paraId="57BF1AD8"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t>Data Sources</w:t>
      </w:r>
    </w:p>
    <w:p w14:paraId="5975B0C0" w14:textId="77777777" w:rsidR="00321DC2" w:rsidRPr="006717D4" w:rsidRDefault="00321DC2" w:rsidP="00321DC2">
      <w:pPr>
        <w:rPr>
          <w:rFonts w:ascii="Times New Roman" w:hAnsi="Times New Roman" w:cs="Times New Roman"/>
          <w:u w:val="single"/>
        </w:rPr>
      </w:pPr>
      <w:r w:rsidRPr="006717D4">
        <w:rPr>
          <w:rFonts w:ascii="Times New Roman" w:hAnsi="Times New Roman" w:cs="Times New Roman"/>
          <w:u w:val="single"/>
        </w:rPr>
        <w:t>US Energy Information Administration Manufacturing Energy Consumption Survey</w:t>
      </w:r>
    </w:p>
    <w:p w14:paraId="130A9F41" w14:textId="6D8D6B2D" w:rsidR="00321DC2" w:rsidRPr="006717D4" w:rsidRDefault="00321DC2" w:rsidP="00321DC2">
      <w:pPr>
        <w:rPr>
          <w:rFonts w:ascii="Times New Roman" w:hAnsi="Times New Roman" w:cs="Times New Roman"/>
        </w:rPr>
      </w:pPr>
      <w:r w:rsidRPr="006717D4">
        <w:rPr>
          <w:rFonts w:ascii="Times New Roman" w:hAnsi="Times New Roman" w:cs="Times New Roman"/>
        </w:rPr>
        <w:t>The US Energy Information Administration (EIA) collects information on manufacturing energy use every 4 years as part of its manufacturing energy consumption survey (MECS) effort</w:t>
      </w:r>
      <w:r>
        <w:rPr>
          <w:rFonts w:ascii="Times New Roman" w:hAnsi="Times New Roman" w:cs="Times New Roman"/>
        </w:rPr>
        <w:t xml:space="preserve"> </w:t>
      </w:r>
      <w:r>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{"citationID":"LFSrxq2n","properties":{"formattedCitation":"\\super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Pr>
          <w:rFonts w:ascii="Times New Roman" w:hAnsi="Times New Roman" w:cs="Times New Roman"/>
        </w:rPr>
        <w:fldChar w:fldCharType="end"/>
      </w:r>
      <w:r w:rsidRPr="006717D4">
        <w:rPr>
          <w:rFonts w:ascii="Times New Roman" w:hAnsi="Times New Roman" w:cs="Times New Roman"/>
        </w:rPr>
        <w:t>. While the first EIA MECS was conducted in 1985, detailed energy consumption tables are only available for 1991, 1994, 1998, 2002, 2006, 2010, 2014, and 2018. In terms of industry coverage, the 2018 EIA MECS sample of approximately 15,000 establishments was drawn from a nationally representative sample representing 97 to 98% of the manufacturing payroll. EIA MECS data are considered representative of the entire US pulp and paper industry.</w:t>
      </w:r>
    </w:p>
    <w:p w14:paraId="198C2A80" w14:textId="77777777" w:rsidR="00321DC2" w:rsidRPr="006717D4" w:rsidRDefault="00321DC2" w:rsidP="00321DC2">
      <w:pPr>
        <w:rPr>
          <w:rFonts w:ascii="Times New Roman" w:hAnsi="Times New Roman" w:cs="Times New Roman"/>
          <w:u w:val="single"/>
        </w:rPr>
      </w:pPr>
      <w:r w:rsidRPr="006717D4">
        <w:rPr>
          <w:rFonts w:ascii="Times New Roman" w:hAnsi="Times New Roman" w:cs="Times New Roman"/>
          <w:u w:val="single"/>
        </w:rPr>
        <w:t xml:space="preserve">American Forest and Paper Association/American Paper Institute </w:t>
      </w:r>
    </w:p>
    <w:p w14:paraId="31473895" w14:textId="041BC0A4"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The American Forest and Paper Association (AF&amp;PA) and its predecessor, the </w:t>
      </w:r>
      <w:bookmarkStart w:id="18" w:name="_Hlk174603521"/>
      <w:r w:rsidRPr="006717D4">
        <w:rPr>
          <w:rFonts w:ascii="Times New Roman" w:hAnsi="Times New Roman" w:cs="Times New Roman"/>
        </w:rPr>
        <w:t xml:space="preserve">American Paper Institute </w:t>
      </w:r>
      <w:bookmarkEnd w:id="18"/>
      <w:r w:rsidRPr="006717D4">
        <w:rPr>
          <w:rFonts w:ascii="Times New Roman" w:hAnsi="Times New Roman" w:cs="Times New Roman"/>
        </w:rPr>
        <w:t>(API), have regularly collected industry fuel, energy, and production information. The AF&amp;PA/API fuel, energy, and production data set from 1972 to 2018 was used in this analysis</w:t>
      </w:r>
      <w:r>
        <w:rPr>
          <w:rFonts w:ascii="Times New Roman" w:hAnsi="Times New Roman" w:cs="Times New Roman"/>
        </w:rPr>
        <w:fldChar w:fldCharType="begin"/>
      </w:r>
      <w:r w:rsidR="00092B8E">
        <w:rPr>
          <w:rFonts w:ascii="Times New Roman" w:hAnsi="Times New Roman" w:cs="Times New Roman"/>
        </w:rPr>
        <w:instrText xml:space="preserve"> ADDIN ZOTERO_ITEM CSL_CITATION {"citationID":"8rXmJcVs","properties":{"formattedCitation":"\\super 17,19\\nosupersub{}","plainCitation":"17,19","noteIndex":0},"citationItems":[{"id":51,"uris":["http://zotero.org/users/local/T7KBDEDi/items/UGVE2HUQ","http://zotero.org/users/18184231/items/UGVE2HUQ"],"itemData":{"id":51,"type":"report","publisher":"AF&amp;PA (American Forest and Paper Association), Washington D.C","title":"2019 Statistics, Paper, Paperboard &amp; Pulp","author":[{"family":"American Forest and Paper Association (AF&amp;PA)","given":""}],"issued":{"date-parts":[["2020"]]}}},{"id":41,"uris":["http://zotero.org/users/local/T7KBDEDi/items/GHF986PY","http://zotero.org/users/18184231/items/GHF986PY"],"itemData":{"id":41,"type":"report","publisher":"AF&amp;PA (American Forest and Paper Association), Washington D.C","title":"2020 Statistics, Paper, Paperboard &amp; Pulp","author":[{"family":"American Forest and Paper Association (AF&amp;PA)","given":""}],"issued":{"date-parts":[["2021"]]}}}],"schema":"https://github.com/citation-style-language/schema/raw/master/csl-citation.json"}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17,19</w:t>
      </w:r>
      <w:r>
        <w:rPr>
          <w:rFonts w:ascii="Times New Roman" w:hAnsi="Times New Roman" w:cs="Times New Roman"/>
        </w:rPr>
        <w:fldChar w:fldCharType="end"/>
      </w:r>
      <w:r w:rsidRPr="006717D4">
        <w:rPr>
          <w:rFonts w:ascii="Times New Roman" w:hAnsi="Times New Roman" w:cs="Times New Roman"/>
        </w:rPr>
        <w:t>. For the years 2000 to 2020, the fuel and energy data sets represent only AF&amp;PA members. Therefore, these results were scaled based on a production scaling factor of total US paper, paperboard, and market pulp production from sector-wide production amounts</w:t>
      </w:r>
      <w:r>
        <w:rPr>
          <w:rFonts w:ascii="Times New Roman" w:hAnsi="Times New Roman" w:cs="Times New Roman"/>
        </w:rPr>
        <w:t xml:space="preserve"> </w:t>
      </w:r>
      <w:r>
        <w:rPr>
          <w:rFonts w:ascii="Times New Roman" w:hAnsi="Times New Roman" w:cs="Times New Roman"/>
        </w:rPr>
        <w:fldChar w:fldCharType="begin"/>
      </w:r>
      <w:r w:rsidR="00092B8E">
        <w:rPr>
          <w:rFonts w:ascii="Times New Roman" w:hAnsi="Times New Roman" w:cs="Times New Roman"/>
        </w:rPr>
        <w:instrText xml:space="preserve"> ADDIN ZOTERO_ITEM CSL_CITATION {"citationID":"BvH9dcC8","properties":{"formattedCitation":"\\super 17,19\\nosupersub{}","plainCitation":"17,19","noteIndex":0},"citationItems":[{"id":51,"uris":["http://zotero.org/users/local/T7KBDEDi/items/UGVE2HUQ","http://zotero.org/users/18184231/items/UGVE2HUQ"],"itemData":{"id":51,"type":"report","publisher":"AF&amp;PA (American Forest and Paper Association), Washington D.C","title":"2019 Statistics, Paper, Paperboard &amp; Pulp","author":[{"family":"American Forest and Paper Association (AF&amp;PA)","given":""}],"issued":{"date-parts":[["2020"]]}}},{"id":41,"uris":["http://zotero.org/users/local/T7KBDEDi/items/GHF986PY","http://zotero.org/users/18184231/items/GHF986PY"],"itemData":{"id":41,"type":"report","publisher":"AF&amp;PA (American Forest and Paper Association), Washington D.C","title":"2020 Statistics, Paper, Paperboard &amp; Pulp","author":[{"family":"American Forest and Paper Association (AF&amp;PA)","given":""}],"issued":{"date-parts":[["2021"]]}}}],"schema":"https://github.com/citation-style-language/schema/raw/master/csl-citation.json"}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17,19</w:t>
      </w:r>
      <w:r>
        <w:rPr>
          <w:rFonts w:ascii="Times New Roman" w:hAnsi="Times New Roman" w:cs="Times New Roman"/>
        </w:rPr>
        <w:fldChar w:fldCharType="end"/>
      </w:r>
      <w:r w:rsidRPr="006717D4">
        <w:rPr>
          <w:rFonts w:ascii="Times New Roman" w:hAnsi="Times New Roman" w:cs="Times New Roman"/>
        </w:rPr>
        <w:t xml:space="preserve"> divided by AF&amp;PA member paper, paperboard, and market pulp production for each data year. Throughout this report, AF&amp;PA and API data are referred to as “AF&amp;PA” </w:t>
      </w:r>
      <w:r w:rsidR="00F33B23">
        <w:rPr>
          <w:rFonts w:ascii="Times New Roman" w:hAnsi="Times New Roman" w:cs="Times New Roman"/>
        </w:rPr>
        <w:t xml:space="preserve">or “AF&amp;PA/API” </w:t>
      </w:r>
      <w:r w:rsidRPr="006717D4">
        <w:rPr>
          <w:rFonts w:ascii="Times New Roman" w:hAnsi="Times New Roman" w:cs="Times New Roman"/>
        </w:rPr>
        <w:t>in tables and figures.</w:t>
      </w:r>
    </w:p>
    <w:p w14:paraId="14527BEE" w14:textId="77777777" w:rsidR="00321DC2" w:rsidRPr="006717D4" w:rsidRDefault="00321DC2" w:rsidP="00321DC2">
      <w:pPr>
        <w:rPr>
          <w:rFonts w:ascii="Times New Roman" w:hAnsi="Times New Roman" w:cs="Times New Roman"/>
          <w:u w:val="single"/>
        </w:rPr>
      </w:pPr>
      <w:r w:rsidRPr="006717D4">
        <w:rPr>
          <w:rFonts w:ascii="Times New Roman" w:hAnsi="Times New Roman" w:cs="Times New Roman"/>
          <w:u w:val="single"/>
        </w:rPr>
        <w:t xml:space="preserve">US EPA Greenhouse Gas Reporting Program </w:t>
      </w:r>
    </w:p>
    <w:p w14:paraId="3B691E19" w14:textId="27A186D2" w:rsidR="00321DC2" w:rsidRPr="006717D4" w:rsidRDefault="00321DC2" w:rsidP="00321DC2">
      <w:pPr>
        <w:rPr>
          <w:rFonts w:ascii="Times New Roman" w:hAnsi="Times New Roman" w:cs="Times New Roman"/>
        </w:rPr>
      </w:pPr>
      <w:r w:rsidRPr="006717D4">
        <w:rPr>
          <w:rFonts w:ascii="Times New Roman" w:hAnsi="Times New Roman" w:cs="Times New Roman"/>
        </w:rPr>
        <w:t>The Greenhouse Gas Reporting Program (GHGRP) managed by the US EPA requires reporting of GHG data and other relevant information from large GHG emission sources, fuel and industrial gas suppliers, and CO</w:t>
      </w:r>
      <w:r w:rsidRPr="006717D4">
        <w:rPr>
          <w:rFonts w:ascii="Times New Roman" w:hAnsi="Times New Roman" w:cs="Times New Roman"/>
          <w:vertAlign w:val="subscript"/>
        </w:rPr>
        <w:t>2</w:t>
      </w:r>
      <w:r w:rsidRPr="006717D4">
        <w:rPr>
          <w:rFonts w:ascii="Times New Roman" w:hAnsi="Times New Roman" w:cs="Times New Roman"/>
        </w:rPr>
        <w:t xml:space="preserve"> injection sites in the US</w:t>
      </w:r>
      <w:r>
        <w:rPr>
          <w:rFonts w:ascii="Times New Roman" w:hAnsi="Times New Roman" w:cs="Times New Roman"/>
        </w:rPr>
        <w:t xml:space="preserve"> </w:t>
      </w:r>
      <w:r>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{"citationID":"k1Irx4pl","properties":{"formattedCitation":"\\super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Pr>
          <w:rFonts w:ascii="Times New Roman" w:hAnsi="Times New Roman" w:cs="Times New Roman"/>
        </w:rPr>
        <w:fldChar w:fldCharType="end"/>
      </w:r>
      <w:r w:rsidRPr="006717D4">
        <w:rPr>
          <w:rFonts w:ascii="Times New Roman" w:hAnsi="Times New Roman" w:cs="Times New Roman"/>
        </w:rPr>
        <w:t>. Approximately 8,000 facilities are required to report emissions annually, and the reported data are made available to the public in October of each year. Data reported by the US pulp and paper industry are available annually from 2010 to 2021</w:t>
      </w:r>
      <w:r>
        <w:rPr>
          <w:rFonts w:ascii="Times New Roman" w:hAnsi="Times New Roman" w:cs="Times New Roman"/>
        </w:rPr>
        <w:t xml:space="preserve"> </w:t>
      </w:r>
      <w:r>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{"citationID":"0iWObPbB","properties":{"formattedCitation":"\\super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Pr>
          <w:rFonts w:ascii="Times New Roman" w:hAnsi="Times New Roman" w:cs="Times New Roman"/>
        </w:rPr>
        <w:fldChar w:fldCharType="end"/>
      </w:r>
      <w:r w:rsidRPr="006717D4">
        <w:rPr>
          <w:rFonts w:ascii="Times New Roman" w:hAnsi="Times New Roman" w:cs="Times New Roman"/>
        </w:rPr>
        <w:t>. Generally, the GHGRP requires reporting by facilities emitting more than 25,000 mt CO</w:t>
      </w:r>
      <w:r w:rsidRPr="006717D4">
        <w:rPr>
          <w:rFonts w:ascii="Times New Roman" w:hAnsi="Times New Roman" w:cs="Times New Roman"/>
          <w:vertAlign w:val="subscript"/>
        </w:rPr>
        <w:t>2</w:t>
      </w:r>
      <w:r w:rsidRPr="006717D4">
        <w:rPr>
          <w:rFonts w:ascii="Times New Roman" w:hAnsi="Times New Roman" w:cs="Times New Roman"/>
        </w:rPr>
        <w:t>eq. per year. Approximately 85 to 90% of total GHG emissions in the US are represented by the GHGRP data sets. GHGRP coverage for the pulp and paper sector is estimated to represent essentially 100% of industry emissions from chemical pulp and paper manufacturing and 84 to 95% of emissions from other paper and paperboard sectors.</w:t>
      </w:r>
    </w:p>
    <w:p w14:paraId="4AB4673E"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lastRenderedPageBreak/>
        <w:t>Greenhouse Gase Emissions on an Absolute Basis</w:t>
      </w:r>
    </w:p>
    <w:p w14:paraId="05E99E47" w14:textId="08E03988" w:rsidR="00321DC2" w:rsidRPr="006717D4" w:rsidRDefault="00321DC2" w:rsidP="00321DC2">
      <w:pPr>
        <w:rPr>
          <w:rFonts w:ascii="Times New Roman" w:hAnsi="Times New Roman" w:cs="Times New Roman"/>
        </w:rPr>
      </w:pPr>
      <w:r w:rsidRPr="006717D4">
        <w:rPr>
          <w:rFonts w:ascii="Times New Roman" w:hAnsi="Times New Roman" w:cs="Times New Roman"/>
        </w:rPr>
        <w:t>The fuel-related direct emissions from the pulp and paper sector in 1990, 2005, and 2020 are shown in Table</w:t>
      </w:r>
      <w:r w:rsidR="00F33B23">
        <w:rPr>
          <w:rFonts w:ascii="Times New Roman" w:hAnsi="Times New Roman" w:cs="Times New Roman"/>
        </w:rPr>
        <w:t xml:space="preserve"> S7</w:t>
      </w:r>
      <w:r w:rsidRPr="006717D4">
        <w:rPr>
          <w:rFonts w:ascii="Times New Roman" w:hAnsi="Times New Roman" w:cs="Times New Roman"/>
        </w:rPr>
        <w:t xml:space="preserve">. The trends in these emissions are shown in Figure </w:t>
      </w:r>
      <w:r w:rsidR="00F33B23">
        <w:rPr>
          <w:rFonts w:ascii="Times New Roman" w:hAnsi="Times New Roman" w:cs="Times New Roman"/>
        </w:rPr>
        <w:t>S4</w:t>
      </w:r>
      <w:r w:rsidRPr="006717D4">
        <w:rPr>
          <w:rFonts w:ascii="Times New Roman" w:hAnsi="Times New Roman" w:cs="Times New Roman"/>
        </w:rPr>
        <w:t>. Direct GHG emissions peaked in 1994 for the US pulp and paper industry before decreasing, driven by switching to less GHG-intense fuels, energy efficiency improvements, and production reductions within the industry over time.</w:t>
      </w:r>
    </w:p>
    <w:p w14:paraId="6E69BAB8" w14:textId="77777777"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Since 1990, direct GHG emissions for the US paper, paperboard, and market pulp sector have been reduced by 51%, a result consistent with EIA MECS. Since 2005, emissions have been reduced by 40%. </w:t>
      </w:r>
    </w:p>
    <w:p w14:paraId="692D1622" w14:textId="2E037648" w:rsidR="00321DC2" w:rsidRPr="006717D4" w:rsidRDefault="00321DC2" w:rsidP="00F33B23">
      <w:pPr>
        <w:jc w:val="center"/>
        <w:rPr>
          <w:rFonts w:ascii="Times New Roman" w:hAnsi="Times New Roman" w:cs="Times New Roman"/>
        </w:rPr>
      </w:pPr>
      <w:r w:rsidRPr="006717D4">
        <w:rPr>
          <w:rFonts w:ascii="Times New Roman" w:hAnsi="Times New Roman" w:cs="Times New Roman"/>
          <w:b/>
          <w:bCs/>
        </w:rPr>
        <w:t xml:space="preserve">Table </w:t>
      </w:r>
      <w:r w:rsidR="00F33B23">
        <w:rPr>
          <w:rFonts w:ascii="Times New Roman" w:hAnsi="Times New Roman" w:cs="Times New Roman"/>
          <w:b/>
          <w:bCs/>
        </w:rPr>
        <w:t>S7</w:t>
      </w:r>
      <w:r w:rsidRPr="006717D4">
        <w:rPr>
          <w:rFonts w:ascii="Times New Roman" w:hAnsi="Times New Roman" w:cs="Times New Roman"/>
          <w:b/>
          <w:bCs/>
        </w:rPr>
        <w:t>.</w:t>
      </w:r>
      <w:r w:rsidRPr="006717D4">
        <w:rPr>
          <w:rFonts w:ascii="Times New Roman" w:hAnsi="Times New Roman" w:cs="Times New Roman"/>
        </w:rPr>
        <w:t xml:space="preserve"> Direct Fuel Combustion-Related Emissions from the US Paper, Paperboard, and Market Pulp Sector</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08"/>
        <w:gridCol w:w="1257"/>
        <w:gridCol w:w="1350"/>
        <w:gridCol w:w="3060"/>
        <w:gridCol w:w="2875"/>
      </w:tblGrid>
      <w:tr w:rsidR="00321DC2" w:rsidRPr="006717D4" w14:paraId="48900E11" w14:textId="77777777" w:rsidTr="00360B83">
        <w:tc>
          <w:tcPr>
            <w:tcW w:w="808" w:type="dxa"/>
            <w:shd w:val="clear" w:color="auto" w:fill="D9D9D9" w:themeFill="background1" w:themeFillShade="D9"/>
          </w:tcPr>
          <w:p w14:paraId="01B708C5" w14:textId="77777777" w:rsidR="00321DC2" w:rsidRPr="006717D4" w:rsidRDefault="00321DC2" w:rsidP="00F33B23">
            <w:pPr>
              <w:spacing w:line="278" w:lineRule="auto"/>
              <w:rPr>
                <w:rFonts w:ascii="Times New Roman" w:hAnsi="Times New Roman" w:cs="Times New Roman"/>
              </w:rPr>
            </w:pPr>
          </w:p>
        </w:tc>
        <w:tc>
          <w:tcPr>
            <w:tcW w:w="2607" w:type="dxa"/>
            <w:gridSpan w:val="2"/>
            <w:shd w:val="clear" w:color="auto" w:fill="D9D9D9" w:themeFill="background1" w:themeFillShade="D9"/>
          </w:tcPr>
          <w:p w14:paraId="65D82F0D" w14:textId="6655AB6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 xml:space="preserve">Million Metric </w:t>
            </w:r>
            <w:proofErr w:type="gramStart"/>
            <w:r w:rsidRPr="006717D4">
              <w:rPr>
                <w:rFonts w:ascii="Times New Roman" w:hAnsi="Times New Roman" w:cs="Times New Roman"/>
              </w:rPr>
              <w:t>Tons</w:t>
            </w:r>
            <w:proofErr w:type="gramEnd"/>
            <w:r w:rsidRPr="006717D4">
              <w:rPr>
                <w:rFonts w:ascii="Times New Roman" w:hAnsi="Times New Roman" w:cs="Times New Roman"/>
              </w:rPr>
              <w:t xml:space="preserve"> CO</w:t>
            </w:r>
            <w:r w:rsidRPr="006717D4">
              <w:rPr>
                <w:rFonts w:ascii="Times New Roman" w:hAnsi="Times New Roman" w:cs="Times New Roman"/>
                <w:vertAlign w:val="subscript"/>
              </w:rPr>
              <w:t xml:space="preserve">2 </w:t>
            </w:r>
            <w:r w:rsidRPr="006717D4">
              <w:rPr>
                <w:rFonts w:ascii="Times New Roman" w:hAnsi="Times New Roman" w:cs="Times New Roman"/>
              </w:rPr>
              <w:t>e</w:t>
            </w:r>
          </w:p>
        </w:tc>
        <w:tc>
          <w:tcPr>
            <w:tcW w:w="5935" w:type="dxa"/>
            <w:gridSpan w:val="2"/>
            <w:shd w:val="clear" w:color="auto" w:fill="D9D9D9" w:themeFill="background1" w:themeFillShade="D9"/>
          </w:tcPr>
          <w:p w14:paraId="3191FC7D"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Based on AF&amp;PA Data</w:t>
            </w:r>
          </w:p>
        </w:tc>
      </w:tr>
      <w:tr w:rsidR="00321DC2" w:rsidRPr="006717D4" w14:paraId="0E6CFFD5" w14:textId="77777777" w:rsidTr="00360B83">
        <w:tc>
          <w:tcPr>
            <w:tcW w:w="808" w:type="dxa"/>
            <w:shd w:val="clear" w:color="auto" w:fill="D9D9D9" w:themeFill="background1" w:themeFillShade="D9"/>
          </w:tcPr>
          <w:p w14:paraId="59788707" w14:textId="77777777" w:rsidR="00321DC2" w:rsidRPr="006717D4" w:rsidRDefault="00321DC2" w:rsidP="00F33B23">
            <w:pPr>
              <w:spacing w:line="278" w:lineRule="auto"/>
              <w:rPr>
                <w:rFonts w:ascii="Times New Roman" w:hAnsi="Times New Roman" w:cs="Times New Roman"/>
              </w:rPr>
            </w:pPr>
          </w:p>
        </w:tc>
        <w:tc>
          <w:tcPr>
            <w:tcW w:w="1257" w:type="dxa"/>
            <w:shd w:val="clear" w:color="auto" w:fill="D9D9D9" w:themeFill="background1" w:themeFillShade="D9"/>
          </w:tcPr>
          <w:p w14:paraId="7FE1041C"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AF&amp;PA</w:t>
            </w:r>
          </w:p>
        </w:tc>
        <w:tc>
          <w:tcPr>
            <w:tcW w:w="1350" w:type="dxa"/>
            <w:shd w:val="clear" w:color="auto" w:fill="D9D9D9" w:themeFill="background1" w:themeFillShade="D9"/>
          </w:tcPr>
          <w:p w14:paraId="7667ADF0"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EPA GHGRP</w:t>
            </w:r>
          </w:p>
        </w:tc>
        <w:tc>
          <w:tcPr>
            <w:tcW w:w="3060" w:type="dxa"/>
            <w:shd w:val="clear" w:color="auto" w:fill="D9D9D9" w:themeFill="background1" w:themeFillShade="D9"/>
          </w:tcPr>
          <w:p w14:paraId="0288D57D"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Fraction of 1990 Emissions</w:t>
            </w:r>
          </w:p>
        </w:tc>
        <w:tc>
          <w:tcPr>
            <w:tcW w:w="2875" w:type="dxa"/>
            <w:shd w:val="clear" w:color="auto" w:fill="D9D9D9" w:themeFill="background1" w:themeFillShade="D9"/>
          </w:tcPr>
          <w:p w14:paraId="5672D548"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1B0D26C5" w14:textId="77777777" w:rsidTr="00360B83">
        <w:tc>
          <w:tcPr>
            <w:tcW w:w="808" w:type="dxa"/>
          </w:tcPr>
          <w:p w14:paraId="069F3C3D" w14:textId="77777777" w:rsidR="00321DC2" w:rsidRPr="006717D4" w:rsidRDefault="00321DC2" w:rsidP="00F33B23">
            <w:pPr>
              <w:spacing w:line="278" w:lineRule="auto"/>
              <w:rPr>
                <w:rFonts w:ascii="Times New Roman" w:hAnsi="Times New Roman" w:cs="Times New Roman"/>
              </w:rPr>
            </w:pPr>
            <w:r w:rsidRPr="006717D4">
              <w:rPr>
                <w:rFonts w:ascii="Times New Roman" w:hAnsi="Times New Roman" w:cs="Times New Roman"/>
              </w:rPr>
              <w:t>1990</w:t>
            </w:r>
          </w:p>
        </w:tc>
        <w:tc>
          <w:tcPr>
            <w:tcW w:w="1257" w:type="dxa"/>
          </w:tcPr>
          <w:p w14:paraId="25D6A9EF"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66.9</w:t>
            </w:r>
          </w:p>
        </w:tc>
        <w:tc>
          <w:tcPr>
            <w:tcW w:w="1350" w:type="dxa"/>
          </w:tcPr>
          <w:p w14:paraId="3741EB06"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w:t>
            </w:r>
          </w:p>
        </w:tc>
        <w:tc>
          <w:tcPr>
            <w:tcW w:w="3060" w:type="dxa"/>
          </w:tcPr>
          <w:p w14:paraId="76E21DAB"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1.00</w:t>
            </w:r>
          </w:p>
        </w:tc>
        <w:tc>
          <w:tcPr>
            <w:tcW w:w="2875" w:type="dxa"/>
          </w:tcPr>
          <w:p w14:paraId="5B9916D1" w14:textId="77777777" w:rsidR="00321DC2" w:rsidRPr="006717D4" w:rsidRDefault="00321DC2" w:rsidP="00F33B23">
            <w:pPr>
              <w:spacing w:line="278" w:lineRule="auto"/>
              <w:jc w:val="center"/>
              <w:rPr>
                <w:rFonts w:ascii="Times New Roman" w:hAnsi="Times New Roman" w:cs="Times New Roman"/>
              </w:rPr>
            </w:pPr>
          </w:p>
        </w:tc>
      </w:tr>
      <w:tr w:rsidR="00321DC2" w:rsidRPr="006717D4" w14:paraId="29A1565C" w14:textId="77777777" w:rsidTr="00360B83">
        <w:tc>
          <w:tcPr>
            <w:tcW w:w="808" w:type="dxa"/>
          </w:tcPr>
          <w:p w14:paraId="62951B0C" w14:textId="77777777" w:rsidR="00321DC2" w:rsidRPr="006717D4" w:rsidRDefault="00321DC2" w:rsidP="00F33B23">
            <w:pPr>
              <w:spacing w:line="278" w:lineRule="auto"/>
              <w:rPr>
                <w:rFonts w:ascii="Times New Roman" w:hAnsi="Times New Roman" w:cs="Times New Roman"/>
              </w:rPr>
            </w:pPr>
            <w:r w:rsidRPr="006717D4">
              <w:rPr>
                <w:rFonts w:ascii="Times New Roman" w:hAnsi="Times New Roman" w:cs="Times New Roman"/>
              </w:rPr>
              <w:t>2005</w:t>
            </w:r>
          </w:p>
        </w:tc>
        <w:tc>
          <w:tcPr>
            <w:tcW w:w="1257" w:type="dxa"/>
          </w:tcPr>
          <w:p w14:paraId="0D3B8024"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55.2</w:t>
            </w:r>
          </w:p>
        </w:tc>
        <w:tc>
          <w:tcPr>
            <w:tcW w:w="1350" w:type="dxa"/>
          </w:tcPr>
          <w:p w14:paraId="3EAFA451"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w:t>
            </w:r>
          </w:p>
        </w:tc>
        <w:tc>
          <w:tcPr>
            <w:tcW w:w="3060" w:type="dxa"/>
          </w:tcPr>
          <w:p w14:paraId="733F9CF3"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0.83</w:t>
            </w:r>
          </w:p>
        </w:tc>
        <w:tc>
          <w:tcPr>
            <w:tcW w:w="2875" w:type="dxa"/>
          </w:tcPr>
          <w:p w14:paraId="6A751B33"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170008F7" w14:textId="77777777" w:rsidTr="00360B83">
        <w:tc>
          <w:tcPr>
            <w:tcW w:w="808" w:type="dxa"/>
          </w:tcPr>
          <w:p w14:paraId="2D7AD14D" w14:textId="77777777" w:rsidR="00321DC2" w:rsidRPr="006717D4" w:rsidRDefault="00321DC2" w:rsidP="00F33B23">
            <w:pPr>
              <w:spacing w:line="278" w:lineRule="auto"/>
              <w:rPr>
                <w:rFonts w:ascii="Times New Roman" w:hAnsi="Times New Roman" w:cs="Times New Roman"/>
              </w:rPr>
            </w:pPr>
            <w:r w:rsidRPr="006717D4">
              <w:rPr>
                <w:rFonts w:ascii="Times New Roman" w:hAnsi="Times New Roman" w:cs="Times New Roman"/>
              </w:rPr>
              <w:t>2020</w:t>
            </w:r>
          </w:p>
        </w:tc>
        <w:tc>
          <w:tcPr>
            <w:tcW w:w="1257" w:type="dxa"/>
          </w:tcPr>
          <w:p w14:paraId="5BBC548F"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33.0</w:t>
            </w:r>
          </w:p>
        </w:tc>
        <w:tc>
          <w:tcPr>
            <w:tcW w:w="1350" w:type="dxa"/>
          </w:tcPr>
          <w:p w14:paraId="6304C6C4"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34.9</w:t>
            </w:r>
          </w:p>
        </w:tc>
        <w:tc>
          <w:tcPr>
            <w:tcW w:w="3060" w:type="dxa"/>
          </w:tcPr>
          <w:p w14:paraId="494A3EB8"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0.49</w:t>
            </w:r>
          </w:p>
        </w:tc>
        <w:tc>
          <w:tcPr>
            <w:tcW w:w="2875" w:type="dxa"/>
          </w:tcPr>
          <w:p w14:paraId="4054F9CD" w14:textId="77777777" w:rsidR="00321DC2" w:rsidRPr="006717D4" w:rsidRDefault="00321DC2" w:rsidP="00F33B23">
            <w:pPr>
              <w:spacing w:line="278" w:lineRule="auto"/>
              <w:jc w:val="center"/>
              <w:rPr>
                <w:rFonts w:ascii="Times New Roman" w:hAnsi="Times New Roman" w:cs="Times New Roman"/>
              </w:rPr>
            </w:pPr>
            <w:r w:rsidRPr="006717D4">
              <w:rPr>
                <w:rFonts w:ascii="Times New Roman" w:hAnsi="Times New Roman" w:cs="Times New Roman"/>
              </w:rPr>
              <w:t>0.60</w:t>
            </w:r>
          </w:p>
        </w:tc>
      </w:tr>
    </w:tbl>
    <w:p w14:paraId="776496E3" w14:textId="77777777" w:rsidR="00321DC2" w:rsidRPr="006717D4" w:rsidRDefault="00321DC2" w:rsidP="00321DC2">
      <w:pPr>
        <w:rPr>
          <w:rFonts w:ascii="Times New Roman" w:hAnsi="Times New Roman" w:cs="Times New Roman"/>
        </w:rPr>
      </w:pPr>
    </w:p>
    <w:p w14:paraId="5E62C4B2" w14:textId="77777777" w:rsidR="00321DC2" w:rsidRPr="006717D4" w:rsidRDefault="00321DC2" w:rsidP="00321DC2">
      <w:pPr>
        <w:rPr>
          <w:rFonts w:ascii="Times New Roman" w:hAnsi="Times New Roman" w:cs="Times New Roman"/>
        </w:rPr>
      </w:pPr>
    </w:p>
    <w:p w14:paraId="0E20D901"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7A1D8542" wp14:editId="4359A076">
            <wp:extent cx="4987925" cy="3105036"/>
            <wp:effectExtent l="0" t="0" r="3175" b="635"/>
            <wp:docPr id="6" name="Chart 6">
              <a:extLst xmlns:a="http://schemas.openxmlformats.org/drawingml/2006/main">
                <a:ext uri="{FF2B5EF4-FFF2-40B4-BE49-F238E27FC236}">
                  <a16:creationId xmlns:a16="http://schemas.microsoft.com/office/drawing/2014/main" id="{8B366072-05FC-4D3F-8E38-1CBE1F5F6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31A3E7" w14:textId="39AC28BB"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F33B23">
        <w:rPr>
          <w:rFonts w:ascii="Times New Roman" w:hAnsi="Times New Roman" w:cs="Times New Roman"/>
          <w:b/>
          <w:bCs/>
        </w:rPr>
        <w:t>S4</w:t>
      </w:r>
      <w:r w:rsidRPr="006717D4">
        <w:rPr>
          <w:rFonts w:ascii="Times New Roman" w:hAnsi="Times New Roman" w:cs="Times New Roman"/>
          <w:b/>
          <w:bCs/>
        </w:rPr>
        <w:t>.</w:t>
      </w:r>
      <w:r w:rsidRPr="006717D4">
        <w:rPr>
          <w:rFonts w:ascii="Times New Roman" w:hAnsi="Times New Roman" w:cs="Times New Roman"/>
        </w:rPr>
        <w:t xml:space="preserve"> Direct GHG Emissions Over Time for the US Pulp and Paper Industry</w:t>
      </w:r>
    </w:p>
    <w:p w14:paraId="146992A9" w14:textId="77777777" w:rsidR="00321DC2" w:rsidRPr="006717D4" w:rsidRDefault="00321DC2" w:rsidP="00321DC2">
      <w:pPr>
        <w:rPr>
          <w:rFonts w:ascii="Times New Roman" w:hAnsi="Times New Roman" w:cs="Times New Roman"/>
        </w:rPr>
      </w:pPr>
    </w:p>
    <w:p w14:paraId="312C2AA6"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t>Greenhouse Gase Emissions on an Intensity Basis</w:t>
      </w:r>
    </w:p>
    <w:p w14:paraId="066CE033" w14:textId="5E24FA18"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Figure </w:t>
      </w:r>
      <w:r w:rsidR="00FF458F">
        <w:rPr>
          <w:rFonts w:ascii="Times New Roman" w:hAnsi="Times New Roman" w:cs="Times New Roman"/>
        </w:rPr>
        <w:t>S5</w:t>
      </w:r>
      <w:r w:rsidRPr="006717D4">
        <w:rPr>
          <w:rFonts w:ascii="Times New Roman" w:hAnsi="Times New Roman" w:cs="Times New Roman"/>
        </w:rPr>
        <w:t xml:space="preserve"> shows GHG reductions for the US pulp and paper sector on an intensity basis calculated from EIA MECS and AF&amp;PA data. Since 1990, direct GHG emission intensities for the US pulp and paper sector have been reduced by 48% (0.83 metric tons CO</w:t>
      </w:r>
      <w:r w:rsidRPr="006717D4">
        <w:rPr>
          <w:rFonts w:ascii="Times New Roman" w:hAnsi="Times New Roman" w:cs="Times New Roman"/>
          <w:vertAlign w:val="subscript"/>
        </w:rPr>
        <w:t>2</w:t>
      </w:r>
      <w:r w:rsidRPr="006717D4">
        <w:rPr>
          <w:rFonts w:ascii="Times New Roman" w:hAnsi="Times New Roman" w:cs="Times New Roman"/>
        </w:rPr>
        <w:t xml:space="preserve">eq. per metric ton production in 1990 vs. 0.43 in 2020). </w:t>
      </w:r>
    </w:p>
    <w:p w14:paraId="19E1B95B" w14:textId="77777777" w:rsidR="00321DC2" w:rsidRPr="006717D4" w:rsidRDefault="00321DC2" w:rsidP="00321DC2">
      <w:pPr>
        <w:rPr>
          <w:rFonts w:ascii="Times New Roman" w:hAnsi="Times New Roman" w:cs="Times New Roman"/>
        </w:rPr>
      </w:pPr>
    </w:p>
    <w:p w14:paraId="03908DB6"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3D8FCEFF" wp14:editId="5104DBC3">
            <wp:extent cx="4563836" cy="2741840"/>
            <wp:effectExtent l="0" t="0" r="8255" b="1905"/>
            <wp:docPr id="1447286217" name="Chart 1">
              <a:extLst xmlns:a="http://schemas.openxmlformats.org/drawingml/2006/main">
                <a:ext uri="{FF2B5EF4-FFF2-40B4-BE49-F238E27FC236}">
                  <a16:creationId xmlns:a16="http://schemas.microsoft.com/office/drawing/2014/main" id="{DEDD37E4-23A0-C804-0E5A-E81556F7D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9934B1" w14:textId="4BDFBD73"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FF458F">
        <w:rPr>
          <w:rFonts w:ascii="Times New Roman" w:hAnsi="Times New Roman" w:cs="Times New Roman"/>
          <w:b/>
          <w:bCs/>
        </w:rPr>
        <w:t>S5</w:t>
      </w:r>
      <w:r w:rsidRPr="006717D4">
        <w:rPr>
          <w:rFonts w:ascii="Times New Roman" w:hAnsi="Times New Roman" w:cs="Times New Roman"/>
          <w:b/>
          <w:bCs/>
        </w:rPr>
        <w:t>.</w:t>
      </w:r>
      <w:r w:rsidRPr="006717D4">
        <w:rPr>
          <w:rFonts w:ascii="Times New Roman" w:hAnsi="Times New Roman" w:cs="Times New Roman"/>
        </w:rPr>
        <w:t xml:space="preserve"> Direct US Pulp and Paper Sector GHG Emission Intensity Changes Over Time</w:t>
      </w:r>
    </w:p>
    <w:p w14:paraId="1F873F46" w14:textId="77777777" w:rsidR="00321DC2" w:rsidRPr="006717D4" w:rsidRDefault="00321DC2" w:rsidP="00321DC2">
      <w:pPr>
        <w:rPr>
          <w:rFonts w:ascii="Times New Roman" w:hAnsi="Times New Roman" w:cs="Times New Roman"/>
        </w:rPr>
      </w:pPr>
    </w:p>
    <w:p w14:paraId="22931329" w14:textId="77777777" w:rsidR="00321DC2" w:rsidRPr="006717D4" w:rsidRDefault="00321DC2" w:rsidP="00321DC2">
      <w:pPr>
        <w:rPr>
          <w:rFonts w:ascii="Times New Roman" w:hAnsi="Times New Roman" w:cs="Times New Roman"/>
          <w:bCs/>
          <w:i/>
          <w:iCs/>
        </w:rPr>
      </w:pPr>
      <w:r w:rsidRPr="006717D4">
        <w:rPr>
          <w:rFonts w:ascii="Times New Roman" w:hAnsi="Times New Roman" w:cs="Times New Roman"/>
          <w:bCs/>
          <w:i/>
          <w:iCs/>
        </w:rPr>
        <w:t>Increased Utilization of Biomass</w:t>
      </w:r>
    </w:p>
    <w:p w14:paraId="7F52BE3E" w14:textId="73D2AE5E" w:rsidR="00321DC2" w:rsidRDefault="00321DC2" w:rsidP="00321DC2">
      <w:pPr>
        <w:rPr>
          <w:rFonts w:ascii="Times New Roman" w:hAnsi="Times New Roman" w:cs="Times New Roman"/>
        </w:rPr>
      </w:pPr>
      <w:r w:rsidRPr="006717D4">
        <w:rPr>
          <w:rFonts w:ascii="Times New Roman" w:hAnsi="Times New Roman" w:cs="Times New Roman"/>
        </w:rPr>
        <w:t xml:space="preserve">The US pulp and paper industry derives most of its energy needs from biomass fuels. Biomass </w:t>
      </w:r>
      <w:r>
        <w:rPr>
          <w:rFonts w:ascii="Times New Roman" w:hAnsi="Times New Roman" w:cs="Times New Roman"/>
        </w:rPr>
        <w:t xml:space="preserve">use is often expressed as </w:t>
      </w:r>
      <w:r w:rsidRPr="006717D4">
        <w:rPr>
          <w:rFonts w:ascii="Times New Roman" w:hAnsi="Times New Roman" w:cs="Times New Roman"/>
        </w:rPr>
        <w:t xml:space="preserve">a percentage of total </w:t>
      </w:r>
      <w:r>
        <w:rPr>
          <w:rFonts w:ascii="Times New Roman" w:hAnsi="Times New Roman" w:cs="Times New Roman"/>
        </w:rPr>
        <w:t>“</w:t>
      </w:r>
      <w:r w:rsidRPr="006717D4">
        <w:rPr>
          <w:rFonts w:ascii="Times New Roman" w:hAnsi="Times New Roman" w:cs="Times New Roman"/>
        </w:rPr>
        <w:t>fenceline energy</w:t>
      </w:r>
      <w:r>
        <w:rPr>
          <w:rFonts w:ascii="Times New Roman" w:hAnsi="Times New Roman" w:cs="Times New Roman"/>
        </w:rPr>
        <w:t>”, defined as t</w:t>
      </w:r>
      <w:r w:rsidRPr="008B06A7">
        <w:rPr>
          <w:rFonts w:ascii="Times New Roman" w:hAnsi="Times New Roman" w:cs="Times New Roman"/>
        </w:rPr>
        <w:t>he amount of fuel and energy consumed within a facility measured at the operational or ownership boundary of the facility.</w:t>
      </w:r>
      <w:r w:rsidRPr="006717D4">
        <w:rPr>
          <w:rFonts w:ascii="Times New Roman" w:hAnsi="Times New Roman" w:cs="Times New Roman"/>
        </w:rPr>
        <w:t xml:space="preserve"> </w:t>
      </w:r>
      <w:r>
        <w:rPr>
          <w:rFonts w:ascii="Times New Roman" w:hAnsi="Times New Roman" w:cs="Times New Roman"/>
        </w:rPr>
        <w:t xml:space="preserve">Based on AF&amp;PA data, biomass use, as a percentage of fenceline energy, </w:t>
      </w:r>
      <w:r w:rsidRPr="006717D4">
        <w:rPr>
          <w:rFonts w:ascii="Times New Roman" w:hAnsi="Times New Roman" w:cs="Times New Roman"/>
        </w:rPr>
        <w:t>increased from 56% in 1990 to 65% in 2018. Likewise, EIA MECS data show biomass fuel use increasing from 53% of fenceline energy needs in 1991 to 63% in 2018. Figure </w:t>
      </w:r>
      <w:r w:rsidR="00FF458F">
        <w:rPr>
          <w:rFonts w:ascii="Times New Roman" w:hAnsi="Times New Roman" w:cs="Times New Roman"/>
        </w:rPr>
        <w:t>S6</w:t>
      </w:r>
      <w:r w:rsidRPr="006717D4">
        <w:rPr>
          <w:rFonts w:ascii="Times New Roman" w:hAnsi="Times New Roman" w:cs="Times New Roman"/>
        </w:rPr>
        <w:t xml:space="preserve"> shows trends in biomass energy utilization over time for the US pulp and paper industry. </w:t>
      </w:r>
    </w:p>
    <w:p w14:paraId="24595320" w14:textId="77777777" w:rsidR="00321DC2" w:rsidRDefault="00321DC2" w:rsidP="00321DC2">
      <w:pPr>
        <w:rPr>
          <w:rFonts w:ascii="Times New Roman" w:hAnsi="Times New Roman" w:cs="Times New Roman"/>
        </w:rPr>
      </w:pPr>
    </w:p>
    <w:p w14:paraId="11D6BD2F" w14:textId="77777777" w:rsidR="00321DC2" w:rsidRPr="006717D4" w:rsidRDefault="00321DC2" w:rsidP="00321DC2">
      <w:pPr>
        <w:jc w:val="center"/>
        <w:rPr>
          <w:rFonts w:ascii="Times New Roman" w:hAnsi="Times New Roman" w:cs="Times New Roman"/>
          <w:bCs/>
        </w:rPr>
      </w:pPr>
      <w:r w:rsidRPr="006717D4">
        <w:rPr>
          <w:rFonts w:ascii="Times New Roman" w:hAnsi="Times New Roman" w:cs="Times New Roman"/>
          <w:noProof/>
        </w:rPr>
        <w:lastRenderedPageBreak/>
        <w:drawing>
          <wp:inline distT="0" distB="0" distL="0" distR="0" wp14:anchorId="426F9A7C" wp14:editId="4E866E4C">
            <wp:extent cx="4568825" cy="2741295"/>
            <wp:effectExtent l="0" t="0" r="3175" b="1905"/>
            <wp:docPr id="1679283420" name="Chart 1">
              <a:extLst xmlns:a="http://schemas.openxmlformats.org/drawingml/2006/main">
                <a:ext uri="{FF2B5EF4-FFF2-40B4-BE49-F238E27FC236}">
                  <a16:creationId xmlns:a16="http://schemas.microsoft.com/office/drawing/2014/main" id="{0C9FED2A-A075-5EA6-4986-3A62F23B6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245D48" w14:textId="3ADB23BD" w:rsidR="00321DC2" w:rsidRPr="006717D4" w:rsidRDefault="00321DC2" w:rsidP="00321DC2">
      <w:pPr>
        <w:jc w:val="center"/>
        <w:rPr>
          <w:rFonts w:ascii="Times New Roman" w:hAnsi="Times New Roman" w:cs="Times New Roman"/>
        </w:rPr>
      </w:pPr>
      <w:r w:rsidRPr="006717D4">
        <w:rPr>
          <w:rFonts w:ascii="Times New Roman" w:hAnsi="Times New Roman" w:cs="Times New Roman"/>
          <w:b/>
        </w:rPr>
        <w:t xml:space="preserve">Figure </w:t>
      </w:r>
      <w:r w:rsidR="00FF458F">
        <w:rPr>
          <w:rFonts w:ascii="Times New Roman" w:hAnsi="Times New Roman" w:cs="Times New Roman"/>
          <w:b/>
        </w:rPr>
        <w:t>S6</w:t>
      </w:r>
      <w:r w:rsidRPr="006717D4">
        <w:rPr>
          <w:rFonts w:ascii="Times New Roman" w:hAnsi="Times New Roman" w:cs="Times New Roman"/>
          <w:b/>
        </w:rPr>
        <w:t>.</w:t>
      </w:r>
      <w:r w:rsidRPr="006717D4">
        <w:rPr>
          <w:rFonts w:ascii="Times New Roman" w:hAnsi="Times New Roman" w:cs="Times New Roman"/>
          <w:bCs/>
        </w:rPr>
        <w:t xml:space="preserve"> </w:t>
      </w:r>
      <w:r w:rsidRPr="006717D4">
        <w:rPr>
          <w:rFonts w:ascii="Times New Roman" w:hAnsi="Times New Roman" w:cs="Times New Roman"/>
        </w:rPr>
        <w:t>Biomass Energy as Percent of Total Fenceline Energy Use</w:t>
      </w:r>
    </w:p>
    <w:p w14:paraId="6C1B8F9C" w14:textId="77777777" w:rsidR="00321DC2" w:rsidRDefault="00321DC2" w:rsidP="00321DC2">
      <w:pPr>
        <w:rPr>
          <w:rFonts w:ascii="Times New Roman" w:hAnsi="Times New Roman" w:cs="Times New Roman"/>
          <w:i/>
          <w:iCs/>
        </w:rPr>
      </w:pPr>
    </w:p>
    <w:p w14:paraId="786148A2"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t>Fuel Switching to Less Greenhouse Gas–Intense Fuels</w:t>
      </w:r>
    </w:p>
    <w:p w14:paraId="472C5D85" w14:textId="00AB21DE" w:rsidR="00321DC2" w:rsidRPr="006717D4" w:rsidRDefault="00321DC2" w:rsidP="00321DC2">
      <w:pPr>
        <w:rPr>
          <w:rFonts w:ascii="Times New Roman" w:hAnsi="Times New Roman" w:cs="Times New Roman"/>
        </w:rPr>
      </w:pPr>
      <w:r w:rsidRPr="006717D4">
        <w:rPr>
          <w:rFonts w:ascii="Times New Roman" w:hAnsi="Times New Roman" w:cs="Times New Roman"/>
        </w:rPr>
        <w:t>The on-site energy mix for the US pulp and paper industry over time, based on EIA MECS data, is shown in Figure </w:t>
      </w:r>
      <w:r w:rsidR="00FF458F">
        <w:rPr>
          <w:rFonts w:ascii="Times New Roman" w:hAnsi="Times New Roman" w:cs="Times New Roman"/>
        </w:rPr>
        <w:t>S7</w:t>
      </w:r>
      <w:r w:rsidRPr="006717D4">
        <w:rPr>
          <w:rFonts w:ascii="Times New Roman" w:hAnsi="Times New Roman" w:cs="Times New Roman"/>
        </w:rPr>
        <w:t>. In 1991, coal and other fossil fuels (primarily residual fuel oil) represented 13% and 7% of the on-site energy mix, respectively. In 2018, the coal contribution decreased to 3%, and the other fossil fuels’ contribution decreased to 1%. Between 1991 and 2018, the natural gas energy contribution increased from 20% to 26%, and the biomass energy contribution increased from 53% to 63%. Switching from more GHG-intense fuels, such as coal and residual fuel oil, to less GHG-intense fuels, such as natural gas and biomass, has contributed to GHG reductions on both intensity and absolute bases for the US pulp and paper industry.</w:t>
      </w:r>
    </w:p>
    <w:p w14:paraId="0C0C9C19" w14:textId="77777777" w:rsidR="00321DC2" w:rsidRPr="006717D4" w:rsidRDefault="00321DC2" w:rsidP="00321DC2">
      <w:pPr>
        <w:rPr>
          <w:rFonts w:ascii="Times New Roman" w:hAnsi="Times New Roman" w:cs="Times New Roman"/>
        </w:rPr>
      </w:pPr>
    </w:p>
    <w:p w14:paraId="5ACD2A52"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lastRenderedPageBreak/>
        <w:drawing>
          <wp:inline distT="0" distB="0" distL="0" distR="0" wp14:anchorId="16423EFD" wp14:editId="06774089">
            <wp:extent cx="4288665" cy="2712291"/>
            <wp:effectExtent l="0" t="0" r="17145" b="12065"/>
            <wp:docPr id="11" name="Chart 11">
              <a:extLst xmlns:a="http://schemas.openxmlformats.org/drawingml/2006/main">
                <a:ext uri="{FF2B5EF4-FFF2-40B4-BE49-F238E27FC236}">
                  <a16:creationId xmlns:a16="http://schemas.microsoft.com/office/drawing/2014/main" id="{AA98E502-7042-492D-B3B0-16B9ED51D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DD7152" w14:textId="2D5014D8"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FF458F">
        <w:rPr>
          <w:rFonts w:ascii="Times New Roman" w:hAnsi="Times New Roman" w:cs="Times New Roman"/>
          <w:b/>
          <w:bCs/>
        </w:rPr>
        <w:t>S7</w:t>
      </w:r>
      <w:r w:rsidRPr="006717D4">
        <w:rPr>
          <w:rFonts w:ascii="Times New Roman" w:hAnsi="Times New Roman" w:cs="Times New Roman"/>
          <w:b/>
          <w:bCs/>
        </w:rPr>
        <w:t>.</w:t>
      </w:r>
      <w:r w:rsidRPr="006717D4">
        <w:rPr>
          <w:rFonts w:ascii="Times New Roman" w:hAnsi="Times New Roman" w:cs="Times New Roman"/>
        </w:rPr>
        <w:t xml:space="preserve"> On-site Energy Mix Over Time for the US Pulp and Paper Industry Based on EIA MECS Data</w:t>
      </w:r>
    </w:p>
    <w:p w14:paraId="49510EFC" w14:textId="77777777" w:rsidR="00321DC2" w:rsidRPr="006717D4" w:rsidRDefault="00321DC2" w:rsidP="00321DC2">
      <w:pPr>
        <w:rPr>
          <w:rFonts w:ascii="Times New Roman" w:hAnsi="Times New Roman" w:cs="Times New Roman"/>
        </w:rPr>
      </w:pPr>
    </w:p>
    <w:p w14:paraId="45B8BC3A" w14:textId="77777777" w:rsidR="00321DC2" w:rsidRPr="006717D4" w:rsidRDefault="00321DC2" w:rsidP="00321DC2">
      <w:pPr>
        <w:rPr>
          <w:rFonts w:ascii="Times New Roman" w:hAnsi="Times New Roman" w:cs="Times New Roman"/>
          <w:i/>
          <w:iCs/>
        </w:rPr>
      </w:pPr>
      <w:bookmarkStart w:id="19" w:name="_Hlk130903200"/>
      <w:r w:rsidRPr="006717D4">
        <w:rPr>
          <w:rFonts w:ascii="Times New Roman" w:hAnsi="Times New Roman" w:cs="Times New Roman"/>
          <w:i/>
          <w:iCs/>
        </w:rPr>
        <w:t>Energy Intensity Improvements</w:t>
      </w:r>
    </w:p>
    <w:bookmarkEnd w:id="19"/>
    <w:p w14:paraId="5B19DF60" w14:textId="2B2B526C" w:rsidR="00321DC2" w:rsidRPr="006717D4" w:rsidRDefault="00321DC2" w:rsidP="00321DC2">
      <w:pPr>
        <w:rPr>
          <w:rFonts w:ascii="Times New Roman" w:hAnsi="Times New Roman" w:cs="Times New Roman"/>
        </w:rPr>
      </w:pPr>
      <w:r w:rsidRPr="006717D4">
        <w:rPr>
          <w:rFonts w:ascii="Times New Roman" w:hAnsi="Times New Roman" w:cs="Times New Roman"/>
        </w:rPr>
        <w:t>The overall energy intensity of the US pulp and paper sector has decreased over time as mills have implemented energy efficiency improvements and installed more energy-efficient equipment. There have also been structural changes within the US pulp and paper sector. For instance, printing and writing production, which in general involves more energy-intense production processes, has declined while packaging production, which in general is less energy intensive, has increased. Figure </w:t>
      </w:r>
      <w:r w:rsidR="00FF458F">
        <w:rPr>
          <w:rFonts w:ascii="Times New Roman" w:hAnsi="Times New Roman" w:cs="Times New Roman"/>
        </w:rPr>
        <w:t>S8</w:t>
      </w:r>
      <w:r w:rsidRPr="006717D4">
        <w:rPr>
          <w:rFonts w:ascii="Times New Roman" w:hAnsi="Times New Roman" w:cs="Times New Roman"/>
        </w:rPr>
        <w:t xml:space="preserve"> shows trends in total fenceline energy intensity over time. Both AF&amp;PA and EIA MECS data suggest, however, that energy intensity has been relatively constant since 2005. </w:t>
      </w:r>
    </w:p>
    <w:p w14:paraId="0A9B4BB5"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lastRenderedPageBreak/>
        <w:drawing>
          <wp:inline distT="0" distB="0" distL="0" distR="0" wp14:anchorId="27F38C55" wp14:editId="455B5412">
            <wp:extent cx="5097780" cy="2805830"/>
            <wp:effectExtent l="0" t="0" r="7620" b="13970"/>
            <wp:docPr id="1229423639" name="Chart 1">
              <a:extLst xmlns:a="http://schemas.openxmlformats.org/drawingml/2006/main">
                <a:ext uri="{FF2B5EF4-FFF2-40B4-BE49-F238E27FC236}">
                  <a16:creationId xmlns:a16="http://schemas.microsoft.com/office/drawing/2014/main" id="{58FC6E32-BE06-4607-A557-7006F059F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B40C77" w14:textId="7BEBC363"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FF458F">
        <w:rPr>
          <w:rFonts w:ascii="Times New Roman" w:hAnsi="Times New Roman" w:cs="Times New Roman"/>
          <w:b/>
          <w:bCs/>
        </w:rPr>
        <w:t>S8</w:t>
      </w:r>
      <w:r w:rsidRPr="006717D4">
        <w:rPr>
          <w:rFonts w:ascii="Times New Roman" w:hAnsi="Times New Roman" w:cs="Times New Roman"/>
          <w:b/>
          <w:bCs/>
        </w:rPr>
        <w:t>.</w:t>
      </w:r>
      <w:r w:rsidRPr="006717D4">
        <w:rPr>
          <w:rFonts w:ascii="Times New Roman" w:hAnsi="Times New Roman" w:cs="Times New Roman"/>
        </w:rPr>
        <w:t xml:space="preserve"> Changes in Total Fenceline Energy Intensity Over Time</w:t>
      </w:r>
    </w:p>
    <w:p w14:paraId="504EDD10" w14:textId="7E0D4509" w:rsidR="00321DC2" w:rsidRPr="006717D4" w:rsidRDefault="00321DC2" w:rsidP="00321DC2">
      <w:pPr>
        <w:rPr>
          <w:rFonts w:ascii="Times New Roman" w:hAnsi="Times New Roman" w:cs="Times New Roman"/>
        </w:rPr>
      </w:pPr>
      <w:r w:rsidRPr="006717D4">
        <w:rPr>
          <w:rFonts w:ascii="Times New Roman" w:hAnsi="Times New Roman" w:cs="Times New Roman"/>
        </w:rPr>
        <w:t>Figure </w:t>
      </w:r>
      <w:r w:rsidR="00FF458F">
        <w:rPr>
          <w:rFonts w:ascii="Times New Roman" w:hAnsi="Times New Roman" w:cs="Times New Roman"/>
        </w:rPr>
        <w:t>S9</w:t>
      </w:r>
      <w:r w:rsidRPr="006717D4">
        <w:rPr>
          <w:rFonts w:ascii="Times New Roman" w:hAnsi="Times New Roman" w:cs="Times New Roman"/>
        </w:rPr>
        <w:t xml:space="preserve"> shows total fenceline energy intensity over time divided between fossil fuels, net purchased electricity and steam, and biomass and other renewables</w:t>
      </w:r>
      <w:r w:rsidR="00FF458F">
        <w:rPr>
          <w:rFonts w:ascii="Times New Roman" w:hAnsi="Times New Roman" w:cs="Times New Roman"/>
        </w:rPr>
        <w:t>, based on AF&amp;PA/API data</w:t>
      </w:r>
      <w:r w:rsidRPr="006717D4">
        <w:rPr>
          <w:rFonts w:ascii="Times New Roman" w:hAnsi="Times New Roman" w:cs="Times New Roman"/>
        </w:rPr>
        <w:t>. Biomass use has remained essentially constant at approximately 15 million BTU HHV/short ton of production, but the share of fossil fuel, net purchased electricity, and steam has decreased over time.</w:t>
      </w:r>
    </w:p>
    <w:p w14:paraId="7C83929E"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5BB52369" wp14:editId="4F1C4A10">
            <wp:extent cx="5196840" cy="3001921"/>
            <wp:effectExtent l="0" t="0" r="3810" b="8255"/>
            <wp:docPr id="24" name="Chart 24">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9CA624" w14:textId="07A1D9E5" w:rsidR="00321DC2" w:rsidRPr="006717D4" w:rsidRDefault="00321DC2" w:rsidP="00FF458F">
      <w:pPr>
        <w:jc w:val="center"/>
        <w:rPr>
          <w:rFonts w:ascii="Times New Roman" w:hAnsi="Times New Roman" w:cs="Times New Roman"/>
        </w:rPr>
      </w:pPr>
      <w:r w:rsidRPr="006717D4">
        <w:rPr>
          <w:rFonts w:ascii="Times New Roman" w:hAnsi="Times New Roman" w:cs="Times New Roman"/>
          <w:b/>
          <w:bCs/>
        </w:rPr>
        <w:t xml:space="preserve">Figure </w:t>
      </w:r>
      <w:r w:rsidR="00FF458F">
        <w:rPr>
          <w:rFonts w:ascii="Times New Roman" w:hAnsi="Times New Roman" w:cs="Times New Roman"/>
          <w:b/>
          <w:bCs/>
        </w:rPr>
        <w:t>S9</w:t>
      </w:r>
      <w:r w:rsidRPr="006717D4">
        <w:rPr>
          <w:rFonts w:ascii="Times New Roman" w:hAnsi="Times New Roman" w:cs="Times New Roman"/>
          <w:b/>
          <w:bCs/>
        </w:rPr>
        <w:t>.</w:t>
      </w:r>
      <w:r w:rsidRPr="006717D4">
        <w:rPr>
          <w:rFonts w:ascii="Times New Roman" w:hAnsi="Times New Roman" w:cs="Times New Roman"/>
        </w:rPr>
        <w:t xml:space="preserve"> Changes in Total Fenceline Energy Intensity Over Time and Changes in Biomass and Fossil Energy Share</w:t>
      </w:r>
    </w:p>
    <w:p w14:paraId="3A9E9EE7" w14:textId="77777777" w:rsidR="00321DC2" w:rsidRPr="006717D4" w:rsidRDefault="00321DC2" w:rsidP="00321DC2">
      <w:pPr>
        <w:rPr>
          <w:rFonts w:ascii="Times New Roman" w:hAnsi="Times New Roman" w:cs="Times New Roman"/>
        </w:rPr>
      </w:pPr>
    </w:p>
    <w:p w14:paraId="1A99C4EE"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lastRenderedPageBreak/>
        <w:t>Production Reductions</w:t>
      </w:r>
    </w:p>
    <w:p w14:paraId="1824AFFC" w14:textId="51CA3B90" w:rsidR="00321DC2" w:rsidRPr="006717D4" w:rsidRDefault="00321DC2" w:rsidP="00321DC2">
      <w:pPr>
        <w:rPr>
          <w:rFonts w:ascii="Times New Roman" w:hAnsi="Times New Roman" w:cs="Times New Roman"/>
        </w:rPr>
      </w:pPr>
      <w:r w:rsidRPr="006717D4">
        <w:rPr>
          <w:rFonts w:ascii="Times New Roman" w:hAnsi="Times New Roman" w:cs="Times New Roman"/>
        </w:rPr>
        <w:t>Figure </w:t>
      </w:r>
      <w:r w:rsidR="00FF458F">
        <w:rPr>
          <w:rFonts w:ascii="Times New Roman" w:hAnsi="Times New Roman" w:cs="Times New Roman"/>
        </w:rPr>
        <w:t>S10</w:t>
      </w:r>
      <w:r w:rsidRPr="006717D4">
        <w:rPr>
          <w:rFonts w:ascii="Times New Roman" w:hAnsi="Times New Roman" w:cs="Times New Roman"/>
        </w:rPr>
        <w:t xml:space="preserve"> shows changes in production of paper, paperboard, and market pulp for the US pulp and paper industry over time. Production peaked in approximately 1999 and has declined since. There was an approximately 25% reduction in production between 1999 and 2020. The reduction has driven decreases in absolute GHG emissions as well as indirectly influenced GHG emission intensities. Shuttered production over time in the US has tended to be associated with older, less energy-efficient facilities, and closure of these facilities has led to overall improvements in both energy intensity and GHG intensity in the industry. In addition, increased reliance on recovered fiber as a fraction of fiber supply has contributed to the decline in energy intensity.</w:t>
      </w:r>
      <w:r>
        <w:rPr>
          <w:rFonts w:ascii="Times New Roman" w:hAnsi="Times New Roman" w:cs="Times New Roman"/>
        </w:rPr>
        <w:t xml:space="preserve"> </w:t>
      </w:r>
      <w:r w:rsidRPr="00447BF9">
        <w:rPr>
          <w:rFonts w:ascii="Times New Roman" w:hAnsi="Times New Roman" w:cs="Times New Roman"/>
        </w:rPr>
        <w:t>AF&amp;PA data indicate that wood pulp consumption in the US declined by approximately 23% between 2005 and 2020, while recovered fiber consumption declined by about 8%</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{"citationID":"ghVIsREA","properties":{"formattedCitation":"\\super 18\\nosupersub{}","plainCitation":"18","noteIndex":0},"citationItems":[{"id":20,"uris":["http://zotero.org/users/18184231/items/KP8C8THJ"],"itemData":{"id":20,"type":"report","publisher":"AF&amp;PA (American Forest and Paper Association), Washington D.C","title":"Capacity and Fiber Consumption - 61st Annual - 2020-2021","author":[{"family":"American Forest and Paper Association (AF&amp;PA)","given":""}],"issued":{"date-parts":[["2021"]]}}}],"schema":"https://github.com/citation-style-language/schema/raw/master/csl-citation.json"}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18</w:t>
      </w:r>
      <w:r>
        <w:rPr>
          <w:rFonts w:ascii="Times New Roman" w:hAnsi="Times New Roman" w:cs="Times New Roman"/>
        </w:rPr>
        <w:fldChar w:fldCharType="end"/>
      </w:r>
      <w:r w:rsidRPr="00447BF9">
        <w:rPr>
          <w:rFonts w:ascii="Times New Roman" w:hAnsi="Times New Roman" w:cs="Times New Roman"/>
        </w:rPr>
        <w:t>.</w:t>
      </w:r>
    </w:p>
    <w:p w14:paraId="52802200" w14:textId="77777777" w:rsidR="00321DC2" w:rsidRPr="006717D4" w:rsidRDefault="00321DC2" w:rsidP="00321DC2">
      <w:pPr>
        <w:rPr>
          <w:rFonts w:ascii="Times New Roman" w:hAnsi="Times New Roman" w:cs="Times New Roman"/>
        </w:rPr>
      </w:pPr>
    </w:p>
    <w:p w14:paraId="18A53078"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0B521644" wp14:editId="672CE8FF">
            <wp:extent cx="4899546" cy="2756535"/>
            <wp:effectExtent l="0" t="0" r="15875" b="5715"/>
            <wp:docPr id="1216424296" name="Chart 1">
              <a:extLst xmlns:a="http://schemas.openxmlformats.org/drawingml/2006/main">
                <a:ext uri="{FF2B5EF4-FFF2-40B4-BE49-F238E27FC236}">
                  <a16:creationId xmlns:a16="http://schemas.microsoft.com/office/drawing/2014/main" id="{891B7EA5-810A-4F45-E3D1-13B04E6CD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41369A" w14:textId="11D94F27"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FF458F">
        <w:rPr>
          <w:rFonts w:ascii="Times New Roman" w:hAnsi="Times New Roman" w:cs="Times New Roman"/>
          <w:b/>
          <w:bCs/>
        </w:rPr>
        <w:t>S10</w:t>
      </w:r>
      <w:r w:rsidRPr="006717D4">
        <w:rPr>
          <w:rFonts w:ascii="Times New Roman" w:hAnsi="Times New Roman" w:cs="Times New Roman"/>
          <w:b/>
          <w:bCs/>
        </w:rPr>
        <w:t>.</w:t>
      </w:r>
      <w:r w:rsidRPr="006717D4">
        <w:rPr>
          <w:rFonts w:ascii="Times New Roman" w:hAnsi="Times New Roman" w:cs="Times New Roman"/>
        </w:rPr>
        <w:t xml:space="preserve"> Changes in US Pulp and Paper Production Over Time</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{"citationID":"vQw0sx4r","properties":{"formattedCitation":"\\super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Pr>
          <w:rFonts w:ascii="Times New Roman" w:hAnsi="Times New Roman" w:cs="Times New Roman"/>
        </w:rPr>
        <w:fldChar w:fldCharType="end"/>
      </w:r>
    </w:p>
    <w:p w14:paraId="24D85E9B" w14:textId="77777777" w:rsidR="00321DC2" w:rsidRPr="006717D4" w:rsidRDefault="00321DC2" w:rsidP="00321DC2">
      <w:pPr>
        <w:rPr>
          <w:rFonts w:ascii="Times New Roman" w:hAnsi="Times New Roman" w:cs="Times New Roman"/>
        </w:rPr>
      </w:pPr>
    </w:p>
    <w:p w14:paraId="1BB21DAD" w14:textId="77777777" w:rsidR="00321DC2" w:rsidRPr="000566CB" w:rsidRDefault="00321DC2" w:rsidP="000566CB">
      <w:pPr>
        <w:pStyle w:val="Heading2"/>
        <w:rPr>
          <w:rFonts w:ascii="Times New Roman" w:hAnsi="Times New Roman" w:cs="Times New Roman"/>
          <w:b/>
          <w:bCs/>
          <w:color w:val="auto"/>
          <w:sz w:val="24"/>
          <w:szCs w:val="24"/>
        </w:rPr>
      </w:pPr>
      <w:bookmarkStart w:id="20" w:name="_Toc134889096"/>
      <w:bookmarkStart w:id="21" w:name="_Toc157073326"/>
      <w:bookmarkStart w:id="22" w:name="_Toc165549641"/>
      <w:bookmarkStart w:id="23" w:name="_Toc174876778"/>
      <w:bookmarkStart w:id="24" w:name="_Toc215829606"/>
      <w:r w:rsidRPr="000566CB">
        <w:rPr>
          <w:rFonts w:ascii="Times New Roman" w:hAnsi="Times New Roman" w:cs="Times New Roman"/>
          <w:b/>
          <w:bCs/>
          <w:color w:val="auto"/>
          <w:sz w:val="24"/>
          <w:szCs w:val="24"/>
        </w:rPr>
        <w:t>Wood Products Mills</w:t>
      </w:r>
      <w:bookmarkEnd w:id="20"/>
      <w:bookmarkEnd w:id="21"/>
      <w:bookmarkEnd w:id="22"/>
      <w:bookmarkEnd w:id="23"/>
      <w:bookmarkEnd w:id="24"/>
    </w:p>
    <w:p w14:paraId="1B29469F" w14:textId="5BAD72FB"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Combustion-related emissions from wood product facilities were calculated from energy consumption data in MECS reports from 1991 through 2018 and wood products production from FAOSTAT’s Forestry Production and Trade database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{"citationID":"tviJR5mb","properties":{"formattedCitation":"\\super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Pr>
          <w:rFonts w:ascii="Times New Roman" w:hAnsi="Times New Roman" w:cs="Times New Roman"/>
        </w:rPr>
        <w:fldChar w:fldCharType="end"/>
      </w:r>
      <w:r w:rsidRPr="006717D4">
        <w:rPr>
          <w:rFonts w:ascii="Times New Roman" w:hAnsi="Times New Roman" w:cs="Times New Roman"/>
        </w:rPr>
        <w:t>. Emissions from primary manufacturing were estimated by summing the subsector values for NAICS 321 (wood products).</w:t>
      </w:r>
      <w:r w:rsidRPr="00447BF9">
        <w:t xml:space="preserve"> </w:t>
      </w:r>
      <w:r>
        <w:t>(</w:t>
      </w:r>
      <w:r w:rsidRPr="00447BF9">
        <w:rPr>
          <w:rFonts w:ascii="Times New Roman" w:hAnsi="Times New Roman" w:cs="Times New Roman"/>
        </w:rPr>
        <w:t>NAICS is the North American Industry Classification System. It replaced the Standard Industrial Classification (SIC) system in 1997.</w:t>
      </w:r>
      <w:r>
        <w:rPr>
          <w:rFonts w:ascii="Times New Roman" w:hAnsi="Times New Roman" w:cs="Times New Roman"/>
        </w:rPr>
        <w:t>)</w:t>
      </w:r>
      <w:r w:rsidRPr="006717D4">
        <w:rPr>
          <w:rFonts w:ascii="Times New Roman" w:hAnsi="Times New Roman" w:cs="Times New Roman"/>
        </w:rPr>
        <w:t xml:space="preserve"> The subsectors are NAICS 32113 (sawmills), NAICS 3212 (veneer, plywood, and engineered wood products), and NAICS 3219 (other wood products). The difference between the NAICS 321 total and the sum of the subsectors was assigned to wood </w:t>
      </w:r>
      <w:r w:rsidRPr="006717D4">
        <w:rPr>
          <w:rFonts w:ascii="Times New Roman" w:hAnsi="Times New Roman" w:cs="Times New Roman"/>
        </w:rPr>
        <w:lastRenderedPageBreak/>
        <w:t>products converting. In the case of wood products, the changeover to NAICS codes from Standard Industrial Classification (SIC) codes in 1997 makes it difficult to interpret the subsector data for 1991 and 1994, so only the sector totals are used for 1991 and 1994.</w:t>
      </w:r>
      <w:r>
        <w:rPr>
          <w:rFonts w:ascii="Times New Roman" w:hAnsi="Times New Roman" w:cs="Times New Roman"/>
        </w:rPr>
        <w:t xml:space="preserve"> </w:t>
      </w:r>
      <w:r w:rsidRPr="00447BF9">
        <w:rPr>
          <w:rFonts w:ascii="Times New Roman" w:hAnsi="Times New Roman" w:cs="Times New Roman"/>
        </w:rPr>
        <w:t>This difficulty was not encountered in the pulp and paper sector, where the alignment between NAICS and SIC codes was clearer.</w:t>
      </w:r>
      <w:r w:rsidRPr="006717D4">
        <w:rPr>
          <w:rFonts w:ascii="Times New Roman" w:hAnsi="Times New Roman" w:cs="Times New Roman"/>
        </w:rPr>
        <w:t xml:space="preserve"> As a result, there is no residual (i.e., the difference between the sector total and the sum of subsectors) to </w:t>
      </w:r>
      <w:proofErr w:type="gramStart"/>
      <w:r w:rsidRPr="006717D4">
        <w:rPr>
          <w:rFonts w:ascii="Times New Roman" w:hAnsi="Times New Roman" w:cs="Times New Roman"/>
        </w:rPr>
        <w:t>assign to</w:t>
      </w:r>
      <w:proofErr w:type="gramEnd"/>
      <w:r w:rsidRPr="006717D4">
        <w:rPr>
          <w:rFonts w:ascii="Times New Roman" w:hAnsi="Times New Roman" w:cs="Times New Roman"/>
        </w:rPr>
        <w:t xml:space="preserve"> wood products converting for 1991 and 1994. Instead, these converting-related emissions are included with primary manufacturing emissions.</w:t>
      </w:r>
    </w:p>
    <w:p w14:paraId="19871443" w14:textId="2EF82DE5"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The US production data for wood products are shown in Figure </w:t>
      </w:r>
      <w:r w:rsidR="00FF458F">
        <w:rPr>
          <w:rFonts w:ascii="Times New Roman" w:hAnsi="Times New Roman" w:cs="Times New Roman"/>
        </w:rPr>
        <w:t>S11</w:t>
      </w:r>
      <w:r w:rsidRPr="006717D4">
        <w:rPr>
          <w:rFonts w:ascii="Times New Roman" w:hAnsi="Times New Roman" w:cs="Times New Roman"/>
        </w:rPr>
        <w:t xml:space="preserve">. Output increased slowly from 1990 to 2005, dropped during the recession of 2007 to 2009, and then slowly increased from 2010 to 2018. </w:t>
      </w:r>
    </w:p>
    <w:p w14:paraId="6E21014A" w14:textId="43F17E65"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Emissions, calculated from EIA MECS energy data, are shown in Figure </w:t>
      </w:r>
      <w:r w:rsidR="00FF458F">
        <w:rPr>
          <w:rFonts w:ascii="Times New Roman" w:hAnsi="Times New Roman" w:cs="Times New Roman"/>
        </w:rPr>
        <w:t>S12</w:t>
      </w:r>
      <w:r w:rsidRPr="006717D4">
        <w:rPr>
          <w:rFonts w:ascii="Times New Roman" w:hAnsi="Times New Roman" w:cs="Times New Roman"/>
        </w:rPr>
        <w:t xml:space="preserve"> and follow a pattern </w:t>
      </w:r>
      <w:proofErr w:type="gramStart"/>
      <w:r w:rsidRPr="006717D4">
        <w:rPr>
          <w:rFonts w:ascii="Times New Roman" w:hAnsi="Times New Roman" w:cs="Times New Roman"/>
        </w:rPr>
        <w:t>similar to</w:t>
      </w:r>
      <w:proofErr w:type="gramEnd"/>
      <w:r w:rsidRPr="006717D4">
        <w:rPr>
          <w:rFonts w:ascii="Times New Roman" w:hAnsi="Times New Roman" w:cs="Times New Roman"/>
        </w:rPr>
        <w:t xml:space="preserve"> that of wood products production. The on-site energy mix for the US wood products sector is given in Figure </w:t>
      </w:r>
      <w:r w:rsidR="00FF458F">
        <w:rPr>
          <w:rFonts w:ascii="Times New Roman" w:hAnsi="Times New Roman" w:cs="Times New Roman"/>
        </w:rPr>
        <w:t>S13</w:t>
      </w:r>
      <w:r w:rsidRPr="006717D4">
        <w:rPr>
          <w:rFonts w:ascii="Times New Roman" w:hAnsi="Times New Roman" w:cs="Times New Roman"/>
        </w:rPr>
        <w:t xml:space="preserve">. Biomass energy sources provided approximately two-thirds of the energy needs for the wood products sector between 1991 and 2018. For this profile, the EIA MECS–based emissions for 1991, 2006, and 2018 are used to represent the years 1990, 2005, and 2020. As noted previously, the values for primary manufacturing subsectors and the total for NAICS 321 are the same for 1990 and 1994 due to the change from SIC codes to NAICS codes in 1997. Table </w:t>
      </w:r>
      <w:r w:rsidR="00FF458F">
        <w:rPr>
          <w:rFonts w:ascii="Times New Roman" w:hAnsi="Times New Roman" w:cs="Times New Roman"/>
        </w:rPr>
        <w:t>S8</w:t>
      </w:r>
      <w:r w:rsidRPr="006717D4">
        <w:rPr>
          <w:rFonts w:ascii="Times New Roman" w:hAnsi="Times New Roman" w:cs="Times New Roman"/>
        </w:rPr>
        <w:t xml:space="preserve"> shows emissions and changes over time. </w:t>
      </w:r>
    </w:p>
    <w:p w14:paraId="033B6182" w14:textId="77777777" w:rsidR="00321DC2" w:rsidRPr="006717D4" w:rsidRDefault="00321DC2" w:rsidP="00321DC2">
      <w:pPr>
        <w:rPr>
          <w:rFonts w:ascii="Times New Roman" w:hAnsi="Times New Roman" w:cs="Times New Roman"/>
        </w:rPr>
      </w:pPr>
    </w:p>
    <w:p w14:paraId="181861D1"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40F3649D" wp14:editId="5467BD0A">
            <wp:extent cx="4568825" cy="2691994"/>
            <wp:effectExtent l="0" t="0" r="3175" b="13335"/>
            <wp:docPr id="530282984" name="Chart 1">
              <a:extLst xmlns:a="http://schemas.openxmlformats.org/drawingml/2006/main">
                <a:ext uri="{FF2B5EF4-FFF2-40B4-BE49-F238E27FC236}">
                  <a16:creationId xmlns:a16="http://schemas.microsoft.com/office/drawing/2014/main" id="{C8D3F182-D841-F7C4-117B-A1D4D13A8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6D3B22" w14:textId="0B31CA57"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FF458F">
        <w:rPr>
          <w:rFonts w:ascii="Times New Roman" w:hAnsi="Times New Roman" w:cs="Times New Roman"/>
          <w:b/>
          <w:bCs/>
        </w:rPr>
        <w:t>S11</w:t>
      </w:r>
      <w:r w:rsidRPr="006717D4">
        <w:rPr>
          <w:rFonts w:ascii="Times New Roman" w:hAnsi="Times New Roman" w:cs="Times New Roman"/>
          <w:b/>
          <w:bCs/>
        </w:rPr>
        <w:t>.</w:t>
      </w:r>
      <w:r w:rsidRPr="006717D4">
        <w:rPr>
          <w:rFonts w:ascii="Times New Roman" w:hAnsi="Times New Roman" w:cs="Times New Roman"/>
        </w:rPr>
        <w:t xml:space="preserve"> Production of US Wood Products</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{"citationID":"6icWAAhZ","properties":{"formattedCitation":"\\super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Pr>
          <w:rFonts w:ascii="Times New Roman" w:hAnsi="Times New Roman" w:cs="Times New Roman"/>
        </w:rPr>
        <w:fldChar w:fldCharType="end"/>
      </w:r>
    </w:p>
    <w:p w14:paraId="4B827EA3" w14:textId="77777777" w:rsidR="00321DC2" w:rsidRPr="006717D4" w:rsidRDefault="00321DC2" w:rsidP="00321DC2">
      <w:pPr>
        <w:rPr>
          <w:rFonts w:ascii="Times New Roman" w:hAnsi="Times New Roman" w:cs="Times New Roman"/>
        </w:rPr>
      </w:pPr>
    </w:p>
    <w:p w14:paraId="684113A5"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lastRenderedPageBreak/>
        <w:drawing>
          <wp:inline distT="0" distB="0" distL="0" distR="0" wp14:anchorId="2ACC18F4" wp14:editId="72E606D4">
            <wp:extent cx="4551528" cy="2558415"/>
            <wp:effectExtent l="0" t="0" r="1905" b="13335"/>
            <wp:docPr id="6494787" name="Chart 1">
              <a:extLst xmlns:a="http://schemas.openxmlformats.org/drawingml/2006/main">
                <a:ext uri="{FF2B5EF4-FFF2-40B4-BE49-F238E27FC236}">
                  <a16:creationId xmlns:a16="http://schemas.microsoft.com/office/drawing/2014/main" id="{9EB776AF-4DB3-33EF-D1DF-D6393E933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9B9861" w14:textId="0F1DF466" w:rsidR="00321DC2" w:rsidRDefault="00321DC2" w:rsidP="00321DC2">
      <w:pPr>
        <w:spacing w:after="0"/>
        <w:jc w:val="center"/>
        <w:rPr>
          <w:rFonts w:ascii="Times New Roman" w:hAnsi="Times New Roman" w:cs="Times New Roman"/>
        </w:rPr>
      </w:pPr>
      <w:r w:rsidRPr="006717D4">
        <w:rPr>
          <w:rFonts w:ascii="Times New Roman" w:hAnsi="Times New Roman" w:cs="Times New Roman"/>
          <w:b/>
          <w:bCs/>
        </w:rPr>
        <w:t xml:space="preserve">Figure </w:t>
      </w:r>
      <w:r w:rsidR="00FF458F">
        <w:rPr>
          <w:rFonts w:ascii="Times New Roman" w:hAnsi="Times New Roman" w:cs="Times New Roman"/>
          <w:b/>
          <w:bCs/>
        </w:rPr>
        <w:t>S12</w:t>
      </w:r>
      <w:r w:rsidRPr="006717D4">
        <w:rPr>
          <w:rFonts w:ascii="Times New Roman" w:hAnsi="Times New Roman" w:cs="Times New Roman"/>
          <w:b/>
          <w:bCs/>
        </w:rPr>
        <w:t>.</w:t>
      </w:r>
      <w:r w:rsidRPr="006717D4">
        <w:rPr>
          <w:rFonts w:ascii="Times New Roman" w:hAnsi="Times New Roman" w:cs="Times New Roman"/>
        </w:rPr>
        <w:t xml:space="preserve"> Emissions from US Wood Products Facilities </w:t>
      </w:r>
      <w:r>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{"citationID":"mgAcr0l7","properties":{"formattedCitation":"\\super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Pr>
          <w:rFonts w:ascii="Times New Roman" w:hAnsi="Times New Roman" w:cs="Times New Roman"/>
        </w:rPr>
        <w:fldChar w:fldCharType="end"/>
      </w:r>
    </w:p>
    <w:p w14:paraId="2331893F" w14:textId="77777777" w:rsidR="00321DC2" w:rsidRPr="006717D4" w:rsidRDefault="00321DC2" w:rsidP="00321DC2">
      <w:pPr>
        <w:jc w:val="center"/>
        <w:rPr>
          <w:rFonts w:ascii="Times New Roman" w:hAnsi="Times New Roman" w:cs="Times New Roman"/>
        </w:rPr>
      </w:pPr>
      <w:r>
        <w:rPr>
          <w:rFonts w:ascii="Times New Roman" w:hAnsi="Times New Roman" w:cs="Times New Roman"/>
        </w:rPr>
        <w:t xml:space="preserve">(Note: </w:t>
      </w:r>
      <w:r w:rsidRPr="00447BF9">
        <w:rPr>
          <w:rFonts w:ascii="Times New Roman" w:hAnsi="Times New Roman" w:cs="Times New Roman"/>
        </w:rPr>
        <w:t>US Department of Energy withheld 2010 MECS data for distillate oil for sawmills due to confidentiality concerns. For this report, a value equal to the average of 2006 and 2014 was used.</w:t>
      </w:r>
      <w:r>
        <w:rPr>
          <w:rFonts w:ascii="Times New Roman" w:hAnsi="Times New Roman" w:cs="Times New Roman"/>
        </w:rPr>
        <w:t>)</w:t>
      </w:r>
    </w:p>
    <w:p w14:paraId="3E6AFEB8" w14:textId="77777777" w:rsidR="00321DC2" w:rsidRPr="006717D4" w:rsidRDefault="00321DC2" w:rsidP="00321DC2">
      <w:pPr>
        <w:rPr>
          <w:rFonts w:ascii="Times New Roman" w:hAnsi="Times New Roman" w:cs="Times New Roman"/>
        </w:rPr>
      </w:pPr>
    </w:p>
    <w:p w14:paraId="29BAA19A"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7DA0EA13" wp14:editId="2140CCDF">
            <wp:extent cx="4572000" cy="2567940"/>
            <wp:effectExtent l="0" t="0" r="0" b="3810"/>
            <wp:docPr id="1040151648"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D652BB" w14:textId="5A4D4E19" w:rsidR="00321DC2" w:rsidRPr="006717D4" w:rsidRDefault="00321DC2" w:rsidP="00321DC2">
      <w:pPr>
        <w:jc w:val="center"/>
        <w:rPr>
          <w:rFonts w:ascii="Times New Roman" w:hAnsi="Times New Roman" w:cs="Times New Roman"/>
        </w:rPr>
      </w:pPr>
      <w:bookmarkStart w:id="25" w:name="_Ref143092759"/>
      <w:r w:rsidRPr="006717D4">
        <w:rPr>
          <w:rFonts w:ascii="Times New Roman" w:hAnsi="Times New Roman" w:cs="Times New Roman"/>
          <w:b/>
          <w:bCs/>
        </w:rPr>
        <w:t>Figure</w:t>
      </w:r>
      <w:bookmarkEnd w:id="25"/>
      <w:r w:rsidRPr="006717D4">
        <w:rPr>
          <w:rFonts w:ascii="Times New Roman" w:hAnsi="Times New Roman" w:cs="Times New Roman"/>
          <w:b/>
          <w:bCs/>
        </w:rPr>
        <w:t xml:space="preserve"> </w:t>
      </w:r>
      <w:r w:rsidR="00FF458F">
        <w:rPr>
          <w:rFonts w:ascii="Times New Roman" w:hAnsi="Times New Roman" w:cs="Times New Roman"/>
          <w:b/>
          <w:bCs/>
        </w:rPr>
        <w:t>S13</w:t>
      </w:r>
      <w:r w:rsidRPr="006717D4">
        <w:rPr>
          <w:rFonts w:ascii="Times New Roman" w:hAnsi="Times New Roman" w:cs="Times New Roman"/>
          <w:b/>
          <w:bCs/>
        </w:rPr>
        <w:t>.</w:t>
      </w:r>
      <w:r w:rsidRPr="006717D4">
        <w:rPr>
          <w:rFonts w:ascii="Times New Roman" w:hAnsi="Times New Roman" w:cs="Times New Roman"/>
        </w:rPr>
        <w:t xml:space="preserve"> On-site Energy Mix Over Time for the US Wood Products Industry </w:t>
      </w:r>
      <w:r>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{"citationID":"hmEFZU5B","properties":{"formattedCitation":"\\super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Pr>
          <w:rFonts w:ascii="Times New Roman" w:hAnsi="Times New Roman" w:cs="Times New Roman"/>
        </w:rPr>
        <w:fldChar w:fldCharType="end"/>
      </w:r>
    </w:p>
    <w:p w14:paraId="7430BC34" w14:textId="77777777" w:rsidR="00321DC2" w:rsidRDefault="00321DC2" w:rsidP="00321DC2">
      <w:pPr>
        <w:rPr>
          <w:rFonts w:ascii="Times New Roman" w:hAnsi="Times New Roman" w:cs="Times New Roman"/>
        </w:rPr>
      </w:pPr>
    </w:p>
    <w:p w14:paraId="0CB102DE" w14:textId="77777777" w:rsidR="00321DC2" w:rsidRDefault="00321DC2" w:rsidP="00321DC2">
      <w:pPr>
        <w:rPr>
          <w:rFonts w:ascii="Times New Roman" w:hAnsi="Times New Roman" w:cs="Times New Roman"/>
        </w:rPr>
      </w:pPr>
    </w:p>
    <w:p w14:paraId="7DC7A861" w14:textId="77777777" w:rsidR="00321DC2" w:rsidRDefault="00321DC2" w:rsidP="00321DC2">
      <w:pPr>
        <w:rPr>
          <w:rFonts w:ascii="Times New Roman" w:hAnsi="Times New Roman" w:cs="Times New Roman"/>
        </w:rPr>
      </w:pPr>
    </w:p>
    <w:p w14:paraId="6F93981B" w14:textId="77777777" w:rsidR="00321DC2" w:rsidRPr="006717D4" w:rsidRDefault="00321DC2" w:rsidP="00321DC2">
      <w:pPr>
        <w:rPr>
          <w:rFonts w:ascii="Times New Roman" w:hAnsi="Times New Roman" w:cs="Times New Roman"/>
        </w:rPr>
      </w:pPr>
    </w:p>
    <w:p w14:paraId="0C3F4237" w14:textId="41B063B3"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lastRenderedPageBreak/>
        <w:t xml:space="preserve">Table </w:t>
      </w:r>
      <w:r w:rsidR="00FF458F">
        <w:rPr>
          <w:rFonts w:ascii="Times New Roman" w:hAnsi="Times New Roman" w:cs="Times New Roman"/>
          <w:b/>
          <w:bCs/>
        </w:rPr>
        <w:t>S8</w:t>
      </w:r>
      <w:r w:rsidRPr="006717D4">
        <w:rPr>
          <w:rFonts w:ascii="Times New Roman" w:hAnsi="Times New Roman" w:cs="Times New Roman"/>
          <w:b/>
          <w:bCs/>
        </w:rPr>
        <w:t>.</w:t>
      </w:r>
      <w:r w:rsidRPr="006717D4">
        <w:rPr>
          <w:rFonts w:ascii="Times New Roman" w:hAnsi="Times New Roman" w:cs="Times New Roman"/>
        </w:rPr>
        <w:t xml:space="preserve"> Combustion-Related Emissions from US Wood Products Primary Manufacturing</w:t>
      </w:r>
      <w:r>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{"citationID":"0cMzSRGv","properties":{"formattedCitation":"\\super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Pr>
          <w:rFonts w:ascii="Times New Roman" w:hAnsi="Times New Roman" w:cs="Times New Roman"/>
        </w:rPr>
        <w:fldChar w:fldCharType="end"/>
      </w:r>
      <w:r w:rsidRPr="006717D4">
        <w:rPr>
          <w:rFonts w:ascii="Times New Roman" w:hAnsi="Times New Roman" w:cs="Times New Roman"/>
        </w:rPr>
        <w:t xml:space="preserve"> (Total of Subsectors for NAICS 321)</w:t>
      </w:r>
    </w:p>
    <w:tbl>
      <w:tblPr>
        <w:tblStyle w:val="TableGrid"/>
        <w:tblW w:w="0" w:type="auto"/>
        <w:jc w:val="center"/>
        <w:tblLook w:val="04A0" w:firstRow="1" w:lastRow="0" w:firstColumn="1" w:lastColumn="0" w:noHBand="0" w:noVBand="1"/>
      </w:tblPr>
      <w:tblGrid>
        <w:gridCol w:w="2610"/>
        <w:gridCol w:w="2065"/>
        <w:gridCol w:w="1710"/>
        <w:gridCol w:w="1715"/>
      </w:tblGrid>
      <w:tr w:rsidR="00321DC2" w:rsidRPr="006717D4" w14:paraId="4081852E" w14:textId="77777777" w:rsidTr="00360B83">
        <w:trPr>
          <w:jc w:val="center"/>
        </w:trPr>
        <w:tc>
          <w:tcPr>
            <w:tcW w:w="2610" w:type="dxa"/>
            <w:tcBorders>
              <w:left w:val="nil"/>
            </w:tcBorders>
          </w:tcPr>
          <w:p w14:paraId="71DBFBF0" w14:textId="77777777" w:rsidR="00321DC2" w:rsidRPr="006717D4" w:rsidRDefault="00321DC2" w:rsidP="00FF458F">
            <w:pPr>
              <w:spacing w:line="278" w:lineRule="auto"/>
              <w:rPr>
                <w:rFonts w:ascii="Times New Roman" w:hAnsi="Times New Roman" w:cs="Times New Roman"/>
              </w:rPr>
            </w:pPr>
          </w:p>
        </w:tc>
        <w:tc>
          <w:tcPr>
            <w:tcW w:w="2065" w:type="dxa"/>
          </w:tcPr>
          <w:p w14:paraId="1F5D1CBA"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Emissions Million Metric Tons CO</w:t>
            </w:r>
            <w:r w:rsidRPr="006717D4">
              <w:rPr>
                <w:rFonts w:ascii="Times New Roman" w:hAnsi="Times New Roman" w:cs="Times New Roman"/>
                <w:vertAlign w:val="subscript"/>
              </w:rPr>
              <w:t>2</w:t>
            </w:r>
            <w:r w:rsidRPr="006717D4">
              <w:rPr>
                <w:rFonts w:ascii="Times New Roman" w:hAnsi="Times New Roman" w:cs="Times New Roman"/>
              </w:rPr>
              <w:t>e</w:t>
            </w:r>
          </w:p>
        </w:tc>
        <w:tc>
          <w:tcPr>
            <w:tcW w:w="1710" w:type="dxa"/>
          </w:tcPr>
          <w:p w14:paraId="5223CCD5"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Fraction of 1990 Emissions</w:t>
            </w:r>
          </w:p>
        </w:tc>
        <w:tc>
          <w:tcPr>
            <w:tcW w:w="1715" w:type="dxa"/>
            <w:tcBorders>
              <w:right w:val="nil"/>
            </w:tcBorders>
          </w:tcPr>
          <w:p w14:paraId="4275E93C"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0417D73F" w14:textId="77777777" w:rsidTr="00360B83">
        <w:trPr>
          <w:jc w:val="center"/>
        </w:trPr>
        <w:tc>
          <w:tcPr>
            <w:tcW w:w="2610" w:type="dxa"/>
            <w:tcBorders>
              <w:left w:val="nil"/>
            </w:tcBorders>
          </w:tcPr>
          <w:p w14:paraId="43DEFC25" w14:textId="77777777" w:rsidR="00321DC2" w:rsidRPr="006717D4" w:rsidRDefault="00321DC2" w:rsidP="00FF458F">
            <w:pPr>
              <w:spacing w:line="278" w:lineRule="auto"/>
              <w:rPr>
                <w:rFonts w:ascii="Times New Roman" w:hAnsi="Times New Roman" w:cs="Times New Roman"/>
              </w:rPr>
            </w:pPr>
            <w:r w:rsidRPr="006717D4">
              <w:rPr>
                <w:rFonts w:ascii="Times New Roman" w:hAnsi="Times New Roman" w:cs="Times New Roman"/>
              </w:rPr>
              <w:t>1990 (EIA MECS 1991)</w:t>
            </w:r>
          </w:p>
        </w:tc>
        <w:tc>
          <w:tcPr>
            <w:tcW w:w="2065" w:type="dxa"/>
          </w:tcPr>
          <w:p w14:paraId="5C7BE763"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3.6</w:t>
            </w:r>
          </w:p>
        </w:tc>
        <w:tc>
          <w:tcPr>
            <w:tcW w:w="1710" w:type="dxa"/>
          </w:tcPr>
          <w:p w14:paraId="1868B9E7"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1.00</w:t>
            </w:r>
          </w:p>
        </w:tc>
        <w:tc>
          <w:tcPr>
            <w:tcW w:w="1715" w:type="dxa"/>
            <w:tcBorders>
              <w:right w:val="nil"/>
            </w:tcBorders>
          </w:tcPr>
          <w:p w14:paraId="04B08CD7" w14:textId="77777777" w:rsidR="00321DC2" w:rsidRPr="006717D4" w:rsidRDefault="00321DC2" w:rsidP="00FF458F">
            <w:pPr>
              <w:spacing w:line="278" w:lineRule="auto"/>
              <w:jc w:val="center"/>
              <w:rPr>
                <w:rFonts w:ascii="Times New Roman" w:hAnsi="Times New Roman" w:cs="Times New Roman"/>
              </w:rPr>
            </w:pPr>
          </w:p>
        </w:tc>
      </w:tr>
      <w:tr w:rsidR="00321DC2" w:rsidRPr="006717D4" w14:paraId="35B6A544" w14:textId="77777777" w:rsidTr="00360B83">
        <w:trPr>
          <w:jc w:val="center"/>
        </w:trPr>
        <w:tc>
          <w:tcPr>
            <w:tcW w:w="2610" w:type="dxa"/>
            <w:tcBorders>
              <w:left w:val="nil"/>
            </w:tcBorders>
          </w:tcPr>
          <w:p w14:paraId="21A935C6" w14:textId="77777777" w:rsidR="00321DC2" w:rsidRPr="006717D4" w:rsidRDefault="00321DC2" w:rsidP="00FF458F">
            <w:pPr>
              <w:spacing w:line="278" w:lineRule="auto"/>
              <w:rPr>
                <w:rFonts w:ascii="Times New Roman" w:hAnsi="Times New Roman" w:cs="Times New Roman"/>
              </w:rPr>
            </w:pPr>
            <w:r w:rsidRPr="006717D4">
              <w:rPr>
                <w:rFonts w:ascii="Times New Roman" w:hAnsi="Times New Roman" w:cs="Times New Roman"/>
              </w:rPr>
              <w:t>2005 (EIA MECS 2006)</w:t>
            </w:r>
          </w:p>
        </w:tc>
        <w:tc>
          <w:tcPr>
            <w:tcW w:w="2065" w:type="dxa"/>
          </w:tcPr>
          <w:p w14:paraId="7380B502"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6.0</w:t>
            </w:r>
          </w:p>
        </w:tc>
        <w:tc>
          <w:tcPr>
            <w:tcW w:w="1710" w:type="dxa"/>
          </w:tcPr>
          <w:p w14:paraId="2BAD03E4"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1.65</w:t>
            </w:r>
          </w:p>
        </w:tc>
        <w:tc>
          <w:tcPr>
            <w:tcW w:w="1715" w:type="dxa"/>
            <w:tcBorders>
              <w:right w:val="nil"/>
            </w:tcBorders>
          </w:tcPr>
          <w:p w14:paraId="277B068A"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1C51E043" w14:textId="77777777" w:rsidTr="00360B83">
        <w:trPr>
          <w:jc w:val="center"/>
        </w:trPr>
        <w:tc>
          <w:tcPr>
            <w:tcW w:w="2610" w:type="dxa"/>
            <w:tcBorders>
              <w:left w:val="nil"/>
              <w:bottom w:val="single" w:sz="4" w:space="0" w:color="auto"/>
            </w:tcBorders>
          </w:tcPr>
          <w:p w14:paraId="3AEEDFF8" w14:textId="77777777" w:rsidR="00321DC2" w:rsidRPr="006717D4" w:rsidRDefault="00321DC2" w:rsidP="00FF458F">
            <w:pPr>
              <w:spacing w:line="278" w:lineRule="auto"/>
              <w:rPr>
                <w:rFonts w:ascii="Times New Roman" w:hAnsi="Times New Roman" w:cs="Times New Roman"/>
              </w:rPr>
            </w:pPr>
            <w:r w:rsidRPr="006717D4">
              <w:rPr>
                <w:rFonts w:ascii="Times New Roman" w:hAnsi="Times New Roman" w:cs="Times New Roman"/>
              </w:rPr>
              <w:t>2020 (EIA MECS 2018)</w:t>
            </w:r>
          </w:p>
        </w:tc>
        <w:tc>
          <w:tcPr>
            <w:tcW w:w="2065" w:type="dxa"/>
            <w:tcBorders>
              <w:bottom w:val="single" w:sz="4" w:space="0" w:color="auto"/>
            </w:tcBorders>
          </w:tcPr>
          <w:p w14:paraId="791304C2"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4.8</w:t>
            </w:r>
          </w:p>
        </w:tc>
        <w:tc>
          <w:tcPr>
            <w:tcW w:w="1710" w:type="dxa"/>
            <w:tcBorders>
              <w:bottom w:val="single" w:sz="4" w:space="0" w:color="auto"/>
            </w:tcBorders>
          </w:tcPr>
          <w:p w14:paraId="69AA743F"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1.32</w:t>
            </w:r>
          </w:p>
        </w:tc>
        <w:tc>
          <w:tcPr>
            <w:tcW w:w="1715" w:type="dxa"/>
            <w:tcBorders>
              <w:bottom w:val="single" w:sz="4" w:space="0" w:color="auto"/>
              <w:right w:val="nil"/>
            </w:tcBorders>
          </w:tcPr>
          <w:p w14:paraId="4B3A72C6" w14:textId="77777777" w:rsidR="00321DC2" w:rsidRPr="006717D4" w:rsidRDefault="00321DC2" w:rsidP="00FF458F">
            <w:pPr>
              <w:spacing w:line="278" w:lineRule="auto"/>
              <w:jc w:val="center"/>
              <w:rPr>
                <w:rFonts w:ascii="Times New Roman" w:hAnsi="Times New Roman" w:cs="Times New Roman"/>
              </w:rPr>
            </w:pPr>
            <w:r w:rsidRPr="006717D4">
              <w:rPr>
                <w:rFonts w:ascii="Times New Roman" w:hAnsi="Times New Roman" w:cs="Times New Roman"/>
              </w:rPr>
              <w:t>0.80</w:t>
            </w:r>
          </w:p>
        </w:tc>
      </w:tr>
      <w:tr w:rsidR="00321DC2" w:rsidRPr="006717D4" w14:paraId="338180C0" w14:textId="77777777" w:rsidTr="00360B83">
        <w:trPr>
          <w:jc w:val="center"/>
        </w:trPr>
        <w:tc>
          <w:tcPr>
            <w:tcW w:w="2610" w:type="dxa"/>
            <w:tcBorders>
              <w:left w:val="nil"/>
              <w:bottom w:val="nil"/>
              <w:right w:val="nil"/>
            </w:tcBorders>
          </w:tcPr>
          <w:p w14:paraId="0C152503" w14:textId="77777777" w:rsidR="00321DC2" w:rsidRPr="006717D4" w:rsidRDefault="00321DC2" w:rsidP="00360B83">
            <w:pPr>
              <w:spacing w:after="160" w:line="278" w:lineRule="auto"/>
              <w:rPr>
                <w:rFonts w:ascii="Times New Roman" w:hAnsi="Times New Roman" w:cs="Times New Roman"/>
              </w:rPr>
            </w:pPr>
          </w:p>
        </w:tc>
        <w:tc>
          <w:tcPr>
            <w:tcW w:w="2065" w:type="dxa"/>
            <w:tcBorders>
              <w:left w:val="nil"/>
              <w:bottom w:val="nil"/>
              <w:right w:val="nil"/>
            </w:tcBorders>
          </w:tcPr>
          <w:p w14:paraId="2239A02F" w14:textId="77777777" w:rsidR="00321DC2" w:rsidRPr="006717D4" w:rsidRDefault="00321DC2" w:rsidP="00360B83">
            <w:pPr>
              <w:spacing w:after="160" w:line="278" w:lineRule="auto"/>
              <w:rPr>
                <w:rFonts w:ascii="Times New Roman" w:hAnsi="Times New Roman" w:cs="Times New Roman"/>
              </w:rPr>
            </w:pPr>
          </w:p>
        </w:tc>
        <w:tc>
          <w:tcPr>
            <w:tcW w:w="1710" w:type="dxa"/>
            <w:tcBorders>
              <w:left w:val="nil"/>
              <w:bottom w:val="nil"/>
              <w:right w:val="nil"/>
            </w:tcBorders>
          </w:tcPr>
          <w:p w14:paraId="17C2F87A" w14:textId="77777777" w:rsidR="00321DC2" w:rsidRPr="006717D4" w:rsidRDefault="00321DC2" w:rsidP="00360B83">
            <w:pPr>
              <w:spacing w:after="160" w:line="278" w:lineRule="auto"/>
              <w:rPr>
                <w:rFonts w:ascii="Times New Roman" w:hAnsi="Times New Roman" w:cs="Times New Roman"/>
              </w:rPr>
            </w:pPr>
          </w:p>
        </w:tc>
        <w:tc>
          <w:tcPr>
            <w:tcW w:w="1715" w:type="dxa"/>
            <w:tcBorders>
              <w:left w:val="nil"/>
              <w:bottom w:val="nil"/>
              <w:right w:val="nil"/>
            </w:tcBorders>
          </w:tcPr>
          <w:p w14:paraId="2DC32C26" w14:textId="77777777" w:rsidR="00321DC2" w:rsidRPr="006717D4" w:rsidRDefault="00321DC2" w:rsidP="00360B83">
            <w:pPr>
              <w:spacing w:after="160" w:line="278" w:lineRule="auto"/>
              <w:rPr>
                <w:rFonts w:ascii="Times New Roman" w:hAnsi="Times New Roman" w:cs="Times New Roman"/>
              </w:rPr>
            </w:pPr>
          </w:p>
        </w:tc>
      </w:tr>
    </w:tbl>
    <w:p w14:paraId="0A352284" w14:textId="77777777" w:rsidR="00321DC2" w:rsidRPr="000566CB" w:rsidRDefault="00321DC2" w:rsidP="000566CB">
      <w:pPr>
        <w:pStyle w:val="Heading2"/>
        <w:rPr>
          <w:rFonts w:ascii="Times New Roman" w:hAnsi="Times New Roman" w:cs="Times New Roman"/>
          <w:b/>
          <w:bCs/>
          <w:color w:val="auto"/>
          <w:sz w:val="24"/>
          <w:szCs w:val="24"/>
        </w:rPr>
      </w:pPr>
      <w:bookmarkStart w:id="26" w:name="_Toc157073327"/>
      <w:bookmarkStart w:id="27" w:name="_Toc165549642"/>
      <w:bookmarkStart w:id="28" w:name="_Toc174876779"/>
      <w:bookmarkStart w:id="29" w:name="_Toc215829607"/>
      <w:r w:rsidRPr="000566CB">
        <w:rPr>
          <w:rFonts w:ascii="Times New Roman" w:hAnsi="Times New Roman" w:cs="Times New Roman"/>
          <w:b/>
          <w:bCs/>
          <w:color w:val="auto"/>
          <w:sz w:val="24"/>
          <w:szCs w:val="24"/>
        </w:rPr>
        <w:t>Biogenic Emissions from Forest Product Industry Manufacturing</w:t>
      </w:r>
      <w:bookmarkEnd w:id="26"/>
      <w:bookmarkEnd w:id="27"/>
      <w:bookmarkEnd w:id="28"/>
      <w:bookmarkEnd w:id="29"/>
    </w:p>
    <w:p w14:paraId="3379D07C" w14:textId="02EDDCFE" w:rsidR="00321DC2" w:rsidRPr="006717D4" w:rsidRDefault="00321DC2" w:rsidP="00321DC2">
      <w:pPr>
        <w:rPr>
          <w:rFonts w:ascii="Times New Roman" w:hAnsi="Times New Roman" w:cs="Times New Roman"/>
        </w:rPr>
      </w:pPr>
      <w:r w:rsidRPr="006717D4">
        <w:rPr>
          <w:rFonts w:ascii="Times New Roman" w:hAnsi="Times New Roman" w:cs="Times New Roman"/>
        </w:rPr>
        <w:t>In this profile, biogenic carbon is accounted for using production accounting, the same approach used by US EPA in the annual national inventory of emissions and sinks. In production accounting, transfers of biogenic CO</w:t>
      </w:r>
      <w:r w:rsidRPr="006717D4">
        <w:rPr>
          <w:rFonts w:ascii="Times New Roman" w:hAnsi="Times New Roman" w:cs="Times New Roman"/>
          <w:vertAlign w:val="subscript"/>
        </w:rPr>
        <w:t>2</w:t>
      </w:r>
      <w:r w:rsidRPr="006717D4">
        <w:rPr>
          <w:rFonts w:ascii="Times New Roman" w:hAnsi="Times New Roman" w:cs="Times New Roman"/>
        </w:rPr>
        <w:t xml:space="preserve"> to the atmosphere are calculated as losses in overall stocks of stored biogenic carbon</w:t>
      </w:r>
      <w:r>
        <w:rPr>
          <w:rFonts w:ascii="Times New Roman" w:hAnsi="Times New Roman" w:cs="Times New Roman"/>
        </w:rPr>
        <w:t>.</w:t>
      </w:r>
      <w:r w:rsidRPr="006717D4">
        <w:rPr>
          <w:rFonts w:ascii="Times New Roman" w:hAnsi="Times New Roman" w:cs="Times New Roman"/>
        </w:rPr>
        <w:t xml:space="preserve"> (</w:t>
      </w:r>
      <w:r>
        <w:rPr>
          <w:rFonts w:ascii="Times New Roman" w:hAnsi="Times New Roman" w:cs="Times New Roman"/>
        </w:rPr>
        <w:t>S</w:t>
      </w:r>
      <w:r w:rsidRPr="006717D4">
        <w:rPr>
          <w:rFonts w:ascii="Times New Roman" w:hAnsi="Times New Roman" w:cs="Times New Roman"/>
        </w:rPr>
        <w:t>ee USEPA</w:t>
      </w:r>
      <w:r>
        <w:rPr>
          <w:rFonts w:ascii="Times New Roman" w:hAnsi="Times New Roman" w:cs="Times New Roman"/>
        </w:rPr>
        <w:t xml:space="preserve"> inventory reports </w:t>
      </w:r>
      <w:r>
        <w:rPr>
          <w:rFonts w:ascii="Times New Roman" w:hAnsi="Times New Roman" w:cs="Times New Roman"/>
        </w:rPr>
        <w:fldChar w:fldCharType="begin"/>
      </w:r>
      <w:r>
        <w:rPr>
          <w:rFonts w:ascii="Times New Roman" w:hAnsi="Times New Roman" w:cs="Times New Roman"/>
        </w:rPr>
        <w:instrText xml:space="preserve"> ADDIN ZOTERO_ITEM CSL_CITATION {"citationID":"rbBWQDmZ","properties":{"formattedCitation":"\\super 3,4\\nosupersub{}","plainCitation":"3,4","noteIndex":0},"citationItems":[{"id":55,"uris":["http://zotero.org/users/18184231/items/3HISKBVL"],"itemData":{"id":55,"type":"report","abstract":"View or download the Inventory of U.S. Greenhouse Gas Emissions and Sinks: 1990-2020, including individual chapters and annexes.","genre":"Reports and Assessments","language":"en","number":"EPA 430-R-24-004","title":"Inventory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(EPA)","given":""}],"accessed":{"date-parts":[["2025",9,25]]},"issued":{"date-parts":[["2024"]]}}},{"id":54,"uris":["http://zotero.org/users/18184231/items/B23L74R6"],"itemData":{"id":54,"type":"report","abstract":"View or download the Inventory of U.S. Greenhouse Gas Emissions and Sinks: 1990-2020, including individual chapters and annexes.","genre":"Reports and Assessments","language":"en","number":"EPA 430-R-24-004","title":"Annexes to Inventory of U.S. Greenhouse Gas Emissions and Sinks: 1990-2022","title-short":"Inventory of U.S. Greenhouse Gas Emissions and Sinks","URL":"https://www.epa.gov/ghgemissions/inventory-us-greenhouse-gas-emissions-and-sinks-1990-2022","author":[{"family":"United States Environmental Protection Agency (EPA)","given":""}],"accessed":{"date-parts":[["2025",9,25]]},"issued":{"date-parts":[["2024"]]}}}],"schema":"https://github.com/citation-style-language/schema/raw/master/csl-citation.json"} </w:instrText>
      </w:r>
      <w:r>
        <w:rPr>
          <w:rFonts w:ascii="Times New Roman" w:hAnsi="Times New Roman" w:cs="Times New Roman"/>
        </w:rPr>
        <w:fldChar w:fldCharType="separate"/>
      </w:r>
      <w:r w:rsidRPr="00321DC2">
        <w:rPr>
          <w:rFonts w:ascii="Times New Roman" w:hAnsi="Times New Roman" w:cs="Times New Roman"/>
          <w:kern w:val="0"/>
          <w:vertAlign w:val="superscript"/>
        </w:rPr>
        <w:t>3,4</w:t>
      </w:r>
      <w:r>
        <w:rPr>
          <w:rFonts w:ascii="Times New Roman" w:hAnsi="Times New Roman" w:cs="Times New Roman"/>
        </w:rPr>
        <w:fldChar w:fldCharType="end"/>
      </w:r>
      <w:r>
        <w:rPr>
          <w:rFonts w:ascii="Times New Roman" w:hAnsi="Times New Roman" w:cs="Times New Roman"/>
        </w:rPr>
        <w:t xml:space="preserve"> </w:t>
      </w:r>
      <w:r w:rsidRPr="006717D4">
        <w:rPr>
          <w:rFonts w:ascii="Times New Roman" w:hAnsi="Times New Roman" w:cs="Times New Roman"/>
        </w:rPr>
        <w:t xml:space="preserve">for more discussion of production accounting). Flows of biogenic carbon </w:t>
      </w:r>
      <w:proofErr w:type="gramStart"/>
      <w:r w:rsidRPr="006717D4">
        <w:rPr>
          <w:rFonts w:ascii="Times New Roman" w:hAnsi="Times New Roman" w:cs="Times New Roman"/>
        </w:rPr>
        <w:t>to</w:t>
      </w:r>
      <w:proofErr w:type="gramEnd"/>
      <w:r w:rsidRPr="006717D4">
        <w:rPr>
          <w:rFonts w:ascii="Times New Roman" w:hAnsi="Times New Roman" w:cs="Times New Roman"/>
        </w:rPr>
        <w:t xml:space="preserve"> the atmosphere are not included in GHG emission totals as this would </w:t>
      </w:r>
      <w:proofErr w:type="gramStart"/>
      <w:r w:rsidRPr="006717D4">
        <w:rPr>
          <w:rFonts w:ascii="Times New Roman" w:hAnsi="Times New Roman" w:cs="Times New Roman"/>
        </w:rPr>
        <w:t>double count</w:t>
      </w:r>
      <w:proofErr w:type="gramEnd"/>
      <w:r w:rsidRPr="006717D4">
        <w:rPr>
          <w:rFonts w:ascii="Times New Roman" w:hAnsi="Times New Roman" w:cs="Times New Roman"/>
        </w:rPr>
        <w:t xml:space="preserve"> the quantities accounted for in the biogenic carbon stock change calculations applied to carbon in forests and forest products. Nonetheless, some reporting protocols, including the GHG Protocol Corporate Standard</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{"citationID":"DBWzezPb","properties":{"formattedCitation":"\\super 1\\nosupersub{}","plainCitation":"1","noteIndex":0},"citationItems":[{"id":90,"uris":["http://zotero.org/users/18184231/items/2WHR2D6C"],"itemData":{"id":90,"type":"report","language":"en","source":"Zotero","title":"GHG Protocol Corporate Accounting and Reporting Standard","URL":"https://ghgprotocol.org/corporate-standard","author":[{"family":"WBCSD","given":""},{"family":"WRI","given":""}],"issued":{"date-parts":[["2004"]]}}}],"schema":"https://github.com/citation-style-language/schema/raw/master/csl-citation.json"} </w:instrText>
      </w:r>
      <w:r>
        <w:rPr>
          <w:rFonts w:ascii="Times New Roman" w:hAnsi="Times New Roman" w:cs="Times New Roman"/>
        </w:rPr>
        <w:fldChar w:fldCharType="separate"/>
      </w:r>
      <w:r w:rsidRPr="00321DC2">
        <w:rPr>
          <w:rFonts w:ascii="Times New Roman" w:hAnsi="Times New Roman" w:cs="Times New Roman"/>
          <w:kern w:val="0"/>
          <w:vertAlign w:val="superscript"/>
        </w:rPr>
        <w:t>1</w:t>
      </w:r>
      <w:r>
        <w:rPr>
          <w:rFonts w:ascii="Times New Roman" w:hAnsi="Times New Roman" w:cs="Times New Roman"/>
        </w:rPr>
        <w:fldChar w:fldCharType="end"/>
      </w:r>
      <w:r w:rsidRPr="006717D4">
        <w:rPr>
          <w:rFonts w:ascii="Times New Roman" w:hAnsi="Times New Roman" w:cs="Times New Roman"/>
        </w:rPr>
        <w:t>, require that emissions of biogenic CO</w:t>
      </w:r>
      <w:r w:rsidRPr="006717D4">
        <w:rPr>
          <w:rFonts w:ascii="Times New Roman" w:hAnsi="Times New Roman" w:cs="Times New Roman"/>
          <w:vertAlign w:val="subscript"/>
        </w:rPr>
        <w:t>2</w:t>
      </w:r>
      <w:r w:rsidRPr="006717D4">
        <w:rPr>
          <w:rFonts w:ascii="Times New Roman" w:hAnsi="Times New Roman" w:cs="Times New Roman"/>
        </w:rPr>
        <w:t xml:space="preserve"> be “reported separately.” For this reason, this update includes a summary of biogenic CO</w:t>
      </w:r>
      <w:r w:rsidRPr="006717D4">
        <w:rPr>
          <w:rFonts w:ascii="Times New Roman" w:hAnsi="Times New Roman" w:cs="Times New Roman"/>
          <w:vertAlign w:val="subscript"/>
        </w:rPr>
        <w:t>2</w:t>
      </w:r>
      <w:r w:rsidRPr="006717D4">
        <w:rPr>
          <w:rFonts w:ascii="Times New Roman" w:hAnsi="Times New Roman" w:cs="Times New Roman"/>
        </w:rPr>
        <w:t xml:space="preserve"> emissions from forest products manufacturing. </w:t>
      </w:r>
    </w:p>
    <w:p w14:paraId="633FF72B" w14:textId="02FAD608" w:rsidR="00321DC2" w:rsidRDefault="00321DC2" w:rsidP="00321DC2">
      <w:pPr>
        <w:rPr>
          <w:rFonts w:ascii="Times New Roman" w:hAnsi="Times New Roman" w:cs="Times New Roman"/>
        </w:rPr>
      </w:pPr>
      <w:r w:rsidRPr="006717D4">
        <w:rPr>
          <w:rFonts w:ascii="Times New Roman" w:hAnsi="Times New Roman" w:cs="Times New Roman"/>
        </w:rPr>
        <w:t>The forest products sector is unique among industrial sectors in that most energy requirements for the sector are derived from biomass energy sources. In 2018, 63% of fenceline energy needs for the US pulp and paper sector and 60% of fenceline energy needs for the US wood products sector were derived from biomass fuels. Biogenic carbon dioxide emissions have ranged between 135.7 and 144.7 million metric tons</w:t>
      </w:r>
      <w:r w:rsidR="004B17BD">
        <w:rPr>
          <w:rFonts w:ascii="Times New Roman" w:hAnsi="Times New Roman" w:cs="Times New Roman"/>
        </w:rPr>
        <w:t xml:space="preserve"> per year</w:t>
      </w:r>
      <w:r w:rsidRPr="006717D4">
        <w:rPr>
          <w:rFonts w:ascii="Times New Roman" w:hAnsi="Times New Roman" w:cs="Times New Roman"/>
        </w:rPr>
        <w:t xml:space="preserve"> over the last 30 years (Table </w:t>
      </w:r>
      <w:r w:rsidR="00BF0AEF">
        <w:rPr>
          <w:rFonts w:ascii="Times New Roman" w:hAnsi="Times New Roman" w:cs="Times New Roman"/>
        </w:rPr>
        <w:t>S9</w:t>
      </w:r>
      <w:r w:rsidRPr="006717D4">
        <w:rPr>
          <w:rFonts w:ascii="Times New Roman" w:hAnsi="Times New Roman" w:cs="Times New Roman"/>
        </w:rPr>
        <w:t>). The industry’s biogenic carbon dioxide emissions are primarily from power boilers using biomass fuel, kraft mill recovery furnaces, and kraft mill lime kilns.</w:t>
      </w:r>
      <w:r>
        <w:rPr>
          <w:rFonts w:ascii="Times New Roman" w:hAnsi="Times New Roman" w:cs="Times New Roman"/>
        </w:rPr>
        <w:t xml:space="preserve"> Note that e</w:t>
      </w:r>
      <w:r w:rsidRPr="005D572B">
        <w:rPr>
          <w:rFonts w:ascii="Times New Roman" w:hAnsi="Times New Roman" w:cs="Times New Roman"/>
        </w:rPr>
        <w:t>missions from kraft lime kilns differ from CO</w:t>
      </w:r>
      <w:r w:rsidRPr="005D572B">
        <w:rPr>
          <w:rFonts w:ascii="Times New Roman" w:hAnsi="Times New Roman" w:cs="Times New Roman"/>
          <w:vertAlign w:val="subscript"/>
        </w:rPr>
        <w:t>2</w:t>
      </w:r>
      <w:r w:rsidRPr="005D572B">
        <w:rPr>
          <w:rFonts w:ascii="Times New Roman" w:hAnsi="Times New Roman" w:cs="Times New Roman"/>
        </w:rPr>
        <w:t xml:space="preserve"> emissions from cement industry kilns because approximately 61% of CO</w:t>
      </w:r>
      <w:r w:rsidRPr="005D572B">
        <w:rPr>
          <w:rFonts w:ascii="Times New Roman" w:hAnsi="Times New Roman" w:cs="Times New Roman"/>
          <w:vertAlign w:val="subscript"/>
        </w:rPr>
        <w:t>2</w:t>
      </w:r>
      <w:r w:rsidRPr="005D572B">
        <w:rPr>
          <w:rFonts w:ascii="Times New Roman" w:hAnsi="Times New Roman" w:cs="Times New Roman"/>
        </w:rPr>
        <w:t xml:space="preserve"> in kiln stack emissions from the pulp and paper sector are biomass-based</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{"citationID":"jEk8xrUL","properties":{"formattedCitation":"\\super 21\\nosupersub{}","plainCitation":"21","noteIndex":0},"citationItems":[{"id":164,"uris":["http://zotero.org/users/18184231/items/2LV26KDK"],"itemData":{"id":164,"type":"article-journal","abstract":"There are a number of sources of biomass-derived and fossil fuel-derived CO2 emissions from pulp and paper mills. The CO2 emissions from kraft mill lime kilns can be difficult to properly characterize because they contain a combination of fuel- and process-derived carbon of both fossil and biomass origin. In this paper, methods are presented for estimating biomass-derived and fossil fuel-derived emissions of CO2 from kraft mill lime kilns. It is shown that an accurate industry-wide estimate of greenhouse gas emissions from kraft mill lime kilns can be developed considering only the fossil fuel burned in these kilns. These emissions are estimated to be 1.3 million metric ton carbon equivalents (MMTCE) per year, or approximately 7% of direct emissions from the pulp and paper industry. Individual mills may need to consider more than just fossil fuel consumption in estimating greenhouse gas emissions due to a variety of site-specific factors, including the on-site manufacture of precipitated calcium carbonate (PCC) from lime kiln stack gases.","container-title":"Energy","DOI":"10.1016/S0360-5442(02)00017-8","ISSN":"0360-5442","issue":"8","journalAbbreviation":"Energy","page":"729-738","source":"ScienceDirect","title":"Methods for estimating greenhouse gas emissions from lime kilns at kraft pulp mills","volume":"27","author":[{"family":"Miner","given":"R"},{"family":"Upton","given":"B"}],"issued":{"date-parts":[["2002",8,1]]}}}],"schema":"https://github.com/citation-style-language/schema/raw/master/csl-citation.json"}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21</w:t>
      </w:r>
      <w:r>
        <w:rPr>
          <w:rFonts w:ascii="Times New Roman" w:hAnsi="Times New Roman" w:cs="Times New Roman"/>
        </w:rPr>
        <w:fldChar w:fldCharType="end"/>
      </w:r>
      <w:r w:rsidRPr="005D572B">
        <w:rPr>
          <w:rFonts w:ascii="Times New Roman" w:hAnsi="Times New Roman" w:cs="Times New Roman"/>
        </w:rPr>
        <w:t>. The remaining 39% are fossil-based emissions from the fuels combusted to generate the high temperatures needed to drive the calcination reaction.</w:t>
      </w:r>
      <w:r w:rsidRPr="006717D4">
        <w:rPr>
          <w:rFonts w:ascii="Times New Roman" w:hAnsi="Times New Roman" w:cs="Times New Roman"/>
        </w:rPr>
        <w:t xml:space="preserve"> The biogenic emission contribution from lime kilns was approximately 9 million metric tons CO</w:t>
      </w:r>
      <w:r w:rsidRPr="006717D4">
        <w:rPr>
          <w:rFonts w:ascii="Times New Roman" w:hAnsi="Times New Roman" w:cs="Times New Roman"/>
          <w:vertAlign w:val="subscript"/>
        </w:rPr>
        <w:t>2</w:t>
      </w:r>
      <w:r w:rsidRPr="006717D4">
        <w:rPr>
          <w:rFonts w:ascii="Times New Roman" w:hAnsi="Times New Roman" w:cs="Times New Roman"/>
        </w:rPr>
        <w:t xml:space="preserve">eq. in 2018. Figure </w:t>
      </w:r>
      <w:r w:rsidR="00BF0AEF">
        <w:rPr>
          <w:rFonts w:ascii="Times New Roman" w:hAnsi="Times New Roman" w:cs="Times New Roman"/>
        </w:rPr>
        <w:t>S14</w:t>
      </w:r>
      <w:r w:rsidRPr="006717D4">
        <w:rPr>
          <w:rFonts w:ascii="Times New Roman" w:hAnsi="Times New Roman" w:cs="Times New Roman"/>
        </w:rPr>
        <w:t xml:space="preserve"> shows the trends in biogenic carbon dioxide emissions for US forest products manufacturing over time. </w:t>
      </w:r>
    </w:p>
    <w:p w14:paraId="27FA0976" w14:textId="77777777" w:rsidR="00321DC2" w:rsidRDefault="00321DC2" w:rsidP="00321DC2">
      <w:pPr>
        <w:rPr>
          <w:rFonts w:ascii="Times New Roman" w:hAnsi="Times New Roman" w:cs="Times New Roman"/>
        </w:rPr>
      </w:pPr>
    </w:p>
    <w:p w14:paraId="3E49A95E" w14:textId="77777777" w:rsidR="00321DC2" w:rsidRDefault="00321DC2" w:rsidP="00321DC2">
      <w:pPr>
        <w:rPr>
          <w:rFonts w:ascii="Times New Roman" w:hAnsi="Times New Roman" w:cs="Times New Roman"/>
        </w:rPr>
      </w:pPr>
    </w:p>
    <w:p w14:paraId="5D822B1B" w14:textId="77777777" w:rsidR="00BF0AEF" w:rsidRPr="006717D4" w:rsidRDefault="00BF0AEF" w:rsidP="00321DC2">
      <w:pPr>
        <w:rPr>
          <w:rFonts w:ascii="Times New Roman" w:hAnsi="Times New Roman" w:cs="Times New Roman"/>
        </w:rPr>
      </w:pPr>
    </w:p>
    <w:p w14:paraId="2AF34927" w14:textId="21C14B1C" w:rsidR="00321DC2" w:rsidRPr="006717D4" w:rsidRDefault="00321DC2" w:rsidP="00321DC2">
      <w:pPr>
        <w:rPr>
          <w:rFonts w:ascii="Times New Roman" w:hAnsi="Times New Roman" w:cs="Times New Roman"/>
        </w:rPr>
      </w:pPr>
      <w:bookmarkStart w:id="30" w:name="_Ref143004583"/>
      <w:r w:rsidRPr="006717D4">
        <w:rPr>
          <w:rFonts w:ascii="Times New Roman" w:hAnsi="Times New Roman" w:cs="Times New Roman"/>
          <w:b/>
          <w:bCs/>
        </w:rPr>
        <w:t xml:space="preserve">Table </w:t>
      </w:r>
      <w:bookmarkEnd w:id="30"/>
      <w:r w:rsidR="00BF0AEF">
        <w:rPr>
          <w:rFonts w:ascii="Times New Roman" w:hAnsi="Times New Roman" w:cs="Times New Roman"/>
          <w:b/>
          <w:bCs/>
        </w:rPr>
        <w:t>S9</w:t>
      </w:r>
      <w:r w:rsidRPr="006717D4">
        <w:rPr>
          <w:rFonts w:ascii="Times New Roman" w:hAnsi="Times New Roman" w:cs="Times New Roman"/>
          <w:b/>
          <w:bCs/>
        </w:rPr>
        <w:t>.</w:t>
      </w:r>
      <w:r w:rsidRPr="006717D4">
        <w:rPr>
          <w:rFonts w:ascii="Times New Roman" w:hAnsi="Times New Roman" w:cs="Times New Roman"/>
        </w:rPr>
        <w:t xml:space="preserve"> Biogenic Emissions from US Pulp and Paper and Wood Product Combustion Sources </w:t>
      </w:r>
    </w:p>
    <w:tbl>
      <w:tblPr>
        <w:tblStyle w:val="GridTable4-Accent5"/>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96"/>
        <w:gridCol w:w="2122"/>
        <w:gridCol w:w="1980"/>
        <w:gridCol w:w="1879"/>
      </w:tblGrid>
      <w:tr w:rsidR="00321DC2" w:rsidRPr="005D572B" w14:paraId="57099019" w14:textId="77777777" w:rsidTr="00234C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right w:val="single" w:sz="4" w:space="0" w:color="auto"/>
            </w:tcBorders>
            <w:shd w:val="clear" w:color="auto" w:fill="D9D9D9" w:themeFill="background1" w:themeFillShade="D9"/>
          </w:tcPr>
          <w:p w14:paraId="524A1404" w14:textId="77777777" w:rsidR="00321DC2" w:rsidRPr="005D572B" w:rsidRDefault="00321DC2" w:rsidP="00BF0AEF">
            <w:pPr>
              <w:spacing w:line="278" w:lineRule="auto"/>
              <w:rPr>
                <w:rFonts w:ascii="Times New Roman" w:hAnsi="Times New Roman" w:cs="Times New Roman"/>
                <w:b w:val="0"/>
                <w:bCs w:val="0"/>
                <w:color w:val="auto"/>
              </w:rPr>
            </w:pPr>
          </w:p>
          <w:p w14:paraId="7EEEB5CA" w14:textId="77777777" w:rsidR="00321DC2" w:rsidRPr="005D572B" w:rsidRDefault="00321DC2" w:rsidP="00BF0AEF">
            <w:pPr>
              <w:spacing w:line="278" w:lineRule="auto"/>
              <w:rPr>
                <w:rFonts w:ascii="Times New Roman" w:hAnsi="Times New Roman" w:cs="Times New Roman"/>
                <w:b w:val="0"/>
                <w:bCs w:val="0"/>
                <w:color w:val="auto"/>
              </w:rPr>
            </w:pPr>
            <w:r w:rsidRPr="005D572B">
              <w:rPr>
                <w:rFonts w:ascii="Times New Roman" w:hAnsi="Times New Roman" w:cs="Times New Roman"/>
                <w:b w:val="0"/>
                <w:bCs w:val="0"/>
                <w:color w:val="auto"/>
              </w:rPr>
              <w:t>Year</w:t>
            </w:r>
          </w:p>
        </w:tc>
        <w:tc>
          <w:tcPr>
            <w:tcW w:w="5981" w:type="dxa"/>
            <w:gridSpan w:val="3"/>
            <w:tcBorders>
              <w:left w:val="single" w:sz="4" w:space="0" w:color="auto"/>
              <w:right w:val="nil"/>
            </w:tcBorders>
            <w:shd w:val="clear" w:color="auto" w:fill="D9D9D9" w:themeFill="background1" w:themeFillShade="D9"/>
          </w:tcPr>
          <w:p w14:paraId="26C10C82" w14:textId="77777777" w:rsidR="00321DC2" w:rsidRPr="005D572B" w:rsidRDefault="00321DC2" w:rsidP="00BF0AEF">
            <w:pPr>
              <w:spacing w:line="27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D572B">
              <w:rPr>
                <w:rFonts w:ascii="Times New Roman" w:hAnsi="Times New Roman" w:cs="Times New Roman"/>
                <w:b w:val="0"/>
                <w:bCs w:val="0"/>
                <w:color w:val="auto"/>
              </w:rPr>
              <w:t>Biogenic CO</w:t>
            </w:r>
            <w:r w:rsidRPr="005D572B">
              <w:rPr>
                <w:rFonts w:ascii="Times New Roman" w:hAnsi="Times New Roman" w:cs="Times New Roman"/>
                <w:b w:val="0"/>
                <w:bCs w:val="0"/>
                <w:color w:val="auto"/>
                <w:vertAlign w:val="subscript"/>
              </w:rPr>
              <w:t>2</w:t>
            </w:r>
            <w:r w:rsidRPr="005D572B">
              <w:rPr>
                <w:rFonts w:ascii="Times New Roman" w:hAnsi="Times New Roman" w:cs="Times New Roman"/>
                <w:b w:val="0"/>
                <w:bCs w:val="0"/>
                <w:color w:val="auto"/>
              </w:rPr>
              <w:t xml:space="preserve"> Emissions (Million Metric Tons)</w:t>
            </w:r>
          </w:p>
        </w:tc>
      </w:tr>
      <w:tr w:rsidR="00321DC2" w:rsidRPr="005D572B" w14:paraId="4A285EE9" w14:textId="77777777" w:rsidTr="00234C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000000" w:themeColor="text1"/>
              <w:right w:val="single" w:sz="4" w:space="0" w:color="auto"/>
            </w:tcBorders>
            <w:shd w:val="clear" w:color="auto" w:fill="D9D9D9" w:themeFill="background1" w:themeFillShade="D9"/>
          </w:tcPr>
          <w:p w14:paraId="24E9E3C1" w14:textId="77777777" w:rsidR="00321DC2" w:rsidRPr="005D572B" w:rsidRDefault="00321DC2" w:rsidP="00BF0AEF">
            <w:pPr>
              <w:spacing w:line="278" w:lineRule="auto"/>
              <w:rPr>
                <w:rFonts w:ascii="Times New Roman" w:hAnsi="Times New Roman" w:cs="Times New Roman"/>
                <w:b w:val="0"/>
                <w:bCs w:val="0"/>
              </w:rPr>
            </w:pPr>
          </w:p>
        </w:tc>
        <w:tc>
          <w:tcPr>
            <w:tcW w:w="2122" w:type="dxa"/>
            <w:tcBorders>
              <w:left w:val="single" w:sz="4" w:space="0" w:color="auto"/>
              <w:bottom w:val="single" w:sz="4" w:space="0" w:color="000000" w:themeColor="text1"/>
            </w:tcBorders>
            <w:shd w:val="clear" w:color="auto" w:fill="D9D9D9" w:themeFill="background1" w:themeFillShade="D9"/>
          </w:tcPr>
          <w:p w14:paraId="3BD32055" w14:textId="77777777" w:rsidR="00321DC2" w:rsidRPr="005D572B" w:rsidRDefault="00321DC2" w:rsidP="00BF0AEF">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 xml:space="preserve">Pulp and </w:t>
            </w:r>
            <w:proofErr w:type="gramStart"/>
            <w:r w:rsidRPr="005D572B">
              <w:rPr>
                <w:rFonts w:ascii="Times New Roman" w:hAnsi="Times New Roman" w:cs="Times New Roman"/>
              </w:rPr>
              <w:t>Paper</w:t>
            </w:r>
            <w:proofErr w:type="gramEnd"/>
          </w:p>
        </w:tc>
        <w:tc>
          <w:tcPr>
            <w:tcW w:w="1980" w:type="dxa"/>
            <w:tcBorders>
              <w:bottom w:val="single" w:sz="4" w:space="0" w:color="000000" w:themeColor="text1"/>
            </w:tcBorders>
            <w:shd w:val="clear" w:color="auto" w:fill="D9D9D9" w:themeFill="background1" w:themeFillShade="D9"/>
          </w:tcPr>
          <w:p w14:paraId="2D8C1FB7" w14:textId="77777777" w:rsidR="00321DC2" w:rsidRPr="005D572B" w:rsidRDefault="00321DC2" w:rsidP="00BF0AEF">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Wood Products</w:t>
            </w:r>
          </w:p>
        </w:tc>
        <w:tc>
          <w:tcPr>
            <w:tcW w:w="1879" w:type="dxa"/>
            <w:tcBorders>
              <w:bottom w:val="single" w:sz="4" w:space="0" w:color="000000" w:themeColor="text1"/>
              <w:right w:val="nil"/>
            </w:tcBorders>
            <w:shd w:val="clear" w:color="auto" w:fill="D9D9D9" w:themeFill="background1" w:themeFillShade="D9"/>
          </w:tcPr>
          <w:p w14:paraId="73A98A37" w14:textId="77777777" w:rsidR="00321DC2" w:rsidRPr="005D572B" w:rsidRDefault="00321DC2" w:rsidP="00BF0AEF">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Total</w:t>
            </w:r>
          </w:p>
        </w:tc>
      </w:tr>
      <w:tr w:rsidR="00321DC2" w:rsidRPr="005D572B" w14:paraId="38C8C1D8" w14:textId="77777777" w:rsidTr="00360B83">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tcBorders>
          </w:tcPr>
          <w:p w14:paraId="09CDDF19" w14:textId="77777777" w:rsidR="00321DC2" w:rsidRPr="005D572B" w:rsidRDefault="00321DC2" w:rsidP="00BF0AEF">
            <w:pPr>
              <w:spacing w:line="278" w:lineRule="auto"/>
              <w:rPr>
                <w:rFonts w:ascii="Times New Roman" w:hAnsi="Times New Roman" w:cs="Times New Roman"/>
                <w:b w:val="0"/>
                <w:bCs w:val="0"/>
              </w:rPr>
            </w:pPr>
            <w:r w:rsidRPr="005D572B">
              <w:rPr>
                <w:rFonts w:ascii="Times New Roman" w:hAnsi="Times New Roman" w:cs="Times New Roman"/>
                <w:b w:val="0"/>
                <w:bCs w:val="0"/>
              </w:rPr>
              <w:t>1991</w:t>
            </w:r>
          </w:p>
        </w:tc>
        <w:tc>
          <w:tcPr>
            <w:tcW w:w="2122" w:type="dxa"/>
            <w:tcBorders>
              <w:bottom w:val="nil"/>
            </w:tcBorders>
          </w:tcPr>
          <w:p w14:paraId="39F47C60" w14:textId="77777777" w:rsidR="00321DC2" w:rsidRPr="005D572B" w:rsidRDefault="00321DC2" w:rsidP="00BF0AEF">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118</w:t>
            </w:r>
          </w:p>
        </w:tc>
        <w:tc>
          <w:tcPr>
            <w:tcW w:w="1980" w:type="dxa"/>
            <w:tcBorders>
              <w:bottom w:val="nil"/>
            </w:tcBorders>
          </w:tcPr>
          <w:p w14:paraId="735454D9" w14:textId="77777777" w:rsidR="00321DC2" w:rsidRPr="005D572B" w:rsidRDefault="00321DC2" w:rsidP="00BF0AEF">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26.7</w:t>
            </w:r>
          </w:p>
        </w:tc>
        <w:tc>
          <w:tcPr>
            <w:tcW w:w="1879" w:type="dxa"/>
            <w:tcBorders>
              <w:bottom w:val="nil"/>
              <w:right w:val="nil"/>
            </w:tcBorders>
          </w:tcPr>
          <w:p w14:paraId="05481135" w14:textId="77777777" w:rsidR="00321DC2" w:rsidRPr="005D572B" w:rsidRDefault="00321DC2" w:rsidP="00BF0AEF">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144.7</w:t>
            </w:r>
          </w:p>
        </w:tc>
      </w:tr>
      <w:tr w:rsidR="00321DC2" w:rsidRPr="005D572B" w14:paraId="7CB60AF5" w14:textId="77777777" w:rsidTr="00360B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tcPr>
          <w:p w14:paraId="08C16007" w14:textId="77777777" w:rsidR="00321DC2" w:rsidRPr="005D572B" w:rsidRDefault="00321DC2" w:rsidP="00BF0AEF">
            <w:pPr>
              <w:spacing w:line="278" w:lineRule="auto"/>
              <w:rPr>
                <w:rFonts w:ascii="Times New Roman" w:hAnsi="Times New Roman" w:cs="Times New Roman"/>
                <w:b w:val="0"/>
                <w:bCs w:val="0"/>
              </w:rPr>
            </w:pPr>
            <w:r w:rsidRPr="005D572B">
              <w:rPr>
                <w:rFonts w:ascii="Times New Roman" w:hAnsi="Times New Roman" w:cs="Times New Roman"/>
                <w:b w:val="0"/>
                <w:bCs w:val="0"/>
              </w:rPr>
              <w:t>2006</w:t>
            </w:r>
          </w:p>
        </w:tc>
        <w:tc>
          <w:tcPr>
            <w:tcW w:w="2122" w:type="dxa"/>
            <w:tcBorders>
              <w:top w:val="nil"/>
              <w:bottom w:val="nil"/>
            </w:tcBorders>
            <w:shd w:val="clear" w:color="auto" w:fill="auto"/>
          </w:tcPr>
          <w:p w14:paraId="7D8D96E0" w14:textId="77777777" w:rsidR="00321DC2" w:rsidRPr="005D572B" w:rsidRDefault="00321DC2" w:rsidP="00BF0AEF">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122</w:t>
            </w:r>
          </w:p>
        </w:tc>
        <w:tc>
          <w:tcPr>
            <w:tcW w:w="1980" w:type="dxa"/>
            <w:tcBorders>
              <w:top w:val="nil"/>
              <w:bottom w:val="nil"/>
            </w:tcBorders>
            <w:shd w:val="clear" w:color="auto" w:fill="auto"/>
          </w:tcPr>
          <w:p w14:paraId="3BE20144" w14:textId="77777777" w:rsidR="00321DC2" w:rsidRPr="005D572B" w:rsidRDefault="00321DC2" w:rsidP="00BF0AEF">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20.3</w:t>
            </w:r>
          </w:p>
        </w:tc>
        <w:tc>
          <w:tcPr>
            <w:tcW w:w="1879" w:type="dxa"/>
            <w:tcBorders>
              <w:top w:val="nil"/>
              <w:bottom w:val="nil"/>
              <w:right w:val="nil"/>
            </w:tcBorders>
            <w:shd w:val="clear" w:color="auto" w:fill="auto"/>
          </w:tcPr>
          <w:p w14:paraId="68576B23" w14:textId="77777777" w:rsidR="00321DC2" w:rsidRPr="005D572B" w:rsidRDefault="00321DC2" w:rsidP="00BF0AEF">
            <w:pPr>
              <w:spacing w:line="27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142.3</w:t>
            </w:r>
          </w:p>
        </w:tc>
      </w:tr>
      <w:tr w:rsidR="00321DC2" w:rsidRPr="005D572B" w14:paraId="752AD653" w14:textId="77777777" w:rsidTr="00360B8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tcBorders>
          </w:tcPr>
          <w:p w14:paraId="6ECF52C3" w14:textId="77777777" w:rsidR="00321DC2" w:rsidRPr="005D572B" w:rsidRDefault="00321DC2" w:rsidP="00BF0AEF">
            <w:pPr>
              <w:spacing w:line="278" w:lineRule="auto"/>
              <w:rPr>
                <w:rFonts w:ascii="Times New Roman" w:hAnsi="Times New Roman" w:cs="Times New Roman"/>
                <w:b w:val="0"/>
                <w:bCs w:val="0"/>
              </w:rPr>
            </w:pPr>
            <w:r w:rsidRPr="005D572B">
              <w:rPr>
                <w:rFonts w:ascii="Times New Roman" w:hAnsi="Times New Roman" w:cs="Times New Roman"/>
                <w:b w:val="0"/>
                <w:bCs w:val="0"/>
              </w:rPr>
              <w:t>2018</w:t>
            </w:r>
          </w:p>
        </w:tc>
        <w:tc>
          <w:tcPr>
            <w:tcW w:w="2122" w:type="dxa"/>
            <w:tcBorders>
              <w:top w:val="nil"/>
            </w:tcBorders>
          </w:tcPr>
          <w:p w14:paraId="22A6E320" w14:textId="77777777" w:rsidR="00321DC2" w:rsidRPr="005D572B" w:rsidRDefault="00321DC2" w:rsidP="00BF0AEF">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115</w:t>
            </w:r>
          </w:p>
        </w:tc>
        <w:tc>
          <w:tcPr>
            <w:tcW w:w="1980" w:type="dxa"/>
            <w:tcBorders>
              <w:top w:val="nil"/>
            </w:tcBorders>
          </w:tcPr>
          <w:p w14:paraId="776405D5" w14:textId="77777777" w:rsidR="00321DC2" w:rsidRPr="005D572B" w:rsidRDefault="00321DC2" w:rsidP="00BF0AEF">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20.7</w:t>
            </w:r>
          </w:p>
        </w:tc>
        <w:tc>
          <w:tcPr>
            <w:tcW w:w="1879" w:type="dxa"/>
            <w:tcBorders>
              <w:top w:val="nil"/>
              <w:right w:val="nil"/>
            </w:tcBorders>
          </w:tcPr>
          <w:p w14:paraId="5340B9F5" w14:textId="77777777" w:rsidR="00321DC2" w:rsidRPr="005D572B" w:rsidRDefault="00321DC2" w:rsidP="00BF0AEF">
            <w:pPr>
              <w:spacing w:line="27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D572B">
              <w:rPr>
                <w:rFonts w:ascii="Times New Roman" w:hAnsi="Times New Roman" w:cs="Times New Roman"/>
              </w:rPr>
              <w:t>135.7</w:t>
            </w:r>
          </w:p>
        </w:tc>
      </w:tr>
    </w:tbl>
    <w:p w14:paraId="076D24B1" w14:textId="77777777" w:rsidR="00321DC2" w:rsidRPr="006717D4" w:rsidRDefault="00321DC2" w:rsidP="00321DC2">
      <w:pPr>
        <w:rPr>
          <w:rFonts w:ascii="Times New Roman" w:hAnsi="Times New Roman" w:cs="Times New Roman"/>
        </w:rPr>
      </w:pPr>
    </w:p>
    <w:p w14:paraId="01255B91"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4E004520" wp14:editId="7B68CCB7">
            <wp:extent cx="5234940" cy="3230880"/>
            <wp:effectExtent l="0" t="0" r="3810" b="7620"/>
            <wp:docPr id="392896059" name="Chart 1">
              <a:extLst xmlns:a="http://schemas.openxmlformats.org/drawingml/2006/main">
                <a:ext uri="{FF2B5EF4-FFF2-40B4-BE49-F238E27FC236}">
                  <a16:creationId xmlns:a16="http://schemas.microsoft.com/office/drawing/2014/main" id="{CD114B33-3CD5-434A-A286-8BDF35D51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36852C" w14:textId="2AC11E29" w:rsidR="00321DC2" w:rsidRPr="006717D4" w:rsidRDefault="00321DC2" w:rsidP="00321DC2">
      <w:pPr>
        <w:jc w:val="center"/>
        <w:rPr>
          <w:rFonts w:ascii="Times New Roman" w:hAnsi="Times New Roman" w:cs="Times New Roman"/>
        </w:rPr>
      </w:pPr>
      <w:bookmarkStart w:id="31" w:name="_Ref143004638"/>
      <w:r w:rsidRPr="006717D4">
        <w:rPr>
          <w:rFonts w:ascii="Times New Roman" w:hAnsi="Times New Roman" w:cs="Times New Roman"/>
          <w:b/>
          <w:bCs/>
        </w:rPr>
        <w:t xml:space="preserve">Figure </w:t>
      </w:r>
      <w:bookmarkEnd w:id="31"/>
      <w:r w:rsidR="00BF0AEF">
        <w:rPr>
          <w:rFonts w:ascii="Times New Roman" w:hAnsi="Times New Roman" w:cs="Times New Roman"/>
          <w:b/>
          <w:bCs/>
        </w:rPr>
        <w:t>S14</w:t>
      </w:r>
      <w:r w:rsidRPr="006717D4">
        <w:rPr>
          <w:rFonts w:ascii="Times New Roman" w:hAnsi="Times New Roman" w:cs="Times New Roman"/>
          <w:b/>
          <w:bCs/>
        </w:rPr>
        <w:t>.</w:t>
      </w:r>
      <w:r w:rsidRPr="006717D4">
        <w:rPr>
          <w:rFonts w:ascii="Times New Roman" w:hAnsi="Times New Roman" w:cs="Times New Roman"/>
        </w:rPr>
        <w:t xml:space="preserve"> Biogenic Carbon Dioxide Emissions from US Forest Products Manufacturing [Note: the numbers in the legend are NAICS codes]</w:t>
      </w:r>
    </w:p>
    <w:p w14:paraId="739FA500" w14:textId="77777777" w:rsidR="00321DC2" w:rsidRPr="006717D4" w:rsidRDefault="00321DC2" w:rsidP="00321DC2">
      <w:pPr>
        <w:rPr>
          <w:rFonts w:ascii="Times New Roman" w:hAnsi="Times New Roman" w:cs="Times New Roman"/>
        </w:rPr>
      </w:pPr>
    </w:p>
    <w:p w14:paraId="4E89E94C" w14:textId="77777777" w:rsidR="00321DC2" w:rsidRPr="000566CB" w:rsidRDefault="00321DC2" w:rsidP="000566CB">
      <w:pPr>
        <w:pStyle w:val="Heading2"/>
        <w:rPr>
          <w:rFonts w:ascii="Times New Roman" w:hAnsi="Times New Roman" w:cs="Times New Roman"/>
          <w:b/>
          <w:bCs/>
          <w:color w:val="auto"/>
          <w:sz w:val="24"/>
          <w:szCs w:val="24"/>
        </w:rPr>
      </w:pPr>
      <w:bookmarkStart w:id="32" w:name="_Toc165549643"/>
      <w:bookmarkStart w:id="33" w:name="_Toc174876780"/>
      <w:bookmarkStart w:id="34" w:name="_Toc215829608"/>
      <w:r w:rsidRPr="000566CB">
        <w:rPr>
          <w:rFonts w:ascii="Times New Roman" w:hAnsi="Times New Roman" w:cs="Times New Roman"/>
          <w:b/>
          <w:bCs/>
          <w:color w:val="auto"/>
          <w:sz w:val="24"/>
          <w:szCs w:val="24"/>
        </w:rPr>
        <w:t>Converting Operations</w:t>
      </w:r>
      <w:bookmarkEnd w:id="32"/>
      <w:bookmarkEnd w:id="33"/>
      <w:bookmarkEnd w:id="34"/>
    </w:p>
    <w:p w14:paraId="1BC7E73F" w14:textId="77777777" w:rsidR="00321DC2" w:rsidRPr="006717D4" w:rsidRDefault="00321DC2" w:rsidP="00321DC2">
      <w:pPr>
        <w:rPr>
          <w:rFonts w:ascii="Times New Roman" w:hAnsi="Times New Roman" w:cs="Times New Roman"/>
        </w:rPr>
      </w:pPr>
      <w:r w:rsidRPr="006717D4">
        <w:rPr>
          <w:rFonts w:ascii="Times New Roman" w:hAnsi="Times New Roman" w:cs="Times New Roman"/>
        </w:rPr>
        <w:t>In most cases, wood and paper products require additional manufacturing to produce final products. There are many so-called converting operations. In the case of paper and paperboard products, these include printing, packaging, cutting, folding and gluing, and many others. In the case of wood products, these include converting wood into furniture, housing, and many other products. Because of the great variety in converting operations, any estimate of emissions associated with this part of the forest products industry value chain is subject to considerable uncertainty.</w:t>
      </w:r>
    </w:p>
    <w:p w14:paraId="5EFF1F2C" w14:textId="009F90EE" w:rsidR="00321DC2" w:rsidRPr="006717D4" w:rsidRDefault="00321DC2" w:rsidP="00321DC2">
      <w:pPr>
        <w:rPr>
          <w:rFonts w:ascii="Times New Roman" w:hAnsi="Times New Roman" w:cs="Times New Roman"/>
        </w:rPr>
      </w:pPr>
      <w:r w:rsidRPr="006717D4">
        <w:rPr>
          <w:rFonts w:ascii="Times New Roman" w:hAnsi="Times New Roman" w:cs="Times New Roman"/>
        </w:rPr>
        <w:t>This report contains estimates of emissions from some converting operations not included in the previous profile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{"citationID":"2AHT33en","properties":{"formattedCitation":"\\super 5\\nosupersub{}","plainCitation":"5","noteIndex":0},"citationItems":[{"id":87,"uris":["http://zotero.org/users/18184231/items/ANB9I5TV"],"itemData":{"id":87,"type":"article-journal","container-title":"Environmental Science &amp; Technology","DOI":"10.1021/es902723x","ISSN":"0013-936X, 1520-5851","issue":"10","journalAbbreviation":"Environ. Sci. Technol.","language":"en","license":"http://pubs.acs.org/page/policy/authorchoice_termsofuse.html","page":"3999-4005","source":"DOI.org (Crossref)","title":"Greenhouse Gas and Carbon Profile of the U.S. Forest Products Industry Value Chain","volume":"44","author":[{"family":"Heath","given":"Linda S."},{"family":"Maltby","given":"Van"},{"family":"Miner","given":"Reid"},{"family":"Skog","given":"Kenneth E."},{"family":"Smith","given":"James E."},{"family":"Unwin","given":"Jay"},{"family":"Upton","given":"Brad"}],"issued":{"date-parts":[["2010",5,15]]}}}],"schema":"https://github.com/citation-style-language/schema/raw/master/csl-citation.json"} </w:instrText>
      </w:r>
      <w:r>
        <w:rPr>
          <w:rFonts w:ascii="Times New Roman" w:hAnsi="Times New Roman" w:cs="Times New Roman"/>
        </w:rPr>
        <w:fldChar w:fldCharType="separate"/>
      </w:r>
      <w:r w:rsidRPr="00321DC2">
        <w:rPr>
          <w:rFonts w:ascii="Times New Roman" w:hAnsi="Times New Roman" w:cs="Times New Roman"/>
          <w:kern w:val="0"/>
          <w:vertAlign w:val="superscript"/>
        </w:rPr>
        <w:t>5</w:t>
      </w:r>
      <w:r>
        <w:rPr>
          <w:rFonts w:ascii="Times New Roman" w:hAnsi="Times New Roman" w:cs="Times New Roman"/>
        </w:rPr>
        <w:fldChar w:fldCharType="end"/>
      </w:r>
      <w:r w:rsidRPr="006717D4">
        <w:rPr>
          <w:rFonts w:ascii="Times New Roman" w:hAnsi="Times New Roman" w:cs="Times New Roman"/>
        </w:rPr>
        <w:t xml:space="preserve">. In addition, methods to estimate process energy-related emissions have been </w:t>
      </w:r>
      <w:r w:rsidRPr="006717D4">
        <w:rPr>
          <w:rFonts w:ascii="Times New Roman" w:hAnsi="Times New Roman" w:cs="Times New Roman"/>
        </w:rPr>
        <w:lastRenderedPageBreak/>
        <w:t>improved compared to the previous profile. As a result, there are differences between the estimates presented herein and those published in Heath et al.</w:t>
      </w:r>
      <w:r>
        <w:rPr>
          <w:rFonts w:ascii="Times New Roman" w:hAnsi="Times New Roman" w:cs="Times New Roman"/>
        </w:rPr>
        <w:t xml:space="preserve"> </w:t>
      </w:r>
      <w:r w:rsidRPr="006717D4">
        <w:rPr>
          <w:rFonts w:ascii="Times New Roman" w:hAnsi="Times New Roman" w:cs="Times New Roman"/>
        </w:rPr>
        <w:t>2010</w:t>
      </w:r>
      <w:r>
        <w:rPr>
          <w:rFonts w:ascii="Times New Roman" w:hAnsi="Times New Roman" w:cs="Times New Roman"/>
        </w:rPr>
        <w:fldChar w:fldCharType="begin"/>
      </w:r>
      <w:r>
        <w:rPr>
          <w:rFonts w:ascii="Times New Roman" w:hAnsi="Times New Roman" w:cs="Times New Roman"/>
        </w:rPr>
        <w:instrText xml:space="preserve"> ADDIN ZOTERO_ITEM CSL_CITATION {"citationID":"p9C85rNn","properties":{"formattedCitation":"\\super 5\\nosupersub{}","plainCitation":"5","noteIndex":0},"citationItems":[{"id":87,"uris":["http://zotero.org/users/18184231/items/ANB9I5TV"],"itemData":{"id":87,"type":"article-journal","container-title":"Environmental Science &amp; Technology","DOI":"10.1021/es902723x","ISSN":"0013-936X, 1520-5851","issue":"10","journalAbbreviation":"Environ. Sci. Technol.","language":"en","license":"http://pubs.acs.org/page/policy/authorchoice_termsofuse.html","page":"3999-4005","source":"DOI.org (Crossref)","title":"Greenhouse Gas and Carbon Profile of the U.S. Forest Products Industry Value Chain","volume":"44","author":[{"family":"Heath","given":"Linda S."},{"family":"Maltby","given":"Van"},{"family":"Miner","given":"Reid"},{"family":"Skog","given":"Kenneth E."},{"family":"Smith","given":"James E."},{"family":"Unwin","given":"Jay"},{"family":"Upton","given":"Brad"}],"issued":{"date-parts":[["2010",5,15]]}}}],"schema":"https://github.com/citation-style-language/schema/raw/master/csl-citation.json"} </w:instrText>
      </w:r>
      <w:r>
        <w:rPr>
          <w:rFonts w:ascii="Times New Roman" w:hAnsi="Times New Roman" w:cs="Times New Roman"/>
        </w:rPr>
        <w:fldChar w:fldCharType="separate"/>
      </w:r>
      <w:r w:rsidRPr="00321DC2">
        <w:rPr>
          <w:rFonts w:ascii="Times New Roman" w:hAnsi="Times New Roman" w:cs="Times New Roman"/>
          <w:kern w:val="0"/>
          <w:vertAlign w:val="superscript"/>
        </w:rPr>
        <w:t>5</w:t>
      </w:r>
      <w:r>
        <w:rPr>
          <w:rFonts w:ascii="Times New Roman" w:hAnsi="Times New Roman" w:cs="Times New Roman"/>
        </w:rPr>
        <w:fldChar w:fldCharType="end"/>
      </w:r>
      <w:r w:rsidRPr="006717D4">
        <w:rPr>
          <w:rFonts w:ascii="Times New Roman" w:hAnsi="Times New Roman" w:cs="Times New Roman"/>
        </w:rPr>
        <w:t xml:space="preserve">. Previous estimates have been revised, however, using the updated methods, allowing a consistent comparison of emissions in 1990, 2005, and 2020. </w:t>
      </w:r>
    </w:p>
    <w:p w14:paraId="7C5BB92A" w14:textId="77777777"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For this profile, estimates were drawn primarily from EIA MECS data. It is important to note that the EIA MECS data </w:t>
      </w:r>
      <w:proofErr w:type="gramStart"/>
      <w:r w:rsidRPr="006717D4">
        <w:rPr>
          <w:rFonts w:ascii="Times New Roman" w:hAnsi="Times New Roman" w:cs="Times New Roman"/>
        </w:rPr>
        <w:t>do</w:t>
      </w:r>
      <w:proofErr w:type="gramEnd"/>
      <w:r w:rsidRPr="006717D4">
        <w:rPr>
          <w:rFonts w:ascii="Times New Roman" w:hAnsi="Times New Roman" w:cs="Times New Roman"/>
        </w:rPr>
        <w:t xml:space="preserve"> not include all types of final processing operations performed on forest products. Also, for some EIA MECS sectors, materials other than forest products may be included in </w:t>
      </w:r>
      <w:proofErr w:type="gramStart"/>
      <w:r w:rsidRPr="006717D4">
        <w:rPr>
          <w:rFonts w:ascii="Times New Roman" w:hAnsi="Times New Roman" w:cs="Times New Roman"/>
        </w:rPr>
        <w:t>an</w:t>
      </w:r>
      <w:proofErr w:type="gramEnd"/>
      <w:r w:rsidRPr="006717D4">
        <w:rPr>
          <w:rFonts w:ascii="Times New Roman" w:hAnsi="Times New Roman" w:cs="Times New Roman"/>
        </w:rPr>
        <w:t xml:space="preserve"> NAICS code. Nonetheless, EIA MECS data </w:t>
      </w:r>
      <w:proofErr w:type="gramStart"/>
      <w:r w:rsidRPr="006717D4">
        <w:rPr>
          <w:rFonts w:ascii="Times New Roman" w:hAnsi="Times New Roman" w:cs="Times New Roman"/>
        </w:rPr>
        <w:t>provide</w:t>
      </w:r>
      <w:proofErr w:type="gramEnd"/>
      <w:r w:rsidRPr="006717D4">
        <w:rPr>
          <w:rFonts w:ascii="Times New Roman" w:hAnsi="Times New Roman" w:cs="Times New Roman"/>
        </w:rPr>
        <w:t xml:space="preserve"> a consistent series of data over time. </w:t>
      </w:r>
    </w:p>
    <w:p w14:paraId="65DB8CD2" w14:textId="575B53E1"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For the pulp, paper, and paperboard sector, the total for NAICS 322 was compared to the total of individual primary NAICS codes for subsectors within NAICS 322. These subsectors are NAICS 322110 (pulp mills), 322121 (paper mills except newsprint mills), 322122 (newsprint mills), and 322130 (paperboard mills). The amount by which the value for NAICS 322 was greater than the total for subcategories for primary manufacturing was assigned to converting operations. The results, shown in Figure </w:t>
      </w:r>
      <w:r w:rsidR="00BF0AEF">
        <w:rPr>
          <w:rFonts w:ascii="Times New Roman" w:hAnsi="Times New Roman" w:cs="Times New Roman"/>
        </w:rPr>
        <w:t>S15</w:t>
      </w:r>
      <w:r w:rsidRPr="006717D4">
        <w:rPr>
          <w:rFonts w:ascii="Times New Roman" w:hAnsi="Times New Roman" w:cs="Times New Roman"/>
        </w:rPr>
        <w:t>, illustrate that, primarily because the residual values represent small differences between larger numbers, there is considerable variability in the emissions from NAICS 322 that are assigned to converting.</w:t>
      </w:r>
    </w:p>
    <w:p w14:paraId="32B64B34"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7E827E7D" wp14:editId="6F3B84E8">
            <wp:extent cx="4573361" cy="2741840"/>
            <wp:effectExtent l="0" t="0" r="17780" b="1905"/>
            <wp:docPr id="1707365543" name="Chart 1">
              <a:extLst xmlns:a="http://schemas.openxmlformats.org/drawingml/2006/main">
                <a:ext uri="{FF2B5EF4-FFF2-40B4-BE49-F238E27FC236}">
                  <a16:creationId xmlns:a16="http://schemas.microsoft.com/office/drawing/2014/main" id="{D9795E76-3F6D-444F-886F-746041E1A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6FC77C" w14:textId="54CB34B8" w:rsidR="00321DC2" w:rsidRPr="00BF0AEF" w:rsidRDefault="00321DC2" w:rsidP="00BF0AEF">
      <w:pPr>
        <w:spacing w:after="0"/>
        <w:jc w:val="center"/>
        <w:rPr>
          <w:rFonts w:ascii="Times New Roman" w:hAnsi="Times New Roman" w:cs="Times New Roman"/>
          <w:b/>
          <w:bCs/>
        </w:rPr>
      </w:pPr>
      <w:r w:rsidRPr="006717D4">
        <w:rPr>
          <w:rFonts w:ascii="Times New Roman" w:hAnsi="Times New Roman" w:cs="Times New Roman"/>
          <w:b/>
          <w:bCs/>
        </w:rPr>
        <w:t xml:space="preserve">Figure </w:t>
      </w:r>
      <w:r w:rsidR="00BF0AEF">
        <w:rPr>
          <w:rFonts w:ascii="Times New Roman" w:hAnsi="Times New Roman" w:cs="Times New Roman"/>
          <w:b/>
          <w:bCs/>
        </w:rPr>
        <w:t>S15</w:t>
      </w:r>
      <w:r w:rsidRPr="006717D4">
        <w:rPr>
          <w:rFonts w:ascii="Times New Roman" w:hAnsi="Times New Roman" w:cs="Times New Roman"/>
        </w:rPr>
        <w:t xml:space="preserve"> Quantity of NAICS 322 Emissions Assigned to US Paper Converting</w:t>
      </w:r>
    </w:p>
    <w:p w14:paraId="59449F5C"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rPr>
        <w:t>[Note: Equals the difference between NAICS 322 and NAICS 3221, the sum of pulp and paper subsectors]</w:t>
      </w:r>
    </w:p>
    <w:p w14:paraId="4C05A9CF" w14:textId="62040ABF" w:rsidR="00321DC2" w:rsidRDefault="00321DC2" w:rsidP="00321DC2">
      <w:pPr>
        <w:rPr>
          <w:rFonts w:ascii="Times New Roman" w:hAnsi="Times New Roman" w:cs="Times New Roman"/>
        </w:rPr>
      </w:pPr>
      <w:r w:rsidRPr="006717D4">
        <w:rPr>
          <w:rFonts w:ascii="Times New Roman" w:hAnsi="Times New Roman" w:cs="Times New Roman"/>
        </w:rPr>
        <w:t xml:space="preserve">To this residual contribution from NAICS 322 were added emissions associated with NAICS 323 (printing and related support). NAICS 323 can include printing on substrates other than paper and paperboard. Examination of the description of the sector suggests that paper and paperboard products are likely dominant, but </w:t>
      </w:r>
      <w:proofErr w:type="gramStart"/>
      <w:r w:rsidRPr="006717D4">
        <w:rPr>
          <w:rFonts w:ascii="Times New Roman" w:hAnsi="Times New Roman" w:cs="Times New Roman"/>
        </w:rPr>
        <w:t>it is clear that the</w:t>
      </w:r>
      <w:proofErr w:type="gramEnd"/>
      <w:r w:rsidRPr="006717D4">
        <w:rPr>
          <w:rFonts w:ascii="Times New Roman" w:hAnsi="Times New Roman" w:cs="Times New Roman"/>
        </w:rPr>
        <w:t xml:space="preserve"> sector includes operations printing on non-</w:t>
      </w:r>
      <w:r w:rsidRPr="006717D4">
        <w:rPr>
          <w:rFonts w:ascii="Times New Roman" w:hAnsi="Times New Roman" w:cs="Times New Roman"/>
        </w:rPr>
        <w:lastRenderedPageBreak/>
        <w:t xml:space="preserve">wood–based substrates. The emissions from NAICS 323 and the converting emissions residual from NAICS 322 are shown in Figure </w:t>
      </w:r>
      <w:r w:rsidR="00BF0AEF">
        <w:rPr>
          <w:rFonts w:ascii="Times New Roman" w:hAnsi="Times New Roman" w:cs="Times New Roman"/>
        </w:rPr>
        <w:t>S16</w:t>
      </w:r>
      <w:r w:rsidRPr="006717D4">
        <w:rPr>
          <w:rFonts w:ascii="Times New Roman" w:hAnsi="Times New Roman" w:cs="Times New Roman"/>
        </w:rPr>
        <w:t xml:space="preserve">. The total of these two, representing the total emissions assigned to paper converting in this study, are also shown. </w:t>
      </w:r>
    </w:p>
    <w:p w14:paraId="10504D42" w14:textId="77777777" w:rsidR="00321DC2" w:rsidRPr="006717D4" w:rsidRDefault="00321DC2" w:rsidP="00321DC2">
      <w:pPr>
        <w:rPr>
          <w:rFonts w:ascii="Times New Roman" w:hAnsi="Times New Roman" w:cs="Times New Roman"/>
        </w:rPr>
      </w:pPr>
    </w:p>
    <w:p w14:paraId="73B09565"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5966B017" wp14:editId="537E4D47">
            <wp:extent cx="4573361" cy="2743200"/>
            <wp:effectExtent l="0" t="0" r="17780" b="0"/>
            <wp:docPr id="1898829624" name="Chart 1">
              <a:extLst xmlns:a="http://schemas.openxmlformats.org/drawingml/2006/main">
                <a:ext uri="{FF2B5EF4-FFF2-40B4-BE49-F238E27FC236}">
                  <a16:creationId xmlns:a16="http://schemas.microsoft.com/office/drawing/2014/main" id="{28198661-83EC-D9AF-06B1-563C112BB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603B47" w14:textId="0BB8030F"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BF0AEF">
        <w:rPr>
          <w:rFonts w:ascii="Times New Roman" w:hAnsi="Times New Roman" w:cs="Times New Roman"/>
          <w:b/>
          <w:bCs/>
        </w:rPr>
        <w:t>S16</w:t>
      </w:r>
      <w:r w:rsidRPr="006717D4">
        <w:rPr>
          <w:rFonts w:ascii="Times New Roman" w:hAnsi="Times New Roman" w:cs="Times New Roman"/>
          <w:b/>
          <w:bCs/>
        </w:rPr>
        <w:t>.</w:t>
      </w:r>
      <w:r w:rsidRPr="006717D4">
        <w:rPr>
          <w:rFonts w:ascii="Times New Roman" w:hAnsi="Times New Roman" w:cs="Times New Roman"/>
        </w:rPr>
        <w:t xml:space="preserve"> Direct Combustion-Related Emissions from US Converting Paper and Paperboard</w:t>
      </w:r>
    </w:p>
    <w:p w14:paraId="62C35B3F" w14:textId="09E3C45C" w:rsidR="00321DC2" w:rsidRDefault="00321DC2" w:rsidP="00321DC2">
      <w:pPr>
        <w:rPr>
          <w:rFonts w:ascii="Times New Roman" w:hAnsi="Times New Roman" w:cs="Times New Roman"/>
        </w:rPr>
      </w:pPr>
      <w:r w:rsidRPr="006717D4">
        <w:rPr>
          <w:rFonts w:ascii="Times New Roman" w:hAnsi="Times New Roman" w:cs="Times New Roman"/>
        </w:rPr>
        <w:t xml:space="preserve">Table </w:t>
      </w:r>
      <w:r w:rsidR="00BF0AEF">
        <w:rPr>
          <w:rFonts w:ascii="Times New Roman" w:hAnsi="Times New Roman" w:cs="Times New Roman"/>
        </w:rPr>
        <w:t>S10</w:t>
      </w:r>
      <w:r>
        <w:rPr>
          <w:rFonts w:ascii="Times New Roman" w:hAnsi="Times New Roman" w:cs="Times New Roman"/>
        </w:rPr>
        <w:t xml:space="preserve"> </w:t>
      </w:r>
      <w:r w:rsidRPr="006717D4">
        <w:rPr>
          <w:rFonts w:ascii="Times New Roman" w:hAnsi="Times New Roman" w:cs="Times New Roman"/>
        </w:rPr>
        <w:t xml:space="preserve">shows emissions in 1990, 2005, and 2018, assumed in this analysis to be equal to emissions in EIA MECS years 1991, 2006, and 2018, respectively. </w:t>
      </w:r>
    </w:p>
    <w:p w14:paraId="344D5D13" w14:textId="77777777" w:rsidR="00BF0AEF" w:rsidRPr="006717D4" w:rsidRDefault="00BF0AEF" w:rsidP="00321DC2">
      <w:pPr>
        <w:rPr>
          <w:rFonts w:ascii="Times New Roman" w:hAnsi="Times New Roman" w:cs="Times New Roman"/>
        </w:rPr>
      </w:pPr>
    </w:p>
    <w:p w14:paraId="7B906FE7" w14:textId="69C75C44"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Table </w:t>
      </w:r>
      <w:r w:rsidR="00BF0AEF">
        <w:rPr>
          <w:rFonts w:ascii="Times New Roman" w:hAnsi="Times New Roman" w:cs="Times New Roman"/>
          <w:b/>
          <w:bCs/>
        </w:rPr>
        <w:t>S10</w:t>
      </w:r>
      <w:r w:rsidRPr="006717D4">
        <w:rPr>
          <w:rFonts w:ascii="Times New Roman" w:hAnsi="Times New Roman" w:cs="Times New Roman"/>
          <w:b/>
          <w:bCs/>
        </w:rPr>
        <w:t>.</w:t>
      </w:r>
      <w:r w:rsidRPr="006717D4">
        <w:rPr>
          <w:rFonts w:ascii="Times New Roman" w:hAnsi="Times New Roman" w:cs="Times New Roman"/>
        </w:rPr>
        <w:t xml:space="preserve"> Direct Combustion-Related Emissions from US Paper and Paperboard Converting</w:t>
      </w: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700"/>
        <w:gridCol w:w="2125"/>
        <w:gridCol w:w="2174"/>
        <w:gridCol w:w="2001"/>
      </w:tblGrid>
      <w:tr w:rsidR="00321DC2" w:rsidRPr="006717D4" w14:paraId="256C104E" w14:textId="77777777" w:rsidTr="00360B83">
        <w:trPr>
          <w:jc w:val="center"/>
        </w:trPr>
        <w:tc>
          <w:tcPr>
            <w:tcW w:w="2700" w:type="dxa"/>
            <w:shd w:val="clear" w:color="auto" w:fill="D9D9D9" w:themeFill="background1" w:themeFillShade="D9"/>
          </w:tcPr>
          <w:p w14:paraId="6F21DFF6" w14:textId="77777777" w:rsidR="00321DC2" w:rsidRPr="006717D4" w:rsidRDefault="00321DC2" w:rsidP="00BF0AEF">
            <w:pPr>
              <w:spacing w:line="278" w:lineRule="auto"/>
              <w:rPr>
                <w:rFonts w:ascii="Times New Roman" w:hAnsi="Times New Roman" w:cs="Times New Roman"/>
              </w:rPr>
            </w:pPr>
          </w:p>
        </w:tc>
        <w:tc>
          <w:tcPr>
            <w:tcW w:w="2125" w:type="dxa"/>
            <w:shd w:val="clear" w:color="auto" w:fill="D9D9D9" w:themeFill="background1" w:themeFillShade="D9"/>
          </w:tcPr>
          <w:p w14:paraId="0199C1B4"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Emissions Million Metric Tons CO</w:t>
            </w:r>
            <w:r w:rsidRPr="006717D4">
              <w:rPr>
                <w:rFonts w:ascii="Times New Roman" w:hAnsi="Times New Roman" w:cs="Times New Roman"/>
                <w:vertAlign w:val="subscript"/>
              </w:rPr>
              <w:t>2</w:t>
            </w:r>
            <w:r w:rsidRPr="006717D4">
              <w:rPr>
                <w:rFonts w:ascii="Times New Roman" w:hAnsi="Times New Roman" w:cs="Times New Roman"/>
              </w:rPr>
              <w:t>e</w:t>
            </w:r>
          </w:p>
        </w:tc>
        <w:tc>
          <w:tcPr>
            <w:tcW w:w="2174" w:type="dxa"/>
            <w:shd w:val="clear" w:color="auto" w:fill="D9D9D9" w:themeFill="background1" w:themeFillShade="D9"/>
          </w:tcPr>
          <w:p w14:paraId="02A8C812"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Fraction of 1990 Emissions</w:t>
            </w:r>
          </w:p>
        </w:tc>
        <w:tc>
          <w:tcPr>
            <w:tcW w:w="2001" w:type="dxa"/>
            <w:shd w:val="clear" w:color="auto" w:fill="D9D9D9" w:themeFill="background1" w:themeFillShade="D9"/>
          </w:tcPr>
          <w:p w14:paraId="20101E6D"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5AE7AB5F" w14:textId="77777777" w:rsidTr="00360B83">
        <w:trPr>
          <w:jc w:val="center"/>
        </w:trPr>
        <w:tc>
          <w:tcPr>
            <w:tcW w:w="2700" w:type="dxa"/>
          </w:tcPr>
          <w:p w14:paraId="3DBA3D37" w14:textId="77777777" w:rsidR="00321DC2" w:rsidRPr="006717D4" w:rsidRDefault="00321DC2" w:rsidP="00BF0AEF">
            <w:pPr>
              <w:spacing w:line="278" w:lineRule="auto"/>
              <w:rPr>
                <w:rFonts w:ascii="Times New Roman" w:hAnsi="Times New Roman" w:cs="Times New Roman"/>
              </w:rPr>
            </w:pPr>
            <w:r w:rsidRPr="006717D4">
              <w:rPr>
                <w:rFonts w:ascii="Times New Roman" w:hAnsi="Times New Roman" w:cs="Times New Roman"/>
              </w:rPr>
              <w:t>1990 (EIA MECS 1991)</w:t>
            </w:r>
          </w:p>
        </w:tc>
        <w:tc>
          <w:tcPr>
            <w:tcW w:w="2125" w:type="dxa"/>
          </w:tcPr>
          <w:p w14:paraId="2CCB4401"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7.1</w:t>
            </w:r>
          </w:p>
        </w:tc>
        <w:tc>
          <w:tcPr>
            <w:tcW w:w="2174" w:type="dxa"/>
          </w:tcPr>
          <w:p w14:paraId="0CFCB46E"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1.00</w:t>
            </w:r>
          </w:p>
        </w:tc>
        <w:tc>
          <w:tcPr>
            <w:tcW w:w="2001" w:type="dxa"/>
          </w:tcPr>
          <w:p w14:paraId="55A2A02C" w14:textId="77777777" w:rsidR="00321DC2" w:rsidRPr="006717D4" w:rsidRDefault="00321DC2" w:rsidP="00BF0AEF">
            <w:pPr>
              <w:spacing w:line="278" w:lineRule="auto"/>
              <w:jc w:val="center"/>
              <w:rPr>
                <w:rFonts w:ascii="Times New Roman" w:hAnsi="Times New Roman" w:cs="Times New Roman"/>
              </w:rPr>
            </w:pPr>
          </w:p>
        </w:tc>
      </w:tr>
      <w:tr w:rsidR="00321DC2" w:rsidRPr="006717D4" w14:paraId="3578E850" w14:textId="77777777" w:rsidTr="00360B83">
        <w:trPr>
          <w:jc w:val="center"/>
        </w:trPr>
        <w:tc>
          <w:tcPr>
            <w:tcW w:w="2700" w:type="dxa"/>
          </w:tcPr>
          <w:p w14:paraId="04A6513A" w14:textId="77777777" w:rsidR="00321DC2" w:rsidRPr="006717D4" w:rsidRDefault="00321DC2" w:rsidP="00BF0AEF">
            <w:pPr>
              <w:spacing w:line="278" w:lineRule="auto"/>
              <w:rPr>
                <w:rFonts w:ascii="Times New Roman" w:hAnsi="Times New Roman" w:cs="Times New Roman"/>
              </w:rPr>
            </w:pPr>
            <w:r w:rsidRPr="006717D4">
              <w:rPr>
                <w:rFonts w:ascii="Times New Roman" w:hAnsi="Times New Roman" w:cs="Times New Roman"/>
              </w:rPr>
              <w:t>2005 (EIA MECS 2006)</w:t>
            </w:r>
          </w:p>
        </w:tc>
        <w:tc>
          <w:tcPr>
            <w:tcW w:w="2125" w:type="dxa"/>
          </w:tcPr>
          <w:p w14:paraId="7B86DF41"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11.4</w:t>
            </w:r>
          </w:p>
        </w:tc>
        <w:tc>
          <w:tcPr>
            <w:tcW w:w="2174" w:type="dxa"/>
          </w:tcPr>
          <w:p w14:paraId="002FC1DE"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1.62</w:t>
            </w:r>
          </w:p>
        </w:tc>
        <w:tc>
          <w:tcPr>
            <w:tcW w:w="2001" w:type="dxa"/>
          </w:tcPr>
          <w:p w14:paraId="432D21DD"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66FCED33" w14:textId="77777777" w:rsidTr="00360B83">
        <w:trPr>
          <w:jc w:val="center"/>
        </w:trPr>
        <w:tc>
          <w:tcPr>
            <w:tcW w:w="2700" w:type="dxa"/>
          </w:tcPr>
          <w:p w14:paraId="7A7522CB" w14:textId="77777777" w:rsidR="00321DC2" w:rsidRPr="006717D4" w:rsidRDefault="00321DC2" w:rsidP="00BF0AEF">
            <w:pPr>
              <w:spacing w:line="278" w:lineRule="auto"/>
              <w:rPr>
                <w:rFonts w:ascii="Times New Roman" w:hAnsi="Times New Roman" w:cs="Times New Roman"/>
              </w:rPr>
            </w:pPr>
            <w:r w:rsidRPr="006717D4">
              <w:rPr>
                <w:rFonts w:ascii="Times New Roman" w:hAnsi="Times New Roman" w:cs="Times New Roman"/>
              </w:rPr>
              <w:t>2020 (EIA MECS 2018)</w:t>
            </w:r>
          </w:p>
        </w:tc>
        <w:tc>
          <w:tcPr>
            <w:tcW w:w="2125" w:type="dxa"/>
          </w:tcPr>
          <w:p w14:paraId="7AC4CEDD"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5.2</w:t>
            </w:r>
          </w:p>
        </w:tc>
        <w:tc>
          <w:tcPr>
            <w:tcW w:w="2174" w:type="dxa"/>
          </w:tcPr>
          <w:p w14:paraId="6B40DDB5"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0.74</w:t>
            </w:r>
          </w:p>
        </w:tc>
        <w:tc>
          <w:tcPr>
            <w:tcW w:w="2001" w:type="dxa"/>
          </w:tcPr>
          <w:p w14:paraId="32865879"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0.46</w:t>
            </w:r>
          </w:p>
        </w:tc>
      </w:tr>
    </w:tbl>
    <w:p w14:paraId="1024B62A" w14:textId="77777777" w:rsidR="00321DC2" w:rsidRPr="006717D4" w:rsidRDefault="00321DC2" w:rsidP="00321DC2">
      <w:pPr>
        <w:rPr>
          <w:rFonts w:ascii="Times New Roman" w:hAnsi="Times New Roman" w:cs="Times New Roman"/>
        </w:rPr>
      </w:pPr>
    </w:p>
    <w:p w14:paraId="6B6D2DAA" w14:textId="207A2899"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Like the paper and paperboard sector, any emissions from the overall wood products sector (NAICS 321) that exceeded the total for the individual subsectors were assigned to </w:t>
      </w:r>
      <w:proofErr w:type="gramStart"/>
      <w:r w:rsidRPr="006717D4">
        <w:rPr>
          <w:rFonts w:ascii="Times New Roman" w:hAnsi="Times New Roman" w:cs="Times New Roman"/>
        </w:rPr>
        <w:t>converting</w:t>
      </w:r>
      <w:proofErr w:type="gramEnd"/>
      <w:r w:rsidRPr="006717D4">
        <w:rPr>
          <w:rFonts w:ascii="Times New Roman" w:hAnsi="Times New Roman" w:cs="Times New Roman"/>
        </w:rPr>
        <w:t xml:space="preserve">. The changeover to NAICS codes in 1997, however, makes it difficult to interpret the subsector data for 1991 and 1994; therefore, subsector data were not used for these years. As a result, there is no residual (i.e., the difference between the sector total and the sum of subsectors) to assign to converting for 1991 and 1994. This can be seen in the emissions plotted in Figure </w:t>
      </w:r>
      <w:r w:rsidR="00BF0AEF">
        <w:rPr>
          <w:rFonts w:ascii="Times New Roman" w:hAnsi="Times New Roman" w:cs="Times New Roman"/>
        </w:rPr>
        <w:t>S17</w:t>
      </w:r>
      <w:r w:rsidRPr="006717D4">
        <w:rPr>
          <w:rFonts w:ascii="Times New Roman" w:hAnsi="Times New Roman" w:cs="Times New Roman"/>
        </w:rPr>
        <w:t xml:space="preserve">. Note, </w:t>
      </w:r>
      <w:r w:rsidRPr="006717D4">
        <w:rPr>
          <w:rFonts w:ascii="Times New Roman" w:hAnsi="Times New Roman" w:cs="Times New Roman"/>
        </w:rPr>
        <w:lastRenderedPageBreak/>
        <w:t xml:space="preserve">however, that any converting emissions included in the wood products total </w:t>
      </w:r>
      <w:proofErr w:type="gramStart"/>
      <w:r w:rsidRPr="006717D4">
        <w:rPr>
          <w:rFonts w:ascii="Times New Roman" w:hAnsi="Times New Roman" w:cs="Times New Roman"/>
        </w:rPr>
        <w:t>is</w:t>
      </w:r>
      <w:proofErr w:type="gramEnd"/>
      <w:r w:rsidRPr="006717D4">
        <w:rPr>
          <w:rFonts w:ascii="Times New Roman" w:hAnsi="Times New Roman" w:cs="Times New Roman"/>
        </w:rPr>
        <w:t xml:space="preserve"> accounted for in the results for 1991 and 1994 primary manufacturing of wood products.</w:t>
      </w:r>
    </w:p>
    <w:p w14:paraId="567DCCBD" w14:textId="77777777" w:rsidR="00321DC2" w:rsidRPr="006717D4" w:rsidRDefault="00321DC2" w:rsidP="00321DC2">
      <w:pPr>
        <w:rPr>
          <w:rFonts w:ascii="Times New Roman" w:hAnsi="Times New Roman" w:cs="Times New Roman"/>
        </w:rPr>
      </w:pPr>
    </w:p>
    <w:p w14:paraId="332463C6"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2F677E5A" wp14:editId="30670934">
            <wp:extent cx="4577442" cy="2750003"/>
            <wp:effectExtent l="0" t="0" r="13970" b="12700"/>
            <wp:docPr id="1438043508" name="Chart 1">
              <a:extLst xmlns:a="http://schemas.openxmlformats.org/drawingml/2006/main">
                <a:ext uri="{FF2B5EF4-FFF2-40B4-BE49-F238E27FC236}">
                  <a16:creationId xmlns:a16="http://schemas.microsoft.com/office/drawing/2014/main" id="{43849C9D-6661-ABD1-E62C-A5787B16C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14791A" w14:textId="72105D32"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BF0AEF">
        <w:rPr>
          <w:rFonts w:ascii="Times New Roman" w:hAnsi="Times New Roman" w:cs="Times New Roman"/>
          <w:b/>
          <w:bCs/>
        </w:rPr>
        <w:t>S17</w:t>
      </w:r>
      <w:r w:rsidRPr="006717D4">
        <w:rPr>
          <w:rFonts w:ascii="Times New Roman" w:hAnsi="Times New Roman" w:cs="Times New Roman"/>
          <w:b/>
          <w:bCs/>
        </w:rPr>
        <w:t>.</w:t>
      </w:r>
      <w:r w:rsidRPr="006717D4">
        <w:rPr>
          <w:rFonts w:ascii="Times New Roman" w:hAnsi="Times New Roman" w:cs="Times New Roman"/>
        </w:rPr>
        <w:t xml:space="preserve"> Residual from NAICS 321 Assigned to US Wood Product Converting</w:t>
      </w:r>
    </w:p>
    <w:p w14:paraId="2A768994" w14:textId="23D0B6E0" w:rsidR="00321DC2" w:rsidRPr="006717D4" w:rsidRDefault="00321DC2" w:rsidP="00321DC2">
      <w:pPr>
        <w:rPr>
          <w:rFonts w:ascii="Times New Roman" w:hAnsi="Times New Roman" w:cs="Times New Roman"/>
        </w:rPr>
      </w:pPr>
      <w:r w:rsidRPr="006717D4">
        <w:rPr>
          <w:rFonts w:ascii="Times New Roman" w:hAnsi="Times New Roman" w:cs="Times New Roman"/>
        </w:rPr>
        <w:t>For the wood products sector, the only additional EIA MECS data of relevance is furniture (NAICS 337). This includes all types of furniture, wood and non-wood. EIA MECS values were allocated to wood-based furniture based on 2020 data from the American Home Furnishing Alliance</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{"citationID":"1fDSWjqc","properties":{"formattedCitation":"\\super 22\\nosupersub{}","plainCitation":"22","noteIndex":0},"citationItems":[{"id":23,"uris":["http://zotero.org/users/18184231/items/S5AI4LWZ"],"itemData":{"id":23,"type":"webpage","title":"2021 Home Furnishings Industry Overview","URL":"https://www.ahfa.us/media/industry-facts","author":[{"family":"AHFA | American Home Furnishings Alliance","given":""}],"accessed":{"date-parts":[["2025",9,27]]}}}],"schema":"https://github.com/citation-style-language/schema/raw/master/csl-citation.json"}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22</w:t>
      </w:r>
      <w:r>
        <w:rPr>
          <w:rFonts w:ascii="Times New Roman" w:hAnsi="Times New Roman" w:cs="Times New Roman"/>
        </w:rPr>
        <w:fldChar w:fldCharType="end"/>
      </w:r>
      <w:r w:rsidRPr="006717D4">
        <w:rPr>
          <w:rFonts w:ascii="Times New Roman" w:hAnsi="Times New Roman" w:cs="Times New Roman"/>
        </w:rPr>
        <w:t>. Data from the American Home Furnishing Alliance indicate that approximately 17% of domestic furniture sales in 2020 were domestically produced wood furniture, and therefore, 17% of emissions calculated for NAICS 337 were assigned to wood converting operations</w:t>
      </w:r>
      <w:r>
        <w:rPr>
          <w:rFonts w:ascii="Times New Roman" w:hAnsi="Times New Roman" w:cs="Times New Roman"/>
        </w:rPr>
        <w:t>.</w:t>
      </w:r>
      <w:r w:rsidRPr="006717D4">
        <w:rPr>
          <w:rFonts w:ascii="Times New Roman" w:hAnsi="Times New Roman" w:cs="Times New Roman"/>
        </w:rPr>
        <w:t xml:space="preserve"> </w:t>
      </w:r>
      <w:r w:rsidRPr="00606B28">
        <w:rPr>
          <w:rFonts w:ascii="Times New Roman" w:hAnsi="Times New Roman" w:cs="Times New Roman"/>
        </w:rPr>
        <w:t>This may understate furniture-related emissions in earlier years, given that the production of wood furniture in the US has declined since 1990.</w:t>
      </w:r>
    </w:p>
    <w:p w14:paraId="2088AFE9" w14:textId="00FC840D" w:rsidR="00321DC2" w:rsidRPr="006717D4" w:rsidRDefault="00321DC2" w:rsidP="00321DC2">
      <w:pPr>
        <w:rPr>
          <w:rFonts w:ascii="Times New Roman" w:hAnsi="Times New Roman" w:cs="Times New Roman"/>
        </w:rPr>
      </w:pPr>
      <w:r w:rsidRPr="006717D4">
        <w:rPr>
          <w:rFonts w:ascii="Times New Roman" w:hAnsi="Times New Roman" w:cs="Times New Roman"/>
        </w:rPr>
        <w:t>An additional contribution to emissions was added to account for those associated with home construction. About 70% of softwood lumber is used in housing, and 88% of lumber produced in the US is softwood</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{"citationID":"UbgPpaVw","properties":{"formattedCitation":"\\super 23\\nosupersub{}","plainCitation":"23","noteIndex":0},"citationItems":[{"id":19,"uris":["http://zotero.org/users/18184231/items/Q6G52DXU"],"itemData":{"id":19,"type":"dataset","abstract":"This report presents current and historical annual data on the production, trade, consumption, and prices of timber products in the United States. The report also focuses on national statistics but includes some data for individual states and regions and for Canada. The data were collected from industry trade associations and government agencies. They are intended for use by forest land managers, forest industries, trade associations, forestry schools, renewable resource organizations, individuals in the major timber producing and consuming countries of the world, and the general public. A major use of the data is tracking industry production and consumption trends over time. One of the major shifts that has occurred in the woodusing industry since the great recession of 2008–2010 is that both production and consumption of roundwood per capita increased. Because of increased paper recycling and increased processing efficiency, the consumption per capita in roundwood equivalent decreased from 83 ft3 in 1986 to 49 ft3 in 2008. But during the most recent time period, the increase in production per capita was caused by the U.S. economic recovery, which positively impacted wood markets. In the 1960s and 1970s, consumption averaged 65 ft3 per capita before increasing and peaking in 1986 to 83 ft3 per capita. Since 2004, consumption per capita has continued to steadily decrease, falling to 42 ft3 in 2009 before increasing to 52.4 ft3 in 2017. Per capita consumption in 2017 was 52.4 ft3, which was the eighth consecutive year of increases. Since 1999, paper consumption fell from 57 to 32 million tons in 2017. Since 1999, newsprint capacity declined from 7.4 to 1.5 million tons in 2017 and printing and writing paper fell from 29.5 to 15.9 million tons of capacity in 2017. Another shift occurring during the past several years is increased emphasis on wood energy use, which has shown wide fluctuations during the last decade and into 2017. One exception to this trend is pellet production and trade, which has continued to grow for the last 5 years. Another shift occurring is the potential for increased production of new products such as cross-laminated timber with the establishment of multiple manufacturing facilities in the Pacific Northwest.","DOI":"10.2737/RDS-2018-0035","language":"en","publisher":"Forest Service Research Data Archive","source":"DOI.org (Crossref)","title":"U.S. timber production, trade, consumption, and price statistics, 1965-2017","URL":"https://www.fs.usda.gov/rds/archive/Catalog/RDS-2018-0035","author":[{"family":"Howard","given":"James L."},{"family":"Liang","given":"Shaobo"}],"accessed":{"date-parts":[["2025",9,25]]},"issued":{"date-parts":[["2019"]]}}}],"schema":"https://github.com/citation-style-language/schema/raw/master/csl-citation.json"}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23</w:t>
      </w:r>
      <w:r>
        <w:rPr>
          <w:rFonts w:ascii="Times New Roman" w:hAnsi="Times New Roman" w:cs="Times New Roman"/>
        </w:rPr>
        <w:fldChar w:fldCharType="end"/>
      </w:r>
      <w:r w:rsidRPr="006717D4">
        <w:rPr>
          <w:rFonts w:ascii="Times New Roman" w:hAnsi="Times New Roman" w:cs="Times New Roman"/>
        </w:rPr>
        <w:t>. Furthermore, a significant fraction of other wood products (e.g., plywood and oriented strand board) is used in housing. There is, therefore, ample justification for including an estimate of the GHG emissions associated with the use of wood products for housing. Unfortunately, there are few robust estimates of these estimates. Puettmann et al.</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{"citationID":"6t6YYFfF","properties":{"formattedCitation":"\\super 24\\nosupersub{}","plainCitation":"24","noteIndex":0},"citationItems":[{"id":22,"uris":["http://zotero.org/users/18184231/items/W7R23ZYH"],"itemData":{"id":22,"type":"article-journal","abstract":"Manufacturing of building materials and construction of buildings make up 11% of the global greenhouse gas emission by sector. Mass timber construction has the potential to reduce greenhouse gas emissions by moving wood into buildings with designs that have traditionally been dominated by steel and concrete. The environmental impacts of mass timber buildings were compared against those of functionally equivalent conventional buildings. Three pairs of buildings were designed for the Pacific Northwest, Northeast and Southeast regions in the United States to conform to mass timber building types with 8, 12, or 18 stories. Conventional buildings constructed with concrete and steel were designed for comparisons with the mass timber buildings. Over all regions and building heights, the mass timber buildings exhibited a reduction in the embodied carbon varying between 22% and 50% compared to the concrete buildings. Embodied carbon per unit of area increased with building height as the quantity of concrete, metals, and other nonrenewable materials increased. Total embodied energy to produce, transport, and construct A1–A5 materials was higher in all mass timber buildings compared to equivalent concrete. Further research is needed to predict the long-term carbon emissions and carbon mitigation potential of mass timber buildings to conventional building materials.","container-title":"Sustainability","DOI":"10.3390/su132413987","ISSN":"2071-1050","issue":"24","language":"en","license":"http://creativecommons.org/licenses/by/3.0/","note":"publisher: Multidisciplinary Digital Publishing Institute","page":"13987","source":"www.mdpi.com","title":"Comparative LCAs of Conventional and Mass Timber Buildings in Regions with Potential for Mass Timber Penetration","volume":"13","author":[{"family":"Puettmann","given":"Maureen"},{"family":"Pierobon","given":"Francesca"},{"family":"Ganguly","given":"Indroneil"},{"family":"Gu","given":"Hongmei"},{"family":"Chen","given":"Cindy"},{"family":"Liang","given":"Shaobo"},{"family":"Jones","given":"Susan"},{"family":"Maples","given":"Ian"},{"family":"Wishnie","given":"Mark"}],"issued":{"date-parts":[["2021",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24</w:t>
      </w:r>
      <w:r>
        <w:rPr>
          <w:rFonts w:ascii="Times New Roman" w:hAnsi="Times New Roman" w:cs="Times New Roman"/>
        </w:rPr>
        <w:fldChar w:fldCharType="end"/>
      </w:r>
      <w:r w:rsidRPr="006717D4">
        <w:rPr>
          <w:rFonts w:ascii="Times New Roman" w:hAnsi="Times New Roman" w:cs="Times New Roman"/>
        </w:rPr>
        <w:t xml:space="preserve"> examined the life cycle of several mass timber buildings in the US. It was estimated that the construction phase accounted for 3%–5% of the nonrenewable fuel use in the cradle to finished house portion of the life cycle. Most of the emissions in the cradle to gate portion of the life cycle of softwood lumber are associated with manufacturing</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{"citationID":"hzkMUDpB","properties":{"formattedCitation":"\\super 24\\uc0\\u8211{}26\\nosupersub{}","plainCitation":"24–26","noteIndex":0},"citationItems":[{"id":22,"uris":["http://zotero.org/users/18184231/items/W7R23ZYH"],"itemData":{"id":22,"type":"article-journal","abstract":"Manufacturing of building materials and construction of buildings make up 11% of the global greenhouse gas emission by sector. Mass timber construction has the potential to reduce greenhouse gas emissions by moving wood into buildings with designs that have traditionally been dominated by steel and concrete. The environmental impacts of mass timber buildings were compared against those of functionally equivalent conventional buildings. Three pairs of buildings were designed for the Pacific Northwest, Northeast and Southeast regions in the United States to conform to mass timber building types with 8, 12, or 18 stories. Conventional buildings constructed with concrete and steel were designed for comparisons with the mass timber buildings. Over all regions and building heights, the mass timber buildings exhibited a reduction in the embodied carbon varying between 22% and 50% compared to the concrete buildings. Embodied carbon per unit of area increased with building height as the quantity of concrete, metals, and other nonrenewable materials increased. Total embodied energy to produce, transport, and construct A1–A5 materials was higher in all mass timber buildings compared to equivalent concrete. Further research is needed to predict the long-term carbon emissions and carbon mitigation potential of mass timber buildings to conventional building materials.","container-title":"Sustainability","DOI":"10.3390/su132413987","ISSN":"2071-1050","issue":"24","language":"en","license":"http://creativecommons.org/licenses/by/3.0/","note":"publisher: Multidisciplinary Digital Publishing Institute","page":"13987","source":"www.mdpi.com","title":"Comparative LCAs of Conventional and Mass Timber Buildings in Regions with Potential for Mass Timber Penetration","volume":"13","author":[{"family":"Puettmann","given":"Maureen"},{"family":"Pierobon","given":"Francesca"},{"family":"Ganguly","given":"Indroneil"},{"family":"Gu","given":"Hongmei"},{"family":"Chen","given":"Cindy"},{"family":"Liang","given":"Shaobo"},{"family":"Jones","given":"Susan"},{"family":"Maples","given":"Ian"},{"family":"Wishnie","given":"Mark"}],"issued":{"date-parts":[["2021",1]]}}},{"id":35,"uris":["http://zotero.org/users/18184231/items/X47EGAWD"],"itemData":{"id":35,"type":"report","language":"en","publisher":"Consortium for Research on Renewable Industrial Materials (CORRIM)","source":"Zotero","title":"Life cycle assessment for the production of southeastern softwood lumber","author":[{"family":"Milota","given":"Mike"},{"family":"Science","given":"Wood"},{"family":"Hall","given":"Richardson"}],"issued":{"date-parts":[["2020"]]}}},{"id":36,"uris":["http://zotero.org/users/18184231/items/QYGPNRTL"],"itemData":{"id":36,"type":"report","language":"en","publisher":"Consortium for Research on Renewable Industrial Materials (CORRIM)","source":"Zotero","title":"Life Cycle assessment for the production of Pacific Northwest softwood lumber","URL":"https://corrim.org/wp-content/uploads/2020/06/CORRIM-AWC-PNW-Lumber.pdf","author":[{"family":"Milota","given":"Mike"},{"family":"Science","given":"Wood"},{"family":"Hall","given":"Richardson"}],"accessed":{"date-parts":[["2025",9,25]]},"issued":{"date-parts":[["2020"]]}}}],"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24–26</w:t>
      </w:r>
      <w:r>
        <w:rPr>
          <w:rFonts w:ascii="Times New Roman" w:hAnsi="Times New Roman" w:cs="Times New Roman"/>
        </w:rPr>
        <w:fldChar w:fldCharType="end"/>
      </w:r>
      <w:r w:rsidRPr="006717D4">
        <w:rPr>
          <w:rFonts w:ascii="Times New Roman" w:hAnsi="Times New Roman" w:cs="Times New Roman"/>
        </w:rPr>
        <w:t xml:space="preserve">; thus, for this profile, it was assumed that emissions associated with converting wood to final products other than furniture were 4% of the average primary manufacturing emissions from wood products mills (i.e., </w:t>
      </w:r>
      <w:r w:rsidRPr="006717D4">
        <w:rPr>
          <w:rFonts w:ascii="Times New Roman" w:hAnsi="Times New Roman" w:cs="Times New Roman"/>
        </w:rPr>
        <w:lastRenderedPageBreak/>
        <w:t>NAICS 321) for years with EIA MECS data. The uncertainty associated with this estimate is large.</w:t>
      </w:r>
    </w:p>
    <w:p w14:paraId="36D13983" w14:textId="778745B5" w:rsidR="00321DC2" w:rsidRPr="006717D4" w:rsidRDefault="00321DC2" w:rsidP="00321DC2">
      <w:pPr>
        <w:rPr>
          <w:rFonts w:ascii="Times New Roman" w:hAnsi="Times New Roman" w:cs="Times New Roman"/>
        </w:rPr>
      </w:pPr>
      <w:r w:rsidRPr="006717D4">
        <w:rPr>
          <w:rFonts w:ascii="Times New Roman" w:hAnsi="Times New Roman" w:cs="Times New Roman"/>
        </w:rPr>
        <w:t>The three components of wood products direct emissions from converting operations estimated in this study are shown in Figure</w:t>
      </w:r>
      <w:r>
        <w:rPr>
          <w:rFonts w:ascii="Times New Roman" w:hAnsi="Times New Roman" w:cs="Times New Roman"/>
        </w:rPr>
        <w:t xml:space="preserve"> </w:t>
      </w:r>
      <w:r w:rsidR="00BF0AEF">
        <w:rPr>
          <w:rFonts w:ascii="Times New Roman" w:hAnsi="Times New Roman" w:cs="Times New Roman"/>
        </w:rPr>
        <w:t>S18</w:t>
      </w:r>
      <w:r w:rsidRPr="006717D4">
        <w:rPr>
          <w:rFonts w:ascii="Times New Roman" w:hAnsi="Times New Roman" w:cs="Times New Roman"/>
        </w:rPr>
        <w:t>. The contributions of home construction and furniture production are small compared to the amounts estimated from the difference between emissions from the overall wood products sector (NAICS 321) and the sum of the listed subsectors (sawmills, veneer, plywood and engineered wood products, and other wood products).</w:t>
      </w:r>
    </w:p>
    <w:p w14:paraId="13983574" w14:textId="77777777" w:rsidR="00321DC2" w:rsidRPr="006717D4" w:rsidRDefault="00321DC2" w:rsidP="00321DC2">
      <w:pPr>
        <w:rPr>
          <w:rFonts w:ascii="Times New Roman" w:hAnsi="Times New Roman" w:cs="Times New Roman"/>
        </w:rPr>
      </w:pPr>
    </w:p>
    <w:p w14:paraId="514754F8"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7BD8E6CE" wp14:editId="4B1B61A6">
            <wp:extent cx="4563835" cy="2739121"/>
            <wp:effectExtent l="0" t="0" r="8255" b="4445"/>
            <wp:docPr id="2039299854" name="Chart 1">
              <a:extLst xmlns:a="http://schemas.openxmlformats.org/drawingml/2006/main">
                <a:ext uri="{FF2B5EF4-FFF2-40B4-BE49-F238E27FC236}">
                  <a16:creationId xmlns:a16="http://schemas.microsoft.com/office/drawing/2014/main" id="{59C6B153-6891-03CD-20C5-DCBCE3221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937FEB" w14:textId="57CA495B"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BF0AEF">
        <w:rPr>
          <w:rFonts w:ascii="Times New Roman" w:hAnsi="Times New Roman" w:cs="Times New Roman"/>
          <w:b/>
          <w:bCs/>
        </w:rPr>
        <w:t>S18</w:t>
      </w:r>
      <w:r w:rsidRPr="006717D4">
        <w:rPr>
          <w:rFonts w:ascii="Times New Roman" w:hAnsi="Times New Roman" w:cs="Times New Roman"/>
          <w:b/>
          <w:bCs/>
        </w:rPr>
        <w:t>.</w:t>
      </w:r>
      <w:r w:rsidRPr="006717D4">
        <w:rPr>
          <w:rFonts w:ascii="Times New Roman" w:hAnsi="Times New Roman" w:cs="Times New Roman"/>
        </w:rPr>
        <w:t xml:space="preserve"> Components of Direct Fuel Combustion-Related Emissions from US Wood Product Converting Operations</w:t>
      </w:r>
    </w:p>
    <w:p w14:paraId="2BE8783A" w14:textId="42568208"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The estimated direct emissions from wood product converting operations in 1990, 2005, and 2020 are shown in Table </w:t>
      </w:r>
      <w:r w:rsidR="00BF0AEF">
        <w:rPr>
          <w:rFonts w:ascii="Times New Roman" w:hAnsi="Times New Roman" w:cs="Times New Roman"/>
        </w:rPr>
        <w:t>S11</w:t>
      </w:r>
      <w:r w:rsidRPr="006717D4">
        <w:rPr>
          <w:rFonts w:ascii="Times New Roman" w:hAnsi="Times New Roman" w:cs="Times New Roman"/>
        </w:rPr>
        <w:t>. The estimates for 1990, 2005, and 2020 are derived from EIA MECS 1991, 2006, and 2018 data, respectively. Figure</w:t>
      </w:r>
      <w:r>
        <w:rPr>
          <w:rFonts w:ascii="Times New Roman" w:hAnsi="Times New Roman" w:cs="Times New Roman"/>
        </w:rPr>
        <w:t xml:space="preserve"> </w:t>
      </w:r>
      <w:r w:rsidRPr="006717D4">
        <w:rPr>
          <w:rFonts w:ascii="Times New Roman" w:hAnsi="Times New Roman" w:cs="Times New Roman"/>
        </w:rPr>
        <w:t>15 demonstrates that the changes over time are highly sensitive to the years selected and should be used with caution.</w:t>
      </w:r>
    </w:p>
    <w:p w14:paraId="66785A46" w14:textId="46133492" w:rsidR="00321DC2" w:rsidRPr="006717D4" w:rsidRDefault="00321DC2" w:rsidP="00BF0AEF">
      <w:pPr>
        <w:rPr>
          <w:rFonts w:ascii="Times New Roman" w:hAnsi="Times New Roman" w:cs="Times New Roman"/>
        </w:rPr>
      </w:pPr>
      <w:r w:rsidRPr="006717D4">
        <w:rPr>
          <w:rFonts w:ascii="Times New Roman" w:hAnsi="Times New Roman" w:cs="Times New Roman"/>
        </w:rPr>
        <w:t xml:space="preserve"> </w:t>
      </w:r>
      <w:r w:rsidRPr="006717D4">
        <w:rPr>
          <w:rFonts w:ascii="Times New Roman" w:hAnsi="Times New Roman" w:cs="Times New Roman"/>
          <w:b/>
          <w:bCs/>
        </w:rPr>
        <w:t xml:space="preserve">Table </w:t>
      </w:r>
      <w:r w:rsidR="00BF0AEF">
        <w:rPr>
          <w:rFonts w:ascii="Times New Roman" w:hAnsi="Times New Roman" w:cs="Times New Roman"/>
          <w:b/>
          <w:bCs/>
        </w:rPr>
        <w:t>S11</w:t>
      </w:r>
      <w:r w:rsidRPr="006717D4">
        <w:rPr>
          <w:rFonts w:ascii="Times New Roman" w:hAnsi="Times New Roman" w:cs="Times New Roman"/>
          <w:b/>
          <w:bCs/>
        </w:rPr>
        <w:t>.</w:t>
      </w:r>
      <w:r w:rsidRPr="006717D4">
        <w:rPr>
          <w:rFonts w:ascii="Times New Roman" w:hAnsi="Times New Roman" w:cs="Times New Roman"/>
        </w:rPr>
        <w:t xml:space="preserve"> Direct Combustion-Related Emissions from US Wood Product Converting</w:t>
      </w:r>
      <w:r>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{"citationID":"72sXQzWh","properties":{"formattedCitation":"\\super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Pr>
          <w:rFonts w:ascii="Times New Roman" w:hAnsi="Times New Roman" w:cs="Times New Roman"/>
        </w:rPr>
        <w:fldChar w:fldCharType="end"/>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875"/>
        <w:gridCol w:w="2160"/>
        <w:gridCol w:w="2070"/>
        <w:gridCol w:w="2160"/>
      </w:tblGrid>
      <w:tr w:rsidR="00321DC2" w:rsidRPr="006717D4" w14:paraId="479FB535" w14:textId="77777777" w:rsidTr="00360B83">
        <w:trPr>
          <w:jc w:val="center"/>
        </w:trPr>
        <w:tc>
          <w:tcPr>
            <w:tcW w:w="2875" w:type="dxa"/>
            <w:shd w:val="clear" w:color="auto" w:fill="D9D9D9" w:themeFill="background1" w:themeFillShade="D9"/>
          </w:tcPr>
          <w:p w14:paraId="322C2E0F" w14:textId="77777777" w:rsidR="00321DC2" w:rsidRPr="006717D4" w:rsidRDefault="00321DC2" w:rsidP="00BF0AEF">
            <w:pPr>
              <w:spacing w:line="278" w:lineRule="auto"/>
              <w:rPr>
                <w:rFonts w:ascii="Times New Roman" w:hAnsi="Times New Roman" w:cs="Times New Roman"/>
              </w:rPr>
            </w:pPr>
          </w:p>
        </w:tc>
        <w:tc>
          <w:tcPr>
            <w:tcW w:w="2160" w:type="dxa"/>
            <w:shd w:val="clear" w:color="auto" w:fill="D9D9D9" w:themeFill="background1" w:themeFillShade="D9"/>
          </w:tcPr>
          <w:p w14:paraId="63EFCE3D"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Emissions Million metric tons CO</w:t>
            </w:r>
            <w:r w:rsidRPr="006717D4">
              <w:rPr>
                <w:rFonts w:ascii="Times New Roman" w:hAnsi="Times New Roman" w:cs="Times New Roman"/>
                <w:vertAlign w:val="subscript"/>
              </w:rPr>
              <w:t>2</w:t>
            </w:r>
            <w:r w:rsidRPr="006717D4">
              <w:rPr>
                <w:rFonts w:ascii="Times New Roman" w:hAnsi="Times New Roman" w:cs="Times New Roman"/>
              </w:rPr>
              <w:t>e</w:t>
            </w:r>
          </w:p>
        </w:tc>
        <w:tc>
          <w:tcPr>
            <w:tcW w:w="2070" w:type="dxa"/>
            <w:shd w:val="clear" w:color="auto" w:fill="D9D9D9" w:themeFill="background1" w:themeFillShade="D9"/>
          </w:tcPr>
          <w:p w14:paraId="01C7DD5F"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Fraction of 1990 Emissions</w:t>
            </w:r>
          </w:p>
        </w:tc>
        <w:tc>
          <w:tcPr>
            <w:tcW w:w="2160" w:type="dxa"/>
            <w:shd w:val="clear" w:color="auto" w:fill="D9D9D9" w:themeFill="background1" w:themeFillShade="D9"/>
          </w:tcPr>
          <w:p w14:paraId="6B842581"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49EB1E72" w14:textId="77777777" w:rsidTr="00360B83">
        <w:trPr>
          <w:jc w:val="center"/>
        </w:trPr>
        <w:tc>
          <w:tcPr>
            <w:tcW w:w="2875" w:type="dxa"/>
          </w:tcPr>
          <w:p w14:paraId="54F7A006" w14:textId="77777777" w:rsidR="00321DC2" w:rsidRPr="006717D4" w:rsidRDefault="00321DC2" w:rsidP="00BF0AEF">
            <w:pPr>
              <w:spacing w:line="278" w:lineRule="auto"/>
              <w:rPr>
                <w:rFonts w:ascii="Times New Roman" w:hAnsi="Times New Roman" w:cs="Times New Roman"/>
              </w:rPr>
            </w:pPr>
            <w:r w:rsidRPr="006717D4">
              <w:rPr>
                <w:rFonts w:ascii="Times New Roman" w:hAnsi="Times New Roman" w:cs="Times New Roman"/>
              </w:rPr>
              <w:t xml:space="preserve">1990 (EIA MECS </w:t>
            </w:r>
            <w:proofErr w:type="gramStart"/>
            <w:r w:rsidRPr="006717D4">
              <w:rPr>
                <w:rFonts w:ascii="Times New Roman" w:hAnsi="Times New Roman" w:cs="Times New Roman"/>
              </w:rPr>
              <w:t>1991)</w:t>
            </w:r>
            <w:r w:rsidRPr="006717D4">
              <w:rPr>
                <w:rFonts w:ascii="Times New Roman" w:hAnsi="Times New Roman" w:cs="Times New Roman"/>
                <w:vertAlign w:val="superscript"/>
              </w:rPr>
              <w:t>a</w:t>
            </w:r>
            <w:proofErr w:type="gramEnd"/>
          </w:p>
        </w:tc>
        <w:tc>
          <w:tcPr>
            <w:tcW w:w="2160" w:type="dxa"/>
          </w:tcPr>
          <w:p w14:paraId="3AC2E3FE"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0.4</w:t>
            </w:r>
          </w:p>
        </w:tc>
        <w:tc>
          <w:tcPr>
            <w:tcW w:w="2070" w:type="dxa"/>
          </w:tcPr>
          <w:p w14:paraId="61B14AA2"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1.00</w:t>
            </w:r>
          </w:p>
        </w:tc>
        <w:tc>
          <w:tcPr>
            <w:tcW w:w="2160" w:type="dxa"/>
          </w:tcPr>
          <w:p w14:paraId="69890E01" w14:textId="77777777" w:rsidR="00321DC2" w:rsidRPr="006717D4" w:rsidRDefault="00321DC2" w:rsidP="00BF0AEF">
            <w:pPr>
              <w:spacing w:line="278" w:lineRule="auto"/>
              <w:jc w:val="center"/>
              <w:rPr>
                <w:rFonts w:ascii="Times New Roman" w:hAnsi="Times New Roman" w:cs="Times New Roman"/>
              </w:rPr>
            </w:pPr>
          </w:p>
        </w:tc>
      </w:tr>
      <w:tr w:rsidR="00321DC2" w:rsidRPr="006717D4" w14:paraId="579672DA" w14:textId="77777777" w:rsidTr="00360B83">
        <w:trPr>
          <w:jc w:val="center"/>
        </w:trPr>
        <w:tc>
          <w:tcPr>
            <w:tcW w:w="2875" w:type="dxa"/>
          </w:tcPr>
          <w:p w14:paraId="5BFBCC56" w14:textId="77777777" w:rsidR="00321DC2" w:rsidRPr="006717D4" w:rsidRDefault="00321DC2" w:rsidP="00BF0AEF">
            <w:pPr>
              <w:spacing w:line="278" w:lineRule="auto"/>
              <w:rPr>
                <w:rFonts w:ascii="Times New Roman" w:hAnsi="Times New Roman" w:cs="Times New Roman"/>
              </w:rPr>
            </w:pPr>
            <w:r w:rsidRPr="006717D4">
              <w:rPr>
                <w:rFonts w:ascii="Times New Roman" w:hAnsi="Times New Roman" w:cs="Times New Roman"/>
              </w:rPr>
              <w:t>2005 (EIA MECS 2006)</w:t>
            </w:r>
          </w:p>
        </w:tc>
        <w:tc>
          <w:tcPr>
            <w:tcW w:w="2160" w:type="dxa"/>
          </w:tcPr>
          <w:p w14:paraId="65DADFAC"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1.8</w:t>
            </w:r>
          </w:p>
        </w:tc>
        <w:tc>
          <w:tcPr>
            <w:tcW w:w="2070" w:type="dxa"/>
          </w:tcPr>
          <w:p w14:paraId="18C3C0EC"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4.29</w:t>
            </w:r>
          </w:p>
        </w:tc>
        <w:tc>
          <w:tcPr>
            <w:tcW w:w="2160" w:type="dxa"/>
          </w:tcPr>
          <w:p w14:paraId="28CCE5BE"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071300D8" w14:textId="77777777" w:rsidTr="00360B83">
        <w:trPr>
          <w:jc w:val="center"/>
        </w:trPr>
        <w:tc>
          <w:tcPr>
            <w:tcW w:w="2875" w:type="dxa"/>
            <w:tcBorders>
              <w:bottom w:val="single" w:sz="4" w:space="0" w:color="auto"/>
            </w:tcBorders>
          </w:tcPr>
          <w:p w14:paraId="41C10450" w14:textId="77777777" w:rsidR="00321DC2" w:rsidRPr="006717D4" w:rsidRDefault="00321DC2" w:rsidP="00BF0AEF">
            <w:pPr>
              <w:spacing w:line="278" w:lineRule="auto"/>
              <w:rPr>
                <w:rFonts w:ascii="Times New Roman" w:hAnsi="Times New Roman" w:cs="Times New Roman"/>
              </w:rPr>
            </w:pPr>
            <w:r w:rsidRPr="006717D4">
              <w:rPr>
                <w:rFonts w:ascii="Times New Roman" w:hAnsi="Times New Roman" w:cs="Times New Roman"/>
              </w:rPr>
              <w:t>2020 (EIA MECS 2018)</w:t>
            </w:r>
          </w:p>
        </w:tc>
        <w:tc>
          <w:tcPr>
            <w:tcW w:w="2160" w:type="dxa"/>
            <w:tcBorders>
              <w:bottom w:val="single" w:sz="4" w:space="0" w:color="auto"/>
            </w:tcBorders>
          </w:tcPr>
          <w:p w14:paraId="24CF5937"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0.6</w:t>
            </w:r>
          </w:p>
        </w:tc>
        <w:tc>
          <w:tcPr>
            <w:tcW w:w="2070" w:type="dxa"/>
            <w:tcBorders>
              <w:bottom w:val="single" w:sz="4" w:space="0" w:color="auto"/>
            </w:tcBorders>
          </w:tcPr>
          <w:p w14:paraId="419E58E4"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1.51</w:t>
            </w:r>
          </w:p>
        </w:tc>
        <w:tc>
          <w:tcPr>
            <w:tcW w:w="2160" w:type="dxa"/>
            <w:tcBorders>
              <w:bottom w:val="single" w:sz="4" w:space="0" w:color="auto"/>
            </w:tcBorders>
          </w:tcPr>
          <w:p w14:paraId="72C4E85C" w14:textId="77777777" w:rsidR="00321DC2" w:rsidRPr="006717D4" w:rsidRDefault="00321DC2" w:rsidP="00BF0AEF">
            <w:pPr>
              <w:spacing w:line="278" w:lineRule="auto"/>
              <w:jc w:val="center"/>
              <w:rPr>
                <w:rFonts w:ascii="Times New Roman" w:hAnsi="Times New Roman" w:cs="Times New Roman"/>
              </w:rPr>
            </w:pPr>
            <w:r w:rsidRPr="006717D4">
              <w:rPr>
                <w:rFonts w:ascii="Times New Roman" w:hAnsi="Times New Roman" w:cs="Times New Roman"/>
              </w:rPr>
              <w:t>0.35</w:t>
            </w:r>
          </w:p>
        </w:tc>
      </w:tr>
      <w:tr w:rsidR="00321DC2" w:rsidRPr="006717D4" w14:paraId="4096BBDC" w14:textId="77777777" w:rsidTr="00360B83">
        <w:trPr>
          <w:jc w:val="center"/>
        </w:trPr>
        <w:tc>
          <w:tcPr>
            <w:tcW w:w="9265" w:type="dxa"/>
            <w:gridSpan w:val="4"/>
            <w:tcBorders>
              <w:bottom w:val="nil"/>
            </w:tcBorders>
          </w:tcPr>
          <w:p w14:paraId="7F1415D6" w14:textId="77777777" w:rsidR="00321DC2" w:rsidRPr="006717D4" w:rsidRDefault="00321DC2" w:rsidP="00BF0AEF">
            <w:pPr>
              <w:spacing w:line="278" w:lineRule="auto"/>
              <w:rPr>
                <w:rFonts w:ascii="Times New Roman" w:hAnsi="Times New Roman" w:cs="Times New Roman"/>
              </w:rPr>
            </w:pPr>
            <w:proofErr w:type="gramStart"/>
            <w:r w:rsidRPr="006717D4">
              <w:rPr>
                <w:rFonts w:ascii="Times New Roman" w:hAnsi="Times New Roman" w:cs="Times New Roman"/>
                <w:vertAlign w:val="superscript"/>
              </w:rPr>
              <w:t>a</w:t>
            </w:r>
            <w:r w:rsidRPr="006717D4">
              <w:rPr>
                <w:rFonts w:ascii="Times New Roman" w:hAnsi="Times New Roman" w:cs="Times New Roman"/>
              </w:rPr>
              <w:t xml:space="preserve"> 1991 values</w:t>
            </w:r>
            <w:proofErr w:type="gramEnd"/>
            <w:r w:rsidRPr="006717D4">
              <w:rPr>
                <w:rFonts w:ascii="Times New Roman" w:hAnsi="Times New Roman" w:cs="Times New Roman"/>
              </w:rPr>
              <w:t xml:space="preserve"> are low because these converting emissions are included in the wood products primary manufacturing emissions discussed earlier.</w:t>
            </w:r>
          </w:p>
        </w:tc>
      </w:tr>
    </w:tbl>
    <w:p w14:paraId="71B1D058" w14:textId="77777777" w:rsidR="00321DC2" w:rsidRPr="006717D4" w:rsidRDefault="00321DC2" w:rsidP="00321DC2">
      <w:pPr>
        <w:rPr>
          <w:rFonts w:ascii="Times New Roman" w:hAnsi="Times New Roman" w:cs="Times New Roman"/>
        </w:rPr>
      </w:pPr>
    </w:p>
    <w:p w14:paraId="4D92AF9D" w14:textId="779B8E93" w:rsidR="00321DC2" w:rsidRPr="006717D4" w:rsidRDefault="00321DC2" w:rsidP="00321DC2">
      <w:pPr>
        <w:rPr>
          <w:rFonts w:ascii="Times New Roman" w:hAnsi="Times New Roman" w:cs="Times New Roman"/>
        </w:rPr>
      </w:pPr>
      <w:r w:rsidRPr="006717D4">
        <w:rPr>
          <w:rFonts w:ascii="Times New Roman" w:hAnsi="Times New Roman" w:cs="Times New Roman"/>
        </w:rPr>
        <w:lastRenderedPageBreak/>
        <w:t xml:space="preserve">The total converting operation emissions associated with fuel combustion are shown in Figure </w:t>
      </w:r>
      <w:r w:rsidR="00BF0AEF">
        <w:rPr>
          <w:rFonts w:ascii="Times New Roman" w:hAnsi="Times New Roman" w:cs="Times New Roman"/>
        </w:rPr>
        <w:t>S19</w:t>
      </w:r>
      <w:r w:rsidRPr="006717D4">
        <w:rPr>
          <w:rFonts w:ascii="Times New Roman" w:hAnsi="Times New Roman" w:cs="Times New Roman"/>
        </w:rPr>
        <w:t xml:space="preserve">. The reductions are shown in Table </w:t>
      </w:r>
      <w:r w:rsidR="00BF0AEF">
        <w:rPr>
          <w:rFonts w:ascii="Times New Roman" w:hAnsi="Times New Roman" w:cs="Times New Roman"/>
        </w:rPr>
        <w:t>S12</w:t>
      </w:r>
      <w:r w:rsidRPr="006717D4">
        <w:rPr>
          <w:rFonts w:ascii="Times New Roman" w:hAnsi="Times New Roman" w:cs="Times New Roman"/>
        </w:rPr>
        <w:t>. The uncertainties in these estimates are large, and calculated reductions are highly dependent on the dates selected.</w:t>
      </w:r>
    </w:p>
    <w:p w14:paraId="0F67E664" w14:textId="77777777" w:rsidR="00321DC2" w:rsidRPr="006717D4" w:rsidRDefault="00321DC2" w:rsidP="00321DC2">
      <w:pPr>
        <w:rPr>
          <w:rFonts w:ascii="Times New Roman" w:hAnsi="Times New Roman" w:cs="Times New Roman"/>
        </w:rPr>
      </w:pPr>
    </w:p>
    <w:p w14:paraId="1FFE4154"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747DFE09" wp14:editId="20878C38">
            <wp:extent cx="4573361" cy="2741839"/>
            <wp:effectExtent l="0" t="0" r="17780" b="1905"/>
            <wp:docPr id="1184727485" name="Chart 1">
              <a:extLst xmlns:a="http://schemas.openxmlformats.org/drawingml/2006/main">
                <a:ext uri="{FF2B5EF4-FFF2-40B4-BE49-F238E27FC236}">
                  <a16:creationId xmlns:a16="http://schemas.microsoft.com/office/drawing/2014/main" id="{671CEA18-5067-EB5A-096E-631B9974B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1CF36D" w14:textId="6241A313"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BF0AEF">
        <w:rPr>
          <w:rFonts w:ascii="Times New Roman" w:hAnsi="Times New Roman" w:cs="Times New Roman"/>
          <w:b/>
          <w:bCs/>
        </w:rPr>
        <w:t>S19</w:t>
      </w:r>
      <w:r w:rsidRPr="006717D4">
        <w:rPr>
          <w:rFonts w:ascii="Times New Roman" w:hAnsi="Times New Roman" w:cs="Times New Roman"/>
          <w:b/>
          <w:bCs/>
        </w:rPr>
        <w:t>.</w:t>
      </w:r>
      <w:r w:rsidRPr="006717D4">
        <w:rPr>
          <w:rFonts w:ascii="Times New Roman" w:hAnsi="Times New Roman" w:cs="Times New Roman"/>
        </w:rPr>
        <w:t xml:space="preserve"> Direct GHG Emissions from Fuel Combustion Attributable to US Forest Product Converting Operations</w:t>
      </w:r>
    </w:p>
    <w:p w14:paraId="09B39A7B" w14:textId="77777777" w:rsidR="00321DC2" w:rsidRDefault="00321DC2" w:rsidP="00321DC2">
      <w:pPr>
        <w:rPr>
          <w:rFonts w:ascii="Times New Roman" w:hAnsi="Times New Roman" w:cs="Times New Roman"/>
        </w:rPr>
      </w:pPr>
    </w:p>
    <w:p w14:paraId="4BE8BD51" w14:textId="63B66A0A" w:rsidR="00321DC2" w:rsidRPr="006717D4" w:rsidRDefault="00321DC2" w:rsidP="00BF0AEF">
      <w:pPr>
        <w:spacing w:after="0"/>
        <w:jc w:val="center"/>
        <w:rPr>
          <w:rFonts w:ascii="Times New Roman" w:hAnsi="Times New Roman" w:cs="Times New Roman"/>
        </w:rPr>
      </w:pPr>
      <w:r w:rsidRPr="006717D4">
        <w:rPr>
          <w:rFonts w:ascii="Times New Roman" w:hAnsi="Times New Roman" w:cs="Times New Roman"/>
          <w:b/>
          <w:bCs/>
        </w:rPr>
        <w:t xml:space="preserve">Table </w:t>
      </w:r>
      <w:r w:rsidR="00BF0AEF">
        <w:rPr>
          <w:rFonts w:ascii="Times New Roman" w:hAnsi="Times New Roman" w:cs="Times New Roman"/>
          <w:b/>
          <w:bCs/>
        </w:rPr>
        <w:t>S12</w:t>
      </w:r>
      <w:r w:rsidRPr="006717D4">
        <w:rPr>
          <w:rFonts w:ascii="Times New Roman" w:hAnsi="Times New Roman" w:cs="Times New Roman"/>
          <w:b/>
          <w:bCs/>
        </w:rPr>
        <w:t>.</w:t>
      </w:r>
      <w:r w:rsidRPr="006717D4">
        <w:rPr>
          <w:rFonts w:ascii="Times New Roman" w:hAnsi="Times New Roman" w:cs="Times New Roman"/>
        </w:rPr>
        <w:t xml:space="preserve"> Changes in Direct Emissions from Fuel Combustion at US Forest Product Converting Operations</w:t>
      </w:r>
      <w:r>
        <w:rPr>
          <w:rFonts w:ascii="Times New Roman" w:hAnsi="Times New Roman" w:cs="Times New Roman"/>
        </w:rPr>
        <w:t xml:space="preserve"> </w:t>
      </w:r>
      <w:r>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{"citationID":"WnCH90nA","properties":{"formattedCitation":"\\super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Pr>
          <w:rFonts w:ascii="Times New Roman" w:hAnsi="Times New Roman" w:cs="Times New Roman"/>
        </w:rPr>
        <w:fldChar w:fldCharType="end"/>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965"/>
        <w:gridCol w:w="2160"/>
        <w:gridCol w:w="1826"/>
        <w:gridCol w:w="1864"/>
      </w:tblGrid>
      <w:tr w:rsidR="00321DC2" w:rsidRPr="006717D4" w14:paraId="775285B0" w14:textId="77777777" w:rsidTr="00360B83">
        <w:trPr>
          <w:jc w:val="center"/>
        </w:trPr>
        <w:tc>
          <w:tcPr>
            <w:tcW w:w="2965" w:type="dxa"/>
            <w:shd w:val="clear" w:color="auto" w:fill="D9D9D9" w:themeFill="background1" w:themeFillShade="D9"/>
          </w:tcPr>
          <w:p w14:paraId="3AB3B89F" w14:textId="77777777" w:rsidR="00321DC2" w:rsidRPr="006717D4" w:rsidRDefault="00321DC2" w:rsidP="00BF0AEF">
            <w:pPr>
              <w:spacing w:after="160"/>
              <w:rPr>
                <w:rFonts w:ascii="Times New Roman" w:hAnsi="Times New Roman" w:cs="Times New Roman"/>
              </w:rPr>
            </w:pPr>
          </w:p>
        </w:tc>
        <w:tc>
          <w:tcPr>
            <w:tcW w:w="2160" w:type="dxa"/>
            <w:shd w:val="clear" w:color="auto" w:fill="D9D9D9" w:themeFill="background1" w:themeFillShade="D9"/>
          </w:tcPr>
          <w:p w14:paraId="1BBE90B1"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Emissions Million Metric Tons CO</w:t>
            </w:r>
            <w:r w:rsidRPr="006717D4">
              <w:rPr>
                <w:rFonts w:ascii="Times New Roman" w:hAnsi="Times New Roman" w:cs="Times New Roman"/>
                <w:vertAlign w:val="subscript"/>
              </w:rPr>
              <w:t>2</w:t>
            </w:r>
            <w:r w:rsidRPr="006717D4">
              <w:rPr>
                <w:rFonts w:ascii="Times New Roman" w:hAnsi="Times New Roman" w:cs="Times New Roman"/>
              </w:rPr>
              <w:t>e</w:t>
            </w:r>
          </w:p>
        </w:tc>
        <w:tc>
          <w:tcPr>
            <w:tcW w:w="1826" w:type="dxa"/>
            <w:shd w:val="clear" w:color="auto" w:fill="D9D9D9" w:themeFill="background1" w:themeFillShade="D9"/>
          </w:tcPr>
          <w:p w14:paraId="78C1A379"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Fraction of 1990 Emissions</w:t>
            </w:r>
          </w:p>
        </w:tc>
        <w:tc>
          <w:tcPr>
            <w:tcW w:w="1864" w:type="dxa"/>
            <w:shd w:val="clear" w:color="auto" w:fill="D9D9D9" w:themeFill="background1" w:themeFillShade="D9"/>
          </w:tcPr>
          <w:p w14:paraId="37A95C9B"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183BD757" w14:textId="77777777" w:rsidTr="00360B83">
        <w:trPr>
          <w:jc w:val="center"/>
        </w:trPr>
        <w:tc>
          <w:tcPr>
            <w:tcW w:w="2965" w:type="dxa"/>
          </w:tcPr>
          <w:p w14:paraId="33DFB9E8" w14:textId="77777777" w:rsidR="00321DC2" w:rsidRPr="006717D4" w:rsidRDefault="00321DC2" w:rsidP="00BF0AEF">
            <w:pPr>
              <w:spacing w:after="160"/>
              <w:rPr>
                <w:rFonts w:ascii="Times New Roman" w:hAnsi="Times New Roman" w:cs="Times New Roman"/>
              </w:rPr>
            </w:pPr>
            <w:r w:rsidRPr="006717D4">
              <w:rPr>
                <w:rFonts w:ascii="Times New Roman" w:hAnsi="Times New Roman" w:cs="Times New Roman"/>
              </w:rPr>
              <w:t>1990 (EIA MECS 1991)</w:t>
            </w:r>
          </w:p>
        </w:tc>
        <w:tc>
          <w:tcPr>
            <w:tcW w:w="2160" w:type="dxa"/>
          </w:tcPr>
          <w:p w14:paraId="28EBD49F"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7.5</w:t>
            </w:r>
          </w:p>
        </w:tc>
        <w:tc>
          <w:tcPr>
            <w:tcW w:w="1826" w:type="dxa"/>
          </w:tcPr>
          <w:p w14:paraId="7A489B58"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1.00</w:t>
            </w:r>
          </w:p>
        </w:tc>
        <w:tc>
          <w:tcPr>
            <w:tcW w:w="1864" w:type="dxa"/>
          </w:tcPr>
          <w:p w14:paraId="4E7C7907" w14:textId="77777777" w:rsidR="00321DC2" w:rsidRPr="006717D4" w:rsidRDefault="00321DC2" w:rsidP="00BF0AEF">
            <w:pPr>
              <w:spacing w:after="160"/>
              <w:jc w:val="center"/>
              <w:rPr>
                <w:rFonts w:ascii="Times New Roman" w:hAnsi="Times New Roman" w:cs="Times New Roman"/>
              </w:rPr>
            </w:pPr>
          </w:p>
        </w:tc>
      </w:tr>
      <w:tr w:rsidR="00321DC2" w:rsidRPr="006717D4" w14:paraId="7AEBE9C8" w14:textId="77777777" w:rsidTr="00360B83">
        <w:trPr>
          <w:jc w:val="center"/>
        </w:trPr>
        <w:tc>
          <w:tcPr>
            <w:tcW w:w="2965" w:type="dxa"/>
          </w:tcPr>
          <w:p w14:paraId="4AC0D742" w14:textId="77777777" w:rsidR="00321DC2" w:rsidRPr="006717D4" w:rsidRDefault="00321DC2" w:rsidP="00BF0AEF">
            <w:pPr>
              <w:spacing w:after="160"/>
              <w:rPr>
                <w:rFonts w:ascii="Times New Roman" w:hAnsi="Times New Roman" w:cs="Times New Roman"/>
              </w:rPr>
            </w:pPr>
            <w:r w:rsidRPr="006717D4">
              <w:rPr>
                <w:rFonts w:ascii="Times New Roman" w:hAnsi="Times New Roman" w:cs="Times New Roman"/>
              </w:rPr>
              <w:t>2005 (EIA MECS 2006)</w:t>
            </w:r>
          </w:p>
        </w:tc>
        <w:tc>
          <w:tcPr>
            <w:tcW w:w="2160" w:type="dxa"/>
          </w:tcPr>
          <w:p w14:paraId="630ED0B9"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13.2</w:t>
            </w:r>
          </w:p>
        </w:tc>
        <w:tc>
          <w:tcPr>
            <w:tcW w:w="1826" w:type="dxa"/>
          </w:tcPr>
          <w:p w14:paraId="4A6A2991"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1.77</w:t>
            </w:r>
          </w:p>
        </w:tc>
        <w:tc>
          <w:tcPr>
            <w:tcW w:w="1864" w:type="dxa"/>
          </w:tcPr>
          <w:p w14:paraId="65C969C7"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1.00</w:t>
            </w:r>
          </w:p>
        </w:tc>
      </w:tr>
      <w:tr w:rsidR="00321DC2" w:rsidRPr="006717D4" w14:paraId="2D15D5E8" w14:textId="77777777" w:rsidTr="00360B83">
        <w:trPr>
          <w:jc w:val="center"/>
        </w:trPr>
        <w:tc>
          <w:tcPr>
            <w:tcW w:w="2965" w:type="dxa"/>
          </w:tcPr>
          <w:p w14:paraId="47748C7A" w14:textId="77777777" w:rsidR="00321DC2" w:rsidRPr="006717D4" w:rsidRDefault="00321DC2" w:rsidP="00BF0AEF">
            <w:pPr>
              <w:spacing w:after="160"/>
              <w:rPr>
                <w:rFonts w:ascii="Times New Roman" w:hAnsi="Times New Roman" w:cs="Times New Roman"/>
              </w:rPr>
            </w:pPr>
            <w:r w:rsidRPr="006717D4">
              <w:rPr>
                <w:rFonts w:ascii="Times New Roman" w:hAnsi="Times New Roman" w:cs="Times New Roman"/>
              </w:rPr>
              <w:t>2020 (EIA MECS 2018)</w:t>
            </w:r>
          </w:p>
        </w:tc>
        <w:tc>
          <w:tcPr>
            <w:tcW w:w="2160" w:type="dxa"/>
          </w:tcPr>
          <w:p w14:paraId="5D3DF0AC"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5.9</w:t>
            </w:r>
          </w:p>
        </w:tc>
        <w:tc>
          <w:tcPr>
            <w:tcW w:w="1826" w:type="dxa"/>
          </w:tcPr>
          <w:p w14:paraId="2C46D3D9"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0.79</w:t>
            </w:r>
          </w:p>
        </w:tc>
        <w:tc>
          <w:tcPr>
            <w:tcW w:w="1864" w:type="dxa"/>
          </w:tcPr>
          <w:p w14:paraId="3439EBBF" w14:textId="77777777" w:rsidR="00321DC2" w:rsidRPr="006717D4" w:rsidRDefault="00321DC2" w:rsidP="00BF0AEF">
            <w:pPr>
              <w:spacing w:after="160"/>
              <w:jc w:val="center"/>
              <w:rPr>
                <w:rFonts w:ascii="Times New Roman" w:hAnsi="Times New Roman" w:cs="Times New Roman"/>
              </w:rPr>
            </w:pPr>
            <w:r w:rsidRPr="006717D4">
              <w:rPr>
                <w:rFonts w:ascii="Times New Roman" w:hAnsi="Times New Roman" w:cs="Times New Roman"/>
              </w:rPr>
              <w:t>0.44</w:t>
            </w:r>
          </w:p>
        </w:tc>
      </w:tr>
    </w:tbl>
    <w:p w14:paraId="39BBDEC1" w14:textId="77777777" w:rsidR="00321DC2" w:rsidRPr="006717D4" w:rsidRDefault="00321DC2" w:rsidP="00321DC2">
      <w:pPr>
        <w:rPr>
          <w:rFonts w:ascii="Times New Roman" w:hAnsi="Times New Roman" w:cs="Times New Roman"/>
        </w:rPr>
      </w:pPr>
    </w:p>
    <w:p w14:paraId="775D51CD" w14:textId="77777777" w:rsidR="00321DC2" w:rsidRPr="000566CB" w:rsidRDefault="00321DC2" w:rsidP="00632FC1">
      <w:pPr>
        <w:pStyle w:val="Heading2"/>
        <w:rPr>
          <w:rFonts w:ascii="Times New Roman" w:hAnsi="Times New Roman" w:cs="Times New Roman"/>
          <w:b/>
          <w:bCs/>
          <w:color w:val="auto"/>
          <w:sz w:val="24"/>
          <w:szCs w:val="24"/>
        </w:rPr>
      </w:pPr>
      <w:bookmarkStart w:id="35" w:name="_Toc165549644"/>
      <w:bookmarkStart w:id="36" w:name="_Toc174876781"/>
      <w:bookmarkStart w:id="37" w:name="_Toc215829609"/>
      <w:r w:rsidRPr="000566CB">
        <w:rPr>
          <w:rFonts w:ascii="Times New Roman" w:hAnsi="Times New Roman" w:cs="Times New Roman"/>
          <w:b/>
          <w:bCs/>
          <w:color w:val="auto"/>
          <w:sz w:val="24"/>
          <w:szCs w:val="24"/>
        </w:rPr>
        <w:t>Total Forest Products Industry Direct Emissions from Fuel Combustion</w:t>
      </w:r>
      <w:bookmarkEnd w:id="35"/>
      <w:bookmarkEnd w:id="36"/>
      <w:bookmarkEnd w:id="37"/>
    </w:p>
    <w:p w14:paraId="52180E72" w14:textId="58D772E0" w:rsidR="00321DC2" w:rsidRDefault="00321DC2" w:rsidP="00321DC2">
      <w:pPr>
        <w:rPr>
          <w:rFonts w:ascii="Times New Roman" w:hAnsi="Times New Roman" w:cs="Times New Roman"/>
        </w:rPr>
      </w:pPr>
      <w:r w:rsidRPr="006717D4">
        <w:rPr>
          <w:rFonts w:ascii="Times New Roman" w:hAnsi="Times New Roman" w:cs="Times New Roman"/>
        </w:rPr>
        <w:t xml:space="preserve">The total combustion-related emissions from pulp, paper, paperboard, and wood products manufacturing in the US are shown in Table </w:t>
      </w:r>
      <w:r w:rsidR="00BF0AEF">
        <w:rPr>
          <w:rFonts w:ascii="Times New Roman" w:hAnsi="Times New Roman" w:cs="Times New Roman"/>
        </w:rPr>
        <w:t>S13</w:t>
      </w:r>
      <w:r w:rsidRPr="006717D4">
        <w:rPr>
          <w:rFonts w:ascii="Times New Roman" w:hAnsi="Times New Roman" w:cs="Times New Roman"/>
        </w:rPr>
        <w:t xml:space="preserve"> and Figure </w:t>
      </w:r>
      <w:r w:rsidR="00BF0AEF">
        <w:rPr>
          <w:rFonts w:ascii="Times New Roman" w:hAnsi="Times New Roman" w:cs="Times New Roman"/>
        </w:rPr>
        <w:t>S</w:t>
      </w:r>
      <w:r w:rsidR="00F769E2">
        <w:rPr>
          <w:rFonts w:ascii="Times New Roman" w:hAnsi="Times New Roman" w:cs="Times New Roman"/>
        </w:rPr>
        <w:t>20</w:t>
      </w:r>
      <w:r w:rsidRPr="006717D4">
        <w:rPr>
          <w:rFonts w:ascii="Times New Roman" w:hAnsi="Times New Roman" w:cs="Times New Roman"/>
        </w:rPr>
        <w:t xml:space="preserve">. Approximately three-quarters of the 2020 emissions are associated with the pulp, paper, and paperboard primary manufacturing </w:t>
      </w:r>
      <w:proofErr w:type="gramStart"/>
      <w:r w:rsidRPr="006717D4">
        <w:rPr>
          <w:rFonts w:ascii="Times New Roman" w:hAnsi="Times New Roman" w:cs="Times New Roman"/>
        </w:rPr>
        <w:t>sector</w:t>
      </w:r>
      <w:proofErr w:type="gramEnd"/>
      <w:r w:rsidRPr="006717D4">
        <w:rPr>
          <w:rFonts w:ascii="Times New Roman" w:hAnsi="Times New Roman" w:cs="Times New Roman"/>
        </w:rPr>
        <w:t xml:space="preserve">. The industry’s fuel combustion–related emissions in 2020 were reduced by 44% since 1990 and 41% since 2005. </w:t>
      </w:r>
    </w:p>
    <w:p w14:paraId="115BAE38" w14:textId="77777777" w:rsidR="009576F6" w:rsidRPr="006717D4" w:rsidRDefault="009576F6" w:rsidP="00321DC2">
      <w:pPr>
        <w:rPr>
          <w:rFonts w:ascii="Times New Roman" w:hAnsi="Times New Roman" w:cs="Times New Roman"/>
        </w:rPr>
      </w:pPr>
    </w:p>
    <w:p w14:paraId="126C8079" w14:textId="412A0716" w:rsidR="00321DC2" w:rsidRPr="006717D4" w:rsidRDefault="00321DC2" w:rsidP="00321DC2">
      <w:pPr>
        <w:rPr>
          <w:rFonts w:ascii="Times New Roman" w:hAnsi="Times New Roman" w:cs="Times New Roman"/>
        </w:rPr>
      </w:pPr>
      <w:r w:rsidRPr="006717D4">
        <w:rPr>
          <w:rFonts w:ascii="Times New Roman" w:hAnsi="Times New Roman" w:cs="Times New Roman"/>
          <w:b/>
          <w:bCs/>
        </w:rPr>
        <w:t xml:space="preserve">Table </w:t>
      </w:r>
      <w:r w:rsidR="00BF0AEF">
        <w:rPr>
          <w:rFonts w:ascii="Times New Roman" w:hAnsi="Times New Roman" w:cs="Times New Roman"/>
          <w:b/>
          <w:bCs/>
        </w:rPr>
        <w:t>S13</w:t>
      </w:r>
      <w:r w:rsidRPr="006717D4">
        <w:rPr>
          <w:rFonts w:ascii="Times New Roman" w:hAnsi="Times New Roman" w:cs="Times New Roman"/>
          <w:b/>
          <w:bCs/>
        </w:rPr>
        <w:t>.</w:t>
      </w:r>
      <w:r w:rsidRPr="006717D4">
        <w:rPr>
          <w:rFonts w:ascii="Times New Roman" w:hAnsi="Times New Roman" w:cs="Times New Roman"/>
        </w:rPr>
        <w:t xml:space="preserve"> Combustion-Related Emissions from US Forest Products Sector Manufacturing</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720"/>
        <w:gridCol w:w="2790"/>
        <w:gridCol w:w="2725"/>
        <w:gridCol w:w="2765"/>
      </w:tblGrid>
      <w:tr w:rsidR="00321DC2" w:rsidRPr="006717D4" w14:paraId="2B250197" w14:textId="77777777" w:rsidTr="00F769E2">
        <w:trPr>
          <w:cantSplit/>
          <w:trHeight w:hRule="exact" w:val="720"/>
          <w:jc w:val="center"/>
        </w:trPr>
        <w:tc>
          <w:tcPr>
            <w:tcW w:w="720" w:type="dxa"/>
            <w:shd w:val="clear" w:color="auto" w:fill="D9D9D9" w:themeFill="background1" w:themeFillShade="D9"/>
            <w:noWrap/>
            <w:vAlign w:val="center"/>
            <w:hideMark/>
          </w:tcPr>
          <w:p w14:paraId="67896B03"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Year</w:t>
            </w:r>
          </w:p>
        </w:tc>
        <w:tc>
          <w:tcPr>
            <w:tcW w:w="2790" w:type="dxa"/>
            <w:shd w:val="clear" w:color="auto" w:fill="D9D9D9" w:themeFill="background1" w:themeFillShade="D9"/>
            <w:noWrap/>
            <w:vAlign w:val="center"/>
            <w:hideMark/>
          </w:tcPr>
          <w:p w14:paraId="1DDB2FC1"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Million Metric Tons CO</w:t>
            </w:r>
            <w:r w:rsidRPr="00606B28">
              <w:rPr>
                <w:rFonts w:ascii="Times New Roman" w:hAnsi="Times New Roman" w:cs="Times New Roman"/>
                <w:vertAlign w:val="subscript"/>
              </w:rPr>
              <w:t>2</w:t>
            </w:r>
            <w:r w:rsidRPr="00606B28">
              <w:rPr>
                <w:rFonts w:ascii="Times New Roman" w:hAnsi="Times New Roman" w:cs="Times New Roman"/>
              </w:rPr>
              <w:t>e</w:t>
            </w:r>
          </w:p>
        </w:tc>
        <w:tc>
          <w:tcPr>
            <w:tcW w:w="2725" w:type="dxa"/>
            <w:shd w:val="clear" w:color="auto" w:fill="D9D9D9" w:themeFill="background1" w:themeFillShade="D9"/>
            <w:noWrap/>
            <w:vAlign w:val="center"/>
            <w:hideMark/>
          </w:tcPr>
          <w:p w14:paraId="7CC3B489"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Fraction of 1990 Emissions</w:t>
            </w:r>
          </w:p>
        </w:tc>
        <w:tc>
          <w:tcPr>
            <w:tcW w:w="2765" w:type="dxa"/>
            <w:shd w:val="clear" w:color="auto" w:fill="D9D9D9" w:themeFill="background1" w:themeFillShade="D9"/>
            <w:noWrap/>
            <w:vAlign w:val="center"/>
            <w:hideMark/>
          </w:tcPr>
          <w:p w14:paraId="7AF1D929"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1AD2D42A" w14:textId="77777777" w:rsidTr="00F769E2">
        <w:trPr>
          <w:cantSplit/>
          <w:trHeight w:hRule="exact" w:val="432"/>
          <w:jc w:val="center"/>
        </w:trPr>
        <w:tc>
          <w:tcPr>
            <w:tcW w:w="720" w:type="dxa"/>
            <w:noWrap/>
            <w:vAlign w:val="center"/>
            <w:hideMark/>
          </w:tcPr>
          <w:p w14:paraId="45BAD5E5"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1990</w:t>
            </w:r>
          </w:p>
        </w:tc>
        <w:tc>
          <w:tcPr>
            <w:tcW w:w="2790" w:type="dxa"/>
            <w:noWrap/>
            <w:vAlign w:val="center"/>
            <w:hideMark/>
          </w:tcPr>
          <w:p w14:paraId="2BAC9C71"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78.0</w:t>
            </w:r>
          </w:p>
        </w:tc>
        <w:tc>
          <w:tcPr>
            <w:tcW w:w="2725" w:type="dxa"/>
            <w:noWrap/>
            <w:vAlign w:val="center"/>
            <w:hideMark/>
          </w:tcPr>
          <w:p w14:paraId="17FA6442"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c>
          <w:tcPr>
            <w:tcW w:w="2765" w:type="dxa"/>
            <w:noWrap/>
            <w:vAlign w:val="center"/>
            <w:hideMark/>
          </w:tcPr>
          <w:p w14:paraId="7BE4FD35" w14:textId="77777777" w:rsidR="00321DC2" w:rsidRPr="006717D4" w:rsidRDefault="00321DC2" w:rsidP="00360B83">
            <w:pPr>
              <w:spacing w:after="160" w:line="278" w:lineRule="auto"/>
              <w:jc w:val="center"/>
              <w:rPr>
                <w:rFonts w:ascii="Times New Roman" w:hAnsi="Times New Roman" w:cs="Times New Roman"/>
              </w:rPr>
            </w:pPr>
          </w:p>
        </w:tc>
      </w:tr>
      <w:tr w:rsidR="00321DC2" w:rsidRPr="006717D4" w14:paraId="0097028E" w14:textId="77777777" w:rsidTr="00F769E2">
        <w:trPr>
          <w:cantSplit/>
          <w:trHeight w:hRule="exact" w:val="432"/>
          <w:jc w:val="center"/>
        </w:trPr>
        <w:tc>
          <w:tcPr>
            <w:tcW w:w="720" w:type="dxa"/>
            <w:noWrap/>
            <w:vAlign w:val="center"/>
            <w:hideMark/>
          </w:tcPr>
          <w:p w14:paraId="2522171E"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2005</w:t>
            </w:r>
          </w:p>
        </w:tc>
        <w:tc>
          <w:tcPr>
            <w:tcW w:w="2790" w:type="dxa"/>
            <w:noWrap/>
            <w:vAlign w:val="center"/>
            <w:hideMark/>
          </w:tcPr>
          <w:p w14:paraId="27DD94CB"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74.4</w:t>
            </w:r>
          </w:p>
        </w:tc>
        <w:tc>
          <w:tcPr>
            <w:tcW w:w="2725" w:type="dxa"/>
            <w:noWrap/>
            <w:vAlign w:val="center"/>
            <w:hideMark/>
          </w:tcPr>
          <w:p w14:paraId="7AA200BE"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0.95</w:t>
            </w:r>
          </w:p>
        </w:tc>
        <w:tc>
          <w:tcPr>
            <w:tcW w:w="2765" w:type="dxa"/>
            <w:noWrap/>
            <w:vAlign w:val="center"/>
            <w:hideMark/>
          </w:tcPr>
          <w:p w14:paraId="3403606D"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0A0EB4EE" w14:textId="77777777" w:rsidTr="00F769E2">
        <w:trPr>
          <w:cantSplit/>
          <w:trHeight w:hRule="exact" w:val="432"/>
          <w:jc w:val="center"/>
        </w:trPr>
        <w:tc>
          <w:tcPr>
            <w:tcW w:w="720" w:type="dxa"/>
            <w:noWrap/>
            <w:vAlign w:val="center"/>
            <w:hideMark/>
          </w:tcPr>
          <w:p w14:paraId="3C49A39B"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2020</w:t>
            </w:r>
          </w:p>
        </w:tc>
        <w:tc>
          <w:tcPr>
            <w:tcW w:w="2790" w:type="dxa"/>
            <w:noWrap/>
            <w:vAlign w:val="center"/>
            <w:hideMark/>
          </w:tcPr>
          <w:p w14:paraId="7016369E"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43.6</w:t>
            </w:r>
          </w:p>
        </w:tc>
        <w:tc>
          <w:tcPr>
            <w:tcW w:w="2725" w:type="dxa"/>
            <w:noWrap/>
            <w:vAlign w:val="center"/>
            <w:hideMark/>
          </w:tcPr>
          <w:p w14:paraId="1F3A3161"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0.56</w:t>
            </w:r>
          </w:p>
        </w:tc>
        <w:tc>
          <w:tcPr>
            <w:tcW w:w="2765" w:type="dxa"/>
            <w:noWrap/>
            <w:vAlign w:val="center"/>
            <w:hideMark/>
          </w:tcPr>
          <w:p w14:paraId="168511F6"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0.59</w:t>
            </w:r>
          </w:p>
        </w:tc>
      </w:tr>
    </w:tbl>
    <w:p w14:paraId="713FC887" w14:textId="77777777" w:rsidR="00321DC2" w:rsidRDefault="00321DC2" w:rsidP="00321DC2">
      <w:pPr>
        <w:rPr>
          <w:rFonts w:ascii="Times New Roman" w:hAnsi="Times New Roman" w:cs="Times New Roman"/>
        </w:rPr>
      </w:pPr>
    </w:p>
    <w:p w14:paraId="6A38110B" w14:textId="77777777" w:rsidR="009576F6" w:rsidRPr="006717D4" w:rsidRDefault="009576F6" w:rsidP="00321DC2">
      <w:pPr>
        <w:rPr>
          <w:rFonts w:ascii="Times New Roman" w:hAnsi="Times New Roman" w:cs="Times New Roman"/>
        </w:rPr>
      </w:pPr>
    </w:p>
    <w:p w14:paraId="36FCDA7B"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0B1AF805" wp14:editId="143BCE80">
            <wp:extent cx="4942114" cy="2661557"/>
            <wp:effectExtent l="0" t="0" r="11430" b="5715"/>
            <wp:docPr id="1038355033" name="Chart 1">
              <a:extLst xmlns:a="http://schemas.openxmlformats.org/drawingml/2006/main">
                <a:ext uri="{FF2B5EF4-FFF2-40B4-BE49-F238E27FC236}">
                  <a16:creationId xmlns:a16="http://schemas.microsoft.com/office/drawing/2014/main" id="{769CB537-B63F-A28E-FEE9-C005248A4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5668D8" w14:textId="67E85B42"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BF0AEF">
        <w:rPr>
          <w:rFonts w:ascii="Times New Roman" w:hAnsi="Times New Roman" w:cs="Times New Roman"/>
          <w:b/>
          <w:bCs/>
        </w:rPr>
        <w:t>S</w:t>
      </w:r>
      <w:r w:rsidR="00F769E2">
        <w:rPr>
          <w:rFonts w:ascii="Times New Roman" w:hAnsi="Times New Roman" w:cs="Times New Roman"/>
          <w:b/>
          <w:bCs/>
        </w:rPr>
        <w:t>20</w:t>
      </w:r>
      <w:r w:rsidRPr="006717D4">
        <w:rPr>
          <w:rFonts w:ascii="Times New Roman" w:hAnsi="Times New Roman" w:cs="Times New Roman"/>
          <w:b/>
          <w:bCs/>
        </w:rPr>
        <w:t>.</w:t>
      </w:r>
      <w:r w:rsidRPr="006717D4">
        <w:rPr>
          <w:rFonts w:ascii="Times New Roman" w:hAnsi="Times New Roman" w:cs="Times New Roman"/>
        </w:rPr>
        <w:t xml:space="preserve"> Direct Combustion-Related Emissions from US Pulp and Paper and Wood Products Manufacturing</w:t>
      </w:r>
    </w:p>
    <w:p w14:paraId="16400FE4" w14:textId="77777777" w:rsidR="00321DC2" w:rsidRDefault="00321DC2" w:rsidP="00321DC2">
      <w:pPr>
        <w:rPr>
          <w:rFonts w:ascii="Times New Roman" w:hAnsi="Times New Roman" w:cs="Times New Roman"/>
          <w:b/>
        </w:rPr>
      </w:pPr>
      <w:bookmarkStart w:id="38" w:name="_Toc165549645"/>
      <w:bookmarkStart w:id="39" w:name="_Toc174876782"/>
    </w:p>
    <w:p w14:paraId="32AE605E" w14:textId="2ACE760D" w:rsidR="00321DC2" w:rsidRPr="00590ED8" w:rsidRDefault="00321DC2" w:rsidP="00632FC1">
      <w:pPr>
        <w:pStyle w:val="Heading1"/>
        <w:rPr>
          <w:rFonts w:ascii="Times New Roman" w:hAnsi="Times New Roman" w:cs="Times New Roman"/>
          <w:b/>
          <w:bCs/>
          <w:color w:val="auto"/>
          <w:sz w:val="24"/>
          <w:szCs w:val="24"/>
        </w:rPr>
      </w:pPr>
      <w:bookmarkStart w:id="40" w:name="_Toc215829610"/>
      <w:r w:rsidRPr="00590ED8">
        <w:rPr>
          <w:rFonts w:ascii="Times New Roman" w:hAnsi="Times New Roman" w:cs="Times New Roman"/>
          <w:b/>
          <w:bCs/>
          <w:color w:val="auto"/>
          <w:sz w:val="24"/>
          <w:szCs w:val="24"/>
        </w:rPr>
        <w:t>S</w:t>
      </w:r>
      <w:r w:rsidR="000566CB">
        <w:rPr>
          <w:rFonts w:ascii="Times New Roman" w:hAnsi="Times New Roman" w:cs="Times New Roman"/>
          <w:b/>
          <w:bCs/>
          <w:color w:val="auto"/>
          <w:sz w:val="24"/>
          <w:szCs w:val="24"/>
        </w:rPr>
        <w:t xml:space="preserve">COPE </w:t>
      </w:r>
      <w:r w:rsidRPr="00590ED8">
        <w:rPr>
          <w:rFonts w:ascii="Times New Roman" w:hAnsi="Times New Roman" w:cs="Times New Roman"/>
          <w:b/>
          <w:bCs/>
          <w:color w:val="auto"/>
          <w:sz w:val="24"/>
          <w:szCs w:val="24"/>
        </w:rPr>
        <w:t>2 I</w:t>
      </w:r>
      <w:r w:rsidR="000566CB">
        <w:rPr>
          <w:rFonts w:ascii="Times New Roman" w:hAnsi="Times New Roman" w:cs="Times New Roman"/>
          <w:b/>
          <w:bCs/>
          <w:color w:val="auto"/>
          <w:sz w:val="24"/>
          <w:szCs w:val="24"/>
        </w:rPr>
        <w:t xml:space="preserve">NDIRECT EMMISSIONS ASSOCIATED WITH PURCHASED ELECTRICITY AND </w:t>
      </w:r>
      <w:r w:rsidR="00F0494D">
        <w:rPr>
          <w:rFonts w:ascii="Times New Roman" w:hAnsi="Times New Roman" w:cs="Times New Roman"/>
          <w:b/>
          <w:bCs/>
          <w:color w:val="auto"/>
          <w:sz w:val="24"/>
          <w:szCs w:val="24"/>
        </w:rPr>
        <w:t>S</w:t>
      </w:r>
      <w:r w:rsidR="000566CB">
        <w:rPr>
          <w:rFonts w:ascii="Times New Roman" w:hAnsi="Times New Roman" w:cs="Times New Roman"/>
          <w:b/>
          <w:bCs/>
          <w:color w:val="auto"/>
          <w:sz w:val="24"/>
          <w:szCs w:val="24"/>
        </w:rPr>
        <w:t>TEAM</w:t>
      </w:r>
      <w:bookmarkEnd w:id="38"/>
      <w:bookmarkEnd w:id="39"/>
      <w:bookmarkEnd w:id="40"/>
    </w:p>
    <w:p w14:paraId="66B3B503" w14:textId="5E826A19"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Emissions from purchased electricity are calculated by multiplying electricity purchases by the associated GHG emission factor. Details on emission factor sources and GWPs used in calculations are </w:t>
      </w:r>
      <w:r w:rsidR="00F769E2">
        <w:rPr>
          <w:rFonts w:ascii="Times New Roman" w:hAnsi="Times New Roman" w:cs="Times New Roman"/>
        </w:rPr>
        <w:t>shown above</w:t>
      </w:r>
      <w:r w:rsidRPr="006717D4">
        <w:rPr>
          <w:rFonts w:ascii="Times New Roman" w:hAnsi="Times New Roman" w:cs="Times New Roman"/>
        </w:rPr>
        <w:t xml:space="preserve">. </w:t>
      </w:r>
    </w:p>
    <w:p w14:paraId="17341D24" w14:textId="77777777" w:rsidR="00321DC2" w:rsidRPr="000566CB" w:rsidRDefault="00321DC2" w:rsidP="00632FC1">
      <w:pPr>
        <w:pStyle w:val="Heading2"/>
        <w:rPr>
          <w:rFonts w:ascii="Times New Roman" w:hAnsi="Times New Roman" w:cs="Times New Roman"/>
          <w:b/>
          <w:bCs/>
          <w:color w:val="auto"/>
          <w:sz w:val="24"/>
          <w:szCs w:val="24"/>
        </w:rPr>
      </w:pPr>
      <w:bookmarkStart w:id="41" w:name="_Toc165549646"/>
      <w:bookmarkStart w:id="42" w:name="_Toc174876783"/>
      <w:bookmarkStart w:id="43" w:name="_Toc215829611"/>
      <w:r w:rsidRPr="000566CB">
        <w:rPr>
          <w:rFonts w:ascii="Times New Roman" w:hAnsi="Times New Roman" w:cs="Times New Roman"/>
          <w:b/>
          <w:bCs/>
          <w:color w:val="auto"/>
          <w:sz w:val="24"/>
          <w:szCs w:val="24"/>
        </w:rPr>
        <w:t>Pulp and Paper Mills</w:t>
      </w:r>
      <w:bookmarkEnd w:id="41"/>
      <w:bookmarkEnd w:id="42"/>
      <w:bookmarkEnd w:id="43"/>
    </w:p>
    <w:p w14:paraId="454EBAE1"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t>Data Sources</w:t>
      </w:r>
    </w:p>
    <w:p w14:paraId="78642A8B" w14:textId="77777777" w:rsidR="00321DC2" w:rsidRPr="006717D4" w:rsidRDefault="00321DC2" w:rsidP="00321DC2">
      <w:pPr>
        <w:rPr>
          <w:rFonts w:ascii="Times New Roman" w:hAnsi="Times New Roman" w:cs="Times New Roman"/>
        </w:rPr>
      </w:pPr>
      <w:r w:rsidRPr="006717D4">
        <w:rPr>
          <w:rFonts w:ascii="Times New Roman" w:hAnsi="Times New Roman" w:cs="Times New Roman"/>
        </w:rPr>
        <w:t>Data sources are the same as those used to calculate direct fuel-related emissions, discussed previously.</w:t>
      </w:r>
    </w:p>
    <w:p w14:paraId="35C10A69"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lastRenderedPageBreak/>
        <w:t>Greenhouse Gas Emissions on an Absolute Basis</w:t>
      </w:r>
    </w:p>
    <w:p w14:paraId="49B937FC" w14:textId="33046878"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Figure </w:t>
      </w:r>
      <w:r w:rsidR="00F769E2">
        <w:rPr>
          <w:rFonts w:ascii="Times New Roman" w:hAnsi="Times New Roman" w:cs="Times New Roman"/>
        </w:rPr>
        <w:t>S21</w:t>
      </w:r>
      <w:r w:rsidRPr="006717D4">
        <w:rPr>
          <w:rFonts w:ascii="Times New Roman" w:hAnsi="Times New Roman" w:cs="Times New Roman"/>
        </w:rPr>
        <w:t xml:space="preserve"> shows emissions and reductions in absolute terms attributed to purchased electricity and steam using AF&amp;PA and EIA MECS data sets. Separate data are shown for gross purchases and net purchases of electricity. Emissions attributable to purchased steam account for about 9% (range from 5 to 13%) of emissions from gross purchases of steam and electricity. Since 2008, there has been accelerated greening of the US electrical grid, and most reductions in purchased electricity GHG emissions have been achieved since then. GHG emissions from purchased electricity were relatively constant between 1990 and 2008. </w:t>
      </w:r>
    </w:p>
    <w:p w14:paraId="61A59038" w14:textId="19051460"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Because the AF&amp;PA data set includes steam purchases, and because it is the more complete data set, it has been used to calculate changes over time in this analysis. Tables </w:t>
      </w:r>
      <w:r w:rsidR="00F769E2">
        <w:rPr>
          <w:rFonts w:ascii="Times New Roman" w:hAnsi="Times New Roman" w:cs="Times New Roman"/>
        </w:rPr>
        <w:t>S14</w:t>
      </w:r>
      <w:r w:rsidRPr="006717D4">
        <w:rPr>
          <w:rFonts w:ascii="Times New Roman" w:hAnsi="Times New Roman" w:cs="Times New Roman"/>
        </w:rPr>
        <w:t xml:space="preserve"> and </w:t>
      </w:r>
      <w:r w:rsidR="00F769E2">
        <w:rPr>
          <w:rFonts w:ascii="Times New Roman" w:hAnsi="Times New Roman" w:cs="Times New Roman"/>
        </w:rPr>
        <w:t>S15</w:t>
      </w:r>
      <w:r w:rsidRPr="006717D4">
        <w:rPr>
          <w:rFonts w:ascii="Times New Roman" w:hAnsi="Times New Roman" w:cs="Times New Roman"/>
        </w:rPr>
        <w:t xml:space="preserve"> show that emissions reductions from 1990 to 2020 are approximately 50% for both gross- and net-electricity–based estimates. The same is true for the period of 2005 to 2020. Emissions associated with net energy purchases (including steam) were 20.0%, 16.6%, and 17.7% lower than those based on gross purchases (including steam) in 1990, 2005, and 2020, respectively.</w:t>
      </w:r>
    </w:p>
    <w:p w14:paraId="279A8DBC" w14:textId="77777777" w:rsidR="00321DC2" w:rsidRPr="006717D4" w:rsidRDefault="00321DC2" w:rsidP="00321DC2">
      <w:pPr>
        <w:rPr>
          <w:rFonts w:ascii="Times New Roman" w:hAnsi="Times New Roman" w:cs="Times New Roman"/>
        </w:rPr>
      </w:pPr>
    </w:p>
    <w:p w14:paraId="6F3C3385"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171530A3" wp14:editId="4EE21322">
            <wp:extent cx="4502150" cy="3676650"/>
            <wp:effectExtent l="0" t="0" r="12700" b="0"/>
            <wp:docPr id="1554866155" name="Chart 1">
              <a:extLst xmlns:a="http://schemas.openxmlformats.org/drawingml/2006/main">
                <a:ext uri="{FF2B5EF4-FFF2-40B4-BE49-F238E27FC236}">
                  <a16:creationId xmlns:a16="http://schemas.microsoft.com/office/drawing/2014/main" id="{B3B91EAC-AACD-5BE5-F5B3-517E309E5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91676E" w14:textId="1DF7D849" w:rsidR="00321DC2" w:rsidRPr="006717D4" w:rsidRDefault="00321DC2" w:rsidP="00321DC2">
      <w:pPr>
        <w:jc w:val="center"/>
        <w:rPr>
          <w:rFonts w:ascii="Times New Roman" w:hAnsi="Times New Roman" w:cs="Times New Roman"/>
        </w:rPr>
      </w:pPr>
      <w:bookmarkStart w:id="44" w:name="_Ref67556574"/>
      <w:bookmarkStart w:id="45" w:name="_Toc66713435"/>
      <w:r w:rsidRPr="006717D4">
        <w:rPr>
          <w:rFonts w:ascii="Times New Roman" w:hAnsi="Times New Roman" w:cs="Times New Roman"/>
          <w:b/>
          <w:bCs/>
        </w:rPr>
        <w:t xml:space="preserve">Figure </w:t>
      </w:r>
      <w:bookmarkEnd w:id="44"/>
      <w:r w:rsidR="00F769E2">
        <w:rPr>
          <w:rFonts w:ascii="Times New Roman" w:hAnsi="Times New Roman" w:cs="Times New Roman"/>
          <w:b/>
          <w:bCs/>
        </w:rPr>
        <w:t>S21</w:t>
      </w:r>
      <w:r w:rsidRPr="006717D4">
        <w:rPr>
          <w:rFonts w:ascii="Times New Roman" w:hAnsi="Times New Roman" w:cs="Times New Roman"/>
          <w:b/>
          <w:bCs/>
        </w:rPr>
        <w:t>.</w:t>
      </w:r>
      <w:r w:rsidRPr="006717D4">
        <w:rPr>
          <w:rFonts w:ascii="Times New Roman" w:hAnsi="Times New Roman" w:cs="Times New Roman"/>
        </w:rPr>
        <w:t xml:space="preserve"> Changes in GHG Emissions Associated with Electricity and Steam Purchased by </w:t>
      </w:r>
      <w:bookmarkEnd w:id="45"/>
      <w:r w:rsidRPr="006717D4">
        <w:rPr>
          <w:rFonts w:ascii="Times New Roman" w:hAnsi="Times New Roman" w:cs="Times New Roman"/>
        </w:rPr>
        <w:t>the US Pulp and Paper Sector</w:t>
      </w:r>
    </w:p>
    <w:p w14:paraId="318D724C" w14:textId="7924FBB4"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Table </w:t>
      </w:r>
      <w:r w:rsidR="00F769E2">
        <w:rPr>
          <w:rFonts w:ascii="Times New Roman" w:hAnsi="Times New Roman" w:cs="Times New Roman"/>
          <w:b/>
          <w:bCs/>
        </w:rPr>
        <w:t>S14</w:t>
      </w:r>
      <w:r w:rsidRPr="006717D4">
        <w:rPr>
          <w:rFonts w:ascii="Times New Roman" w:hAnsi="Times New Roman" w:cs="Times New Roman"/>
          <w:b/>
          <w:bCs/>
        </w:rPr>
        <w:t>.</w:t>
      </w:r>
      <w:r w:rsidRPr="006717D4">
        <w:rPr>
          <w:rFonts w:ascii="Times New Roman" w:hAnsi="Times New Roman" w:cs="Times New Roman"/>
        </w:rPr>
        <w:t xml:space="preserve"> Indirect Emissions Attributable to Gross Electricity and Steam Purchases in the US Paper, Paperboard, and Market Pulp Sector [</w:t>
      </w:r>
      <w:r w:rsidRPr="006717D4">
        <w:rPr>
          <w:rFonts w:ascii="Times New Roman" w:hAnsi="Times New Roman" w:cs="Times New Roman"/>
          <w:i/>
          <w:iCs/>
        </w:rPr>
        <w:t>Source</w:t>
      </w:r>
      <w:r w:rsidRPr="006717D4">
        <w:rPr>
          <w:rFonts w:ascii="Times New Roman" w:hAnsi="Times New Roman" w:cs="Times New Roman"/>
        </w:rPr>
        <w:t>: AF&amp;PA data]</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696"/>
        <w:gridCol w:w="2456"/>
        <w:gridCol w:w="2700"/>
        <w:gridCol w:w="2695"/>
      </w:tblGrid>
      <w:tr w:rsidR="00321DC2" w:rsidRPr="006717D4" w14:paraId="2257F261" w14:textId="77777777" w:rsidTr="00360B83">
        <w:trPr>
          <w:trHeight w:val="386"/>
          <w:jc w:val="center"/>
        </w:trPr>
        <w:tc>
          <w:tcPr>
            <w:tcW w:w="540" w:type="dxa"/>
            <w:shd w:val="clear" w:color="auto" w:fill="D9D9D9" w:themeFill="background1" w:themeFillShade="D9"/>
          </w:tcPr>
          <w:p w14:paraId="1A668F79"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lastRenderedPageBreak/>
              <w:t>Year</w:t>
            </w:r>
          </w:p>
        </w:tc>
        <w:tc>
          <w:tcPr>
            <w:tcW w:w="2456" w:type="dxa"/>
            <w:shd w:val="clear" w:color="auto" w:fill="D9D9D9" w:themeFill="background1" w:themeFillShade="D9"/>
          </w:tcPr>
          <w:p w14:paraId="6B9AE1D5"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w:t>
            </w:r>
          </w:p>
        </w:tc>
        <w:tc>
          <w:tcPr>
            <w:tcW w:w="2700" w:type="dxa"/>
            <w:shd w:val="clear" w:color="auto" w:fill="D9D9D9" w:themeFill="background1" w:themeFillShade="D9"/>
          </w:tcPr>
          <w:p w14:paraId="2FD69028"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Fraction of 1990 Emissions</w:t>
            </w:r>
          </w:p>
        </w:tc>
        <w:tc>
          <w:tcPr>
            <w:tcW w:w="2695" w:type="dxa"/>
            <w:shd w:val="clear" w:color="auto" w:fill="D9D9D9" w:themeFill="background1" w:themeFillShade="D9"/>
          </w:tcPr>
          <w:p w14:paraId="55651809"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113367BA" w14:textId="77777777" w:rsidTr="00360B83">
        <w:trPr>
          <w:jc w:val="center"/>
        </w:trPr>
        <w:tc>
          <w:tcPr>
            <w:tcW w:w="540" w:type="dxa"/>
          </w:tcPr>
          <w:p w14:paraId="22FA364D"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t>1990</w:t>
            </w:r>
          </w:p>
        </w:tc>
        <w:tc>
          <w:tcPr>
            <w:tcW w:w="2456" w:type="dxa"/>
          </w:tcPr>
          <w:p w14:paraId="7401F140"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32.3</w:t>
            </w:r>
          </w:p>
        </w:tc>
        <w:tc>
          <w:tcPr>
            <w:tcW w:w="2700" w:type="dxa"/>
          </w:tcPr>
          <w:p w14:paraId="099116D2"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1.00</w:t>
            </w:r>
          </w:p>
        </w:tc>
        <w:tc>
          <w:tcPr>
            <w:tcW w:w="2695" w:type="dxa"/>
          </w:tcPr>
          <w:p w14:paraId="1E251F6D" w14:textId="77777777" w:rsidR="00321DC2" w:rsidRPr="006717D4" w:rsidRDefault="00321DC2" w:rsidP="00F769E2">
            <w:pPr>
              <w:spacing w:line="278" w:lineRule="auto"/>
              <w:jc w:val="center"/>
              <w:rPr>
                <w:rFonts w:ascii="Times New Roman" w:hAnsi="Times New Roman" w:cs="Times New Roman"/>
              </w:rPr>
            </w:pPr>
          </w:p>
        </w:tc>
      </w:tr>
      <w:tr w:rsidR="00321DC2" w:rsidRPr="006717D4" w14:paraId="35949ADA" w14:textId="77777777" w:rsidTr="00360B83">
        <w:trPr>
          <w:jc w:val="center"/>
        </w:trPr>
        <w:tc>
          <w:tcPr>
            <w:tcW w:w="540" w:type="dxa"/>
          </w:tcPr>
          <w:p w14:paraId="7C1EF6D9"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t>2005</w:t>
            </w:r>
          </w:p>
        </w:tc>
        <w:tc>
          <w:tcPr>
            <w:tcW w:w="2456" w:type="dxa"/>
          </w:tcPr>
          <w:p w14:paraId="4AF0F072"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33.0</w:t>
            </w:r>
          </w:p>
        </w:tc>
        <w:tc>
          <w:tcPr>
            <w:tcW w:w="2700" w:type="dxa"/>
          </w:tcPr>
          <w:p w14:paraId="18452AF2"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1.02</w:t>
            </w:r>
          </w:p>
        </w:tc>
        <w:tc>
          <w:tcPr>
            <w:tcW w:w="2695" w:type="dxa"/>
          </w:tcPr>
          <w:p w14:paraId="308D3E1D"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7353EC8E" w14:textId="77777777" w:rsidTr="00360B83">
        <w:trPr>
          <w:jc w:val="center"/>
        </w:trPr>
        <w:tc>
          <w:tcPr>
            <w:tcW w:w="540" w:type="dxa"/>
          </w:tcPr>
          <w:p w14:paraId="21057F81"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t>2020</w:t>
            </w:r>
          </w:p>
        </w:tc>
        <w:tc>
          <w:tcPr>
            <w:tcW w:w="2456" w:type="dxa"/>
          </w:tcPr>
          <w:p w14:paraId="6AF93753"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16.5</w:t>
            </w:r>
          </w:p>
        </w:tc>
        <w:tc>
          <w:tcPr>
            <w:tcW w:w="2700" w:type="dxa"/>
          </w:tcPr>
          <w:p w14:paraId="75CC6595"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0.51</w:t>
            </w:r>
          </w:p>
        </w:tc>
        <w:tc>
          <w:tcPr>
            <w:tcW w:w="2695" w:type="dxa"/>
          </w:tcPr>
          <w:p w14:paraId="3D61FDD7"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0.50</w:t>
            </w:r>
          </w:p>
        </w:tc>
      </w:tr>
    </w:tbl>
    <w:p w14:paraId="75A7006A" w14:textId="77777777" w:rsidR="00321DC2" w:rsidRPr="006717D4" w:rsidRDefault="00321DC2" w:rsidP="00321DC2">
      <w:pPr>
        <w:rPr>
          <w:rFonts w:ascii="Times New Roman" w:hAnsi="Times New Roman" w:cs="Times New Roman"/>
        </w:rPr>
      </w:pPr>
    </w:p>
    <w:p w14:paraId="22C7D407" w14:textId="25B0CC94"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Table </w:t>
      </w:r>
      <w:r w:rsidR="00F769E2">
        <w:rPr>
          <w:rFonts w:ascii="Times New Roman" w:hAnsi="Times New Roman" w:cs="Times New Roman"/>
          <w:b/>
          <w:bCs/>
        </w:rPr>
        <w:t>S15</w:t>
      </w:r>
      <w:r w:rsidRPr="006717D4">
        <w:rPr>
          <w:rFonts w:ascii="Times New Roman" w:hAnsi="Times New Roman" w:cs="Times New Roman"/>
          <w:b/>
          <w:bCs/>
        </w:rPr>
        <w:t>.</w:t>
      </w:r>
      <w:r w:rsidRPr="006717D4">
        <w:rPr>
          <w:rFonts w:ascii="Times New Roman" w:hAnsi="Times New Roman" w:cs="Times New Roman"/>
        </w:rPr>
        <w:t xml:space="preserve"> Indirect Emissions Attributable to Net Electricity Purchases in the US Paper, Paperboard, and Market Pulp Sector [</w:t>
      </w:r>
      <w:r w:rsidRPr="006717D4">
        <w:rPr>
          <w:rFonts w:ascii="Times New Roman" w:hAnsi="Times New Roman" w:cs="Times New Roman"/>
          <w:i/>
          <w:iCs/>
        </w:rPr>
        <w:t>Source</w:t>
      </w:r>
      <w:r w:rsidRPr="006717D4">
        <w:rPr>
          <w:rFonts w:ascii="Times New Roman" w:hAnsi="Times New Roman" w:cs="Times New Roman"/>
        </w:rPr>
        <w:t>:</w:t>
      </w:r>
      <w:r w:rsidRPr="006717D4" w:rsidDel="00483AA4">
        <w:rPr>
          <w:rFonts w:ascii="Times New Roman" w:hAnsi="Times New Roman" w:cs="Times New Roman"/>
        </w:rPr>
        <w:t xml:space="preserve"> </w:t>
      </w:r>
      <w:r w:rsidRPr="006717D4">
        <w:rPr>
          <w:rFonts w:ascii="Times New Roman" w:hAnsi="Times New Roman" w:cs="Times New Roman"/>
        </w:rPr>
        <w:t>AF&amp;PA/API data, purchased steam not included]</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808"/>
        <w:gridCol w:w="1977"/>
        <w:gridCol w:w="2700"/>
        <w:gridCol w:w="2880"/>
      </w:tblGrid>
      <w:tr w:rsidR="00321DC2" w:rsidRPr="006717D4" w14:paraId="40F2FD26" w14:textId="77777777" w:rsidTr="00360B83">
        <w:trPr>
          <w:jc w:val="center"/>
        </w:trPr>
        <w:tc>
          <w:tcPr>
            <w:tcW w:w="808" w:type="dxa"/>
            <w:shd w:val="clear" w:color="auto" w:fill="D9D9D9" w:themeFill="background1" w:themeFillShade="D9"/>
          </w:tcPr>
          <w:p w14:paraId="671DCB36"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t>Year</w:t>
            </w:r>
          </w:p>
        </w:tc>
        <w:tc>
          <w:tcPr>
            <w:tcW w:w="1977" w:type="dxa"/>
            <w:shd w:val="clear" w:color="auto" w:fill="D9D9D9" w:themeFill="background1" w:themeFillShade="D9"/>
          </w:tcPr>
          <w:p w14:paraId="7D09B912"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w:t>
            </w:r>
          </w:p>
        </w:tc>
        <w:tc>
          <w:tcPr>
            <w:tcW w:w="2700" w:type="dxa"/>
            <w:shd w:val="clear" w:color="auto" w:fill="D9D9D9" w:themeFill="background1" w:themeFillShade="D9"/>
          </w:tcPr>
          <w:p w14:paraId="790DDB4D"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Fraction of 1990 Emissions</w:t>
            </w:r>
          </w:p>
        </w:tc>
        <w:tc>
          <w:tcPr>
            <w:tcW w:w="2880" w:type="dxa"/>
            <w:shd w:val="clear" w:color="auto" w:fill="D9D9D9" w:themeFill="background1" w:themeFillShade="D9"/>
          </w:tcPr>
          <w:p w14:paraId="23A30B3E"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Fraction of 2005 Emissions</w:t>
            </w:r>
          </w:p>
        </w:tc>
      </w:tr>
      <w:tr w:rsidR="00321DC2" w:rsidRPr="006717D4" w14:paraId="76E8B3E4" w14:textId="77777777" w:rsidTr="00360B83">
        <w:trPr>
          <w:jc w:val="center"/>
        </w:trPr>
        <w:tc>
          <w:tcPr>
            <w:tcW w:w="808" w:type="dxa"/>
          </w:tcPr>
          <w:p w14:paraId="44E67A6A"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t>1990</w:t>
            </w:r>
          </w:p>
        </w:tc>
        <w:tc>
          <w:tcPr>
            <w:tcW w:w="1977" w:type="dxa"/>
          </w:tcPr>
          <w:p w14:paraId="58F305A7"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24.1</w:t>
            </w:r>
          </w:p>
        </w:tc>
        <w:tc>
          <w:tcPr>
            <w:tcW w:w="2700" w:type="dxa"/>
          </w:tcPr>
          <w:p w14:paraId="7E2CCD01"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1.00</w:t>
            </w:r>
          </w:p>
        </w:tc>
        <w:tc>
          <w:tcPr>
            <w:tcW w:w="2880" w:type="dxa"/>
          </w:tcPr>
          <w:p w14:paraId="17C18A70" w14:textId="77777777" w:rsidR="00321DC2" w:rsidRPr="006717D4" w:rsidRDefault="00321DC2" w:rsidP="00F769E2">
            <w:pPr>
              <w:spacing w:line="278" w:lineRule="auto"/>
              <w:jc w:val="center"/>
              <w:rPr>
                <w:rFonts w:ascii="Times New Roman" w:hAnsi="Times New Roman" w:cs="Times New Roman"/>
              </w:rPr>
            </w:pPr>
          </w:p>
        </w:tc>
      </w:tr>
      <w:tr w:rsidR="00321DC2" w:rsidRPr="006717D4" w14:paraId="754104D4" w14:textId="77777777" w:rsidTr="00360B83">
        <w:trPr>
          <w:jc w:val="center"/>
        </w:trPr>
        <w:tc>
          <w:tcPr>
            <w:tcW w:w="808" w:type="dxa"/>
          </w:tcPr>
          <w:p w14:paraId="584A1D6D"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t>2005</w:t>
            </w:r>
          </w:p>
        </w:tc>
        <w:tc>
          <w:tcPr>
            <w:tcW w:w="1977" w:type="dxa"/>
          </w:tcPr>
          <w:p w14:paraId="2E57B225"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24.4</w:t>
            </w:r>
          </w:p>
        </w:tc>
        <w:tc>
          <w:tcPr>
            <w:tcW w:w="2700" w:type="dxa"/>
          </w:tcPr>
          <w:p w14:paraId="7559FD38"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1.01</w:t>
            </w:r>
          </w:p>
        </w:tc>
        <w:tc>
          <w:tcPr>
            <w:tcW w:w="2880" w:type="dxa"/>
          </w:tcPr>
          <w:p w14:paraId="18544E00"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0FAF1EC1" w14:textId="77777777" w:rsidTr="00360B83">
        <w:trPr>
          <w:jc w:val="center"/>
        </w:trPr>
        <w:tc>
          <w:tcPr>
            <w:tcW w:w="808" w:type="dxa"/>
          </w:tcPr>
          <w:p w14:paraId="5A632702" w14:textId="77777777" w:rsidR="00321DC2" w:rsidRPr="006717D4" w:rsidRDefault="00321DC2" w:rsidP="00F769E2">
            <w:pPr>
              <w:spacing w:line="278" w:lineRule="auto"/>
              <w:rPr>
                <w:rFonts w:ascii="Times New Roman" w:hAnsi="Times New Roman" w:cs="Times New Roman"/>
              </w:rPr>
            </w:pPr>
            <w:r w:rsidRPr="006717D4">
              <w:rPr>
                <w:rFonts w:ascii="Times New Roman" w:hAnsi="Times New Roman" w:cs="Times New Roman"/>
              </w:rPr>
              <w:t>2020</w:t>
            </w:r>
          </w:p>
        </w:tc>
        <w:tc>
          <w:tcPr>
            <w:tcW w:w="1977" w:type="dxa"/>
          </w:tcPr>
          <w:p w14:paraId="28DC6A72"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11.7</w:t>
            </w:r>
          </w:p>
        </w:tc>
        <w:tc>
          <w:tcPr>
            <w:tcW w:w="2700" w:type="dxa"/>
          </w:tcPr>
          <w:p w14:paraId="2AEC4E6A"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0.48</w:t>
            </w:r>
          </w:p>
        </w:tc>
        <w:tc>
          <w:tcPr>
            <w:tcW w:w="2880" w:type="dxa"/>
          </w:tcPr>
          <w:p w14:paraId="4688F86C" w14:textId="77777777" w:rsidR="00321DC2" w:rsidRPr="006717D4" w:rsidRDefault="00321DC2" w:rsidP="00F769E2">
            <w:pPr>
              <w:spacing w:line="278" w:lineRule="auto"/>
              <w:jc w:val="center"/>
              <w:rPr>
                <w:rFonts w:ascii="Times New Roman" w:hAnsi="Times New Roman" w:cs="Times New Roman"/>
              </w:rPr>
            </w:pPr>
            <w:r w:rsidRPr="006717D4">
              <w:rPr>
                <w:rFonts w:ascii="Times New Roman" w:hAnsi="Times New Roman" w:cs="Times New Roman"/>
              </w:rPr>
              <w:t>0.48</w:t>
            </w:r>
          </w:p>
        </w:tc>
      </w:tr>
    </w:tbl>
    <w:p w14:paraId="4C3B8B95" w14:textId="77777777" w:rsidR="00321DC2" w:rsidRPr="006717D4" w:rsidRDefault="00321DC2" w:rsidP="00321DC2">
      <w:pPr>
        <w:rPr>
          <w:rFonts w:ascii="Times New Roman" w:hAnsi="Times New Roman" w:cs="Times New Roman"/>
          <w:bCs/>
        </w:rPr>
      </w:pPr>
    </w:p>
    <w:p w14:paraId="2366B92F"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t>Greenhouse Gas Emissions on an Intensity Basis</w:t>
      </w:r>
    </w:p>
    <w:p w14:paraId="36DB02B0" w14:textId="0F28EEFA" w:rsidR="00321DC2" w:rsidRPr="006717D4" w:rsidRDefault="00321DC2" w:rsidP="00321DC2">
      <w:pPr>
        <w:rPr>
          <w:rFonts w:ascii="Times New Roman" w:hAnsi="Times New Roman" w:cs="Times New Roman"/>
        </w:rPr>
      </w:pPr>
      <w:r w:rsidRPr="006717D4">
        <w:rPr>
          <w:rFonts w:ascii="Times New Roman" w:hAnsi="Times New Roman" w:cs="Times New Roman"/>
        </w:rPr>
        <w:t>Figure </w:t>
      </w:r>
      <w:r w:rsidR="00F769E2">
        <w:rPr>
          <w:rFonts w:ascii="Times New Roman" w:hAnsi="Times New Roman" w:cs="Times New Roman"/>
        </w:rPr>
        <w:t>S22</w:t>
      </w:r>
      <w:r w:rsidRPr="006717D4">
        <w:rPr>
          <w:rFonts w:ascii="Times New Roman" w:hAnsi="Times New Roman" w:cs="Times New Roman"/>
        </w:rPr>
        <w:t xml:space="preserve"> shows emission intensity reductions attributed to net purchased electricity over time. While the percent changes over time within EIA MECS data and AF&amp;PA data are similar, EIA MECS emission intensities are consistently higher than indicated by AF&amp;PA data. EIA MECS data likely capture more nonintegrated and recycle facilities than are represented in the AF&amp;PA data set. Nonintegrated and recycle mills almost exclusively purchase electricity to meet facility electricity demand because they generate very little on-site electricity, which may be a contributing factor to the difference in net purchased electricity between the two data sets. </w:t>
      </w:r>
    </w:p>
    <w:p w14:paraId="0B02DFC6" w14:textId="77777777" w:rsidR="00321DC2" w:rsidRPr="006717D4" w:rsidRDefault="00321DC2" w:rsidP="00321DC2">
      <w:pPr>
        <w:rPr>
          <w:rFonts w:ascii="Times New Roman" w:hAnsi="Times New Roman" w:cs="Times New Roman"/>
        </w:rPr>
      </w:pPr>
    </w:p>
    <w:p w14:paraId="084F6D80"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lastRenderedPageBreak/>
        <w:drawing>
          <wp:inline distT="0" distB="0" distL="0" distR="0" wp14:anchorId="0FDDF7CF" wp14:editId="5178892E">
            <wp:extent cx="5943600" cy="2894965"/>
            <wp:effectExtent l="0" t="0" r="0" b="635"/>
            <wp:docPr id="294281851" name="Chart 1">
              <a:extLst xmlns:a="http://schemas.openxmlformats.org/drawingml/2006/main">
                <a:ext uri="{FF2B5EF4-FFF2-40B4-BE49-F238E27FC236}">
                  <a16:creationId xmlns:a16="http://schemas.microsoft.com/office/drawing/2014/main" id="{4BD5E896-8742-4062-B7EB-D8F31685C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286E50" w14:textId="18F0530A" w:rsidR="00321DC2" w:rsidRPr="006717D4" w:rsidRDefault="00321DC2" w:rsidP="00321DC2">
      <w:pPr>
        <w:jc w:val="center"/>
        <w:rPr>
          <w:rFonts w:ascii="Times New Roman" w:hAnsi="Times New Roman" w:cs="Times New Roman"/>
        </w:rPr>
      </w:pPr>
      <w:bookmarkStart w:id="46" w:name="_Ref67554737"/>
      <w:bookmarkStart w:id="47" w:name="_Toc66713433"/>
      <w:r w:rsidRPr="006717D4">
        <w:rPr>
          <w:rFonts w:ascii="Times New Roman" w:hAnsi="Times New Roman" w:cs="Times New Roman"/>
          <w:b/>
          <w:bCs/>
        </w:rPr>
        <w:t xml:space="preserve">Figure </w:t>
      </w:r>
      <w:bookmarkEnd w:id="46"/>
      <w:r w:rsidR="00F769E2">
        <w:rPr>
          <w:rFonts w:ascii="Times New Roman" w:hAnsi="Times New Roman" w:cs="Times New Roman"/>
          <w:b/>
          <w:bCs/>
        </w:rPr>
        <w:t>S22</w:t>
      </w:r>
      <w:r w:rsidRPr="006717D4">
        <w:rPr>
          <w:rFonts w:ascii="Times New Roman" w:hAnsi="Times New Roman" w:cs="Times New Roman"/>
          <w:b/>
          <w:bCs/>
        </w:rPr>
        <w:t>.</w:t>
      </w:r>
      <w:r w:rsidRPr="006717D4">
        <w:rPr>
          <w:rFonts w:ascii="Times New Roman" w:hAnsi="Times New Roman" w:cs="Times New Roman"/>
        </w:rPr>
        <w:t xml:space="preserve"> Purchased Electricity GHG Emission Intensity Changes Over Time from AF&amp;PA Data</w:t>
      </w:r>
      <w:bookmarkEnd w:id="47"/>
      <w:r w:rsidRPr="006717D4">
        <w:rPr>
          <w:rFonts w:ascii="Times New Roman" w:hAnsi="Times New Roman" w:cs="Times New Roman"/>
        </w:rPr>
        <w:t xml:space="preserve"> and EIA MECS Data [Note: Purchased steam not included]</w:t>
      </w:r>
    </w:p>
    <w:p w14:paraId="6871C5A4" w14:textId="77777777" w:rsidR="00321DC2" w:rsidRPr="006717D4" w:rsidRDefault="00321DC2" w:rsidP="00321DC2">
      <w:pPr>
        <w:rPr>
          <w:rFonts w:ascii="Times New Roman" w:hAnsi="Times New Roman" w:cs="Times New Roman"/>
          <w:i/>
          <w:iCs/>
        </w:rPr>
      </w:pPr>
      <w:bookmarkStart w:id="48" w:name="_Toc83026387"/>
      <w:r w:rsidRPr="006717D4">
        <w:rPr>
          <w:rFonts w:ascii="Times New Roman" w:hAnsi="Times New Roman" w:cs="Times New Roman"/>
          <w:i/>
          <w:iCs/>
        </w:rPr>
        <w:t>Greening of the Electricity Grid</w:t>
      </w:r>
      <w:bookmarkEnd w:id="48"/>
    </w:p>
    <w:p w14:paraId="6FB80036" w14:textId="7AF4BFDB" w:rsidR="00321DC2" w:rsidRPr="006717D4" w:rsidRDefault="00321DC2" w:rsidP="00321DC2">
      <w:pPr>
        <w:rPr>
          <w:rFonts w:ascii="Times New Roman" w:hAnsi="Times New Roman" w:cs="Times New Roman"/>
        </w:rPr>
      </w:pPr>
      <w:r w:rsidRPr="006717D4">
        <w:rPr>
          <w:rFonts w:ascii="Times New Roman" w:hAnsi="Times New Roman" w:cs="Times New Roman"/>
        </w:rPr>
        <w:t>The GHG emission intensity associated with purchased electricity has been decreasing due to several factors, such as proliferation of state renewable portfolio standards, state and federal environmental regulations, and market forces. Since 1996, US EPA has maintained the Emissions &amp; Generation Resource Integrated Database (</w:t>
      </w:r>
      <w:proofErr w:type="spellStart"/>
      <w:r w:rsidRPr="006717D4">
        <w:rPr>
          <w:rFonts w:ascii="Times New Roman" w:hAnsi="Times New Roman" w:cs="Times New Roman"/>
        </w:rPr>
        <w:t>eGRID</w:t>
      </w:r>
      <w:proofErr w:type="spellEnd"/>
      <w:r w:rsidRPr="006717D4">
        <w:rPr>
          <w:rFonts w:ascii="Times New Roman" w:hAnsi="Times New Roman" w:cs="Times New Roman"/>
        </w:rPr>
        <w:t>), a comprehensive database on the environmental characteristics of almost all electric power generated in the US</w:t>
      </w:r>
      <w:r>
        <w:rPr>
          <w:rFonts w:ascii="Times New Roman" w:hAnsi="Times New Roman" w:cs="Times New Roman"/>
        </w:rPr>
        <w:t xml:space="preserve"> </w:t>
      </w:r>
      <w:r>
        <w:rPr>
          <w:rFonts w:ascii="Times New Roman" w:hAnsi="Times New Roman" w:cs="Times New Roman"/>
        </w:rPr>
        <w:fldChar w:fldCharType="begin"/>
      </w:r>
      <w:r w:rsidR="00AE2CDA">
        <w:rPr>
          <w:rFonts w:ascii="Times New Roman" w:hAnsi="Times New Roman" w:cs="Times New Roman"/>
        </w:rPr>
        <w:instrText xml:space="preserve"> ADDIN ZOTERO_ITEM CSL_CITATION {"citationID":"Cjl4QbsS","properties":{"formattedCitation":"\\super 13\\nosupersub{}","plainCitation":"13","noteIndex":0},"citationItems":[{"id":61,"uris":["http://zotero.org/users/18184231/items/JWYACEVL"],"itemData":{"id":61,"type":"webpage","abstract":"Data about the electric power generated in the United States. The data includes air emissions for nitrogen oxides, sulfur dioxide, carbon dioxide, methane, and nitrous oxide; emissions rates; net generation; resource mix; and and many other attributes.","genre":"Collections and Lists","language":"en","title":"Emissions &amp; Generation Resource Integrated Database (eGRID)","URL":"https://www.epa.gov/egrid","author":[{"family":"United States Environmental Protection Agency (EPA)","given":""}],"accessed":{"date-parts":[["2025",9,25]]},"issued":{"date-parts":[["2020",7,27]]}}}],"schema":"https://github.com/citation-style-language/schema/raw/master/csl-citation.json"} </w:instrText>
      </w:r>
      <w:r>
        <w:rPr>
          <w:rFonts w:ascii="Times New Roman" w:hAnsi="Times New Roman" w:cs="Times New Roman"/>
        </w:rPr>
        <w:fldChar w:fldCharType="separate"/>
      </w:r>
      <w:r w:rsidR="00AE2CDA" w:rsidRPr="00AE2CDA">
        <w:rPr>
          <w:rFonts w:ascii="Times New Roman" w:hAnsi="Times New Roman" w:cs="Times New Roman"/>
          <w:kern w:val="0"/>
          <w:vertAlign w:val="superscript"/>
        </w:rPr>
        <w:t>13</w:t>
      </w:r>
      <w:r>
        <w:rPr>
          <w:rFonts w:ascii="Times New Roman" w:hAnsi="Times New Roman" w:cs="Times New Roman"/>
        </w:rPr>
        <w:fldChar w:fldCharType="end"/>
      </w:r>
      <w:r w:rsidRPr="006717D4">
        <w:rPr>
          <w:rFonts w:ascii="Times New Roman" w:hAnsi="Times New Roman" w:cs="Times New Roman"/>
        </w:rPr>
        <w:t>. Figure </w:t>
      </w:r>
      <w:r w:rsidR="00F769E2">
        <w:rPr>
          <w:rFonts w:ascii="Times New Roman" w:hAnsi="Times New Roman" w:cs="Times New Roman"/>
        </w:rPr>
        <w:t>S23</w:t>
      </w:r>
      <w:r w:rsidRPr="006717D4">
        <w:rPr>
          <w:rFonts w:ascii="Times New Roman" w:hAnsi="Times New Roman" w:cs="Times New Roman"/>
        </w:rPr>
        <w:t xml:space="preserve"> shows the decrease in US national average purchased electricity emission factors, from </w:t>
      </w:r>
      <w:proofErr w:type="spellStart"/>
      <w:r w:rsidRPr="006717D4">
        <w:rPr>
          <w:rFonts w:ascii="Times New Roman" w:hAnsi="Times New Roman" w:cs="Times New Roman"/>
        </w:rPr>
        <w:t>eGRID</w:t>
      </w:r>
      <w:proofErr w:type="spellEnd"/>
      <w:r w:rsidRPr="006717D4">
        <w:rPr>
          <w:rFonts w:ascii="Times New Roman" w:hAnsi="Times New Roman" w:cs="Times New Roman"/>
        </w:rPr>
        <w:t xml:space="preserve"> time series information. Since 2005, there has been a 38% reduction in the national average purchased electricity GHG emission factor. </w:t>
      </w:r>
    </w:p>
    <w:p w14:paraId="00ED1D71" w14:textId="77777777" w:rsidR="00321DC2" w:rsidRPr="006717D4" w:rsidRDefault="00321DC2" w:rsidP="00F769E2">
      <w:pPr>
        <w:spacing w:after="0"/>
        <w:jc w:val="center"/>
        <w:rPr>
          <w:rFonts w:ascii="Times New Roman" w:hAnsi="Times New Roman" w:cs="Times New Roman"/>
        </w:rPr>
      </w:pPr>
      <w:r w:rsidRPr="006717D4">
        <w:rPr>
          <w:rFonts w:ascii="Times New Roman" w:hAnsi="Times New Roman" w:cs="Times New Roman"/>
          <w:noProof/>
        </w:rPr>
        <w:drawing>
          <wp:inline distT="0" distB="0" distL="0" distR="0" wp14:anchorId="18338068" wp14:editId="64943369">
            <wp:extent cx="4600575" cy="2079846"/>
            <wp:effectExtent l="0" t="0" r="9525" b="15875"/>
            <wp:docPr id="1813280770" name="Chart 1">
              <a:extLst xmlns:a="http://schemas.openxmlformats.org/drawingml/2006/main">
                <a:ext uri="{FF2B5EF4-FFF2-40B4-BE49-F238E27FC236}">
                  <a16:creationId xmlns:a16="http://schemas.microsoft.com/office/drawing/2014/main" id="{A4121F0D-174C-6273-B583-930CDCC92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8F3B6A" w14:textId="46C05437" w:rsidR="00321DC2" w:rsidRPr="006717D4" w:rsidRDefault="00321DC2" w:rsidP="00321DC2">
      <w:pPr>
        <w:jc w:val="center"/>
        <w:rPr>
          <w:rFonts w:ascii="Times New Roman" w:hAnsi="Times New Roman" w:cs="Times New Roman"/>
        </w:rPr>
      </w:pPr>
      <w:bookmarkStart w:id="49" w:name="_Ref67039931"/>
      <w:r w:rsidRPr="006717D4">
        <w:rPr>
          <w:rFonts w:ascii="Times New Roman" w:hAnsi="Times New Roman" w:cs="Times New Roman"/>
          <w:b/>
          <w:bCs/>
        </w:rPr>
        <w:t xml:space="preserve">Figure </w:t>
      </w:r>
      <w:bookmarkEnd w:id="49"/>
      <w:r w:rsidR="00F769E2">
        <w:rPr>
          <w:rFonts w:ascii="Times New Roman" w:hAnsi="Times New Roman" w:cs="Times New Roman"/>
          <w:b/>
          <w:bCs/>
        </w:rPr>
        <w:t>S23</w:t>
      </w:r>
      <w:r w:rsidRPr="006717D4">
        <w:rPr>
          <w:rFonts w:ascii="Times New Roman" w:hAnsi="Times New Roman" w:cs="Times New Roman"/>
          <w:b/>
          <w:bCs/>
        </w:rPr>
        <w:t>.</w:t>
      </w:r>
      <w:r w:rsidRPr="006717D4">
        <w:rPr>
          <w:rFonts w:ascii="Times New Roman" w:hAnsi="Times New Roman" w:cs="Times New Roman"/>
        </w:rPr>
        <w:t xml:space="preserve"> Purchased Electricity GHG Emission Factors</w:t>
      </w:r>
      <w:r>
        <w:rPr>
          <w:rFonts w:ascii="Times New Roman" w:hAnsi="Times New Roman" w:cs="Times New Roman"/>
        </w:rPr>
        <w:t xml:space="preserve"> </w:t>
      </w:r>
      <w:r>
        <w:rPr>
          <w:rFonts w:ascii="Times New Roman" w:hAnsi="Times New Roman" w:cs="Times New Roman"/>
        </w:rPr>
        <w:fldChar w:fldCharType="begin"/>
      </w:r>
      <w:r w:rsidR="00AE2CDA">
        <w:rPr>
          <w:rFonts w:ascii="Times New Roman" w:hAnsi="Times New Roman" w:cs="Times New Roman"/>
        </w:rPr>
        <w:instrText xml:space="preserve"> ADDIN ZOTERO_ITEM CSL_CITATION {"citationID":"1Ikj7Xjd","properties":{"formattedCitation":"\\super 13\\nosupersub{}","plainCitation":"13","noteIndex":0},"citationItems":[{"id":61,"uris":["http://zotero.org/users/18184231/items/JWYACEVL"],"itemData":{"id":61,"type":"webpage","abstract":"Data about the electric power generated in the United States. The data includes air emissions for nitrogen oxides, sulfur dioxide, carbon dioxide, methane, and nitrous oxide; emissions rates; net generation; resource mix; and and many other attributes.","genre":"Collections and Lists","language":"en","title":"Emissions &amp; Generation Resource Integrated Database (eGRID)","URL":"https://www.epa.gov/egrid","author":[{"family":"United States Environmental Protection Agency (EPA)","given":""}],"accessed":{"date-parts":[["2025",9,25]]},"issued":{"date-parts":[["2020",7,27]]}}}],"schema":"https://github.com/citation-style-language/schema/raw/master/csl-citation.json"} </w:instrText>
      </w:r>
      <w:r>
        <w:rPr>
          <w:rFonts w:ascii="Times New Roman" w:hAnsi="Times New Roman" w:cs="Times New Roman"/>
        </w:rPr>
        <w:fldChar w:fldCharType="separate"/>
      </w:r>
      <w:r w:rsidR="00AE2CDA" w:rsidRPr="00AE2CDA">
        <w:rPr>
          <w:rFonts w:ascii="Times New Roman" w:hAnsi="Times New Roman" w:cs="Times New Roman"/>
          <w:kern w:val="0"/>
          <w:vertAlign w:val="superscript"/>
        </w:rPr>
        <w:t>13</w:t>
      </w:r>
      <w:r>
        <w:rPr>
          <w:rFonts w:ascii="Times New Roman" w:hAnsi="Times New Roman" w:cs="Times New Roman"/>
        </w:rPr>
        <w:fldChar w:fldCharType="end"/>
      </w:r>
    </w:p>
    <w:p w14:paraId="48E7104C" w14:textId="77777777" w:rsidR="00321DC2" w:rsidRPr="006717D4" w:rsidRDefault="00321DC2" w:rsidP="00321DC2">
      <w:pPr>
        <w:rPr>
          <w:rFonts w:ascii="Times New Roman" w:hAnsi="Times New Roman" w:cs="Times New Roman"/>
        </w:rPr>
      </w:pPr>
    </w:p>
    <w:p w14:paraId="63692131" w14:textId="77777777" w:rsidR="00321DC2" w:rsidRPr="006717D4" w:rsidRDefault="00321DC2" w:rsidP="00321DC2">
      <w:pPr>
        <w:rPr>
          <w:rFonts w:ascii="Times New Roman" w:hAnsi="Times New Roman" w:cs="Times New Roman"/>
          <w:i/>
          <w:iCs/>
        </w:rPr>
      </w:pPr>
      <w:r w:rsidRPr="006717D4">
        <w:rPr>
          <w:rFonts w:ascii="Times New Roman" w:hAnsi="Times New Roman" w:cs="Times New Roman"/>
          <w:i/>
          <w:iCs/>
        </w:rPr>
        <w:lastRenderedPageBreak/>
        <w:t>Energy Intensity Improvements</w:t>
      </w:r>
    </w:p>
    <w:p w14:paraId="532B3469" w14:textId="1A1B97DF"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The overall energy intensity of the US pulp and paper sector has decreased over time as mills have implemented energy efficiency improvements and installed more energy-efficient equipment. Figure </w:t>
      </w:r>
      <w:r w:rsidR="0014022A">
        <w:rPr>
          <w:rFonts w:ascii="Times New Roman" w:hAnsi="Times New Roman" w:cs="Times New Roman"/>
        </w:rPr>
        <w:t>S9</w:t>
      </w:r>
      <w:r w:rsidRPr="006717D4">
        <w:rPr>
          <w:rFonts w:ascii="Times New Roman" w:hAnsi="Times New Roman" w:cs="Times New Roman"/>
        </w:rPr>
        <w:t xml:space="preserve"> shows total fenceline energy intensity over time divided between fossil fuels, net purchased electricity and steam, and biomass and other renewables. Fenceline energy needs from biomass have remained essentially constant, but the share of fossil fuel, net purchased electricity, and steam </w:t>
      </w:r>
      <w:proofErr w:type="gramStart"/>
      <w:r w:rsidRPr="006717D4">
        <w:rPr>
          <w:rFonts w:ascii="Times New Roman" w:hAnsi="Times New Roman" w:cs="Times New Roman"/>
        </w:rPr>
        <w:t>has</w:t>
      </w:r>
      <w:proofErr w:type="gramEnd"/>
      <w:r w:rsidRPr="006717D4">
        <w:rPr>
          <w:rFonts w:ascii="Times New Roman" w:hAnsi="Times New Roman" w:cs="Times New Roman"/>
        </w:rPr>
        <w:t xml:space="preserve"> decreased over time.</w:t>
      </w:r>
    </w:p>
    <w:p w14:paraId="3B86714B" w14:textId="77777777" w:rsidR="00321DC2" w:rsidRPr="006717D4" w:rsidRDefault="00321DC2" w:rsidP="00321DC2">
      <w:pPr>
        <w:rPr>
          <w:rFonts w:ascii="Times New Roman" w:hAnsi="Times New Roman" w:cs="Times New Roman"/>
          <w:i/>
          <w:iCs/>
        </w:rPr>
      </w:pPr>
      <w:bookmarkStart w:id="50" w:name="_Toc66712958"/>
      <w:bookmarkStart w:id="51" w:name="_Toc83026389"/>
      <w:r w:rsidRPr="006717D4">
        <w:rPr>
          <w:rFonts w:ascii="Times New Roman" w:hAnsi="Times New Roman" w:cs="Times New Roman"/>
          <w:i/>
          <w:iCs/>
        </w:rPr>
        <w:t>Production Reductions</w:t>
      </w:r>
      <w:bookmarkEnd w:id="50"/>
      <w:bookmarkEnd w:id="51"/>
    </w:p>
    <w:p w14:paraId="2FB51939" w14:textId="77777777" w:rsidR="00321DC2" w:rsidRPr="006717D4" w:rsidRDefault="00321DC2" w:rsidP="00321DC2">
      <w:pPr>
        <w:rPr>
          <w:rFonts w:ascii="Times New Roman" w:hAnsi="Times New Roman" w:cs="Times New Roman"/>
        </w:rPr>
      </w:pPr>
      <w:r w:rsidRPr="006717D4">
        <w:rPr>
          <w:rFonts w:ascii="Times New Roman" w:hAnsi="Times New Roman" w:cs="Times New Roman"/>
        </w:rPr>
        <w:t>As highlighted in the discussion of direct emissions earlier in this report, shuttered production over time in the US has tended to be associated with older, less energy-efficient facilities, and closure of these facilities has led to overall improvements in both energy intensity and GHG intensity in the industry.</w:t>
      </w:r>
    </w:p>
    <w:p w14:paraId="5195646A" w14:textId="77777777" w:rsidR="00321DC2" w:rsidRPr="00F0494D" w:rsidRDefault="00321DC2" w:rsidP="00632FC1">
      <w:pPr>
        <w:pStyle w:val="Heading2"/>
        <w:rPr>
          <w:rFonts w:ascii="Times New Roman" w:hAnsi="Times New Roman" w:cs="Times New Roman"/>
          <w:b/>
          <w:bCs/>
          <w:color w:val="auto"/>
          <w:sz w:val="24"/>
          <w:szCs w:val="24"/>
        </w:rPr>
      </w:pPr>
      <w:bookmarkStart w:id="52" w:name="_Toc165549647"/>
      <w:bookmarkStart w:id="53" w:name="_Toc174876784"/>
      <w:bookmarkStart w:id="54" w:name="_Toc215829612"/>
      <w:r w:rsidRPr="00F0494D">
        <w:rPr>
          <w:rFonts w:ascii="Times New Roman" w:hAnsi="Times New Roman" w:cs="Times New Roman"/>
          <w:b/>
          <w:bCs/>
          <w:color w:val="auto"/>
          <w:sz w:val="24"/>
          <w:szCs w:val="24"/>
        </w:rPr>
        <w:t>Wood Products Mills</w:t>
      </w:r>
      <w:bookmarkEnd w:id="52"/>
      <w:bookmarkEnd w:id="53"/>
      <w:bookmarkEnd w:id="54"/>
    </w:p>
    <w:p w14:paraId="6B3A2600" w14:textId="4E4C27EB" w:rsidR="00321DC2" w:rsidRPr="006717D4" w:rsidRDefault="00321DC2" w:rsidP="00321DC2">
      <w:pPr>
        <w:rPr>
          <w:rFonts w:ascii="Times New Roman" w:hAnsi="Times New Roman" w:cs="Times New Roman"/>
        </w:rPr>
      </w:pPr>
      <w:r w:rsidRPr="006717D4">
        <w:rPr>
          <w:rFonts w:ascii="Times New Roman" w:hAnsi="Times New Roman" w:cs="Times New Roman"/>
        </w:rPr>
        <w:t>Data on electricity purchases by wood products mills were obtained from EIA MECS</w:t>
      </w:r>
      <w:r>
        <w:rPr>
          <w:rFonts w:ascii="Times New Roman" w:hAnsi="Times New Roman" w:cs="Times New Roman"/>
        </w:rPr>
        <w:t xml:space="preserve"> </w:t>
      </w:r>
      <w:r>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{"citationID":"AHR3uHeO","properties":{"formattedCitation":"\\super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Pr>
          <w:rFonts w:ascii="Times New Roman" w:hAnsi="Times New Roman" w:cs="Times New Roman"/>
        </w:rPr>
        <w:fldChar w:fldCharType="end"/>
      </w:r>
      <w:r w:rsidRPr="006717D4">
        <w:rPr>
          <w:rFonts w:ascii="Times New Roman" w:hAnsi="Times New Roman" w:cs="Times New Roman"/>
        </w:rPr>
        <w:t>. Purchases by primary wood products producers were calculated as the sum of purchases by NAICS 321113 (sawmills), 3212 (</w:t>
      </w:r>
      <w:proofErr w:type="gramStart"/>
      <w:r w:rsidRPr="006717D4">
        <w:rPr>
          <w:rFonts w:ascii="Times New Roman" w:hAnsi="Times New Roman" w:cs="Times New Roman"/>
        </w:rPr>
        <w:t>veneer</w:t>
      </w:r>
      <w:proofErr w:type="gramEnd"/>
      <w:r w:rsidRPr="006717D4">
        <w:rPr>
          <w:rFonts w:ascii="Times New Roman" w:hAnsi="Times New Roman" w:cs="Times New Roman"/>
        </w:rPr>
        <w:t xml:space="preserve">, plywood, and engineered wood products), and 3219 (other wood products). Emission factors for purchased electricity were the same as those used for the pulp and paper sector. Purchased steam was not included because wood products </w:t>
      </w:r>
      <w:proofErr w:type="gramStart"/>
      <w:r w:rsidRPr="006717D4">
        <w:rPr>
          <w:rFonts w:ascii="Times New Roman" w:hAnsi="Times New Roman" w:cs="Times New Roman"/>
        </w:rPr>
        <w:t>mills</w:t>
      </w:r>
      <w:proofErr w:type="gramEnd"/>
      <w:r w:rsidRPr="006717D4">
        <w:rPr>
          <w:rFonts w:ascii="Times New Roman" w:hAnsi="Times New Roman" w:cs="Times New Roman"/>
        </w:rPr>
        <w:t xml:space="preserve"> seldom purchase steam and </w:t>
      </w:r>
      <w:r>
        <w:rPr>
          <w:rFonts w:ascii="Times New Roman" w:hAnsi="Times New Roman" w:cs="Times New Roman"/>
        </w:rPr>
        <w:t>because</w:t>
      </w:r>
      <w:r w:rsidRPr="006717D4">
        <w:rPr>
          <w:rFonts w:ascii="Times New Roman" w:hAnsi="Times New Roman" w:cs="Times New Roman"/>
        </w:rPr>
        <w:t xml:space="preserve"> EIA MECS does not provide data for purchased steam. The changeover to NAICS codes in 1997 makes it difficult to interpret wood products subsector data for these years, so only the sector totals are used. These totals may include some converting operations. As a result, there is no residual (i.e., the difference between the sector total and the sum of subsectors) to assign to converting for 1991 and 1994. For these years, converting emissions are included with primary wood products manufacturing emissions.</w:t>
      </w:r>
    </w:p>
    <w:p w14:paraId="30D0B2A1" w14:textId="2543870B" w:rsidR="00321DC2" w:rsidRPr="006717D4" w:rsidRDefault="00321DC2" w:rsidP="00321DC2">
      <w:pPr>
        <w:rPr>
          <w:rFonts w:ascii="Times New Roman" w:hAnsi="Times New Roman" w:cs="Times New Roman"/>
        </w:rPr>
      </w:pPr>
      <w:r w:rsidRPr="006717D4">
        <w:rPr>
          <w:rFonts w:ascii="Times New Roman" w:hAnsi="Times New Roman" w:cs="Times New Roman"/>
        </w:rPr>
        <w:t>The results, shown in Figure</w:t>
      </w:r>
      <w:r>
        <w:rPr>
          <w:rFonts w:ascii="Times New Roman" w:hAnsi="Times New Roman" w:cs="Times New Roman"/>
        </w:rPr>
        <w:t xml:space="preserve"> </w:t>
      </w:r>
      <w:r w:rsidR="0014022A">
        <w:rPr>
          <w:rFonts w:ascii="Times New Roman" w:hAnsi="Times New Roman" w:cs="Times New Roman"/>
        </w:rPr>
        <w:t>S24</w:t>
      </w:r>
      <w:r w:rsidRPr="006717D4">
        <w:rPr>
          <w:rFonts w:ascii="Times New Roman" w:hAnsi="Times New Roman" w:cs="Times New Roman"/>
        </w:rPr>
        <w:t xml:space="preserve"> with the sector’s production data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{"citationID":"LXbreaqS","properties":{"formattedCitation":"\\super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Pr>
          <w:rFonts w:ascii="Times New Roman" w:hAnsi="Times New Roman" w:cs="Times New Roman"/>
        </w:rPr>
        <w:fldChar w:fldCharType="end"/>
      </w:r>
      <w:r w:rsidRPr="006717D4">
        <w:rPr>
          <w:rFonts w:ascii="Times New Roman" w:hAnsi="Times New Roman" w:cs="Times New Roman"/>
        </w:rPr>
        <w:t xml:space="preserve">, indicate that until approximately 2014 purchased electricity-related emissions were closely related to production. From 2014 forward, however, the effects of reductions in the GHG intensity of the grid (shown in Figure </w:t>
      </w:r>
      <w:r w:rsidR="0014022A">
        <w:rPr>
          <w:rFonts w:ascii="Times New Roman" w:hAnsi="Times New Roman" w:cs="Times New Roman"/>
        </w:rPr>
        <w:t>S23</w:t>
      </w:r>
      <w:r w:rsidRPr="006717D4">
        <w:rPr>
          <w:rFonts w:ascii="Times New Roman" w:hAnsi="Times New Roman" w:cs="Times New Roman"/>
        </w:rPr>
        <w:t xml:space="preserve">) far outweighed the effects of increased production, resulting in significant reductions in emissions even while production was increasing. The emissions and reduction </w:t>
      </w:r>
      <w:proofErr w:type="gramStart"/>
      <w:r w:rsidRPr="006717D4">
        <w:rPr>
          <w:rFonts w:ascii="Times New Roman" w:hAnsi="Times New Roman" w:cs="Times New Roman"/>
        </w:rPr>
        <w:t>estimates</w:t>
      </w:r>
      <w:proofErr w:type="gramEnd"/>
      <w:r w:rsidRPr="006717D4">
        <w:rPr>
          <w:rFonts w:ascii="Times New Roman" w:hAnsi="Times New Roman" w:cs="Times New Roman"/>
        </w:rPr>
        <w:t xml:space="preserve"> for 1990 (based on EIA MECS 1991 data), 2005 (based on EIA MECS 2006 data), and 2020 (based on EIA MECS 2018 data) are shown in Table </w:t>
      </w:r>
      <w:r w:rsidR="0014022A">
        <w:rPr>
          <w:rFonts w:ascii="Times New Roman" w:hAnsi="Times New Roman" w:cs="Times New Roman"/>
        </w:rPr>
        <w:t>S16</w:t>
      </w:r>
      <w:r w:rsidRPr="006717D4">
        <w:rPr>
          <w:rFonts w:ascii="Times New Roman" w:hAnsi="Times New Roman" w:cs="Times New Roman"/>
        </w:rPr>
        <w:t xml:space="preserve">. Emissions associated with gross purchased electricity in 2020 were 43% lower than in 2005 and 27% lower than in 1990. Reductions in emissions associated with net electricity, shown in Table </w:t>
      </w:r>
      <w:r w:rsidR="0014022A">
        <w:rPr>
          <w:rFonts w:ascii="Times New Roman" w:hAnsi="Times New Roman" w:cs="Times New Roman"/>
        </w:rPr>
        <w:t>S17</w:t>
      </w:r>
      <w:r w:rsidRPr="006717D4">
        <w:rPr>
          <w:rFonts w:ascii="Times New Roman" w:hAnsi="Times New Roman" w:cs="Times New Roman"/>
        </w:rPr>
        <w:t>, are similar.</w:t>
      </w:r>
    </w:p>
    <w:p w14:paraId="5161A23B" w14:textId="77777777" w:rsidR="00321DC2" w:rsidRPr="006717D4" w:rsidRDefault="00321DC2" w:rsidP="00321DC2">
      <w:pPr>
        <w:rPr>
          <w:rFonts w:ascii="Times New Roman" w:hAnsi="Times New Roman" w:cs="Times New Roman"/>
        </w:rPr>
      </w:pPr>
    </w:p>
    <w:p w14:paraId="29997FCF" w14:textId="77777777" w:rsidR="00321DC2" w:rsidRPr="006717D4" w:rsidRDefault="00321DC2" w:rsidP="00321DC2">
      <w:pPr>
        <w:jc w:val="right"/>
        <w:rPr>
          <w:rFonts w:ascii="Times New Roman" w:hAnsi="Times New Roman" w:cs="Times New Roman"/>
        </w:rPr>
      </w:pPr>
      <w:r w:rsidRPr="006717D4">
        <w:rPr>
          <w:rFonts w:ascii="Times New Roman" w:hAnsi="Times New Roman" w:cs="Times New Roman"/>
          <w:noProof/>
        </w:rPr>
        <w:lastRenderedPageBreak/>
        <w:drawing>
          <wp:inline distT="0" distB="0" distL="0" distR="0" wp14:anchorId="2E0B902D" wp14:editId="0CA6CCD7">
            <wp:extent cx="5335361" cy="3009220"/>
            <wp:effectExtent l="0" t="0" r="17780" b="1270"/>
            <wp:docPr id="655663662" name="Chart 1">
              <a:extLst xmlns:a="http://schemas.openxmlformats.org/drawingml/2006/main">
                <a:ext uri="{FF2B5EF4-FFF2-40B4-BE49-F238E27FC236}">
                  <a16:creationId xmlns:a16="http://schemas.microsoft.com/office/drawing/2014/main" id="{0D3B4487-6E57-E6FC-04FC-A4BDD9AC2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C901E4" w14:textId="27B91A46" w:rsidR="00321DC2"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14022A">
        <w:rPr>
          <w:rFonts w:ascii="Times New Roman" w:hAnsi="Times New Roman" w:cs="Times New Roman"/>
          <w:b/>
          <w:bCs/>
        </w:rPr>
        <w:t>S24</w:t>
      </w:r>
      <w:r w:rsidRPr="006717D4">
        <w:rPr>
          <w:rFonts w:ascii="Times New Roman" w:hAnsi="Times New Roman" w:cs="Times New Roman"/>
          <w:b/>
          <w:bCs/>
        </w:rPr>
        <w:t>.</w:t>
      </w:r>
      <w:r w:rsidRPr="006717D4">
        <w:rPr>
          <w:rFonts w:ascii="Times New Roman" w:hAnsi="Times New Roman" w:cs="Times New Roman"/>
        </w:rPr>
        <w:t xml:space="preserve"> Wood Products Production and Purchased Electricity-Related Emissions</w:t>
      </w:r>
    </w:p>
    <w:p w14:paraId="3A5A4B90" w14:textId="77777777" w:rsidR="00321DC2" w:rsidRDefault="00321DC2" w:rsidP="00321DC2">
      <w:pPr>
        <w:jc w:val="center"/>
        <w:rPr>
          <w:rFonts w:ascii="Times New Roman" w:hAnsi="Times New Roman" w:cs="Times New Roman"/>
        </w:rPr>
      </w:pPr>
    </w:p>
    <w:p w14:paraId="1AC0C9F0" w14:textId="6D91E562"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Table </w:t>
      </w:r>
      <w:r w:rsidR="0014022A">
        <w:rPr>
          <w:rFonts w:ascii="Times New Roman" w:hAnsi="Times New Roman" w:cs="Times New Roman"/>
          <w:b/>
          <w:bCs/>
        </w:rPr>
        <w:t>S16</w:t>
      </w:r>
      <w:r w:rsidRPr="006717D4">
        <w:rPr>
          <w:rFonts w:ascii="Times New Roman" w:hAnsi="Times New Roman" w:cs="Times New Roman"/>
          <w:b/>
          <w:bCs/>
        </w:rPr>
        <w:t>.</w:t>
      </w:r>
      <w:r w:rsidRPr="006717D4">
        <w:rPr>
          <w:rFonts w:ascii="Times New Roman" w:hAnsi="Times New Roman" w:cs="Times New Roman"/>
        </w:rPr>
        <w:t xml:space="preserve"> Emissions Associated with Gross Electricity Purchases by the US Wood Products Sector (</w:t>
      </w:r>
      <w:bookmarkStart w:id="55" w:name="_Hlk139464362"/>
      <w:r w:rsidRPr="006717D4">
        <w:rPr>
          <w:rFonts w:ascii="Times New Roman" w:hAnsi="Times New Roman" w:cs="Times New Roman"/>
        </w:rPr>
        <w:t>NAICS 321113, 3212, and 3219</w:t>
      </w:r>
      <w:bookmarkEnd w:id="55"/>
      <w:r w:rsidRPr="006717D4">
        <w:rPr>
          <w:rFonts w:ascii="Times New Roman" w:hAnsi="Times New Roman" w:cs="Times New Roman"/>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00"/>
        <w:gridCol w:w="2250"/>
        <w:gridCol w:w="2250"/>
        <w:gridCol w:w="1800"/>
      </w:tblGrid>
      <w:tr w:rsidR="00321DC2" w:rsidRPr="006717D4" w14:paraId="042338AA" w14:textId="77777777" w:rsidTr="00360B83">
        <w:trPr>
          <w:trHeight w:val="292"/>
        </w:trPr>
        <w:tc>
          <w:tcPr>
            <w:tcW w:w="2700" w:type="dxa"/>
            <w:shd w:val="clear" w:color="auto" w:fill="D9D9D9" w:themeFill="background1" w:themeFillShade="D9"/>
            <w:noWrap/>
            <w:hideMark/>
          </w:tcPr>
          <w:p w14:paraId="710FCBD5"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Year</w:t>
            </w:r>
          </w:p>
        </w:tc>
        <w:tc>
          <w:tcPr>
            <w:tcW w:w="2250" w:type="dxa"/>
            <w:shd w:val="clear" w:color="auto" w:fill="D9D9D9" w:themeFill="background1" w:themeFillShade="D9"/>
            <w:noWrap/>
            <w:hideMark/>
          </w:tcPr>
          <w:p w14:paraId="060BADCF"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 per Year</w:t>
            </w:r>
          </w:p>
        </w:tc>
        <w:tc>
          <w:tcPr>
            <w:tcW w:w="2250" w:type="dxa"/>
            <w:shd w:val="clear" w:color="auto" w:fill="D9D9D9" w:themeFill="background1" w:themeFillShade="D9"/>
            <w:noWrap/>
            <w:hideMark/>
          </w:tcPr>
          <w:p w14:paraId="09178265" w14:textId="77777777" w:rsidR="00321DC2" w:rsidRDefault="00321DC2" w:rsidP="00360B83">
            <w:pPr>
              <w:jc w:val="center"/>
              <w:rPr>
                <w:rFonts w:ascii="Times New Roman" w:hAnsi="Times New Roman" w:cs="Times New Roman"/>
              </w:rPr>
            </w:pPr>
            <w:r w:rsidRPr="006717D4">
              <w:rPr>
                <w:rFonts w:ascii="Times New Roman" w:hAnsi="Times New Roman" w:cs="Times New Roman"/>
              </w:rPr>
              <w:t>Fraction of 1990</w:t>
            </w:r>
          </w:p>
          <w:p w14:paraId="65F205E6"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(MECS 1991)</w:t>
            </w:r>
          </w:p>
        </w:tc>
        <w:tc>
          <w:tcPr>
            <w:tcW w:w="1800" w:type="dxa"/>
            <w:shd w:val="clear" w:color="auto" w:fill="D9D9D9" w:themeFill="background1" w:themeFillShade="D9"/>
            <w:noWrap/>
            <w:hideMark/>
          </w:tcPr>
          <w:p w14:paraId="10D94504"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Fraction of 2005</w:t>
            </w:r>
          </w:p>
          <w:p w14:paraId="7A39529D"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(MECS 2006)</w:t>
            </w:r>
          </w:p>
        </w:tc>
      </w:tr>
      <w:tr w:rsidR="00321DC2" w:rsidRPr="006717D4" w14:paraId="19C81489" w14:textId="77777777" w:rsidTr="00360B83">
        <w:trPr>
          <w:trHeight w:val="292"/>
        </w:trPr>
        <w:tc>
          <w:tcPr>
            <w:tcW w:w="2700" w:type="dxa"/>
            <w:noWrap/>
            <w:hideMark/>
          </w:tcPr>
          <w:p w14:paraId="56418D53"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1990 (EIA MECS 1991)</w:t>
            </w:r>
          </w:p>
        </w:tc>
        <w:tc>
          <w:tcPr>
            <w:tcW w:w="2250" w:type="dxa"/>
            <w:noWrap/>
            <w:hideMark/>
          </w:tcPr>
          <w:p w14:paraId="2BD79281"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12.6</w:t>
            </w:r>
          </w:p>
        </w:tc>
        <w:tc>
          <w:tcPr>
            <w:tcW w:w="2250" w:type="dxa"/>
            <w:noWrap/>
            <w:hideMark/>
          </w:tcPr>
          <w:p w14:paraId="081C212E"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c>
          <w:tcPr>
            <w:tcW w:w="1800" w:type="dxa"/>
            <w:noWrap/>
            <w:hideMark/>
          </w:tcPr>
          <w:p w14:paraId="3A318BAC" w14:textId="77777777" w:rsidR="00321DC2" w:rsidRPr="006717D4" w:rsidRDefault="00321DC2" w:rsidP="00360B83">
            <w:pPr>
              <w:spacing w:after="160" w:line="278" w:lineRule="auto"/>
              <w:jc w:val="center"/>
              <w:rPr>
                <w:rFonts w:ascii="Times New Roman" w:hAnsi="Times New Roman" w:cs="Times New Roman"/>
              </w:rPr>
            </w:pPr>
          </w:p>
        </w:tc>
      </w:tr>
      <w:tr w:rsidR="00321DC2" w:rsidRPr="006717D4" w14:paraId="56864651" w14:textId="77777777" w:rsidTr="00360B83">
        <w:trPr>
          <w:trHeight w:val="292"/>
        </w:trPr>
        <w:tc>
          <w:tcPr>
            <w:tcW w:w="2700" w:type="dxa"/>
            <w:noWrap/>
            <w:hideMark/>
          </w:tcPr>
          <w:p w14:paraId="2BC89773"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2005 (EIA MECS 2006)</w:t>
            </w:r>
          </w:p>
        </w:tc>
        <w:tc>
          <w:tcPr>
            <w:tcW w:w="2250" w:type="dxa"/>
            <w:noWrap/>
            <w:hideMark/>
          </w:tcPr>
          <w:p w14:paraId="4966DBC9"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16.2</w:t>
            </w:r>
          </w:p>
        </w:tc>
        <w:tc>
          <w:tcPr>
            <w:tcW w:w="2250" w:type="dxa"/>
            <w:noWrap/>
            <w:hideMark/>
          </w:tcPr>
          <w:p w14:paraId="0A0A9307"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1.28</w:t>
            </w:r>
          </w:p>
        </w:tc>
        <w:tc>
          <w:tcPr>
            <w:tcW w:w="1800" w:type="dxa"/>
            <w:noWrap/>
            <w:hideMark/>
          </w:tcPr>
          <w:p w14:paraId="52B72153"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46DCBBDE" w14:textId="77777777" w:rsidTr="00360B83">
        <w:trPr>
          <w:trHeight w:val="292"/>
        </w:trPr>
        <w:tc>
          <w:tcPr>
            <w:tcW w:w="2700" w:type="dxa"/>
            <w:noWrap/>
            <w:hideMark/>
          </w:tcPr>
          <w:p w14:paraId="7844711B"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2020 (EIA MECS 2018)</w:t>
            </w:r>
          </w:p>
        </w:tc>
        <w:tc>
          <w:tcPr>
            <w:tcW w:w="2250" w:type="dxa"/>
            <w:noWrap/>
            <w:hideMark/>
          </w:tcPr>
          <w:p w14:paraId="74B41749"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9.2</w:t>
            </w:r>
          </w:p>
        </w:tc>
        <w:tc>
          <w:tcPr>
            <w:tcW w:w="2250" w:type="dxa"/>
            <w:noWrap/>
            <w:hideMark/>
          </w:tcPr>
          <w:p w14:paraId="3BEE3CBD"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0.73</w:t>
            </w:r>
          </w:p>
        </w:tc>
        <w:tc>
          <w:tcPr>
            <w:tcW w:w="1800" w:type="dxa"/>
            <w:noWrap/>
            <w:hideMark/>
          </w:tcPr>
          <w:p w14:paraId="3D9CE3D2"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0.57</w:t>
            </w:r>
          </w:p>
        </w:tc>
      </w:tr>
    </w:tbl>
    <w:p w14:paraId="1D1FFF8E" w14:textId="77777777" w:rsidR="00321DC2" w:rsidRPr="006717D4" w:rsidRDefault="00321DC2" w:rsidP="00321DC2">
      <w:pPr>
        <w:rPr>
          <w:rFonts w:ascii="Times New Roman" w:hAnsi="Times New Roman" w:cs="Times New Roman"/>
        </w:rPr>
      </w:pPr>
    </w:p>
    <w:p w14:paraId="6F9B9E22" w14:textId="6337DCDA"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Table </w:t>
      </w:r>
      <w:r w:rsidR="0014022A">
        <w:rPr>
          <w:rFonts w:ascii="Times New Roman" w:hAnsi="Times New Roman" w:cs="Times New Roman"/>
          <w:b/>
          <w:bCs/>
        </w:rPr>
        <w:t>S17</w:t>
      </w:r>
      <w:r w:rsidRPr="006717D4">
        <w:rPr>
          <w:rFonts w:ascii="Times New Roman" w:hAnsi="Times New Roman" w:cs="Times New Roman"/>
          <w:b/>
          <w:bCs/>
        </w:rPr>
        <w:t>.</w:t>
      </w:r>
      <w:r w:rsidRPr="006717D4">
        <w:rPr>
          <w:rFonts w:ascii="Times New Roman" w:hAnsi="Times New Roman" w:cs="Times New Roman"/>
        </w:rPr>
        <w:t xml:space="preserve"> Emissions Associated with Net Electricity Consumption by the US Wood Products Sector (NAICS 321113, 3212, and 3219)</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85"/>
        <w:gridCol w:w="2345"/>
        <w:gridCol w:w="2245"/>
        <w:gridCol w:w="1705"/>
      </w:tblGrid>
      <w:tr w:rsidR="00321DC2" w:rsidRPr="006717D4" w14:paraId="32F1048D" w14:textId="77777777" w:rsidTr="00360B83">
        <w:trPr>
          <w:trHeight w:val="292"/>
        </w:trPr>
        <w:tc>
          <w:tcPr>
            <w:tcW w:w="2785" w:type="dxa"/>
            <w:shd w:val="clear" w:color="auto" w:fill="D9D9D9" w:themeFill="background1" w:themeFillShade="D9"/>
            <w:noWrap/>
            <w:hideMark/>
          </w:tcPr>
          <w:p w14:paraId="400E7D5B" w14:textId="77777777" w:rsidR="00321DC2" w:rsidRPr="006717D4" w:rsidRDefault="00321DC2" w:rsidP="00360B83">
            <w:pPr>
              <w:spacing w:line="278" w:lineRule="auto"/>
              <w:rPr>
                <w:rFonts w:ascii="Times New Roman" w:hAnsi="Times New Roman" w:cs="Times New Roman"/>
              </w:rPr>
            </w:pPr>
            <w:r w:rsidRPr="006717D4">
              <w:rPr>
                <w:rFonts w:ascii="Times New Roman" w:hAnsi="Times New Roman" w:cs="Times New Roman"/>
              </w:rPr>
              <w:t>Year</w:t>
            </w:r>
          </w:p>
        </w:tc>
        <w:tc>
          <w:tcPr>
            <w:tcW w:w="2345" w:type="dxa"/>
            <w:shd w:val="clear" w:color="auto" w:fill="D9D9D9" w:themeFill="background1" w:themeFillShade="D9"/>
            <w:noWrap/>
            <w:hideMark/>
          </w:tcPr>
          <w:p w14:paraId="06EBE168"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 per Year</w:t>
            </w:r>
          </w:p>
        </w:tc>
        <w:tc>
          <w:tcPr>
            <w:tcW w:w="2245" w:type="dxa"/>
            <w:shd w:val="clear" w:color="auto" w:fill="D9D9D9" w:themeFill="background1" w:themeFillShade="D9"/>
            <w:noWrap/>
            <w:hideMark/>
          </w:tcPr>
          <w:p w14:paraId="223301FD"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Fraction of 1990</w:t>
            </w:r>
          </w:p>
          <w:p w14:paraId="19E00B06"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(MECS 1991)</w:t>
            </w:r>
          </w:p>
        </w:tc>
        <w:tc>
          <w:tcPr>
            <w:tcW w:w="1705" w:type="dxa"/>
            <w:shd w:val="clear" w:color="auto" w:fill="D9D9D9" w:themeFill="background1" w:themeFillShade="D9"/>
            <w:noWrap/>
            <w:hideMark/>
          </w:tcPr>
          <w:p w14:paraId="43139CED"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Fraction of 2005</w:t>
            </w:r>
          </w:p>
          <w:p w14:paraId="62780F54"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(MECS 2006)</w:t>
            </w:r>
          </w:p>
        </w:tc>
      </w:tr>
      <w:tr w:rsidR="00321DC2" w:rsidRPr="006717D4" w14:paraId="59250BCE" w14:textId="77777777" w:rsidTr="00360B83">
        <w:trPr>
          <w:trHeight w:val="292"/>
        </w:trPr>
        <w:tc>
          <w:tcPr>
            <w:tcW w:w="2785" w:type="dxa"/>
            <w:noWrap/>
            <w:hideMark/>
          </w:tcPr>
          <w:p w14:paraId="63485270"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1990 (EIA MECS 1991)</w:t>
            </w:r>
          </w:p>
        </w:tc>
        <w:tc>
          <w:tcPr>
            <w:tcW w:w="2345" w:type="dxa"/>
            <w:noWrap/>
          </w:tcPr>
          <w:p w14:paraId="688F7BE2"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11.8</w:t>
            </w:r>
          </w:p>
        </w:tc>
        <w:tc>
          <w:tcPr>
            <w:tcW w:w="2245" w:type="dxa"/>
            <w:noWrap/>
          </w:tcPr>
          <w:p w14:paraId="63908E33"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c>
          <w:tcPr>
            <w:tcW w:w="1705" w:type="dxa"/>
            <w:noWrap/>
          </w:tcPr>
          <w:p w14:paraId="3BAC3975" w14:textId="77777777" w:rsidR="00321DC2" w:rsidRPr="006717D4" w:rsidRDefault="00321DC2" w:rsidP="00360B83">
            <w:pPr>
              <w:spacing w:after="160" w:line="278" w:lineRule="auto"/>
              <w:jc w:val="center"/>
              <w:rPr>
                <w:rFonts w:ascii="Times New Roman" w:hAnsi="Times New Roman" w:cs="Times New Roman"/>
              </w:rPr>
            </w:pPr>
          </w:p>
        </w:tc>
      </w:tr>
      <w:tr w:rsidR="00321DC2" w:rsidRPr="006717D4" w14:paraId="386972DA" w14:textId="77777777" w:rsidTr="00360B83">
        <w:trPr>
          <w:trHeight w:val="292"/>
        </w:trPr>
        <w:tc>
          <w:tcPr>
            <w:tcW w:w="2785" w:type="dxa"/>
            <w:noWrap/>
            <w:hideMark/>
          </w:tcPr>
          <w:p w14:paraId="7D42B08E"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2005 (EIA MECS 2006)</w:t>
            </w:r>
          </w:p>
        </w:tc>
        <w:tc>
          <w:tcPr>
            <w:tcW w:w="2345" w:type="dxa"/>
            <w:noWrap/>
          </w:tcPr>
          <w:p w14:paraId="027C25CF"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15.8</w:t>
            </w:r>
          </w:p>
        </w:tc>
        <w:tc>
          <w:tcPr>
            <w:tcW w:w="2245" w:type="dxa"/>
            <w:noWrap/>
          </w:tcPr>
          <w:p w14:paraId="6FC3312A"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1.34</w:t>
            </w:r>
          </w:p>
        </w:tc>
        <w:tc>
          <w:tcPr>
            <w:tcW w:w="1705" w:type="dxa"/>
            <w:noWrap/>
          </w:tcPr>
          <w:p w14:paraId="2E421697"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377CC6D5" w14:textId="77777777" w:rsidTr="00360B83">
        <w:trPr>
          <w:trHeight w:val="292"/>
        </w:trPr>
        <w:tc>
          <w:tcPr>
            <w:tcW w:w="2785" w:type="dxa"/>
            <w:noWrap/>
            <w:hideMark/>
          </w:tcPr>
          <w:p w14:paraId="4067E06C"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2020 (EIA MECS 2018)</w:t>
            </w:r>
          </w:p>
        </w:tc>
        <w:tc>
          <w:tcPr>
            <w:tcW w:w="2345" w:type="dxa"/>
            <w:noWrap/>
          </w:tcPr>
          <w:p w14:paraId="6C197728"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8.9</w:t>
            </w:r>
          </w:p>
        </w:tc>
        <w:tc>
          <w:tcPr>
            <w:tcW w:w="2245" w:type="dxa"/>
            <w:noWrap/>
          </w:tcPr>
          <w:p w14:paraId="27FD3743"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0.76</w:t>
            </w:r>
          </w:p>
        </w:tc>
        <w:tc>
          <w:tcPr>
            <w:tcW w:w="1705" w:type="dxa"/>
            <w:noWrap/>
          </w:tcPr>
          <w:p w14:paraId="383DD763"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0.56</w:t>
            </w:r>
          </w:p>
        </w:tc>
      </w:tr>
    </w:tbl>
    <w:p w14:paraId="48E4B95D" w14:textId="77777777" w:rsidR="00321DC2" w:rsidRPr="006717D4" w:rsidRDefault="00321DC2" w:rsidP="00321DC2">
      <w:pPr>
        <w:rPr>
          <w:rFonts w:ascii="Times New Roman" w:hAnsi="Times New Roman" w:cs="Times New Roman"/>
        </w:rPr>
      </w:pPr>
    </w:p>
    <w:p w14:paraId="09A7F26A" w14:textId="77777777" w:rsidR="00321DC2" w:rsidRPr="00F0494D" w:rsidRDefault="00321DC2" w:rsidP="00632FC1">
      <w:pPr>
        <w:pStyle w:val="Heading2"/>
        <w:rPr>
          <w:rFonts w:ascii="Times New Roman" w:hAnsi="Times New Roman" w:cs="Times New Roman"/>
          <w:b/>
          <w:bCs/>
          <w:color w:val="auto"/>
          <w:sz w:val="24"/>
          <w:szCs w:val="24"/>
        </w:rPr>
      </w:pPr>
      <w:bookmarkStart w:id="56" w:name="_Toc165549648"/>
      <w:bookmarkStart w:id="57" w:name="_Toc174876785"/>
      <w:bookmarkStart w:id="58" w:name="_Toc215829613"/>
      <w:r w:rsidRPr="00F0494D">
        <w:rPr>
          <w:rFonts w:ascii="Times New Roman" w:hAnsi="Times New Roman" w:cs="Times New Roman"/>
          <w:b/>
          <w:bCs/>
          <w:color w:val="auto"/>
          <w:sz w:val="24"/>
          <w:szCs w:val="24"/>
        </w:rPr>
        <w:t>Converting Operations</w:t>
      </w:r>
      <w:bookmarkEnd w:id="56"/>
      <w:bookmarkEnd w:id="57"/>
      <w:bookmarkEnd w:id="58"/>
    </w:p>
    <w:p w14:paraId="0B0B86E1" w14:textId="77777777"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Scope 2 emissions for converting operations were estimated </w:t>
      </w:r>
      <w:proofErr w:type="gramStart"/>
      <w:r w:rsidRPr="006717D4">
        <w:rPr>
          <w:rFonts w:ascii="Times New Roman" w:hAnsi="Times New Roman" w:cs="Times New Roman"/>
        </w:rPr>
        <w:t>using</w:t>
      </w:r>
      <w:proofErr w:type="gramEnd"/>
      <w:r w:rsidRPr="006717D4">
        <w:rPr>
          <w:rFonts w:ascii="Times New Roman" w:hAnsi="Times New Roman" w:cs="Times New Roman"/>
        </w:rPr>
        <w:t xml:space="preserve"> essentially the same approach as used for direct fuel combustion-related emissions (described previously). It is assumed that for converting operations, gross and net electricity purchases are equal; therefore, results are shown for gross purchases only. </w:t>
      </w:r>
    </w:p>
    <w:p w14:paraId="54422C52" w14:textId="02DA610D"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The components of paper and paperboard converting emissions associated with gross purchased electricity are shown in Figure </w:t>
      </w:r>
      <w:r w:rsidR="0014022A">
        <w:rPr>
          <w:rFonts w:ascii="Times New Roman" w:hAnsi="Times New Roman" w:cs="Times New Roman"/>
        </w:rPr>
        <w:t>S</w:t>
      </w:r>
      <w:r w:rsidRPr="006717D4">
        <w:rPr>
          <w:rFonts w:ascii="Times New Roman" w:hAnsi="Times New Roman" w:cs="Times New Roman"/>
        </w:rPr>
        <w:t>2</w:t>
      </w:r>
      <w:r w:rsidR="00843D6D">
        <w:rPr>
          <w:rFonts w:ascii="Times New Roman" w:hAnsi="Times New Roman" w:cs="Times New Roman"/>
        </w:rPr>
        <w:t>5</w:t>
      </w:r>
      <w:r w:rsidRPr="006717D4">
        <w:rPr>
          <w:rFonts w:ascii="Times New Roman" w:hAnsi="Times New Roman" w:cs="Times New Roman"/>
        </w:rPr>
        <w:t xml:space="preserve"> and the estimates for 1990 (EIA MECS 1991), 2005 (EIA MECS 2006), and 2020 (EIA MECS 2018) are shown in Table </w:t>
      </w:r>
      <w:r w:rsidR="0014022A">
        <w:rPr>
          <w:rFonts w:ascii="Times New Roman" w:hAnsi="Times New Roman" w:cs="Times New Roman"/>
        </w:rPr>
        <w:t>S18</w:t>
      </w:r>
      <w:r w:rsidRPr="006717D4">
        <w:rPr>
          <w:rFonts w:ascii="Times New Roman" w:hAnsi="Times New Roman" w:cs="Times New Roman"/>
        </w:rPr>
        <w:t xml:space="preserve">. In 2020, these emissions were approximately 45% lower than in 1990 and 2005. </w:t>
      </w:r>
    </w:p>
    <w:p w14:paraId="09AB23AE"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760D1A4F" wp14:editId="6FB75077">
            <wp:extent cx="4567555" cy="2589581"/>
            <wp:effectExtent l="0" t="0" r="4445" b="1270"/>
            <wp:docPr id="1387639907" name="Chart 1">
              <a:extLst xmlns:a="http://schemas.openxmlformats.org/drawingml/2006/main">
                <a:ext uri="{FF2B5EF4-FFF2-40B4-BE49-F238E27FC236}">
                  <a16:creationId xmlns:a16="http://schemas.microsoft.com/office/drawing/2014/main" id="{8EB9B1C0-C32A-C770-19AB-0573CCBFF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846E2E" w14:textId="70C4FCB8"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14022A">
        <w:rPr>
          <w:rFonts w:ascii="Times New Roman" w:hAnsi="Times New Roman" w:cs="Times New Roman"/>
          <w:b/>
          <w:bCs/>
        </w:rPr>
        <w:t>S</w:t>
      </w:r>
      <w:r w:rsidRPr="006717D4">
        <w:rPr>
          <w:rFonts w:ascii="Times New Roman" w:hAnsi="Times New Roman" w:cs="Times New Roman"/>
          <w:b/>
          <w:bCs/>
        </w:rPr>
        <w:t>2</w:t>
      </w:r>
      <w:r w:rsidR="00843D6D">
        <w:rPr>
          <w:rFonts w:ascii="Times New Roman" w:hAnsi="Times New Roman" w:cs="Times New Roman"/>
          <w:b/>
          <w:bCs/>
        </w:rPr>
        <w:t>5</w:t>
      </w:r>
      <w:r w:rsidRPr="006717D4">
        <w:rPr>
          <w:rFonts w:ascii="Times New Roman" w:hAnsi="Times New Roman" w:cs="Times New Roman"/>
          <w:b/>
          <w:bCs/>
        </w:rPr>
        <w:t>.</w:t>
      </w:r>
      <w:r w:rsidRPr="006717D4">
        <w:rPr>
          <w:rFonts w:ascii="Times New Roman" w:hAnsi="Times New Roman" w:cs="Times New Roman"/>
        </w:rPr>
        <w:t xml:space="preserve"> Components of US Paper and Paperboard Converting Emissions Associated with Gross Purchased Electricity</w:t>
      </w:r>
    </w:p>
    <w:p w14:paraId="44839561" w14:textId="77777777" w:rsidR="00321DC2" w:rsidRPr="006717D4" w:rsidRDefault="00321DC2" w:rsidP="00321DC2">
      <w:pPr>
        <w:rPr>
          <w:rFonts w:ascii="Times New Roman" w:hAnsi="Times New Roman" w:cs="Times New Roman"/>
        </w:rPr>
      </w:pPr>
    </w:p>
    <w:p w14:paraId="07068CB3" w14:textId="633DCA16"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Table </w:t>
      </w:r>
      <w:r w:rsidR="0014022A">
        <w:rPr>
          <w:rFonts w:ascii="Times New Roman" w:hAnsi="Times New Roman" w:cs="Times New Roman"/>
          <w:b/>
          <w:bCs/>
        </w:rPr>
        <w:t>S18</w:t>
      </w:r>
      <w:r w:rsidRPr="006717D4">
        <w:rPr>
          <w:rFonts w:ascii="Times New Roman" w:hAnsi="Times New Roman" w:cs="Times New Roman"/>
          <w:b/>
          <w:bCs/>
        </w:rPr>
        <w:t xml:space="preserve">. </w:t>
      </w:r>
      <w:r w:rsidRPr="006717D4">
        <w:rPr>
          <w:rFonts w:ascii="Times New Roman" w:hAnsi="Times New Roman" w:cs="Times New Roman"/>
        </w:rPr>
        <w:t>Emissions Associated with Gross Electricity Purchased by US Converting Operations in the Pulp, Paper, and Paperboard Value Chain</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880"/>
        <w:gridCol w:w="2250"/>
        <w:gridCol w:w="1800"/>
        <w:gridCol w:w="1795"/>
      </w:tblGrid>
      <w:tr w:rsidR="00321DC2" w:rsidRPr="006717D4" w14:paraId="06EAF9C4" w14:textId="77777777" w:rsidTr="00360B83">
        <w:trPr>
          <w:trHeight w:val="292"/>
          <w:jc w:val="center"/>
        </w:trPr>
        <w:tc>
          <w:tcPr>
            <w:tcW w:w="2880" w:type="dxa"/>
            <w:shd w:val="clear" w:color="auto" w:fill="D9D9D9" w:themeFill="background1" w:themeFillShade="D9"/>
            <w:noWrap/>
            <w:hideMark/>
          </w:tcPr>
          <w:p w14:paraId="21505611"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Year</w:t>
            </w:r>
          </w:p>
        </w:tc>
        <w:tc>
          <w:tcPr>
            <w:tcW w:w="2250" w:type="dxa"/>
            <w:shd w:val="clear" w:color="auto" w:fill="D9D9D9" w:themeFill="background1" w:themeFillShade="D9"/>
            <w:noWrap/>
            <w:hideMark/>
          </w:tcPr>
          <w:p w14:paraId="22029601"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 per Year</w:t>
            </w:r>
          </w:p>
        </w:tc>
        <w:tc>
          <w:tcPr>
            <w:tcW w:w="1800" w:type="dxa"/>
            <w:shd w:val="clear" w:color="auto" w:fill="D9D9D9" w:themeFill="background1" w:themeFillShade="D9"/>
            <w:noWrap/>
            <w:hideMark/>
          </w:tcPr>
          <w:p w14:paraId="5841774F"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Fraction of 1990</w:t>
            </w:r>
          </w:p>
        </w:tc>
        <w:tc>
          <w:tcPr>
            <w:tcW w:w="1795" w:type="dxa"/>
            <w:shd w:val="clear" w:color="auto" w:fill="D9D9D9" w:themeFill="background1" w:themeFillShade="D9"/>
            <w:noWrap/>
            <w:hideMark/>
          </w:tcPr>
          <w:p w14:paraId="628AEE75"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Fraction of 2005</w:t>
            </w:r>
          </w:p>
        </w:tc>
      </w:tr>
      <w:tr w:rsidR="00321DC2" w:rsidRPr="006717D4" w14:paraId="2FE5D8A3" w14:textId="77777777" w:rsidTr="00360B83">
        <w:trPr>
          <w:trHeight w:val="292"/>
          <w:jc w:val="center"/>
        </w:trPr>
        <w:tc>
          <w:tcPr>
            <w:tcW w:w="2880" w:type="dxa"/>
            <w:noWrap/>
            <w:hideMark/>
          </w:tcPr>
          <w:p w14:paraId="7F7C7FF5"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1990 (EIA MECS 1991)</w:t>
            </w:r>
          </w:p>
        </w:tc>
        <w:tc>
          <w:tcPr>
            <w:tcW w:w="2250" w:type="dxa"/>
            <w:noWrap/>
          </w:tcPr>
          <w:p w14:paraId="6645DD34"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18.1</w:t>
            </w:r>
          </w:p>
        </w:tc>
        <w:tc>
          <w:tcPr>
            <w:tcW w:w="1800" w:type="dxa"/>
            <w:noWrap/>
          </w:tcPr>
          <w:p w14:paraId="2143EFD4"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c>
          <w:tcPr>
            <w:tcW w:w="1795" w:type="dxa"/>
            <w:noWrap/>
          </w:tcPr>
          <w:p w14:paraId="46546CFC" w14:textId="77777777" w:rsidR="00321DC2" w:rsidRPr="006717D4" w:rsidRDefault="00321DC2" w:rsidP="00360B83">
            <w:pPr>
              <w:spacing w:after="160" w:line="278" w:lineRule="auto"/>
              <w:jc w:val="center"/>
              <w:rPr>
                <w:rFonts w:ascii="Times New Roman" w:hAnsi="Times New Roman" w:cs="Times New Roman"/>
              </w:rPr>
            </w:pPr>
          </w:p>
        </w:tc>
      </w:tr>
      <w:tr w:rsidR="00321DC2" w:rsidRPr="006717D4" w14:paraId="111C0C56" w14:textId="77777777" w:rsidTr="00360B83">
        <w:trPr>
          <w:trHeight w:val="292"/>
          <w:jc w:val="center"/>
        </w:trPr>
        <w:tc>
          <w:tcPr>
            <w:tcW w:w="2880" w:type="dxa"/>
            <w:noWrap/>
            <w:hideMark/>
          </w:tcPr>
          <w:p w14:paraId="1FB4BDEF"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2005 (EIA MECS 2006)</w:t>
            </w:r>
          </w:p>
        </w:tc>
        <w:tc>
          <w:tcPr>
            <w:tcW w:w="2250" w:type="dxa"/>
            <w:noWrap/>
          </w:tcPr>
          <w:p w14:paraId="73E72FB2"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17.9</w:t>
            </w:r>
          </w:p>
        </w:tc>
        <w:tc>
          <w:tcPr>
            <w:tcW w:w="1800" w:type="dxa"/>
            <w:noWrap/>
          </w:tcPr>
          <w:p w14:paraId="071DB083"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0.99</w:t>
            </w:r>
          </w:p>
        </w:tc>
        <w:tc>
          <w:tcPr>
            <w:tcW w:w="1795" w:type="dxa"/>
            <w:noWrap/>
          </w:tcPr>
          <w:p w14:paraId="190933FC"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753273B0" w14:textId="77777777" w:rsidTr="00360B83">
        <w:trPr>
          <w:trHeight w:val="292"/>
          <w:jc w:val="center"/>
        </w:trPr>
        <w:tc>
          <w:tcPr>
            <w:tcW w:w="2880" w:type="dxa"/>
            <w:noWrap/>
            <w:hideMark/>
          </w:tcPr>
          <w:p w14:paraId="7C120526"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2020 (EIA MECS 2018)</w:t>
            </w:r>
          </w:p>
        </w:tc>
        <w:tc>
          <w:tcPr>
            <w:tcW w:w="2250" w:type="dxa"/>
            <w:noWrap/>
          </w:tcPr>
          <w:p w14:paraId="5A5C6EB3"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9.8</w:t>
            </w:r>
          </w:p>
        </w:tc>
        <w:tc>
          <w:tcPr>
            <w:tcW w:w="1800" w:type="dxa"/>
            <w:noWrap/>
          </w:tcPr>
          <w:p w14:paraId="270FB873"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0.54</w:t>
            </w:r>
          </w:p>
        </w:tc>
        <w:tc>
          <w:tcPr>
            <w:tcW w:w="1795" w:type="dxa"/>
            <w:noWrap/>
          </w:tcPr>
          <w:p w14:paraId="2123CB14"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0.55</w:t>
            </w:r>
          </w:p>
        </w:tc>
      </w:tr>
    </w:tbl>
    <w:p w14:paraId="2B8D1456" w14:textId="77777777" w:rsidR="00321DC2" w:rsidRPr="006717D4" w:rsidRDefault="00321DC2" w:rsidP="00321DC2">
      <w:pPr>
        <w:rPr>
          <w:rFonts w:ascii="Times New Roman" w:hAnsi="Times New Roman" w:cs="Times New Roman"/>
        </w:rPr>
      </w:pPr>
    </w:p>
    <w:p w14:paraId="5E51E236" w14:textId="355B90D9" w:rsidR="00321DC2" w:rsidRPr="006717D4" w:rsidRDefault="00321DC2" w:rsidP="00321DC2">
      <w:pPr>
        <w:rPr>
          <w:rFonts w:ascii="Times New Roman" w:hAnsi="Times New Roman" w:cs="Times New Roman"/>
        </w:rPr>
      </w:pPr>
      <w:r w:rsidRPr="006717D4">
        <w:rPr>
          <w:rFonts w:ascii="Times New Roman" w:hAnsi="Times New Roman" w:cs="Times New Roman"/>
        </w:rPr>
        <w:lastRenderedPageBreak/>
        <w:t xml:space="preserve">The components of purchased electricity-related emissions for wood products converting are shown in Figure </w:t>
      </w:r>
      <w:r w:rsidR="0014022A">
        <w:rPr>
          <w:rFonts w:ascii="Times New Roman" w:hAnsi="Times New Roman" w:cs="Times New Roman"/>
        </w:rPr>
        <w:t>S</w:t>
      </w:r>
      <w:r w:rsidRPr="006717D4">
        <w:rPr>
          <w:rFonts w:ascii="Times New Roman" w:hAnsi="Times New Roman" w:cs="Times New Roman"/>
        </w:rPr>
        <w:t>2</w:t>
      </w:r>
      <w:r w:rsidR="00843D6D">
        <w:rPr>
          <w:rFonts w:ascii="Times New Roman" w:hAnsi="Times New Roman" w:cs="Times New Roman"/>
        </w:rPr>
        <w:t>6</w:t>
      </w:r>
      <w:r w:rsidRPr="006717D4">
        <w:rPr>
          <w:rFonts w:ascii="Times New Roman" w:hAnsi="Times New Roman" w:cs="Times New Roman"/>
        </w:rPr>
        <w:t xml:space="preserve"> and the estimates for 1990 (EIA MECS 1991), 2005 (EIA MECS 2006), and 2020 (EIA MECS 2018) are shown in Table </w:t>
      </w:r>
      <w:r w:rsidR="0014022A">
        <w:rPr>
          <w:rFonts w:ascii="Times New Roman" w:hAnsi="Times New Roman" w:cs="Times New Roman"/>
        </w:rPr>
        <w:t>S19</w:t>
      </w:r>
      <w:r w:rsidRPr="006717D4">
        <w:rPr>
          <w:rFonts w:ascii="Times New Roman" w:hAnsi="Times New Roman" w:cs="Times New Roman"/>
        </w:rPr>
        <w:t xml:space="preserve">. Again, the residual contribution attributed to converting emissions, calculated as the difference between the NAICS 321 total and the sum of the subcategories, is highly variable because it is a small difference between two large numbers. The changeover to NAICS codes in 1997 makes it difficult to interpret the wood products subsector data for 1991 and 1994; therefore, only the sector totals are used. This results in zero emissions residual to be assigned to converting for these years. These emissions are accounted for, however, </w:t>
      </w:r>
      <w:r>
        <w:rPr>
          <w:rFonts w:ascii="Times New Roman" w:hAnsi="Times New Roman" w:cs="Times New Roman"/>
        </w:rPr>
        <w:t>as</w:t>
      </w:r>
      <w:r w:rsidRPr="006717D4">
        <w:rPr>
          <w:rFonts w:ascii="Times New Roman" w:hAnsi="Times New Roman" w:cs="Times New Roman"/>
        </w:rPr>
        <w:t xml:space="preserve"> indirect emissions from primary wood product manufacturing. The sources and methods for estimating contributions to purchased electricity-related emissions from furniture and home construction are the same as discussed earlier to estimate fuel combustion-related emissions. It should be noted that the source of the estimate for energy consumption in building construction</w:t>
      </w:r>
      <w:r>
        <w:rPr>
          <w:rFonts w:ascii="Times New Roman" w:hAnsi="Times New Roman" w:cs="Times New Roman"/>
        </w:rPr>
        <w:t xml:space="preserve"> </w:t>
      </w:r>
      <w:r w:rsidRPr="006717D4">
        <w:rPr>
          <w:rFonts w:ascii="Times New Roman" w:hAnsi="Times New Roman" w:cs="Times New Roman"/>
        </w:rPr>
        <w:t>does not specify the amounts of electricity used. It states only that “construction energy used only diesel fuel and accounted for 3–5% on the nonrenewable fuel use…”</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{"citationID":"QuQmmAv2","properties":{"formattedCitation":"\\super 24\\nosupersub{}","plainCitation":"24","noteIndex":0},"citationItems":[{"id":22,"uris":["http://zotero.org/users/18184231/items/W7R23ZYH"],"itemData":{"id":22,"type":"article-journal","abstract":"Manufacturing of building materials and construction of buildings make up 11% of the global greenhouse gas emission by sector. Mass timber construction has the potential to reduce greenhouse gas emissions by moving wood into buildings with designs that have traditionally been dominated by steel and concrete. The environmental impacts of mass timber buildings were compared against those of functionally equivalent conventional buildings. Three pairs of buildings were designed for the Pacific Northwest, Northeast and Southeast regions in the United States to conform to mass timber building types with 8, 12, or 18 stories. Conventional buildings constructed with concrete and steel were designed for comparisons with the mass timber buildings. Over all regions and building heights, the mass timber buildings exhibited a reduction in the embodied carbon varying between 22% and 50% compared to the concrete buildings. Embodied carbon per unit of area increased with building height as the quantity of concrete, metals, and other nonrenewable materials increased. Total embodied energy to produce, transport, and construct A1–A5 materials was higher in all mass timber buildings compared to equivalent concrete. Further research is needed to predict the long-term carbon emissions and carbon mitigation potential of mass timber buildings to conventional building materials.","container-title":"Sustainability","DOI":"10.3390/su132413987","ISSN":"2071-1050","issue":"24","language":"en","license":"http://creativecommons.org/licenses/by/3.0/","note":"publisher: Multidisciplinary Digital Publishing Institute","page":"13987","source":"www.mdpi.com","title":"Comparative LCAs of Conventional and Mass Timber Buildings in Regions with Potential for Mass Timber Penetration","volume":"13","author":[{"family":"Puettmann","given":"Maureen"},{"family":"Pierobon","given":"Francesca"},{"family":"Ganguly","given":"Indroneil"},{"family":"Gu","given":"Hongmei"},{"family":"Chen","given":"Cindy"},{"family":"Liang","given":"Shaobo"},{"family":"Jones","given":"Susan"},{"family":"Maples","given":"Ian"},{"family":"Wishnie","given":"Mark"}],"issued":{"date-parts":[["2021",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24</w:t>
      </w:r>
      <w:r>
        <w:rPr>
          <w:rFonts w:ascii="Times New Roman" w:hAnsi="Times New Roman" w:cs="Times New Roman"/>
        </w:rPr>
        <w:fldChar w:fldCharType="end"/>
      </w:r>
      <w:r w:rsidRPr="006717D4">
        <w:rPr>
          <w:rFonts w:ascii="Times New Roman" w:hAnsi="Times New Roman" w:cs="Times New Roman"/>
        </w:rPr>
        <w:t xml:space="preserve"> For this profile, it is assumed that this figure can be applied to estimate electricity use, likely a conservative assumption that overstates electricity requirements in building construction. </w:t>
      </w:r>
    </w:p>
    <w:p w14:paraId="06600996" w14:textId="77777777" w:rsidR="00321DC2" w:rsidRPr="006717D4" w:rsidRDefault="00321DC2" w:rsidP="00321DC2">
      <w:pPr>
        <w:rPr>
          <w:rFonts w:ascii="Times New Roman" w:hAnsi="Times New Roman" w:cs="Times New Roman"/>
        </w:rPr>
      </w:pPr>
    </w:p>
    <w:p w14:paraId="2D5C7C69" w14:textId="7854638F"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6696EA87" wp14:editId="46B01C47">
            <wp:extent cx="5804452" cy="3063240"/>
            <wp:effectExtent l="0" t="0" r="6350" b="3810"/>
            <wp:docPr id="445149902" name="Chart 1">
              <a:extLst xmlns:a="http://schemas.openxmlformats.org/drawingml/2006/main">
                <a:ext uri="{FF2B5EF4-FFF2-40B4-BE49-F238E27FC236}">
                  <a16:creationId xmlns:a16="http://schemas.microsoft.com/office/drawing/2014/main" id="{8031C8E7-9286-8E4C-0341-2E090DD29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717D4">
        <w:rPr>
          <w:rFonts w:ascii="Times New Roman" w:hAnsi="Times New Roman" w:cs="Times New Roman"/>
          <w:b/>
          <w:bCs/>
        </w:rPr>
        <w:t xml:space="preserve">Figure </w:t>
      </w:r>
      <w:r w:rsidR="0014022A">
        <w:rPr>
          <w:rFonts w:ascii="Times New Roman" w:hAnsi="Times New Roman" w:cs="Times New Roman"/>
          <w:b/>
          <w:bCs/>
        </w:rPr>
        <w:t>S</w:t>
      </w:r>
      <w:r w:rsidRPr="006717D4">
        <w:rPr>
          <w:rFonts w:ascii="Times New Roman" w:hAnsi="Times New Roman" w:cs="Times New Roman"/>
          <w:b/>
          <w:bCs/>
        </w:rPr>
        <w:t>2</w:t>
      </w:r>
      <w:r w:rsidR="00843D6D">
        <w:rPr>
          <w:rFonts w:ascii="Times New Roman" w:hAnsi="Times New Roman" w:cs="Times New Roman"/>
          <w:b/>
          <w:bCs/>
        </w:rPr>
        <w:t>6</w:t>
      </w:r>
      <w:r w:rsidRPr="006717D4">
        <w:rPr>
          <w:rFonts w:ascii="Times New Roman" w:hAnsi="Times New Roman" w:cs="Times New Roman"/>
          <w:b/>
          <w:bCs/>
        </w:rPr>
        <w:t>.</w:t>
      </w:r>
      <w:r w:rsidRPr="006717D4">
        <w:rPr>
          <w:rFonts w:ascii="Times New Roman" w:hAnsi="Times New Roman" w:cs="Times New Roman"/>
        </w:rPr>
        <w:t xml:space="preserve"> Components of Emissions Associated with Gross Purchased of Electricity by US Wood Product Converting Operations</w:t>
      </w:r>
    </w:p>
    <w:p w14:paraId="501D9578" w14:textId="77777777" w:rsidR="00321DC2" w:rsidRDefault="00321DC2" w:rsidP="00321DC2">
      <w:pPr>
        <w:rPr>
          <w:rFonts w:ascii="Times New Roman" w:hAnsi="Times New Roman" w:cs="Times New Roman"/>
        </w:rPr>
      </w:pPr>
      <w:r w:rsidRPr="006717D4">
        <w:rPr>
          <w:rFonts w:ascii="Times New Roman" w:hAnsi="Times New Roman" w:cs="Times New Roman"/>
        </w:rPr>
        <w:t xml:space="preserve"> </w:t>
      </w:r>
    </w:p>
    <w:p w14:paraId="188E77C5" w14:textId="77777777" w:rsidR="0014022A" w:rsidRPr="006717D4" w:rsidRDefault="0014022A" w:rsidP="00321DC2">
      <w:pPr>
        <w:rPr>
          <w:rFonts w:ascii="Times New Roman" w:hAnsi="Times New Roman" w:cs="Times New Roman"/>
        </w:rPr>
      </w:pPr>
    </w:p>
    <w:p w14:paraId="19FC07D2" w14:textId="7FCB3394" w:rsidR="00321DC2" w:rsidRPr="006717D4" w:rsidRDefault="00321DC2" w:rsidP="00321DC2">
      <w:pPr>
        <w:rPr>
          <w:rFonts w:ascii="Times New Roman" w:hAnsi="Times New Roman" w:cs="Times New Roman"/>
        </w:rPr>
      </w:pPr>
      <w:r w:rsidRPr="006717D4">
        <w:rPr>
          <w:rFonts w:ascii="Times New Roman" w:hAnsi="Times New Roman" w:cs="Times New Roman"/>
          <w:b/>
          <w:bCs/>
        </w:rPr>
        <w:lastRenderedPageBreak/>
        <w:t xml:space="preserve">Table </w:t>
      </w:r>
      <w:r w:rsidR="0014022A">
        <w:rPr>
          <w:rFonts w:ascii="Times New Roman" w:hAnsi="Times New Roman" w:cs="Times New Roman"/>
          <w:b/>
          <w:bCs/>
        </w:rPr>
        <w:t>S19</w:t>
      </w:r>
      <w:r w:rsidRPr="006717D4">
        <w:rPr>
          <w:rFonts w:ascii="Times New Roman" w:hAnsi="Times New Roman" w:cs="Times New Roman"/>
          <w:b/>
          <w:bCs/>
        </w:rPr>
        <w:t xml:space="preserve">. </w:t>
      </w:r>
      <w:r w:rsidRPr="006717D4">
        <w:rPr>
          <w:rFonts w:ascii="Times New Roman" w:hAnsi="Times New Roman" w:cs="Times New Roman"/>
        </w:rPr>
        <w:t>Emissions Associated with Gross Purchases of Electricity by Converting Operations in the US Wood Products Value Chain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00"/>
        <w:gridCol w:w="2160"/>
        <w:gridCol w:w="2065"/>
        <w:gridCol w:w="2155"/>
      </w:tblGrid>
      <w:tr w:rsidR="00321DC2" w:rsidRPr="006717D4" w14:paraId="2DFDA9F4" w14:textId="77777777" w:rsidTr="00360B83">
        <w:trPr>
          <w:trHeight w:val="292"/>
        </w:trPr>
        <w:tc>
          <w:tcPr>
            <w:tcW w:w="2700" w:type="dxa"/>
            <w:shd w:val="clear" w:color="auto" w:fill="D9D9D9" w:themeFill="background1" w:themeFillShade="D9"/>
            <w:noWrap/>
            <w:hideMark/>
          </w:tcPr>
          <w:p w14:paraId="74C4B3FD" w14:textId="77777777" w:rsidR="00321DC2" w:rsidRPr="006717D4" w:rsidRDefault="00321DC2" w:rsidP="00360B83">
            <w:pPr>
              <w:spacing w:line="278" w:lineRule="auto"/>
              <w:rPr>
                <w:rFonts w:ascii="Times New Roman" w:hAnsi="Times New Roman" w:cs="Times New Roman"/>
              </w:rPr>
            </w:pPr>
            <w:r w:rsidRPr="006717D4">
              <w:rPr>
                <w:rFonts w:ascii="Times New Roman" w:hAnsi="Times New Roman" w:cs="Times New Roman"/>
              </w:rPr>
              <w:t>Year</w:t>
            </w:r>
          </w:p>
        </w:tc>
        <w:tc>
          <w:tcPr>
            <w:tcW w:w="2160" w:type="dxa"/>
            <w:shd w:val="clear" w:color="auto" w:fill="D9D9D9" w:themeFill="background1" w:themeFillShade="D9"/>
            <w:noWrap/>
            <w:hideMark/>
          </w:tcPr>
          <w:p w14:paraId="3939F3A9"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 per Year</w:t>
            </w:r>
          </w:p>
        </w:tc>
        <w:tc>
          <w:tcPr>
            <w:tcW w:w="2065" w:type="dxa"/>
            <w:shd w:val="clear" w:color="auto" w:fill="D9D9D9" w:themeFill="background1" w:themeFillShade="D9"/>
            <w:noWrap/>
            <w:hideMark/>
          </w:tcPr>
          <w:p w14:paraId="7F4572E2"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Fraction of 1990</w:t>
            </w:r>
          </w:p>
        </w:tc>
        <w:tc>
          <w:tcPr>
            <w:tcW w:w="2155" w:type="dxa"/>
            <w:shd w:val="clear" w:color="auto" w:fill="D9D9D9" w:themeFill="background1" w:themeFillShade="D9"/>
            <w:noWrap/>
            <w:hideMark/>
          </w:tcPr>
          <w:p w14:paraId="265535CC"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Fraction of 2005</w:t>
            </w:r>
          </w:p>
        </w:tc>
      </w:tr>
      <w:tr w:rsidR="00321DC2" w:rsidRPr="006717D4" w14:paraId="1AAD7B9B" w14:textId="77777777" w:rsidTr="00360B83">
        <w:trPr>
          <w:trHeight w:val="292"/>
        </w:trPr>
        <w:tc>
          <w:tcPr>
            <w:tcW w:w="2700" w:type="dxa"/>
            <w:noWrap/>
            <w:hideMark/>
          </w:tcPr>
          <w:p w14:paraId="776DBD1F"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1990 (EIA MECS 1991)</w:t>
            </w:r>
          </w:p>
        </w:tc>
        <w:tc>
          <w:tcPr>
            <w:tcW w:w="2160" w:type="dxa"/>
            <w:shd w:val="clear" w:color="000000" w:fill="auto"/>
            <w:noWrap/>
            <w:vAlign w:val="bottom"/>
          </w:tcPr>
          <w:p w14:paraId="47FD330A"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w:t>
            </w:r>
          </w:p>
        </w:tc>
        <w:tc>
          <w:tcPr>
            <w:tcW w:w="2065" w:type="dxa"/>
            <w:noWrap/>
            <w:vAlign w:val="bottom"/>
          </w:tcPr>
          <w:p w14:paraId="579BEC4F"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c>
          <w:tcPr>
            <w:tcW w:w="2155" w:type="dxa"/>
            <w:noWrap/>
            <w:vAlign w:val="bottom"/>
          </w:tcPr>
          <w:p w14:paraId="13C57F33" w14:textId="77777777" w:rsidR="00321DC2" w:rsidRPr="006717D4" w:rsidRDefault="00321DC2" w:rsidP="00360B83">
            <w:pPr>
              <w:spacing w:after="160" w:line="278" w:lineRule="auto"/>
              <w:jc w:val="center"/>
              <w:rPr>
                <w:rFonts w:ascii="Times New Roman" w:hAnsi="Times New Roman" w:cs="Times New Roman"/>
              </w:rPr>
            </w:pPr>
          </w:p>
        </w:tc>
      </w:tr>
      <w:tr w:rsidR="00321DC2" w:rsidRPr="006717D4" w14:paraId="152BA843" w14:textId="77777777" w:rsidTr="00360B83">
        <w:trPr>
          <w:trHeight w:val="292"/>
        </w:trPr>
        <w:tc>
          <w:tcPr>
            <w:tcW w:w="2700" w:type="dxa"/>
            <w:noWrap/>
            <w:hideMark/>
          </w:tcPr>
          <w:p w14:paraId="0C6BA601"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2005 (EIA MECS 2006)</w:t>
            </w:r>
          </w:p>
        </w:tc>
        <w:tc>
          <w:tcPr>
            <w:tcW w:w="2160" w:type="dxa"/>
            <w:shd w:val="clear" w:color="000000" w:fill="auto"/>
            <w:noWrap/>
            <w:vAlign w:val="bottom"/>
          </w:tcPr>
          <w:p w14:paraId="18CC2CC9"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1.8</w:t>
            </w:r>
          </w:p>
        </w:tc>
        <w:tc>
          <w:tcPr>
            <w:tcW w:w="2065" w:type="dxa"/>
            <w:noWrap/>
            <w:vAlign w:val="bottom"/>
          </w:tcPr>
          <w:p w14:paraId="6BDEEC3D"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1.72</w:t>
            </w:r>
          </w:p>
        </w:tc>
        <w:tc>
          <w:tcPr>
            <w:tcW w:w="2155" w:type="dxa"/>
            <w:noWrap/>
            <w:vAlign w:val="bottom"/>
          </w:tcPr>
          <w:p w14:paraId="6219DC77"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3B25BC34" w14:textId="77777777" w:rsidTr="00360B83">
        <w:trPr>
          <w:trHeight w:val="292"/>
        </w:trPr>
        <w:tc>
          <w:tcPr>
            <w:tcW w:w="2700" w:type="dxa"/>
            <w:noWrap/>
            <w:hideMark/>
          </w:tcPr>
          <w:p w14:paraId="46E2BC73"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2020 (EIA MECS 2018)</w:t>
            </w:r>
          </w:p>
        </w:tc>
        <w:tc>
          <w:tcPr>
            <w:tcW w:w="2160" w:type="dxa"/>
            <w:shd w:val="clear" w:color="000000" w:fill="auto"/>
            <w:noWrap/>
            <w:vAlign w:val="bottom"/>
          </w:tcPr>
          <w:p w14:paraId="036464C4"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0.9</w:t>
            </w:r>
          </w:p>
        </w:tc>
        <w:tc>
          <w:tcPr>
            <w:tcW w:w="2065" w:type="dxa"/>
            <w:noWrap/>
            <w:vAlign w:val="bottom"/>
          </w:tcPr>
          <w:p w14:paraId="3D7A76A4"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0.87</w:t>
            </w:r>
          </w:p>
        </w:tc>
        <w:tc>
          <w:tcPr>
            <w:tcW w:w="2155" w:type="dxa"/>
            <w:noWrap/>
            <w:vAlign w:val="bottom"/>
          </w:tcPr>
          <w:p w14:paraId="1E263757"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0.51</w:t>
            </w:r>
          </w:p>
        </w:tc>
      </w:tr>
    </w:tbl>
    <w:p w14:paraId="31B1E830" w14:textId="77777777" w:rsidR="00321DC2" w:rsidRPr="006717D4" w:rsidRDefault="00321DC2" w:rsidP="00321DC2">
      <w:pPr>
        <w:rPr>
          <w:rFonts w:ascii="Times New Roman" w:hAnsi="Times New Roman" w:cs="Times New Roman"/>
        </w:rPr>
      </w:pPr>
    </w:p>
    <w:p w14:paraId="1125565A" w14:textId="0C0FC1AA" w:rsidR="00321DC2" w:rsidRPr="006717D4" w:rsidRDefault="00321DC2" w:rsidP="00321DC2">
      <w:pPr>
        <w:rPr>
          <w:rFonts w:ascii="Times New Roman" w:hAnsi="Times New Roman" w:cs="Times New Roman"/>
        </w:rPr>
      </w:pPr>
      <w:proofErr w:type="gramStart"/>
      <w:r w:rsidRPr="006717D4">
        <w:rPr>
          <w:rFonts w:ascii="Times New Roman" w:hAnsi="Times New Roman" w:cs="Times New Roman"/>
        </w:rPr>
        <w:t>Summing</w:t>
      </w:r>
      <w:proofErr w:type="gramEnd"/>
      <w:r w:rsidRPr="006717D4">
        <w:rPr>
          <w:rFonts w:ascii="Times New Roman" w:hAnsi="Times New Roman" w:cs="Times New Roman"/>
        </w:rPr>
        <w:t xml:space="preserve"> converting emissions for the paper sector and wood products sector results in the totals for converting shown in Figure </w:t>
      </w:r>
      <w:r w:rsidR="0014022A">
        <w:rPr>
          <w:rFonts w:ascii="Times New Roman" w:hAnsi="Times New Roman" w:cs="Times New Roman"/>
        </w:rPr>
        <w:t>S</w:t>
      </w:r>
      <w:r w:rsidRPr="006717D4">
        <w:rPr>
          <w:rFonts w:ascii="Times New Roman" w:hAnsi="Times New Roman" w:cs="Times New Roman"/>
        </w:rPr>
        <w:t>2</w:t>
      </w:r>
      <w:r w:rsidR="00843D6D">
        <w:rPr>
          <w:rFonts w:ascii="Times New Roman" w:hAnsi="Times New Roman" w:cs="Times New Roman"/>
        </w:rPr>
        <w:t>7</w:t>
      </w:r>
      <w:r w:rsidRPr="006717D4">
        <w:rPr>
          <w:rFonts w:ascii="Times New Roman" w:hAnsi="Times New Roman" w:cs="Times New Roman"/>
        </w:rPr>
        <w:t xml:space="preserve"> and Table </w:t>
      </w:r>
      <w:r w:rsidR="0014022A">
        <w:rPr>
          <w:rFonts w:ascii="Times New Roman" w:hAnsi="Times New Roman" w:cs="Times New Roman"/>
        </w:rPr>
        <w:t>S20</w:t>
      </w:r>
      <w:r w:rsidRPr="006717D4">
        <w:rPr>
          <w:rFonts w:ascii="Times New Roman" w:hAnsi="Times New Roman" w:cs="Times New Roman"/>
        </w:rPr>
        <w:t>. On average, 93% (ranging from 91 to 95%) of the converting emissions associated with purchased electricity are in the pulp and paperboard sector.</w:t>
      </w:r>
    </w:p>
    <w:p w14:paraId="606E7729" w14:textId="77777777" w:rsidR="00321DC2" w:rsidRPr="006717D4" w:rsidRDefault="00321DC2" w:rsidP="00321DC2">
      <w:pPr>
        <w:rPr>
          <w:rFonts w:ascii="Times New Roman" w:hAnsi="Times New Roman" w:cs="Times New Roman"/>
        </w:rPr>
      </w:pPr>
    </w:p>
    <w:p w14:paraId="08DE5024"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6D39A476" wp14:editId="57672672">
            <wp:extent cx="4573361" cy="2745922"/>
            <wp:effectExtent l="0" t="0" r="17780" b="16510"/>
            <wp:docPr id="406163838" name="Chart 1">
              <a:extLst xmlns:a="http://schemas.openxmlformats.org/drawingml/2006/main">
                <a:ext uri="{FF2B5EF4-FFF2-40B4-BE49-F238E27FC236}">
                  <a16:creationId xmlns:a16="http://schemas.microsoft.com/office/drawing/2014/main" id="{EB620D4C-DCBE-CC76-457B-CD7835969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B52C4D" w14:textId="21F28EE1"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14022A">
        <w:rPr>
          <w:rFonts w:ascii="Times New Roman" w:hAnsi="Times New Roman" w:cs="Times New Roman"/>
          <w:b/>
          <w:bCs/>
        </w:rPr>
        <w:t>S</w:t>
      </w:r>
      <w:r w:rsidRPr="006717D4">
        <w:rPr>
          <w:rFonts w:ascii="Times New Roman" w:hAnsi="Times New Roman" w:cs="Times New Roman"/>
          <w:b/>
          <w:bCs/>
        </w:rPr>
        <w:t>2</w:t>
      </w:r>
      <w:r w:rsidR="00843D6D">
        <w:rPr>
          <w:rFonts w:ascii="Times New Roman" w:hAnsi="Times New Roman" w:cs="Times New Roman"/>
          <w:b/>
          <w:bCs/>
        </w:rPr>
        <w:t>7</w:t>
      </w:r>
      <w:r w:rsidRPr="006717D4">
        <w:rPr>
          <w:rFonts w:ascii="Times New Roman" w:hAnsi="Times New Roman" w:cs="Times New Roman"/>
          <w:b/>
          <w:bCs/>
        </w:rPr>
        <w:t>.</w:t>
      </w:r>
      <w:r w:rsidRPr="006717D4">
        <w:rPr>
          <w:rFonts w:ascii="Times New Roman" w:hAnsi="Times New Roman" w:cs="Times New Roman"/>
        </w:rPr>
        <w:t xml:space="preserve"> Emissions Associated with Gross Electricity Purchases at US Forest Products Industry Converting Operations</w:t>
      </w:r>
    </w:p>
    <w:p w14:paraId="68715ACA" w14:textId="77777777" w:rsidR="00321DC2" w:rsidRDefault="00321DC2" w:rsidP="00321DC2">
      <w:pPr>
        <w:rPr>
          <w:rFonts w:ascii="Times New Roman" w:hAnsi="Times New Roman" w:cs="Times New Roman"/>
        </w:rPr>
      </w:pPr>
    </w:p>
    <w:p w14:paraId="2DBF610F" w14:textId="77777777" w:rsidR="0014022A" w:rsidRDefault="0014022A" w:rsidP="00321DC2">
      <w:pPr>
        <w:rPr>
          <w:rFonts w:ascii="Times New Roman" w:hAnsi="Times New Roman" w:cs="Times New Roman"/>
        </w:rPr>
      </w:pPr>
    </w:p>
    <w:p w14:paraId="3DDD3816" w14:textId="77777777" w:rsidR="0014022A" w:rsidRDefault="0014022A" w:rsidP="00321DC2">
      <w:pPr>
        <w:rPr>
          <w:rFonts w:ascii="Times New Roman" w:hAnsi="Times New Roman" w:cs="Times New Roman"/>
        </w:rPr>
      </w:pPr>
    </w:p>
    <w:p w14:paraId="0351BD64" w14:textId="77777777" w:rsidR="0014022A" w:rsidRPr="006717D4" w:rsidRDefault="0014022A" w:rsidP="00321DC2">
      <w:pPr>
        <w:rPr>
          <w:rFonts w:ascii="Times New Roman" w:hAnsi="Times New Roman" w:cs="Times New Roman"/>
        </w:rPr>
      </w:pPr>
    </w:p>
    <w:p w14:paraId="5FB4E8E6" w14:textId="66B5A0E8"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lastRenderedPageBreak/>
        <w:t xml:space="preserve">Table </w:t>
      </w:r>
      <w:r w:rsidR="0014022A">
        <w:rPr>
          <w:rFonts w:ascii="Times New Roman" w:hAnsi="Times New Roman" w:cs="Times New Roman"/>
          <w:b/>
          <w:bCs/>
        </w:rPr>
        <w:t>S20</w:t>
      </w:r>
      <w:r w:rsidRPr="006717D4">
        <w:rPr>
          <w:rFonts w:ascii="Times New Roman" w:hAnsi="Times New Roman" w:cs="Times New Roman"/>
          <w:b/>
          <w:bCs/>
        </w:rPr>
        <w:t>.</w:t>
      </w:r>
      <w:r w:rsidRPr="006717D4">
        <w:rPr>
          <w:rFonts w:ascii="Times New Roman" w:hAnsi="Times New Roman" w:cs="Times New Roman"/>
        </w:rPr>
        <w:t xml:space="preserve"> Reductions in Emissions Associated with Gross Electricity Purchases at Converting Operations in the US Forest Products Industry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610"/>
        <w:gridCol w:w="2155"/>
        <w:gridCol w:w="1980"/>
        <w:gridCol w:w="2335"/>
      </w:tblGrid>
      <w:tr w:rsidR="00321DC2" w:rsidRPr="006717D4" w14:paraId="4D601935" w14:textId="77777777" w:rsidTr="00360B83">
        <w:trPr>
          <w:trHeight w:val="292"/>
        </w:trPr>
        <w:tc>
          <w:tcPr>
            <w:tcW w:w="2610" w:type="dxa"/>
            <w:shd w:val="clear" w:color="auto" w:fill="D9D9D9" w:themeFill="background1" w:themeFillShade="D9"/>
            <w:noWrap/>
            <w:hideMark/>
          </w:tcPr>
          <w:p w14:paraId="3A57A083" w14:textId="77777777" w:rsidR="00321DC2" w:rsidRPr="006717D4" w:rsidRDefault="00321DC2" w:rsidP="00360B83">
            <w:pPr>
              <w:spacing w:line="278" w:lineRule="auto"/>
              <w:rPr>
                <w:rFonts w:ascii="Times New Roman" w:hAnsi="Times New Roman" w:cs="Times New Roman"/>
              </w:rPr>
            </w:pPr>
            <w:r w:rsidRPr="006717D4">
              <w:rPr>
                <w:rFonts w:ascii="Times New Roman" w:hAnsi="Times New Roman" w:cs="Times New Roman"/>
              </w:rPr>
              <w:t>Year</w:t>
            </w:r>
          </w:p>
        </w:tc>
        <w:tc>
          <w:tcPr>
            <w:tcW w:w="2155" w:type="dxa"/>
            <w:shd w:val="clear" w:color="auto" w:fill="D9D9D9" w:themeFill="background1" w:themeFillShade="D9"/>
            <w:noWrap/>
            <w:hideMark/>
          </w:tcPr>
          <w:p w14:paraId="4EB59D14"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 per year</w:t>
            </w:r>
          </w:p>
        </w:tc>
        <w:tc>
          <w:tcPr>
            <w:tcW w:w="1980" w:type="dxa"/>
            <w:shd w:val="clear" w:color="auto" w:fill="D9D9D9" w:themeFill="background1" w:themeFillShade="D9"/>
            <w:noWrap/>
            <w:hideMark/>
          </w:tcPr>
          <w:p w14:paraId="2857D9CA"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Fraction of 1990</w:t>
            </w:r>
          </w:p>
        </w:tc>
        <w:tc>
          <w:tcPr>
            <w:tcW w:w="2335" w:type="dxa"/>
            <w:shd w:val="clear" w:color="auto" w:fill="D9D9D9" w:themeFill="background1" w:themeFillShade="D9"/>
            <w:noWrap/>
            <w:hideMark/>
          </w:tcPr>
          <w:p w14:paraId="4D4AE5D6" w14:textId="77777777" w:rsidR="00321DC2" w:rsidRPr="006717D4" w:rsidRDefault="00321DC2" w:rsidP="00360B83">
            <w:pPr>
              <w:spacing w:line="278" w:lineRule="auto"/>
              <w:jc w:val="center"/>
              <w:rPr>
                <w:rFonts w:ascii="Times New Roman" w:hAnsi="Times New Roman" w:cs="Times New Roman"/>
              </w:rPr>
            </w:pPr>
            <w:r w:rsidRPr="006717D4">
              <w:rPr>
                <w:rFonts w:ascii="Times New Roman" w:hAnsi="Times New Roman" w:cs="Times New Roman"/>
              </w:rPr>
              <w:t>Fraction of 2005</w:t>
            </w:r>
          </w:p>
        </w:tc>
      </w:tr>
      <w:tr w:rsidR="00321DC2" w:rsidRPr="006717D4" w14:paraId="1CA01429" w14:textId="77777777" w:rsidTr="00360B83">
        <w:trPr>
          <w:trHeight w:val="292"/>
        </w:trPr>
        <w:tc>
          <w:tcPr>
            <w:tcW w:w="2610" w:type="dxa"/>
            <w:noWrap/>
            <w:hideMark/>
          </w:tcPr>
          <w:p w14:paraId="7AB3F79E"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1990 (EIA MECS 1991)</w:t>
            </w:r>
          </w:p>
        </w:tc>
        <w:tc>
          <w:tcPr>
            <w:tcW w:w="2155" w:type="dxa"/>
            <w:shd w:val="clear" w:color="000000" w:fill="auto"/>
            <w:noWrap/>
            <w:vAlign w:val="bottom"/>
          </w:tcPr>
          <w:p w14:paraId="652F61C8"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19.1</w:t>
            </w:r>
          </w:p>
        </w:tc>
        <w:tc>
          <w:tcPr>
            <w:tcW w:w="1980" w:type="dxa"/>
            <w:shd w:val="clear" w:color="000000" w:fill="auto"/>
            <w:noWrap/>
            <w:vAlign w:val="bottom"/>
          </w:tcPr>
          <w:p w14:paraId="65C71962"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c>
          <w:tcPr>
            <w:tcW w:w="2335" w:type="dxa"/>
            <w:shd w:val="clear" w:color="000000" w:fill="auto"/>
            <w:noWrap/>
            <w:vAlign w:val="bottom"/>
          </w:tcPr>
          <w:p w14:paraId="2225BBBD" w14:textId="77777777" w:rsidR="00321DC2" w:rsidRPr="006717D4" w:rsidRDefault="00321DC2" w:rsidP="00360B83">
            <w:pPr>
              <w:spacing w:after="160" w:line="278" w:lineRule="auto"/>
              <w:jc w:val="center"/>
              <w:rPr>
                <w:rFonts w:ascii="Times New Roman" w:hAnsi="Times New Roman" w:cs="Times New Roman"/>
              </w:rPr>
            </w:pPr>
          </w:p>
        </w:tc>
      </w:tr>
      <w:tr w:rsidR="00321DC2" w:rsidRPr="006717D4" w14:paraId="6BA1CDAC" w14:textId="77777777" w:rsidTr="00360B83">
        <w:trPr>
          <w:trHeight w:val="292"/>
        </w:trPr>
        <w:tc>
          <w:tcPr>
            <w:tcW w:w="2610" w:type="dxa"/>
            <w:noWrap/>
            <w:hideMark/>
          </w:tcPr>
          <w:p w14:paraId="44321BD9"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2005 (EIA MECS 2006)</w:t>
            </w:r>
          </w:p>
        </w:tc>
        <w:tc>
          <w:tcPr>
            <w:tcW w:w="2155" w:type="dxa"/>
            <w:shd w:val="clear" w:color="000000" w:fill="auto"/>
            <w:noWrap/>
            <w:vAlign w:val="bottom"/>
          </w:tcPr>
          <w:p w14:paraId="51631B17"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19.7</w:t>
            </w:r>
          </w:p>
        </w:tc>
        <w:tc>
          <w:tcPr>
            <w:tcW w:w="1980" w:type="dxa"/>
            <w:shd w:val="clear" w:color="000000" w:fill="auto"/>
            <w:noWrap/>
            <w:vAlign w:val="bottom"/>
          </w:tcPr>
          <w:p w14:paraId="6213113A"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1.03</w:t>
            </w:r>
          </w:p>
        </w:tc>
        <w:tc>
          <w:tcPr>
            <w:tcW w:w="2335" w:type="dxa"/>
            <w:shd w:val="clear" w:color="000000" w:fill="auto"/>
            <w:noWrap/>
            <w:vAlign w:val="bottom"/>
          </w:tcPr>
          <w:p w14:paraId="1088D00A"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1.00</w:t>
            </w:r>
          </w:p>
        </w:tc>
      </w:tr>
      <w:tr w:rsidR="00321DC2" w:rsidRPr="006717D4" w14:paraId="6A0D4FEF" w14:textId="77777777" w:rsidTr="00360B83">
        <w:trPr>
          <w:trHeight w:val="292"/>
        </w:trPr>
        <w:tc>
          <w:tcPr>
            <w:tcW w:w="2610" w:type="dxa"/>
            <w:noWrap/>
            <w:hideMark/>
          </w:tcPr>
          <w:p w14:paraId="395C289C" w14:textId="77777777" w:rsidR="00321DC2" w:rsidRPr="006717D4" w:rsidRDefault="00321DC2" w:rsidP="00360B83">
            <w:pPr>
              <w:spacing w:after="160" w:line="278" w:lineRule="auto"/>
              <w:rPr>
                <w:rFonts w:ascii="Times New Roman" w:hAnsi="Times New Roman" w:cs="Times New Roman"/>
              </w:rPr>
            </w:pPr>
            <w:r w:rsidRPr="006717D4">
              <w:rPr>
                <w:rFonts w:ascii="Times New Roman" w:hAnsi="Times New Roman" w:cs="Times New Roman"/>
              </w:rPr>
              <w:t>2020 (EIA MECS 2018)</w:t>
            </w:r>
          </w:p>
        </w:tc>
        <w:tc>
          <w:tcPr>
            <w:tcW w:w="2155" w:type="dxa"/>
            <w:shd w:val="clear" w:color="000000" w:fill="auto"/>
            <w:noWrap/>
            <w:vAlign w:val="bottom"/>
          </w:tcPr>
          <w:p w14:paraId="1F8EBC85"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10.7</w:t>
            </w:r>
          </w:p>
        </w:tc>
        <w:tc>
          <w:tcPr>
            <w:tcW w:w="1980" w:type="dxa"/>
            <w:shd w:val="clear" w:color="000000" w:fill="auto"/>
            <w:noWrap/>
            <w:vAlign w:val="bottom"/>
          </w:tcPr>
          <w:p w14:paraId="41E2F79C"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0.56</w:t>
            </w:r>
          </w:p>
        </w:tc>
        <w:tc>
          <w:tcPr>
            <w:tcW w:w="2335" w:type="dxa"/>
            <w:shd w:val="clear" w:color="000000" w:fill="auto"/>
            <w:noWrap/>
            <w:vAlign w:val="bottom"/>
          </w:tcPr>
          <w:p w14:paraId="3B41E57A" w14:textId="77777777" w:rsidR="00321DC2" w:rsidRPr="006717D4" w:rsidRDefault="00321DC2" w:rsidP="00360B83">
            <w:pPr>
              <w:spacing w:after="160" w:line="278" w:lineRule="auto"/>
              <w:jc w:val="center"/>
              <w:rPr>
                <w:rFonts w:ascii="Times New Roman" w:hAnsi="Times New Roman" w:cs="Times New Roman"/>
              </w:rPr>
            </w:pPr>
            <w:r w:rsidRPr="006717D4">
              <w:rPr>
                <w:rFonts w:ascii="Times New Roman" w:hAnsi="Times New Roman" w:cs="Times New Roman"/>
              </w:rPr>
              <w:t>0.54</w:t>
            </w:r>
          </w:p>
        </w:tc>
      </w:tr>
    </w:tbl>
    <w:p w14:paraId="1BC08321" w14:textId="77777777" w:rsidR="00321DC2" w:rsidRPr="006717D4" w:rsidRDefault="00321DC2" w:rsidP="00321DC2">
      <w:pPr>
        <w:rPr>
          <w:rFonts w:ascii="Times New Roman" w:hAnsi="Times New Roman" w:cs="Times New Roman"/>
        </w:rPr>
      </w:pPr>
    </w:p>
    <w:p w14:paraId="437353C4" w14:textId="77777777" w:rsidR="00321DC2" w:rsidRPr="00F0494D" w:rsidRDefault="00321DC2" w:rsidP="00632FC1">
      <w:pPr>
        <w:pStyle w:val="Heading2"/>
        <w:rPr>
          <w:rFonts w:ascii="Times New Roman" w:hAnsi="Times New Roman" w:cs="Times New Roman"/>
          <w:b/>
          <w:bCs/>
          <w:color w:val="auto"/>
          <w:sz w:val="24"/>
          <w:szCs w:val="24"/>
        </w:rPr>
      </w:pPr>
      <w:bookmarkStart w:id="59" w:name="_Toc165549649"/>
      <w:bookmarkStart w:id="60" w:name="_Toc174876786"/>
      <w:bookmarkStart w:id="61" w:name="_Toc215829614"/>
      <w:r w:rsidRPr="00F0494D">
        <w:rPr>
          <w:rFonts w:ascii="Times New Roman" w:hAnsi="Times New Roman" w:cs="Times New Roman"/>
          <w:b/>
          <w:bCs/>
          <w:color w:val="auto"/>
          <w:sz w:val="24"/>
          <w:szCs w:val="24"/>
        </w:rPr>
        <w:t>Total Forest Products Industry</w:t>
      </w:r>
      <w:bookmarkEnd w:id="59"/>
      <w:bookmarkEnd w:id="60"/>
      <w:bookmarkEnd w:id="61"/>
    </w:p>
    <w:p w14:paraId="3A616AAF" w14:textId="2BC4002D" w:rsidR="00321DC2" w:rsidRPr="006717D4" w:rsidRDefault="00321DC2" w:rsidP="00321DC2">
      <w:pPr>
        <w:rPr>
          <w:rFonts w:ascii="Times New Roman" w:hAnsi="Times New Roman" w:cs="Times New Roman"/>
        </w:rPr>
      </w:pPr>
      <w:r w:rsidRPr="006717D4">
        <w:rPr>
          <w:rFonts w:ascii="Times New Roman" w:hAnsi="Times New Roman" w:cs="Times New Roman"/>
        </w:rPr>
        <w:t xml:space="preserve">The indirect emissions associated with gross electricity and steam purchases by the US forest products industry are shown in Figure </w:t>
      </w:r>
      <w:r w:rsidR="0014022A">
        <w:rPr>
          <w:rFonts w:ascii="Times New Roman" w:hAnsi="Times New Roman" w:cs="Times New Roman"/>
        </w:rPr>
        <w:t>S</w:t>
      </w:r>
      <w:r w:rsidRPr="006717D4">
        <w:rPr>
          <w:rFonts w:ascii="Times New Roman" w:hAnsi="Times New Roman" w:cs="Times New Roman"/>
        </w:rPr>
        <w:t>2</w:t>
      </w:r>
      <w:r w:rsidR="00843D6D">
        <w:rPr>
          <w:rFonts w:ascii="Times New Roman" w:hAnsi="Times New Roman" w:cs="Times New Roman"/>
        </w:rPr>
        <w:t>8</w:t>
      </w:r>
      <w:r w:rsidRPr="006717D4">
        <w:rPr>
          <w:rFonts w:ascii="Times New Roman" w:hAnsi="Times New Roman" w:cs="Times New Roman"/>
        </w:rPr>
        <w:t xml:space="preserve">. In 2020, the pulp, paper, and paperboard sector accounted for 45% of these emissions. Wood products accounted for 25%. The converting sector accounted for 30%, almost all of which was associated with converting paper and paperboard. </w:t>
      </w:r>
    </w:p>
    <w:p w14:paraId="4646854E" w14:textId="77777777" w:rsidR="00321DC2" w:rsidRPr="006717D4" w:rsidRDefault="00321DC2" w:rsidP="00321DC2">
      <w:pPr>
        <w:jc w:val="center"/>
        <w:rPr>
          <w:rFonts w:ascii="Times New Roman" w:hAnsi="Times New Roman" w:cs="Times New Roman"/>
        </w:rPr>
      </w:pPr>
      <w:r w:rsidRPr="006717D4">
        <w:rPr>
          <w:rFonts w:ascii="Times New Roman" w:hAnsi="Times New Roman" w:cs="Times New Roman"/>
          <w:noProof/>
        </w:rPr>
        <w:drawing>
          <wp:inline distT="0" distB="0" distL="0" distR="0" wp14:anchorId="2B3ACCB1" wp14:editId="1F19A8D5">
            <wp:extent cx="4965700" cy="2457450"/>
            <wp:effectExtent l="0" t="0" r="6350" b="0"/>
            <wp:docPr id="765222223" name="Chart 1">
              <a:extLst xmlns:a="http://schemas.openxmlformats.org/drawingml/2006/main">
                <a:ext uri="{FF2B5EF4-FFF2-40B4-BE49-F238E27FC236}">
                  <a16:creationId xmlns:a16="http://schemas.microsoft.com/office/drawing/2014/main" id="{6CB8D57D-799F-22D5-E112-99819F987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74D0FD" w14:textId="3AAEBAC8"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t xml:space="preserve">Figure </w:t>
      </w:r>
      <w:r w:rsidR="0014022A">
        <w:rPr>
          <w:rFonts w:ascii="Times New Roman" w:hAnsi="Times New Roman" w:cs="Times New Roman"/>
          <w:b/>
          <w:bCs/>
        </w:rPr>
        <w:t>S</w:t>
      </w:r>
      <w:r w:rsidRPr="006717D4">
        <w:rPr>
          <w:rFonts w:ascii="Times New Roman" w:hAnsi="Times New Roman" w:cs="Times New Roman"/>
          <w:b/>
          <w:bCs/>
        </w:rPr>
        <w:t>2</w:t>
      </w:r>
      <w:r w:rsidR="00843D6D">
        <w:rPr>
          <w:rFonts w:ascii="Times New Roman" w:hAnsi="Times New Roman" w:cs="Times New Roman"/>
          <w:b/>
          <w:bCs/>
        </w:rPr>
        <w:t>8</w:t>
      </w:r>
      <w:r w:rsidRPr="006717D4">
        <w:rPr>
          <w:rFonts w:ascii="Times New Roman" w:hAnsi="Times New Roman" w:cs="Times New Roman"/>
          <w:b/>
          <w:bCs/>
        </w:rPr>
        <w:t>.</w:t>
      </w:r>
      <w:r w:rsidRPr="006717D4">
        <w:rPr>
          <w:rFonts w:ascii="Times New Roman" w:hAnsi="Times New Roman" w:cs="Times New Roman"/>
        </w:rPr>
        <w:t xml:space="preserve"> Scope 2 Emissions from the US Forest Products Industry in 1990, 2005, and 2020</w:t>
      </w:r>
    </w:p>
    <w:p w14:paraId="0E82309C" w14:textId="77777777" w:rsidR="00321DC2" w:rsidRPr="006717D4" w:rsidRDefault="00321DC2" w:rsidP="00321DC2">
      <w:pPr>
        <w:rPr>
          <w:rFonts w:ascii="Times New Roman" w:hAnsi="Times New Roman" w:cs="Times New Roman"/>
        </w:rPr>
      </w:pPr>
    </w:p>
    <w:p w14:paraId="338F9B14" w14:textId="1627A19C" w:rsidR="00321DC2" w:rsidRDefault="00321DC2" w:rsidP="00321DC2">
      <w:pPr>
        <w:rPr>
          <w:rFonts w:ascii="Times New Roman" w:hAnsi="Times New Roman" w:cs="Times New Roman"/>
        </w:rPr>
      </w:pPr>
      <w:r w:rsidRPr="006717D4">
        <w:rPr>
          <w:rFonts w:ascii="Times New Roman" w:hAnsi="Times New Roman" w:cs="Times New Roman"/>
        </w:rPr>
        <w:t xml:space="preserve">Reductions over time are quantified in Table </w:t>
      </w:r>
      <w:r w:rsidR="0014022A">
        <w:rPr>
          <w:rFonts w:ascii="Times New Roman" w:hAnsi="Times New Roman" w:cs="Times New Roman"/>
        </w:rPr>
        <w:t>S21</w:t>
      </w:r>
      <w:r w:rsidRPr="006717D4">
        <w:rPr>
          <w:rFonts w:ascii="Times New Roman" w:hAnsi="Times New Roman" w:cs="Times New Roman"/>
        </w:rPr>
        <w:t xml:space="preserve">. These emissions have been reduced by 43% since 1990 and 47% since 2005. Much of the reduction has been driven by reductions in the GHG intensity of purchased electricity which, in 2020, was 38% lower than in 2005. </w:t>
      </w:r>
    </w:p>
    <w:p w14:paraId="37F6CA9C" w14:textId="77777777" w:rsidR="0014022A" w:rsidRDefault="0014022A" w:rsidP="00321DC2">
      <w:pPr>
        <w:rPr>
          <w:rFonts w:ascii="Times New Roman" w:hAnsi="Times New Roman" w:cs="Times New Roman"/>
        </w:rPr>
      </w:pPr>
    </w:p>
    <w:p w14:paraId="2F92F8DF" w14:textId="77777777" w:rsidR="0014022A" w:rsidRDefault="0014022A" w:rsidP="00321DC2">
      <w:pPr>
        <w:rPr>
          <w:rFonts w:ascii="Times New Roman" w:hAnsi="Times New Roman" w:cs="Times New Roman"/>
        </w:rPr>
      </w:pPr>
    </w:p>
    <w:p w14:paraId="4F63D91B" w14:textId="77777777" w:rsidR="00F0494D" w:rsidRPr="006717D4" w:rsidRDefault="00F0494D" w:rsidP="00321DC2">
      <w:pPr>
        <w:rPr>
          <w:rFonts w:ascii="Times New Roman" w:hAnsi="Times New Roman" w:cs="Times New Roman"/>
        </w:rPr>
      </w:pPr>
    </w:p>
    <w:p w14:paraId="273D0FE8" w14:textId="4377BB00" w:rsidR="00321DC2" w:rsidRPr="006717D4" w:rsidRDefault="00321DC2" w:rsidP="00321DC2">
      <w:pPr>
        <w:jc w:val="center"/>
        <w:rPr>
          <w:rFonts w:ascii="Times New Roman" w:hAnsi="Times New Roman" w:cs="Times New Roman"/>
        </w:rPr>
      </w:pPr>
      <w:r w:rsidRPr="006717D4">
        <w:rPr>
          <w:rFonts w:ascii="Times New Roman" w:hAnsi="Times New Roman" w:cs="Times New Roman"/>
          <w:b/>
          <w:bCs/>
        </w:rPr>
        <w:lastRenderedPageBreak/>
        <w:t xml:space="preserve">Table </w:t>
      </w:r>
      <w:r w:rsidR="0014022A">
        <w:rPr>
          <w:rFonts w:ascii="Times New Roman" w:hAnsi="Times New Roman" w:cs="Times New Roman"/>
          <w:b/>
          <w:bCs/>
        </w:rPr>
        <w:t>S21</w:t>
      </w:r>
      <w:r w:rsidRPr="006717D4">
        <w:rPr>
          <w:rFonts w:ascii="Times New Roman" w:hAnsi="Times New Roman" w:cs="Times New Roman"/>
          <w:b/>
          <w:bCs/>
        </w:rPr>
        <w:t>.</w:t>
      </w:r>
      <w:r w:rsidRPr="006717D4">
        <w:rPr>
          <w:rFonts w:ascii="Times New Roman" w:hAnsi="Times New Roman" w:cs="Times New Roman"/>
        </w:rPr>
        <w:t xml:space="preserve"> Scope 2 Emissions Associated with Gross Electricity and Steam Purchases by the US Forest Products Industry</w:t>
      </w:r>
    </w:p>
    <w:tbl>
      <w:tblPr>
        <w:tblW w:w="900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06"/>
        <w:gridCol w:w="1439"/>
        <w:gridCol w:w="1083"/>
        <w:gridCol w:w="1337"/>
        <w:gridCol w:w="1638"/>
        <w:gridCol w:w="797"/>
        <w:gridCol w:w="1016"/>
        <w:gridCol w:w="1016"/>
      </w:tblGrid>
      <w:tr w:rsidR="00321DC2" w:rsidRPr="006717D4" w14:paraId="0AABEACA" w14:textId="77777777" w:rsidTr="00360B83">
        <w:trPr>
          <w:trHeight w:val="278"/>
        </w:trPr>
        <w:tc>
          <w:tcPr>
            <w:tcW w:w="806" w:type="dxa"/>
            <w:vMerge w:val="restart"/>
            <w:shd w:val="clear" w:color="auto" w:fill="D9D9D9" w:themeFill="background1" w:themeFillShade="D9"/>
            <w:vAlign w:val="bottom"/>
          </w:tcPr>
          <w:p w14:paraId="6C97EF40"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Year</w:t>
            </w:r>
          </w:p>
        </w:tc>
        <w:tc>
          <w:tcPr>
            <w:tcW w:w="8194" w:type="dxa"/>
            <w:gridSpan w:val="7"/>
            <w:shd w:val="clear" w:color="auto" w:fill="D9D9D9" w:themeFill="background1" w:themeFillShade="D9"/>
            <w:vAlign w:val="bottom"/>
          </w:tcPr>
          <w:p w14:paraId="1BC25E64"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Million Metric Tons CO</w:t>
            </w:r>
            <w:r w:rsidRPr="006717D4">
              <w:rPr>
                <w:rFonts w:ascii="Times New Roman" w:hAnsi="Times New Roman" w:cs="Times New Roman"/>
                <w:vertAlign w:val="subscript"/>
              </w:rPr>
              <w:t>2</w:t>
            </w:r>
            <w:r w:rsidRPr="006717D4">
              <w:rPr>
                <w:rFonts w:ascii="Times New Roman" w:hAnsi="Times New Roman" w:cs="Times New Roman"/>
              </w:rPr>
              <w:t>e</w:t>
            </w:r>
          </w:p>
        </w:tc>
      </w:tr>
      <w:tr w:rsidR="00321DC2" w:rsidRPr="006717D4" w14:paraId="586BDD6A" w14:textId="77777777" w:rsidTr="00360B83">
        <w:trPr>
          <w:trHeight w:val="620"/>
        </w:trPr>
        <w:tc>
          <w:tcPr>
            <w:tcW w:w="806" w:type="dxa"/>
            <w:vMerge/>
            <w:shd w:val="clear" w:color="auto" w:fill="D9D9D9" w:themeFill="background1" w:themeFillShade="D9"/>
          </w:tcPr>
          <w:p w14:paraId="005AED4D" w14:textId="77777777" w:rsidR="00321DC2" w:rsidRPr="006717D4" w:rsidRDefault="00321DC2" w:rsidP="00360B83">
            <w:pPr>
              <w:rPr>
                <w:rFonts w:ascii="Times New Roman" w:hAnsi="Times New Roman" w:cs="Times New Roman"/>
              </w:rPr>
            </w:pPr>
          </w:p>
        </w:tc>
        <w:tc>
          <w:tcPr>
            <w:tcW w:w="1439" w:type="dxa"/>
            <w:shd w:val="clear" w:color="auto" w:fill="D9D9D9" w:themeFill="background1" w:themeFillShade="D9"/>
          </w:tcPr>
          <w:p w14:paraId="3B4E5301"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Pulp, Paper, and Paperboard</w:t>
            </w:r>
          </w:p>
        </w:tc>
        <w:tc>
          <w:tcPr>
            <w:tcW w:w="1083" w:type="dxa"/>
            <w:shd w:val="clear" w:color="auto" w:fill="D9D9D9" w:themeFill="background1" w:themeFillShade="D9"/>
          </w:tcPr>
          <w:p w14:paraId="46D31166"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Wood Products</w:t>
            </w:r>
          </w:p>
        </w:tc>
        <w:tc>
          <w:tcPr>
            <w:tcW w:w="1337" w:type="dxa"/>
            <w:shd w:val="clear" w:color="auto" w:fill="D9D9D9" w:themeFill="background1" w:themeFillShade="D9"/>
          </w:tcPr>
          <w:p w14:paraId="2A4F5B96"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Converting – Paper</w:t>
            </w:r>
          </w:p>
        </w:tc>
        <w:tc>
          <w:tcPr>
            <w:tcW w:w="1638" w:type="dxa"/>
            <w:shd w:val="clear" w:color="auto" w:fill="D9D9D9" w:themeFill="background1" w:themeFillShade="D9"/>
          </w:tcPr>
          <w:p w14:paraId="417941B0"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Converting – Wood Products</w:t>
            </w:r>
          </w:p>
        </w:tc>
        <w:tc>
          <w:tcPr>
            <w:tcW w:w="797" w:type="dxa"/>
            <w:shd w:val="clear" w:color="auto" w:fill="D9D9D9" w:themeFill="background1" w:themeFillShade="D9"/>
          </w:tcPr>
          <w:p w14:paraId="63D9DF9E"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Total</w:t>
            </w:r>
          </w:p>
        </w:tc>
        <w:tc>
          <w:tcPr>
            <w:tcW w:w="950" w:type="dxa"/>
            <w:shd w:val="clear" w:color="auto" w:fill="D9D9D9" w:themeFill="background1" w:themeFillShade="D9"/>
          </w:tcPr>
          <w:p w14:paraId="386492B5"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Fraction of 1990</w:t>
            </w:r>
          </w:p>
        </w:tc>
        <w:tc>
          <w:tcPr>
            <w:tcW w:w="950" w:type="dxa"/>
            <w:shd w:val="clear" w:color="auto" w:fill="D9D9D9" w:themeFill="background1" w:themeFillShade="D9"/>
          </w:tcPr>
          <w:p w14:paraId="055CE939"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Fraction of 2005</w:t>
            </w:r>
          </w:p>
        </w:tc>
      </w:tr>
      <w:tr w:rsidR="00321DC2" w:rsidRPr="006717D4" w14:paraId="3DDB89F7" w14:textId="77777777" w:rsidTr="00360B83">
        <w:trPr>
          <w:trHeight w:val="300"/>
        </w:trPr>
        <w:tc>
          <w:tcPr>
            <w:tcW w:w="806" w:type="dxa"/>
            <w:noWrap/>
            <w:vAlign w:val="bottom"/>
            <w:hideMark/>
          </w:tcPr>
          <w:p w14:paraId="3D19FDB4"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1990</w:t>
            </w:r>
          </w:p>
        </w:tc>
        <w:tc>
          <w:tcPr>
            <w:tcW w:w="1439" w:type="dxa"/>
            <w:noWrap/>
            <w:vAlign w:val="bottom"/>
            <w:hideMark/>
          </w:tcPr>
          <w:p w14:paraId="2926C632"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32.3</w:t>
            </w:r>
          </w:p>
        </w:tc>
        <w:tc>
          <w:tcPr>
            <w:tcW w:w="1083" w:type="dxa"/>
            <w:noWrap/>
            <w:vAlign w:val="bottom"/>
            <w:hideMark/>
          </w:tcPr>
          <w:p w14:paraId="4F8E43E8"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12.6</w:t>
            </w:r>
          </w:p>
        </w:tc>
        <w:tc>
          <w:tcPr>
            <w:tcW w:w="1337" w:type="dxa"/>
            <w:noWrap/>
            <w:vAlign w:val="bottom"/>
            <w:hideMark/>
          </w:tcPr>
          <w:p w14:paraId="1FCFE9A9"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18.1</w:t>
            </w:r>
          </w:p>
        </w:tc>
        <w:tc>
          <w:tcPr>
            <w:tcW w:w="1638" w:type="dxa"/>
            <w:noWrap/>
            <w:vAlign w:val="bottom"/>
            <w:hideMark/>
          </w:tcPr>
          <w:p w14:paraId="0643ABB9"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1.0</w:t>
            </w:r>
          </w:p>
        </w:tc>
        <w:tc>
          <w:tcPr>
            <w:tcW w:w="797" w:type="dxa"/>
            <w:noWrap/>
            <w:vAlign w:val="bottom"/>
            <w:hideMark/>
          </w:tcPr>
          <w:p w14:paraId="6D1F9BF1"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64.0</w:t>
            </w:r>
          </w:p>
        </w:tc>
        <w:tc>
          <w:tcPr>
            <w:tcW w:w="950" w:type="dxa"/>
            <w:noWrap/>
            <w:vAlign w:val="bottom"/>
            <w:hideMark/>
          </w:tcPr>
          <w:p w14:paraId="70AE4E2E"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1.00</w:t>
            </w:r>
          </w:p>
        </w:tc>
        <w:tc>
          <w:tcPr>
            <w:tcW w:w="950" w:type="dxa"/>
            <w:noWrap/>
            <w:vAlign w:val="bottom"/>
            <w:hideMark/>
          </w:tcPr>
          <w:p w14:paraId="69FA2E9F" w14:textId="77777777" w:rsidR="00321DC2" w:rsidRPr="006717D4" w:rsidRDefault="00321DC2" w:rsidP="00360B83">
            <w:pPr>
              <w:jc w:val="center"/>
              <w:rPr>
                <w:rFonts w:ascii="Times New Roman" w:hAnsi="Times New Roman" w:cs="Times New Roman"/>
              </w:rPr>
            </w:pPr>
          </w:p>
        </w:tc>
      </w:tr>
      <w:tr w:rsidR="00321DC2" w:rsidRPr="006717D4" w14:paraId="22185A49" w14:textId="77777777" w:rsidTr="00360B83">
        <w:trPr>
          <w:trHeight w:val="300"/>
        </w:trPr>
        <w:tc>
          <w:tcPr>
            <w:tcW w:w="806" w:type="dxa"/>
            <w:noWrap/>
            <w:vAlign w:val="bottom"/>
            <w:hideMark/>
          </w:tcPr>
          <w:p w14:paraId="2A489A67"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2005</w:t>
            </w:r>
          </w:p>
        </w:tc>
        <w:tc>
          <w:tcPr>
            <w:tcW w:w="1439" w:type="dxa"/>
            <w:noWrap/>
            <w:vAlign w:val="bottom"/>
            <w:hideMark/>
          </w:tcPr>
          <w:p w14:paraId="3E583ACF"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33.0</w:t>
            </w:r>
          </w:p>
        </w:tc>
        <w:tc>
          <w:tcPr>
            <w:tcW w:w="1083" w:type="dxa"/>
            <w:noWrap/>
            <w:vAlign w:val="bottom"/>
            <w:hideMark/>
          </w:tcPr>
          <w:p w14:paraId="59D4E56C"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16.2</w:t>
            </w:r>
          </w:p>
        </w:tc>
        <w:tc>
          <w:tcPr>
            <w:tcW w:w="1337" w:type="dxa"/>
            <w:noWrap/>
            <w:vAlign w:val="bottom"/>
            <w:hideMark/>
          </w:tcPr>
          <w:p w14:paraId="57725259"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17.9</w:t>
            </w:r>
          </w:p>
        </w:tc>
        <w:tc>
          <w:tcPr>
            <w:tcW w:w="1638" w:type="dxa"/>
            <w:noWrap/>
            <w:vAlign w:val="bottom"/>
            <w:hideMark/>
          </w:tcPr>
          <w:p w14:paraId="57CE12AC"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1.8</w:t>
            </w:r>
          </w:p>
        </w:tc>
        <w:tc>
          <w:tcPr>
            <w:tcW w:w="797" w:type="dxa"/>
            <w:noWrap/>
            <w:vAlign w:val="bottom"/>
            <w:hideMark/>
          </w:tcPr>
          <w:p w14:paraId="17AF315F"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68.8</w:t>
            </w:r>
          </w:p>
        </w:tc>
        <w:tc>
          <w:tcPr>
            <w:tcW w:w="950" w:type="dxa"/>
            <w:noWrap/>
            <w:vAlign w:val="bottom"/>
            <w:hideMark/>
          </w:tcPr>
          <w:p w14:paraId="3705B7AB"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1.08</w:t>
            </w:r>
          </w:p>
        </w:tc>
        <w:tc>
          <w:tcPr>
            <w:tcW w:w="950" w:type="dxa"/>
            <w:noWrap/>
            <w:vAlign w:val="bottom"/>
            <w:hideMark/>
          </w:tcPr>
          <w:p w14:paraId="7163F0C3"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1.00</w:t>
            </w:r>
          </w:p>
        </w:tc>
      </w:tr>
      <w:tr w:rsidR="00321DC2" w:rsidRPr="006717D4" w14:paraId="29B698FD" w14:textId="77777777" w:rsidTr="00360B83">
        <w:trPr>
          <w:trHeight w:val="300"/>
        </w:trPr>
        <w:tc>
          <w:tcPr>
            <w:tcW w:w="806" w:type="dxa"/>
            <w:noWrap/>
            <w:vAlign w:val="bottom"/>
            <w:hideMark/>
          </w:tcPr>
          <w:p w14:paraId="1B4C564C"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2020</w:t>
            </w:r>
          </w:p>
        </w:tc>
        <w:tc>
          <w:tcPr>
            <w:tcW w:w="1439" w:type="dxa"/>
            <w:noWrap/>
            <w:vAlign w:val="bottom"/>
            <w:hideMark/>
          </w:tcPr>
          <w:p w14:paraId="5A9768CA" w14:textId="77777777" w:rsidR="00321DC2" w:rsidRPr="006717D4" w:rsidRDefault="00321DC2" w:rsidP="00360B83">
            <w:pPr>
              <w:rPr>
                <w:rFonts w:ascii="Times New Roman" w:hAnsi="Times New Roman" w:cs="Times New Roman"/>
              </w:rPr>
            </w:pPr>
            <w:r w:rsidRPr="006717D4">
              <w:rPr>
                <w:rFonts w:ascii="Times New Roman" w:hAnsi="Times New Roman" w:cs="Times New Roman"/>
              </w:rPr>
              <w:t>16.5</w:t>
            </w:r>
          </w:p>
        </w:tc>
        <w:tc>
          <w:tcPr>
            <w:tcW w:w="1083" w:type="dxa"/>
            <w:noWrap/>
            <w:vAlign w:val="bottom"/>
            <w:hideMark/>
          </w:tcPr>
          <w:p w14:paraId="7D9BFCA6"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9.2</w:t>
            </w:r>
          </w:p>
        </w:tc>
        <w:tc>
          <w:tcPr>
            <w:tcW w:w="1337" w:type="dxa"/>
            <w:noWrap/>
            <w:vAlign w:val="bottom"/>
            <w:hideMark/>
          </w:tcPr>
          <w:p w14:paraId="64386264"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9.8</w:t>
            </w:r>
          </w:p>
        </w:tc>
        <w:tc>
          <w:tcPr>
            <w:tcW w:w="1638" w:type="dxa"/>
            <w:noWrap/>
            <w:vAlign w:val="bottom"/>
            <w:hideMark/>
          </w:tcPr>
          <w:p w14:paraId="62237A5B"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0.9</w:t>
            </w:r>
          </w:p>
        </w:tc>
        <w:tc>
          <w:tcPr>
            <w:tcW w:w="797" w:type="dxa"/>
            <w:noWrap/>
            <w:vAlign w:val="bottom"/>
            <w:hideMark/>
          </w:tcPr>
          <w:p w14:paraId="0619E1B5"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36.4</w:t>
            </w:r>
          </w:p>
        </w:tc>
        <w:tc>
          <w:tcPr>
            <w:tcW w:w="950" w:type="dxa"/>
            <w:noWrap/>
            <w:vAlign w:val="bottom"/>
            <w:hideMark/>
          </w:tcPr>
          <w:p w14:paraId="29F49EC4"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0.57</w:t>
            </w:r>
          </w:p>
        </w:tc>
        <w:tc>
          <w:tcPr>
            <w:tcW w:w="950" w:type="dxa"/>
            <w:noWrap/>
            <w:vAlign w:val="bottom"/>
            <w:hideMark/>
          </w:tcPr>
          <w:p w14:paraId="287BA005" w14:textId="77777777" w:rsidR="00321DC2" w:rsidRPr="006717D4" w:rsidRDefault="00321DC2" w:rsidP="00360B83">
            <w:pPr>
              <w:jc w:val="center"/>
              <w:rPr>
                <w:rFonts w:ascii="Times New Roman" w:hAnsi="Times New Roman" w:cs="Times New Roman"/>
              </w:rPr>
            </w:pPr>
            <w:r w:rsidRPr="006717D4">
              <w:rPr>
                <w:rFonts w:ascii="Times New Roman" w:hAnsi="Times New Roman" w:cs="Times New Roman"/>
              </w:rPr>
              <w:t>0.53</w:t>
            </w:r>
          </w:p>
        </w:tc>
      </w:tr>
    </w:tbl>
    <w:p w14:paraId="5D17EC16" w14:textId="77777777" w:rsidR="00321DC2" w:rsidRDefault="00321DC2" w:rsidP="00321DC2">
      <w:pPr>
        <w:rPr>
          <w:rFonts w:ascii="Times New Roman" w:hAnsi="Times New Roman" w:cs="Times New Roman"/>
        </w:rPr>
      </w:pPr>
    </w:p>
    <w:p w14:paraId="5EED40C4" w14:textId="5CC8C5EF" w:rsidR="00321DC2" w:rsidRDefault="00321DC2" w:rsidP="00321DC2">
      <w:pPr>
        <w:spacing w:line="276" w:lineRule="auto"/>
        <w:rPr>
          <w:rFonts w:ascii="Times New Roman" w:hAnsi="Times New Roman" w:cs="Times New Roman"/>
        </w:rPr>
      </w:pPr>
    </w:p>
    <w:p w14:paraId="0F92B257" w14:textId="62EE77B4" w:rsidR="00321DC2" w:rsidRPr="002D10B0" w:rsidRDefault="00321DC2" w:rsidP="00632FC1">
      <w:pPr>
        <w:pStyle w:val="Heading1"/>
        <w:rPr>
          <w:rFonts w:ascii="Times New Roman" w:hAnsi="Times New Roman" w:cs="Times New Roman"/>
          <w:b/>
          <w:bCs/>
          <w:color w:val="auto"/>
          <w:sz w:val="24"/>
          <w:szCs w:val="24"/>
        </w:rPr>
      </w:pPr>
      <w:bookmarkStart w:id="62" w:name="_Toc215829615"/>
      <w:r w:rsidRPr="002D10B0">
        <w:rPr>
          <w:rFonts w:ascii="Times New Roman" w:hAnsi="Times New Roman" w:cs="Times New Roman"/>
          <w:b/>
          <w:bCs/>
          <w:color w:val="auto"/>
          <w:sz w:val="24"/>
          <w:szCs w:val="24"/>
        </w:rPr>
        <w:t>S</w:t>
      </w:r>
      <w:r w:rsidR="002D10B0" w:rsidRPr="002D10B0">
        <w:rPr>
          <w:rFonts w:ascii="Times New Roman" w:hAnsi="Times New Roman" w:cs="Times New Roman"/>
          <w:b/>
          <w:bCs/>
          <w:color w:val="auto"/>
          <w:sz w:val="24"/>
          <w:szCs w:val="24"/>
        </w:rPr>
        <w:t xml:space="preserve">COPE </w:t>
      </w:r>
      <w:r w:rsidRPr="002D10B0">
        <w:rPr>
          <w:rFonts w:ascii="Times New Roman" w:hAnsi="Times New Roman" w:cs="Times New Roman"/>
          <w:b/>
          <w:bCs/>
          <w:color w:val="auto"/>
          <w:sz w:val="24"/>
          <w:szCs w:val="24"/>
        </w:rPr>
        <w:t>3 I</w:t>
      </w:r>
      <w:r w:rsidR="002D10B0" w:rsidRPr="002D10B0">
        <w:rPr>
          <w:rFonts w:ascii="Times New Roman" w:hAnsi="Times New Roman" w:cs="Times New Roman"/>
          <w:b/>
          <w:bCs/>
          <w:color w:val="auto"/>
          <w:sz w:val="24"/>
          <w:szCs w:val="24"/>
        </w:rPr>
        <w:t xml:space="preserve">NDIRECT </w:t>
      </w:r>
      <w:r w:rsidRPr="002D10B0">
        <w:rPr>
          <w:rFonts w:ascii="Times New Roman" w:hAnsi="Times New Roman" w:cs="Times New Roman"/>
          <w:b/>
          <w:bCs/>
          <w:color w:val="auto"/>
          <w:sz w:val="24"/>
          <w:szCs w:val="24"/>
        </w:rPr>
        <w:t>E</w:t>
      </w:r>
      <w:r w:rsidR="002D10B0" w:rsidRPr="002D10B0">
        <w:rPr>
          <w:rFonts w:ascii="Times New Roman" w:hAnsi="Times New Roman" w:cs="Times New Roman"/>
          <w:b/>
          <w:bCs/>
          <w:color w:val="auto"/>
          <w:sz w:val="24"/>
          <w:szCs w:val="24"/>
        </w:rPr>
        <w:t>MISSIONS</w:t>
      </w:r>
      <w:r w:rsidRPr="002D10B0">
        <w:rPr>
          <w:rFonts w:ascii="Times New Roman" w:hAnsi="Times New Roman" w:cs="Times New Roman"/>
          <w:b/>
          <w:bCs/>
          <w:color w:val="auto"/>
          <w:sz w:val="24"/>
          <w:szCs w:val="24"/>
        </w:rPr>
        <w:t xml:space="preserve"> A</w:t>
      </w:r>
      <w:r w:rsidR="002D10B0" w:rsidRPr="002D10B0">
        <w:rPr>
          <w:rFonts w:ascii="Times New Roman" w:hAnsi="Times New Roman" w:cs="Times New Roman"/>
          <w:b/>
          <w:bCs/>
          <w:color w:val="auto"/>
          <w:sz w:val="24"/>
          <w:szCs w:val="24"/>
        </w:rPr>
        <w:t>SSOCIATED WITH</w:t>
      </w:r>
      <w:r w:rsidRPr="002D10B0">
        <w:rPr>
          <w:rFonts w:ascii="Times New Roman" w:hAnsi="Times New Roman" w:cs="Times New Roman"/>
          <w:b/>
          <w:bCs/>
          <w:color w:val="auto"/>
          <w:sz w:val="24"/>
          <w:szCs w:val="24"/>
        </w:rPr>
        <w:t xml:space="preserve"> P</w:t>
      </w:r>
      <w:r w:rsidR="002D10B0" w:rsidRPr="002D10B0">
        <w:rPr>
          <w:rFonts w:ascii="Times New Roman" w:hAnsi="Times New Roman" w:cs="Times New Roman"/>
          <w:b/>
          <w:bCs/>
          <w:color w:val="auto"/>
          <w:sz w:val="24"/>
          <w:szCs w:val="24"/>
        </w:rPr>
        <w:t xml:space="preserve">URCHASED </w:t>
      </w:r>
      <w:r w:rsidRPr="002D10B0">
        <w:rPr>
          <w:rFonts w:ascii="Times New Roman" w:hAnsi="Times New Roman" w:cs="Times New Roman"/>
          <w:b/>
          <w:bCs/>
          <w:color w:val="auto"/>
          <w:sz w:val="24"/>
          <w:szCs w:val="24"/>
        </w:rPr>
        <w:t>E</w:t>
      </w:r>
      <w:r w:rsidR="002D10B0" w:rsidRPr="002D10B0">
        <w:rPr>
          <w:rFonts w:ascii="Times New Roman" w:hAnsi="Times New Roman" w:cs="Times New Roman"/>
          <w:b/>
          <w:bCs/>
          <w:color w:val="auto"/>
          <w:sz w:val="24"/>
          <w:szCs w:val="24"/>
        </w:rPr>
        <w:t xml:space="preserve">LECTRICITY AND </w:t>
      </w:r>
      <w:r w:rsidRPr="002D10B0">
        <w:rPr>
          <w:rFonts w:ascii="Times New Roman" w:hAnsi="Times New Roman" w:cs="Times New Roman"/>
          <w:b/>
          <w:bCs/>
          <w:color w:val="auto"/>
          <w:sz w:val="24"/>
          <w:szCs w:val="24"/>
        </w:rPr>
        <w:t>S</w:t>
      </w:r>
      <w:r w:rsidR="002D10B0" w:rsidRPr="002D10B0">
        <w:rPr>
          <w:rFonts w:ascii="Times New Roman" w:hAnsi="Times New Roman" w:cs="Times New Roman"/>
          <w:b/>
          <w:bCs/>
          <w:color w:val="auto"/>
          <w:sz w:val="24"/>
          <w:szCs w:val="24"/>
        </w:rPr>
        <w:t>TEAM</w:t>
      </w:r>
      <w:bookmarkEnd w:id="62"/>
    </w:p>
    <w:p w14:paraId="09D05E65" w14:textId="0DEF1AED" w:rsidR="00321DC2" w:rsidRPr="00D64734" w:rsidRDefault="00321DC2" w:rsidP="00321DC2">
      <w:pPr>
        <w:rPr>
          <w:rFonts w:ascii="Times New Roman" w:hAnsi="Times New Roman" w:cs="Times New Roman"/>
        </w:rPr>
      </w:pPr>
      <w:r w:rsidRPr="00D64734">
        <w:rPr>
          <w:rFonts w:ascii="Times New Roman" w:hAnsi="Times New Roman" w:cs="Times New Roman"/>
        </w:rPr>
        <w:t>Emissions in 1990, 2005, and 2020 associated with upstream processes involved in producing purchased electricity were estimated using data from the National Renewable Energy Laboratory (NREL) on the ongoing upstream GHG emissions attributable to different types of power</w:t>
      </w:r>
      <w:r>
        <w:rPr>
          <w:rFonts w:ascii="Times New Roman" w:hAnsi="Times New Roman" w:cs="Times New Roman"/>
        </w:rPr>
        <w:t xml:space="preserv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{"citationID":"9sEZwJJj","properties":{"formattedCitation":"\\super 27\\nosupersub{}","plainCitation":"27","noteIndex":0},"citationItems":[{"id":21,"uris":["http://zotero.org/users/18184231/items/FUZBLC54"],"itemData":{"id":21,"type":"report","language":"en","publisher":"National Renewable Energy Laboratory (NREL)","source":"Zotero","title":"Life Cycle Greenhouse Gas Emissions from Electricity Generation: Update","author":[{"family":"National Renewable Energy Laboratory (NREL)","given":""}],"issued":{"date-parts":[["2021"]]}}}],"schema":"https://github.com/citation-style-language/schema/raw/master/csl-citation.json"}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27</w:t>
      </w:r>
      <w:r>
        <w:rPr>
          <w:rFonts w:ascii="Times New Roman" w:hAnsi="Times New Roman" w:cs="Times New Roman"/>
        </w:rPr>
        <w:fldChar w:fldCharType="end"/>
      </w:r>
      <w:r w:rsidRPr="00D64734">
        <w:rPr>
          <w:rFonts w:ascii="Times New Roman" w:hAnsi="Times New Roman" w:cs="Times New Roman"/>
        </w:rPr>
        <w:t xml:space="preserve"> and information on the composition of the grid, as reported by </w:t>
      </w:r>
      <w:proofErr w:type="spellStart"/>
      <w:r w:rsidRPr="00D64734">
        <w:rPr>
          <w:rFonts w:ascii="Times New Roman" w:hAnsi="Times New Roman" w:cs="Times New Roman"/>
        </w:rPr>
        <w:t>eGRID</w:t>
      </w:r>
      <w:proofErr w:type="spellEnd"/>
      <w:r w:rsidRPr="00D64734">
        <w:rPr>
          <w:rFonts w:ascii="Times New Roman" w:hAnsi="Times New Roman" w:cs="Times New Roman"/>
        </w:rPr>
        <w:t xml:space="preserve"> </w:t>
      </w:r>
      <w:r>
        <w:rPr>
          <w:rFonts w:ascii="Times New Roman" w:hAnsi="Times New Roman" w:cs="Times New Roman"/>
        </w:rPr>
        <w:fldChar w:fldCharType="begin"/>
      </w:r>
      <w:r w:rsidR="00AE2CDA">
        <w:rPr>
          <w:rFonts w:ascii="Times New Roman" w:hAnsi="Times New Roman" w:cs="Times New Roman"/>
        </w:rPr>
        <w:instrText xml:space="preserve"> ADDIN ZOTERO_ITEM CSL_CITATION {"citationID":"h6j8w7Zk","properties":{"formattedCitation":"\\super 13\\nosupersub{}","plainCitation":"13","noteIndex":0},"citationItems":[{"id":61,"uris":["http://zotero.org/users/18184231/items/JWYACEVL"],"itemData":{"id":61,"type":"webpage","abstract":"Data about the electric power generated in the United States. The data includes air emissions for nitrogen oxides, sulfur dioxide, carbon dioxide, methane, and nitrous oxide; emissions rates; net generation; resource mix; and and many other attributes.","genre":"Collections and Lists","language":"en","title":"Emissions &amp; Generation Resource Integrated Database (eGRID)","URL":"https://www.epa.gov/egrid","author":[{"family":"United States Environmental Protection Agency (EPA)","given":""}],"accessed":{"date-parts":[["2025",9,25]]},"issued":{"date-parts":[["2020",7,27]]}}}],"schema":"https://github.com/citation-style-language/schema/raw/master/csl-citation.json"} </w:instrText>
      </w:r>
      <w:r>
        <w:rPr>
          <w:rFonts w:ascii="Times New Roman" w:hAnsi="Times New Roman" w:cs="Times New Roman"/>
        </w:rPr>
        <w:fldChar w:fldCharType="separate"/>
      </w:r>
      <w:r w:rsidR="00AE2CDA" w:rsidRPr="00AE2CDA">
        <w:rPr>
          <w:rFonts w:ascii="Times New Roman" w:hAnsi="Times New Roman" w:cs="Times New Roman"/>
          <w:kern w:val="0"/>
          <w:vertAlign w:val="superscript"/>
        </w:rPr>
        <w:t>13</w:t>
      </w:r>
      <w:r>
        <w:rPr>
          <w:rFonts w:ascii="Times New Roman" w:hAnsi="Times New Roman" w:cs="Times New Roman"/>
        </w:rPr>
        <w:fldChar w:fldCharType="end"/>
      </w:r>
    </w:p>
    <w:p w14:paraId="19C1F14E" w14:textId="0D7A4361" w:rsidR="00321DC2" w:rsidRPr="00D64734" w:rsidRDefault="00321DC2" w:rsidP="00321DC2">
      <w:pPr>
        <w:rPr>
          <w:rFonts w:ascii="Times New Roman" w:hAnsi="Times New Roman" w:cs="Times New Roman"/>
        </w:rPr>
      </w:pPr>
      <w:r w:rsidRPr="00D64734">
        <w:rPr>
          <w:rFonts w:ascii="Times New Roman" w:hAnsi="Times New Roman" w:cs="Times New Roman"/>
        </w:rPr>
        <w:t xml:space="preserve">Although the NREL fact sheet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{"citationID":"OyRmQ4H6","properties":{"formattedCitation":"\\super 27\\nosupersub{}","plainCitation":"27","noteIndex":0},"citationItems":[{"id":21,"uris":["http://zotero.org/users/18184231/items/FUZBLC54"],"itemData":{"id":21,"type":"report","language":"en","publisher":"National Renewable Energy Laboratory (NREL)","source":"Zotero","title":"Life Cycle Greenhouse Gas Emissions from Electricity Generation: Update","author":[{"family":"National Renewable Energy Laboratory (NREL)","given":""}],"issued":{"date-parts":[["2021"]]}}}],"schema":"https://github.com/citation-style-language/schema/raw/master/csl-citation.json"}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27</w:t>
      </w:r>
      <w:r>
        <w:rPr>
          <w:rFonts w:ascii="Times New Roman" w:hAnsi="Times New Roman" w:cs="Times New Roman"/>
        </w:rPr>
        <w:fldChar w:fldCharType="end"/>
      </w:r>
      <w:r>
        <w:rPr>
          <w:rFonts w:ascii="Times New Roman" w:hAnsi="Times New Roman" w:cs="Times New Roman"/>
        </w:rPr>
        <w:t xml:space="preserve"> </w:t>
      </w:r>
      <w:r w:rsidRPr="00D64734">
        <w:rPr>
          <w:rFonts w:ascii="Times New Roman" w:hAnsi="Times New Roman" w:cs="Times New Roman"/>
        </w:rPr>
        <w:t xml:space="preserve">suggests that its factors include transport emissions, the underlying literature source </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{"citationID":"oBdxKySd","properties":{"formattedCitation":"\\super 28\\nosupersub{}","plainCitation":"28","noteIndex":0},"citationItems":[{"id":161,"uris":["http://zotero.org/users/18184231/items/4M7G2VY3"],"itemData":{"id":161,"type":"article-journal","abstract":"This systematic review and harmonization of life cycle assessments (LCAs) of utility-scale coal-fired electricity generation systems focuses on reducing variability and clarifying central tendencies in estimates of life cycle greenhouse gas (GHG) emissions. Screening 270 references for quality LCA methods, transparency, and completeness yielded 53 that reported 164 estimates of life cycle GHG emissions. These estimates for subcritical pulverized, integrated gasification combined cycle, fluidized bed, and supercritical pulverized coal combustion technologies vary from 675 to 1,689 grams CO2-equivalent per kilowatt-hour (g CO2-eq/kWh) (interquartile range [IQR]= 890–1,130 g CO2-eq/kWh; median = 1,001) leading to confusion over reasonable estimates of life cycle GHG emissions from coal-fired electricity generation. By adjusting published estimates to common gross system boundaries and consistent values for key operational input parameters (most importantly, combustion carbon dioxide emission factor [CEF]), the meta-analytical process called harmonization clarifies the existing literature in ways useful for decision makers and analysts by significantly reducing the variability of estimates (−53% in IQR magnitude) while maintaining a nearly constant central tendency (−2.2% in median). Life cycle GHG emissions of a specific power plant depend on many factors and can differ from the generic estimates generated by the harmonization approach, but the tightness of distribution of harmonized estimates across several key coal combustion technologies implies, for some purposes, first-order estimates of life cycle GHG emissions could be based on knowledge of the technology type, coal mine emissions, thermal efficiency, and CEF alone without requiring full LCAs. Areas where new research is necessary to ensure accuracy are also discussed.","container-title":"Journal of Industrial Ecology","DOI":"10.1111/j.1530-9290.2012.00465.x","ISSN":"1530-9290","issue":"s1","language":"en","note":"_eprint: https://onlinelibrary.wiley.com/doi/pdf/10.1111/j.1530-9290.2012.00465.x","page":"S53-S72","source":"Wiley Online Library","title":"Life Cycle Greenhouse Gas Emissions of Coal-Fired Electricity Generation","volume":"16","author":[{"family":"Whitaker","given":"Michael"},{"family":"Heath","given":"Garvin A."},{"family":"O’Donoughue","given":"Patrick"},{"family":"Vorum","given":"Martin"}],"issued":{"date-parts":[["2012"]]}}}],"schema":"https://github.com/citation-style-language/schema/raw/master/csl-citation.json"}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28</w:t>
      </w:r>
      <w:r>
        <w:rPr>
          <w:rFonts w:ascii="Times New Roman" w:hAnsi="Times New Roman" w:cs="Times New Roman"/>
        </w:rPr>
        <w:fldChar w:fldCharType="end"/>
      </w:r>
      <w:r>
        <w:rPr>
          <w:rFonts w:ascii="Times New Roman" w:hAnsi="Times New Roman" w:cs="Times New Roman"/>
        </w:rPr>
        <w:t xml:space="preserve"> </w:t>
      </w:r>
      <w:r w:rsidRPr="00D64734">
        <w:rPr>
          <w:rFonts w:ascii="Times New Roman" w:hAnsi="Times New Roman" w:cs="Times New Roman"/>
        </w:rPr>
        <w:t xml:space="preserve">indicates that transport is not included in the factors. </w:t>
      </w:r>
      <w:r>
        <w:rPr>
          <w:rFonts w:ascii="Times New Roman" w:hAnsi="Times New Roman" w:cs="Times New Roman"/>
        </w:rPr>
        <w:t xml:space="preserve">That source also </w:t>
      </w:r>
      <w:r w:rsidRPr="00D64734">
        <w:rPr>
          <w:rFonts w:ascii="Times New Roman" w:hAnsi="Times New Roman" w:cs="Times New Roman"/>
        </w:rPr>
        <w:t>indicate</w:t>
      </w:r>
      <w:r>
        <w:rPr>
          <w:rFonts w:ascii="Times New Roman" w:hAnsi="Times New Roman" w:cs="Times New Roman"/>
        </w:rPr>
        <w:t>s</w:t>
      </w:r>
      <w:r w:rsidRPr="00D64734">
        <w:rPr>
          <w:rFonts w:ascii="Times New Roman" w:hAnsi="Times New Roman" w:cs="Times New Roman"/>
        </w:rPr>
        <w:t xml:space="preserve"> that where transport is included, it typically adds 3 to 5% to life cycle coal-based electricity emissions.</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{"citationID":"3qjWgABn","properties":{"formattedCitation":"\\super 28\\nosupersub{}","plainCitation":"28","noteIndex":0},"citationItems":[{"id":161,"uris":["http://zotero.org/users/18184231/items/4M7G2VY3"],"itemData":{"id":161,"type":"article-journal","abstract":"This systematic review and harmonization of life cycle assessments (LCAs) of utility-scale coal-fired electricity generation systems focuses on reducing variability and clarifying central tendencies in estimates of life cycle greenhouse gas (GHG) emissions. Screening 270 references for quality LCA methods, transparency, and completeness yielded 53 that reported 164 estimates of life cycle GHG emissions. These estimates for subcritical pulverized, integrated gasification combined cycle, fluidized bed, and supercritical pulverized coal combustion technologies vary from 675 to 1,689 grams CO2-equivalent per kilowatt-hour (g CO2-eq/kWh) (interquartile range [IQR]= 890–1,130 g CO2-eq/kWh; median = 1,001) leading to confusion over reasonable estimates of life cycle GHG emissions from coal-fired electricity generation. By adjusting published estimates to common gross system boundaries and consistent values for key operational input parameters (most importantly, combustion carbon dioxide emission factor [CEF]), the meta-analytical process called harmonization clarifies the existing literature in ways useful for decision makers and analysts by significantly reducing the variability of estimates (−53% in IQR magnitude) while maintaining a nearly constant central tendency (−2.2% in median). Life cycle GHG emissions of a specific power plant depend on many factors and can differ from the generic estimates generated by the harmonization approach, but the tightness of distribution of harmonized estimates across several key coal combustion technologies implies, for some purposes, first-order estimates of life cycle GHG emissions could be based on knowledge of the technology type, coal mine emissions, thermal efficiency, and CEF alone without requiring full LCAs. Areas where new research is necessary to ensure accuracy are also discussed.","container-title":"Journal of Industrial Ecology","DOI":"10.1111/j.1530-9290.2012.00465.x","ISSN":"1530-9290","issue":"s1","language":"en","note":"_eprint: https://onlinelibrary.wiley.com/doi/pdf/10.1111/j.1530-9290.2012.00465.x","page":"S53-S72","source":"Wiley Online Library","title":"Life Cycle Greenhouse Gas Emissions of Coal-Fired Electricity Generation","volume":"16","author":[{"family":"Whitaker","given":"Michael"},{"family":"Heath","given":"Garvin A."},{"family":"O’Donoughue","given":"Patrick"},{"family":"Vorum","given":"Martin"}],"issued":{"date-parts":[["2012"]]}}}],"schema":"https://github.com/citation-style-language/schema/raw/master/csl-citation.json"}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28</w:t>
      </w:r>
      <w:r>
        <w:rPr>
          <w:rFonts w:ascii="Times New Roman" w:hAnsi="Times New Roman" w:cs="Times New Roman"/>
        </w:rPr>
        <w:fldChar w:fldCharType="end"/>
      </w:r>
      <w:r w:rsidRPr="00D64734">
        <w:rPr>
          <w:rFonts w:ascii="Times New Roman" w:hAnsi="Times New Roman" w:cs="Times New Roman"/>
        </w:rPr>
        <w:t xml:space="preserve"> The NREL fact sheet indicates that these life cycle emissions are about 1,000 gmCO</w:t>
      </w:r>
      <w:r w:rsidRPr="00D64734">
        <w:rPr>
          <w:rFonts w:ascii="Times New Roman" w:hAnsi="Times New Roman" w:cs="Times New Roman"/>
          <w:vertAlign w:val="subscript"/>
        </w:rPr>
        <w:t>2</w:t>
      </w:r>
      <w:r w:rsidRPr="00D64734">
        <w:rPr>
          <w:rFonts w:ascii="Times New Roman" w:hAnsi="Times New Roman" w:cs="Times New Roman"/>
        </w:rPr>
        <w:t>e/kWh, and therefore, the factor used for coal and oil in the NREL study was increased by 40 gmCO</w:t>
      </w:r>
      <w:r w:rsidRPr="00D64734">
        <w:rPr>
          <w:rFonts w:ascii="Times New Roman" w:hAnsi="Times New Roman" w:cs="Times New Roman"/>
          <w:vertAlign w:val="subscript"/>
        </w:rPr>
        <w:t>2</w:t>
      </w:r>
      <w:r w:rsidRPr="00D64734">
        <w:rPr>
          <w:rFonts w:ascii="Times New Roman" w:hAnsi="Times New Roman" w:cs="Times New Roman"/>
        </w:rPr>
        <w:t>e/kWh (i.e., from 10 to 50 gCmO</w:t>
      </w:r>
      <w:r w:rsidRPr="00D64734">
        <w:rPr>
          <w:rFonts w:ascii="Times New Roman" w:hAnsi="Times New Roman" w:cs="Times New Roman"/>
          <w:vertAlign w:val="subscript"/>
        </w:rPr>
        <w:t>2</w:t>
      </w:r>
      <w:r w:rsidRPr="00D64734">
        <w:rPr>
          <w:rFonts w:ascii="Times New Roman" w:hAnsi="Times New Roman" w:cs="Times New Roman"/>
        </w:rPr>
        <w:t xml:space="preserve">e/kWh). Emissions in 1990 were estimated </w:t>
      </w:r>
      <w:proofErr w:type="gramStart"/>
      <w:r w:rsidRPr="00D64734">
        <w:rPr>
          <w:rFonts w:ascii="Times New Roman" w:hAnsi="Times New Roman" w:cs="Times New Roman"/>
        </w:rPr>
        <w:t>using</w:t>
      </w:r>
      <w:proofErr w:type="gramEnd"/>
      <w:r w:rsidRPr="00D64734">
        <w:rPr>
          <w:rFonts w:ascii="Times New Roman" w:hAnsi="Times New Roman" w:cs="Times New Roman"/>
        </w:rPr>
        <w:t xml:space="preserve"> </w:t>
      </w:r>
      <w:proofErr w:type="spellStart"/>
      <w:r w:rsidRPr="00D64734">
        <w:rPr>
          <w:rFonts w:ascii="Times New Roman" w:hAnsi="Times New Roman" w:cs="Times New Roman"/>
        </w:rPr>
        <w:t>eGRID</w:t>
      </w:r>
      <w:proofErr w:type="spellEnd"/>
      <w:r w:rsidRPr="00D64734">
        <w:rPr>
          <w:rFonts w:ascii="Times New Roman" w:hAnsi="Times New Roman" w:cs="Times New Roman"/>
        </w:rPr>
        <w:t xml:space="preserve"> data for 1996, the earliest data in </w:t>
      </w:r>
      <w:proofErr w:type="spellStart"/>
      <w:r w:rsidRPr="00D64734">
        <w:rPr>
          <w:rFonts w:ascii="Times New Roman" w:hAnsi="Times New Roman" w:cs="Times New Roman"/>
        </w:rPr>
        <w:t>eGRID</w:t>
      </w:r>
      <w:proofErr w:type="spellEnd"/>
      <w:r w:rsidRPr="00D64734">
        <w:rPr>
          <w:rFonts w:ascii="Times New Roman" w:hAnsi="Times New Roman" w:cs="Times New Roman"/>
        </w:rPr>
        <w:t xml:space="preserve">. The NREL fact sheet does not include a factor for </w:t>
      </w:r>
      <w:proofErr w:type="gramStart"/>
      <w:r w:rsidRPr="00D64734">
        <w:rPr>
          <w:rFonts w:ascii="Times New Roman" w:hAnsi="Times New Roman" w:cs="Times New Roman"/>
        </w:rPr>
        <w:t>biomass,</w:t>
      </w:r>
      <w:proofErr w:type="gramEnd"/>
      <w:r w:rsidRPr="00D64734">
        <w:rPr>
          <w:rFonts w:ascii="Times New Roman" w:hAnsi="Times New Roman" w:cs="Times New Roman"/>
        </w:rPr>
        <w:t xml:space="preserve"> thus the effects of biomass were investigated by varying the factor for biomass from zero up to the value for coal. This range did not </w:t>
      </w:r>
      <w:proofErr w:type="gramStart"/>
      <w:r w:rsidRPr="00D64734">
        <w:rPr>
          <w:rFonts w:ascii="Times New Roman" w:hAnsi="Times New Roman" w:cs="Times New Roman"/>
        </w:rPr>
        <w:t>impact</w:t>
      </w:r>
      <w:proofErr w:type="gramEnd"/>
      <w:r w:rsidRPr="00D64734">
        <w:rPr>
          <w:rFonts w:ascii="Times New Roman" w:hAnsi="Times New Roman" w:cs="Times New Roman"/>
        </w:rPr>
        <w:t xml:space="preserve"> the overall Scope 3 factor within two significant figures. The Scope 3 factors from NREL are shown in Table </w:t>
      </w:r>
      <w:r w:rsidR="002319E1">
        <w:rPr>
          <w:rFonts w:ascii="Times New Roman" w:hAnsi="Times New Roman" w:cs="Times New Roman"/>
        </w:rPr>
        <w:t>S22</w:t>
      </w:r>
      <w:r w:rsidRPr="00D64734">
        <w:rPr>
          <w:rFonts w:ascii="Times New Roman" w:hAnsi="Times New Roman" w:cs="Times New Roman"/>
        </w:rPr>
        <w:t xml:space="preserve">, while the composition of the grid is shown in Table </w:t>
      </w:r>
      <w:r w:rsidR="002319E1">
        <w:rPr>
          <w:rFonts w:ascii="Times New Roman" w:hAnsi="Times New Roman" w:cs="Times New Roman"/>
        </w:rPr>
        <w:t>S23</w:t>
      </w:r>
      <w:r w:rsidRPr="00D64734">
        <w:rPr>
          <w:rFonts w:ascii="Times New Roman" w:hAnsi="Times New Roman" w:cs="Times New Roman"/>
        </w:rPr>
        <w:t xml:space="preserve">. The resulting Scope 3 factors based on the composition of the grid are shown in Table </w:t>
      </w:r>
      <w:r w:rsidR="002319E1">
        <w:rPr>
          <w:rFonts w:ascii="Times New Roman" w:hAnsi="Times New Roman" w:cs="Times New Roman"/>
        </w:rPr>
        <w:t>S24</w:t>
      </w:r>
      <w:r w:rsidRPr="00D64734">
        <w:rPr>
          <w:rFonts w:ascii="Times New Roman" w:hAnsi="Times New Roman" w:cs="Times New Roman"/>
        </w:rPr>
        <w:t xml:space="preserve">. </w:t>
      </w:r>
    </w:p>
    <w:p w14:paraId="4053020C" w14:textId="77777777" w:rsidR="00321DC2" w:rsidRDefault="00321DC2" w:rsidP="00321DC2">
      <w:pPr>
        <w:rPr>
          <w:rFonts w:ascii="Times New Roman" w:hAnsi="Times New Roman" w:cs="Times New Roman"/>
        </w:rPr>
      </w:pPr>
    </w:p>
    <w:p w14:paraId="39BF8230" w14:textId="77777777" w:rsidR="002319E1" w:rsidRDefault="002319E1" w:rsidP="00321DC2">
      <w:pPr>
        <w:rPr>
          <w:rFonts w:ascii="Times New Roman" w:hAnsi="Times New Roman" w:cs="Times New Roman"/>
        </w:rPr>
      </w:pPr>
    </w:p>
    <w:p w14:paraId="22DFCBE6" w14:textId="77777777" w:rsidR="002319E1" w:rsidRDefault="002319E1" w:rsidP="00321DC2">
      <w:pPr>
        <w:rPr>
          <w:rFonts w:ascii="Times New Roman" w:hAnsi="Times New Roman" w:cs="Times New Roman"/>
        </w:rPr>
      </w:pPr>
    </w:p>
    <w:p w14:paraId="0E07FC7A" w14:textId="77777777" w:rsidR="002319E1" w:rsidRPr="00D64734" w:rsidRDefault="002319E1" w:rsidP="00321DC2">
      <w:pPr>
        <w:rPr>
          <w:rFonts w:ascii="Times New Roman" w:hAnsi="Times New Roman" w:cs="Times New Roman"/>
        </w:rPr>
      </w:pPr>
    </w:p>
    <w:p w14:paraId="4B824F7D" w14:textId="7EBE8115" w:rsidR="00321DC2" w:rsidRPr="00D64734" w:rsidRDefault="00321DC2" w:rsidP="00321DC2">
      <w:pPr>
        <w:jc w:val="center"/>
        <w:rPr>
          <w:rFonts w:ascii="Times New Roman" w:hAnsi="Times New Roman" w:cs="Times New Roman"/>
        </w:rPr>
      </w:pPr>
      <w:r w:rsidRPr="00D64734">
        <w:rPr>
          <w:rFonts w:ascii="Times New Roman" w:hAnsi="Times New Roman" w:cs="Times New Roman"/>
          <w:b/>
          <w:bCs/>
        </w:rPr>
        <w:lastRenderedPageBreak/>
        <w:t xml:space="preserve">Table </w:t>
      </w:r>
      <w:r w:rsidR="002319E1">
        <w:rPr>
          <w:rFonts w:ascii="Times New Roman" w:hAnsi="Times New Roman" w:cs="Times New Roman"/>
          <w:b/>
          <w:bCs/>
        </w:rPr>
        <w:t>S22</w:t>
      </w:r>
      <w:r w:rsidRPr="00D64734">
        <w:rPr>
          <w:rFonts w:ascii="Times New Roman" w:hAnsi="Times New Roman" w:cs="Times New Roman"/>
          <w:b/>
          <w:bCs/>
        </w:rPr>
        <w:t>.</w:t>
      </w:r>
      <w:r w:rsidRPr="00D64734">
        <w:rPr>
          <w:rFonts w:ascii="Times New Roman" w:hAnsi="Times New Roman" w:cs="Times New Roman"/>
        </w:rPr>
        <w:t xml:space="preserve"> Ongoing Scope 3 Emissions Associated with Producing Electricity</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{"citationID":"yL4IZvm5","properties":{"formattedCitation":"\\super 27\\nosupersub{}","plainCitation":"27","noteIndex":0},"citationItems":[{"id":21,"uris":["http://zotero.org/users/18184231/items/FUZBLC54"],"itemData":{"id":21,"type":"report","language":"en","publisher":"National Renewable Energy Laboratory (NREL)","source":"Zotero","title":"Life Cycle Greenhouse Gas Emissions from Electricity Generation: Update","author":[{"family":"National Renewable Energy Laboratory (NREL)","given":""}],"issued":{"date-parts":[["2021"]]}}}],"schema":"https://github.com/citation-style-language/schema/raw/master/csl-citation.json"}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27</w:t>
      </w:r>
      <w:r>
        <w:rPr>
          <w:rFonts w:ascii="Times New Roman" w:hAnsi="Times New Roman" w:cs="Times New Roman"/>
        </w:rPr>
        <w:fldChar w:fldCharType="end"/>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337"/>
        <w:gridCol w:w="4678"/>
      </w:tblGrid>
      <w:tr w:rsidR="00321DC2" w:rsidRPr="00D64734" w14:paraId="79701760" w14:textId="77777777" w:rsidTr="00360B83">
        <w:trPr>
          <w:jc w:val="center"/>
        </w:trPr>
        <w:tc>
          <w:tcPr>
            <w:tcW w:w="2337" w:type="dxa"/>
            <w:shd w:val="clear" w:color="auto" w:fill="D9D9D9" w:themeFill="background1" w:themeFillShade="D9"/>
          </w:tcPr>
          <w:p w14:paraId="6130530A"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Type of Generation</w:t>
            </w:r>
          </w:p>
        </w:tc>
        <w:tc>
          <w:tcPr>
            <w:tcW w:w="4678" w:type="dxa"/>
            <w:shd w:val="clear" w:color="auto" w:fill="D9D9D9" w:themeFill="background1" w:themeFillShade="D9"/>
          </w:tcPr>
          <w:p w14:paraId="15EE7E4D"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Ongoing Upstream Emissions, gm CO</w:t>
            </w:r>
            <w:r w:rsidRPr="00D64734">
              <w:rPr>
                <w:rFonts w:ascii="Times New Roman" w:hAnsi="Times New Roman" w:cs="Times New Roman"/>
                <w:vertAlign w:val="subscript"/>
              </w:rPr>
              <w:t>2</w:t>
            </w:r>
            <w:r w:rsidRPr="00D64734">
              <w:rPr>
                <w:rFonts w:ascii="Times New Roman" w:hAnsi="Times New Roman" w:cs="Times New Roman"/>
              </w:rPr>
              <w:t>e/kwh</w:t>
            </w:r>
          </w:p>
        </w:tc>
      </w:tr>
      <w:tr w:rsidR="00321DC2" w:rsidRPr="00D64734" w14:paraId="61237AC8" w14:textId="77777777" w:rsidTr="00360B83">
        <w:trPr>
          <w:jc w:val="center"/>
        </w:trPr>
        <w:tc>
          <w:tcPr>
            <w:tcW w:w="2337" w:type="dxa"/>
          </w:tcPr>
          <w:p w14:paraId="5C3DC20C"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Natural gas</w:t>
            </w:r>
          </w:p>
        </w:tc>
        <w:tc>
          <w:tcPr>
            <w:tcW w:w="4678" w:type="dxa"/>
          </w:tcPr>
          <w:p w14:paraId="484A3015"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71</w:t>
            </w:r>
          </w:p>
        </w:tc>
      </w:tr>
      <w:tr w:rsidR="00321DC2" w:rsidRPr="00D64734" w14:paraId="5CDF778F" w14:textId="77777777" w:rsidTr="00360B83">
        <w:trPr>
          <w:jc w:val="center"/>
        </w:trPr>
        <w:tc>
          <w:tcPr>
            <w:tcW w:w="2337" w:type="dxa"/>
          </w:tcPr>
          <w:p w14:paraId="292A2CBD"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Coal</w:t>
            </w:r>
          </w:p>
        </w:tc>
        <w:tc>
          <w:tcPr>
            <w:tcW w:w="4678" w:type="dxa"/>
          </w:tcPr>
          <w:p w14:paraId="52031F95"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10 + 40 = 50</w:t>
            </w:r>
          </w:p>
        </w:tc>
      </w:tr>
      <w:tr w:rsidR="00321DC2" w:rsidRPr="00D64734" w14:paraId="156FC24A" w14:textId="77777777" w:rsidTr="00360B83">
        <w:trPr>
          <w:jc w:val="center"/>
        </w:trPr>
        <w:tc>
          <w:tcPr>
            <w:tcW w:w="2337" w:type="dxa"/>
          </w:tcPr>
          <w:p w14:paraId="03FAA064"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Nuclear</w:t>
            </w:r>
          </w:p>
        </w:tc>
        <w:tc>
          <w:tcPr>
            <w:tcW w:w="4678" w:type="dxa"/>
          </w:tcPr>
          <w:p w14:paraId="40E7BDF9"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12</w:t>
            </w:r>
          </w:p>
        </w:tc>
      </w:tr>
      <w:tr w:rsidR="00321DC2" w:rsidRPr="00D64734" w14:paraId="69689E34" w14:textId="77777777" w:rsidTr="00360B83">
        <w:trPr>
          <w:jc w:val="center"/>
        </w:trPr>
        <w:tc>
          <w:tcPr>
            <w:tcW w:w="2337" w:type="dxa"/>
          </w:tcPr>
          <w:p w14:paraId="7B7D59A3"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Hydro</w:t>
            </w:r>
          </w:p>
        </w:tc>
        <w:tc>
          <w:tcPr>
            <w:tcW w:w="4678" w:type="dxa"/>
          </w:tcPr>
          <w:p w14:paraId="12E4AA5E"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1.9</w:t>
            </w:r>
          </w:p>
        </w:tc>
      </w:tr>
      <w:tr w:rsidR="00321DC2" w:rsidRPr="00D64734" w14:paraId="591AA816" w14:textId="77777777" w:rsidTr="00360B83">
        <w:trPr>
          <w:jc w:val="center"/>
        </w:trPr>
        <w:tc>
          <w:tcPr>
            <w:tcW w:w="2337" w:type="dxa"/>
          </w:tcPr>
          <w:p w14:paraId="6D8A2AB9"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Wind</w:t>
            </w:r>
          </w:p>
        </w:tc>
        <w:tc>
          <w:tcPr>
            <w:tcW w:w="4678" w:type="dxa"/>
          </w:tcPr>
          <w:p w14:paraId="6895E262"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0.74</w:t>
            </w:r>
          </w:p>
        </w:tc>
      </w:tr>
      <w:tr w:rsidR="00321DC2" w:rsidRPr="00D64734" w14:paraId="32012174" w14:textId="77777777" w:rsidTr="00360B83">
        <w:trPr>
          <w:jc w:val="center"/>
        </w:trPr>
        <w:tc>
          <w:tcPr>
            <w:tcW w:w="2337" w:type="dxa"/>
          </w:tcPr>
          <w:p w14:paraId="6EAF2FB4"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Solar</w:t>
            </w:r>
          </w:p>
        </w:tc>
        <w:tc>
          <w:tcPr>
            <w:tcW w:w="4678" w:type="dxa"/>
          </w:tcPr>
          <w:p w14:paraId="51C5F2D1"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0.74</w:t>
            </w:r>
          </w:p>
        </w:tc>
      </w:tr>
      <w:tr w:rsidR="00321DC2" w:rsidRPr="00D64734" w14:paraId="4C40A822" w14:textId="77777777" w:rsidTr="00360B83">
        <w:trPr>
          <w:jc w:val="center"/>
        </w:trPr>
        <w:tc>
          <w:tcPr>
            <w:tcW w:w="2337" w:type="dxa"/>
          </w:tcPr>
          <w:p w14:paraId="706D3DB3"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Geothermal</w:t>
            </w:r>
          </w:p>
        </w:tc>
        <w:tc>
          <w:tcPr>
            <w:tcW w:w="4678" w:type="dxa"/>
          </w:tcPr>
          <w:p w14:paraId="29E4DEB6"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6.9</w:t>
            </w:r>
          </w:p>
        </w:tc>
      </w:tr>
      <w:tr w:rsidR="00321DC2" w:rsidRPr="00D64734" w14:paraId="7262D0AE" w14:textId="77777777" w:rsidTr="00360B83">
        <w:trPr>
          <w:jc w:val="center"/>
        </w:trPr>
        <w:tc>
          <w:tcPr>
            <w:tcW w:w="2337" w:type="dxa"/>
          </w:tcPr>
          <w:p w14:paraId="677F0D25"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Oil</w:t>
            </w:r>
          </w:p>
        </w:tc>
        <w:tc>
          <w:tcPr>
            <w:tcW w:w="4678" w:type="dxa"/>
          </w:tcPr>
          <w:p w14:paraId="10283AC2" w14:textId="77777777" w:rsidR="00321DC2" w:rsidRPr="00D64734" w:rsidRDefault="00321DC2" w:rsidP="002319E1">
            <w:pPr>
              <w:spacing w:line="278" w:lineRule="auto"/>
              <w:jc w:val="center"/>
              <w:rPr>
                <w:rFonts w:ascii="Times New Roman" w:hAnsi="Times New Roman" w:cs="Times New Roman"/>
              </w:rPr>
            </w:pPr>
            <w:r w:rsidRPr="00D64734">
              <w:rPr>
                <w:rFonts w:ascii="Times New Roman" w:hAnsi="Times New Roman" w:cs="Times New Roman"/>
              </w:rPr>
              <w:t>No value; therefore, assumed same as coal</w:t>
            </w:r>
          </w:p>
        </w:tc>
      </w:tr>
    </w:tbl>
    <w:p w14:paraId="53ECA9DB" w14:textId="77777777" w:rsidR="00321DC2" w:rsidRPr="00D64734" w:rsidRDefault="00321DC2" w:rsidP="00321DC2">
      <w:pPr>
        <w:rPr>
          <w:rFonts w:ascii="Times New Roman" w:hAnsi="Times New Roman" w:cs="Times New Roman"/>
        </w:rPr>
      </w:pPr>
    </w:p>
    <w:p w14:paraId="2C7B4755" w14:textId="77777777" w:rsidR="00321DC2" w:rsidRDefault="00321DC2" w:rsidP="00321DC2">
      <w:pPr>
        <w:jc w:val="center"/>
        <w:rPr>
          <w:rFonts w:ascii="Times New Roman" w:hAnsi="Times New Roman" w:cs="Times New Roman"/>
          <w:b/>
          <w:bCs/>
        </w:rPr>
      </w:pPr>
    </w:p>
    <w:p w14:paraId="106C57AE" w14:textId="02BFCE2E" w:rsidR="00321DC2" w:rsidRPr="00D64734" w:rsidRDefault="00321DC2" w:rsidP="00321DC2">
      <w:pPr>
        <w:jc w:val="center"/>
        <w:rPr>
          <w:rFonts w:ascii="Times New Roman" w:hAnsi="Times New Roman" w:cs="Times New Roman"/>
        </w:rPr>
      </w:pPr>
      <w:r w:rsidRPr="00D64734">
        <w:rPr>
          <w:rFonts w:ascii="Times New Roman" w:hAnsi="Times New Roman" w:cs="Times New Roman"/>
          <w:b/>
          <w:bCs/>
        </w:rPr>
        <w:t xml:space="preserve">Table </w:t>
      </w:r>
      <w:r w:rsidR="002319E1">
        <w:rPr>
          <w:rFonts w:ascii="Times New Roman" w:hAnsi="Times New Roman" w:cs="Times New Roman"/>
          <w:b/>
          <w:bCs/>
        </w:rPr>
        <w:t>S23</w:t>
      </w:r>
      <w:r w:rsidRPr="00D64734">
        <w:rPr>
          <w:rFonts w:ascii="Times New Roman" w:hAnsi="Times New Roman" w:cs="Times New Roman"/>
          <w:b/>
          <w:bCs/>
        </w:rPr>
        <w:t>.</w:t>
      </w:r>
      <w:r w:rsidRPr="00D64734">
        <w:rPr>
          <w:rFonts w:ascii="Times New Roman" w:hAnsi="Times New Roman" w:cs="Times New Roman"/>
        </w:rPr>
        <w:t xml:space="preserve"> Composition of Supply to the US Electricity Grid</w:t>
      </w:r>
      <w:r>
        <w:rPr>
          <w:rFonts w:ascii="Times New Roman" w:hAnsi="Times New Roman" w:cs="Times New Roman"/>
        </w:rPr>
        <w:fldChar w:fldCharType="begin"/>
      </w:r>
      <w:r w:rsidR="00AE2CDA">
        <w:rPr>
          <w:rFonts w:ascii="Times New Roman" w:hAnsi="Times New Roman" w:cs="Times New Roman"/>
        </w:rPr>
        <w:instrText xml:space="preserve"> ADDIN ZOTERO_ITEM CSL_CITATION {"citationID":"OqniTWzM","properties":{"formattedCitation":"\\super 13\\nosupersub{}","plainCitation":"13","noteIndex":0},"citationItems":[{"id":61,"uris":["http://zotero.org/users/18184231/items/JWYACEVL"],"itemData":{"id":61,"type":"webpage","abstract":"Data about the electric power generated in the United States. The data includes air emissions for nitrogen oxides, sulfur dioxide, carbon dioxide, methane, and nitrous oxide; emissions rates; net generation; resource mix; and and many other attributes.","genre":"Collections and Lists","language":"en","title":"Emissions &amp; Generation Resource Integrated Database (eGRID)","URL":"https://www.epa.gov/egrid","author":[{"family":"United States Environmental Protection Agency (EPA)","given":""}],"accessed":{"date-parts":[["2025",9,25]]},"issued":{"date-parts":[["2020",7,27]]}}}],"schema":"https://github.com/citation-style-language/schema/raw/master/csl-citation.json"} </w:instrText>
      </w:r>
      <w:r>
        <w:rPr>
          <w:rFonts w:ascii="Times New Roman" w:hAnsi="Times New Roman" w:cs="Times New Roman"/>
        </w:rPr>
        <w:fldChar w:fldCharType="separate"/>
      </w:r>
      <w:r w:rsidR="00AE2CDA" w:rsidRPr="00AE2CDA">
        <w:rPr>
          <w:rFonts w:ascii="Times New Roman" w:hAnsi="Times New Roman" w:cs="Times New Roman"/>
          <w:kern w:val="0"/>
          <w:vertAlign w:val="superscript"/>
        </w:rPr>
        <w:t>13</w:t>
      </w:r>
      <w:r>
        <w:rPr>
          <w:rFonts w:ascii="Times New Roman" w:hAnsi="Times New Roman" w:cs="Times New Roman"/>
        </w:rPr>
        <w:fldChar w:fldCharType="end"/>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245"/>
        <w:gridCol w:w="1495"/>
        <w:gridCol w:w="1870"/>
        <w:gridCol w:w="1870"/>
      </w:tblGrid>
      <w:tr w:rsidR="00321DC2" w:rsidRPr="00D64734" w14:paraId="4558E906" w14:textId="77777777" w:rsidTr="00360B83">
        <w:trPr>
          <w:jc w:val="center"/>
        </w:trPr>
        <w:tc>
          <w:tcPr>
            <w:tcW w:w="2245" w:type="dxa"/>
            <w:vMerge w:val="restart"/>
            <w:shd w:val="clear" w:color="auto" w:fill="D9D9D9" w:themeFill="background1" w:themeFillShade="D9"/>
            <w:vAlign w:val="bottom"/>
          </w:tcPr>
          <w:p w14:paraId="276C72D9"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Type of Generation</w:t>
            </w:r>
          </w:p>
        </w:tc>
        <w:tc>
          <w:tcPr>
            <w:tcW w:w="5235" w:type="dxa"/>
            <w:gridSpan w:val="3"/>
            <w:shd w:val="clear" w:color="auto" w:fill="D9D9D9" w:themeFill="background1" w:themeFillShade="D9"/>
          </w:tcPr>
          <w:p w14:paraId="067EB0FF"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Composition of Supply to US Grid</w:t>
            </w:r>
          </w:p>
        </w:tc>
      </w:tr>
      <w:tr w:rsidR="00321DC2" w:rsidRPr="00D64734" w14:paraId="34FF303C" w14:textId="77777777" w:rsidTr="00360B83">
        <w:trPr>
          <w:jc w:val="center"/>
        </w:trPr>
        <w:tc>
          <w:tcPr>
            <w:tcW w:w="2245" w:type="dxa"/>
            <w:vMerge/>
            <w:shd w:val="clear" w:color="auto" w:fill="D9D9D9" w:themeFill="background1" w:themeFillShade="D9"/>
            <w:vAlign w:val="bottom"/>
          </w:tcPr>
          <w:p w14:paraId="7EF06278" w14:textId="77777777" w:rsidR="00321DC2" w:rsidRPr="00D64734" w:rsidRDefault="00321DC2" w:rsidP="00360B83">
            <w:pPr>
              <w:spacing w:line="278" w:lineRule="auto"/>
              <w:rPr>
                <w:rFonts w:ascii="Times New Roman" w:hAnsi="Times New Roman" w:cs="Times New Roman"/>
              </w:rPr>
            </w:pPr>
          </w:p>
        </w:tc>
        <w:tc>
          <w:tcPr>
            <w:tcW w:w="1495" w:type="dxa"/>
            <w:shd w:val="clear" w:color="auto" w:fill="D9D9D9" w:themeFill="background1" w:themeFillShade="D9"/>
            <w:vAlign w:val="bottom"/>
          </w:tcPr>
          <w:p w14:paraId="66FE86E2"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1996</w:t>
            </w:r>
            <w:r w:rsidRPr="00D64734">
              <w:rPr>
                <w:rFonts w:ascii="Times New Roman" w:hAnsi="Times New Roman" w:cs="Times New Roman"/>
                <w:vertAlign w:val="superscript"/>
              </w:rPr>
              <w:t>a</w:t>
            </w:r>
          </w:p>
        </w:tc>
        <w:tc>
          <w:tcPr>
            <w:tcW w:w="1870" w:type="dxa"/>
            <w:shd w:val="clear" w:color="auto" w:fill="D9D9D9" w:themeFill="background1" w:themeFillShade="D9"/>
            <w:vAlign w:val="bottom"/>
          </w:tcPr>
          <w:p w14:paraId="4D897E84"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2005</w:t>
            </w:r>
          </w:p>
        </w:tc>
        <w:tc>
          <w:tcPr>
            <w:tcW w:w="1870" w:type="dxa"/>
            <w:shd w:val="clear" w:color="auto" w:fill="D9D9D9" w:themeFill="background1" w:themeFillShade="D9"/>
            <w:vAlign w:val="bottom"/>
          </w:tcPr>
          <w:p w14:paraId="2EC775CE"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2020</w:t>
            </w:r>
          </w:p>
        </w:tc>
      </w:tr>
      <w:tr w:rsidR="00321DC2" w:rsidRPr="00D64734" w14:paraId="5A408EF4" w14:textId="77777777" w:rsidTr="00360B83">
        <w:trPr>
          <w:jc w:val="center"/>
        </w:trPr>
        <w:tc>
          <w:tcPr>
            <w:tcW w:w="2245" w:type="dxa"/>
            <w:vAlign w:val="bottom"/>
          </w:tcPr>
          <w:p w14:paraId="3CEA43D1"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Coal</w:t>
            </w:r>
          </w:p>
        </w:tc>
        <w:tc>
          <w:tcPr>
            <w:tcW w:w="1495" w:type="dxa"/>
            <w:vAlign w:val="bottom"/>
          </w:tcPr>
          <w:p w14:paraId="0238707D"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52.5%</w:t>
            </w:r>
          </w:p>
        </w:tc>
        <w:tc>
          <w:tcPr>
            <w:tcW w:w="1870" w:type="dxa"/>
            <w:vAlign w:val="bottom"/>
          </w:tcPr>
          <w:p w14:paraId="4A400A6E"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49.6%</w:t>
            </w:r>
          </w:p>
        </w:tc>
        <w:tc>
          <w:tcPr>
            <w:tcW w:w="1870" w:type="dxa"/>
            <w:vAlign w:val="bottom"/>
          </w:tcPr>
          <w:p w14:paraId="15DCFF73"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19.3%</w:t>
            </w:r>
          </w:p>
        </w:tc>
      </w:tr>
      <w:tr w:rsidR="00321DC2" w:rsidRPr="00D64734" w14:paraId="3C6C0130" w14:textId="77777777" w:rsidTr="00360B83">
        <w:trPr>
          <w:jc w:val="center"/>
        </w:trPr>
        <w:tc>
          <w:tcPr>
            <w:tcW w:w="2245" w:type="dxa"/>
            <w:vAlign w:val="bottom"/>
          </w:tcPr>
          <w:p w14:paraId="79B91EF9"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Natural gas</w:t>
            </w:r>
          </w:p>
        </w:tc>
        <w:tc>
          <w:tcPr>
            <w:tcW w:w="1495" w:type="dxa"/>
            <w:vAlign w:val="bottom"/>
          </w:tcPr>
          <w:p w14:paraId="4DE62BB8"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12.3%</w:t>
            </w:r>
          </w:p>
        </w:tc>
        <w:tc>
          <w:tcPr>
            <w:tcW w:w="1870" w:type="dxa"/>
            <w:vAlign w:val="bottom"/>
          </w:tcPr>
          <w:p w14:paraId="12281607"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18.8%</w:t>
            </w:r>
          </w:p>
        </w:tc>
        <w:tc>
          <w:tcPr>
            <w:tcW w:w="1870" w:type="dxa"/>
            <w:vAlign w:val="bottom"/>
          </w:tcPr>
          <w:p w14:paraId="26E1B867"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40.5%</w:t>
            </w:r>
          </w:p>
        </w:tc>
      </w:tr>
      <w:tr w:rsidR="00321DC2" w:rsidRPr="00D64734" w14:paraId="07C75B3A" w14:textId="77777777" w:rsidTr="00360B83">
        <w:trPr>
          <w:jc w:val="center"/>
        </w:trPr>
        <w:tc>
          <w:tcPr>
            <w:tcW w:w="2245" w:type="dxa"/>
            <w:vAlign w:val="bottom"/>
          </w:tcPr>
          <w:p w14:paraId="16766A01"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Oil</w:t>
            </w:r>
          </w:p>
        </w:tc>
        <w:tc>
          <w:tcPr>
            <w:tcW w:w="1495" w:type="dxa"/>
            <w:vAlign w:val="bottom"/>
          </w:tcPr>
          <w:p w14:paraId="57CD5A7D"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4.5%</w:t>
            </w:r>
          </w:p>
        </w:tc>
        <w:tc>
          <w:tcPr>
            <w:tcW w:w="1870" w:type="dxa"/>
            <w:vAlign w:val="bottom"/>
          </w:tcPr>
          <w:p w14:paraId="7C155B1A"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3.5%</w:t>
            </w:r>
          </w:p>
        </w:tc>
        <w:tc>
          <w:tcPr>
            <w:tcW w:w="1870" w:type="dxa"/>
            <w:vAlign w:val="bottom"/>
          </w:tcPr>
          <w:p w14:paraId="5A54F1A6"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0.9%</w:t>
            </w:r>
          </w:p>
        </w:tc>
      </w:tr>
      <w:tr w:rsidR="00321DC2" w:rsidRPr="00D64734" w14:paraId="744C092F" w14:textId="77777777" w:rsidTr="00360B83">
        <w:trPr>
          <w:jc w:val="center"/>
        </w:trPr>
        <w:tc>
          <w:tcPr>
            <w:tcW w:w="2245" w:type="dxa"/>
            <w:vAlign w:val="bottom"/>
          </w:tcPr>
          <w:p w14:paraId="06038575"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Hydro</w:t>
            </w:r>
          </w:p>
        </w:tc>
        <w:tc>
          <w:tcPr>
            <w:tcW w:w="1495" w:type="dxa"/>
            <w:vAlign w:val="bottom"/>
          </w:tcPr>
          <w:p w14:paraId="5023949F"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9.6%</w:t>
            </w:r>
          </w:p>
        </w:tc>
        <w:tc>
          <w:tcPr>
            <w:tcW w:w="1870" w:type="dxa"/>
            <w:vAlign w:val="bottom"/>
          </w:tcPr>
          <w:p w14:paraId="00097DAB"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6.7%</w:t>
            </w:r>
          </w:p>
        </w:tc>
        <w:tc>
          <w:tcPr>
            <w:tcW w:w="1870" w:type="dxa"/>
            <w:vAlign w:val="bottom"/>
          </w:tcPr>
          <w:p w14:paraId="0726BDCD"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7.1%</w:t>
            </w:r>
          </w:p>
        </w:tc>
      </w:tr>
      <w:tr w:rsidR="00321DC2" w:rsidRPr="00D64734" w14:paraId="4E67A503" w14:textId="77777777" w:rsidTr="00360B83">
        <w:trPr>
          <w:jc w:val="center"/>
        </w:trPr>
        <w:tc>
          <w:tcPr>
            <w:tcW w:w="2245" w:type="dxa"/>
            <w:vAlign w:val="bottom"/>
          </w:tcPr>
          <w:p w14:paraId="240941E9"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Nuclear</w:t>
            </w:r>
          </w:p>
        </w:tc>
        <w:tc>
          <w:tcPr>
            <w:tcW w:w="1495" w:type="dxa"/>
            <w:vAlign w:val="bottom"/>
          </w:tcPr>
          <w:p w14:paraId="12325666"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19.0%</w:t>
            </w:r>
          </w:p>
        </w:tc>
        <w:tc>
          <w:tcPr>
            <w:tcW w:w="1870" w:type="dxa"/>
            <w:vAlign w:val="bottom"/>
          </w:tcPr>
          <w:p w14:paraId="302936DC"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19.3%</w:t>
            </w:r>
          </w:p>
        </w:tc>
        <w:tc>
          <w:tcPr>
            <w:tcW w:w="1870" w:type="dxa"/>
            <w:vAlign w:val="bottom"/>
          </w:tcPr>
          <w:p w14:paraId="382A6B6A"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19.7%</w:t>
            </w:r>
          </w:p>
        </w:tc>
      </w:tr>
      <w:tr w:rsidR="00321DC2" w:rsidRPr="00D64734" w14:paraId="10EEAD1D" w14:textId="77777777" w:rsidTr="00360B83">
        <w:trPr>
          <w:jc w:val="center"/>
        </w:trPr>
        <w:tc>
          <w:tcPr>
            <w:tcW w:w="2245" w:type="dxa"/>
            <w:vAlign w:val="bottom"/>
          </w:tcPr>
          <w:p w14:paraId="79324651"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Wind</w:t>
            </w:r>
          </w:p>
        </w:tc>
        <w:tc>
          <w:tcPr>
            <w:tcW w:w="1495" w:type="dxa"/>
            <w:vAlign w:val="bottom"/>
          </w:tcPr>
          <w:p w14:paraId="18C096A7"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0.1%</w:t>
            </w:r>
          </w:p>
        </w:tc>
        <w:tc>
          <w:tcPr>
            <w:tcW w:w="1870" w:type="dxa"/>
            <w:vAlign w:val="bottom"/>
          </w:tcPr>
          <w:p w14:paraId="2F6036A5"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0.4%</w:t>
            </w:r>
          </w:p>
        </w:tc>
        <w:tc>
          <w:tcPr>
            <w:tcW w:w="1870" w:type="dxa"/>
            <w:vAlign w:val="bottom"/>
          </w:tcPr>
          <w:p w14:paraId="191D37B4"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8.4%</w:t>
            </w:r>
          </w:p>
        </w:tc>
      </w:tr>
      <w:tr w:rsidR="00321DC2" w:rsidRPr="00D64734" w14:paraId="106EB0FB" w14:textId="77777777" w:rsidTr="00360B83">
        <w:trPr>
          <w:jc w:val="center"/>
        </w:trPr>
        <w:tc>
          <w:tcPr>
            <w:tcW w:w="2245" w:type="dxa"/>
            <w:vAlign w:val="bottom"/>
          </w:tcPr>
          <w:p w14:paraId="2F73F845"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Biomass</w:t>
            </w:r>
          </w:p>
        </w:tc>
        <w:tc>
          <w:tcPr>
            <w:tcW w:w="1495" w:type="dxa"/>
            <w:vAlign w:val="bottom"/>
          </w:tcPr>
          <w:p w14:paraId="0F083487"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1.5%</w:t>
            </w:r>
          </w:p>
        </w:tc>
        <w:tc>
          <w:tcPr>
            <w:tcW w:w="1870" w:type="dxa"/>
            <w:vAlign w:val="bottom"/>
          </w:tcPr>
          <w:p w14:paraId="48D3E121"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1.3%</w:t>
            </w:r>
          </w:p>
        </w:tc>
        <w:tc>
          <w:tcPr>
            <w:tcW w:w="1870" w:type="dxa"/>
            <w:vAlign w:val="bottom"/>
          </w:tcPr>
          <w:p w14:paraId="037090C6"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1.4%</w:t>
            </w:r>
          </w:p>
        </w:tc>
      </w:tr>
      <w:tr w:rsidR="00321DC2" w:rsidRPr="00D64734" w14:paraId="6F700188" w14:textId="77777777" w:rsidTr="00360B83">
        <w:trPr>
          <w:jc w:val="center"/>
        </w:trPr>
        <w:tc>
          <w:tcPr>
            <w:tcW w:w="2245" w:type="dxa"/>
            <w:vAlign w:val="bottom"/>
          </w:tcPr>
          <w:p w14:paraId="018857BE"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Geothermal</w:t>
            </w:r>
          </w:p>
        </w:tc>
        <w:tc>
          <w:tcPr>
            <w:tcW w:w="1495" w:type="dxa"/>
            <w:vAlign w:val="bottom"/>
          </w:tcPr>
          <w:p w14:paraId="669ABD3B"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0.5%</w:t>
            </w:r>
          </w:p>
        </w:tc>
        <w:tc>
          <w:tcPr>
            <w:tcW w:w="1870" w:type="dxa"/>
            <w:vAlign w:val="bottom"/>
          </w:tcPr>
          <w:p w14:paraId="595A7CE4"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0.4%</w:t>
            </w:r>
          </w:p>
        </w:tc>
        <w:tc>
          <w:tcPr>
            <w:tcW w:w="1870" w:type="dxa"/>
            <w:vAlign w:val="bottom"/>
          </w:tcPr>
          <w:p w14:paraId="7F7610D0"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0.4%</w:t>
            </w:r>
          </w:p>
        </w:tc>
      </w:tr>
      <w:tr w:rsidR="00321DC2" w:rsidRPr="00D64734" w14:paraId="72326974" w14:textId="77777777" w:rsidTr="00360B83">
        <w:trPr>
          <w:jc w:val="center"/>
        </w:trPr>
        <w:tc>
          <w:tcPr>
            <w:tcW w:w="2245" w:type="dxa"/>
            <w:vAlign w:val="bottom"/>
          </w:tcPr>
          <w:p w14:paraId="36F7B5EB"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Solar</w:t>
            </w:r>
          </w:p>
        </w:tc>
        <w:tc>
          <w:tcPr>
            <w:tcW w:w="1495" w:type="dxa"/>
            <w:vAlign w:val="bottom"/>
          </w:tcPr>
          <w:p w14:paraId="580AC76B"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0.0%</w:t>
            </w:r>
          </w:p>
        </w:tc>
        <w:tc>
          <w:tcPr>
            <w:tcW w:w="1870" w:type="dxa"/>
            <w:vAlign w:val="bottom"/>
          </w:tcPr>
          <w:p w14:paraId="309145EA"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0.0%</w:t>
            </w:r>
          </w:p>
        </w:tc>
        <w:tc>
          <w:tcPr>
            <w:tcW w:w="1870" w:type="dxa"/>
            <w:vAlign w:val="bottom"/>
          </w:tcPr>
          <w:p w14:paraId="5033E704" w14:textId="77777777" w:rsidR="00321DC2" w:rsidRPr="00D64734" w:rsidRDefault="00321DC2" w:rsidP="002319E1">
            <w:pPr>
              <w:spacing w:line="278" w:lineRule="auto"/>
              <w:jc w:val="right"/>
              <w:rPr>
                <w:rFonts w:ascii="Times New Roman" w:hAnsi="Times New Roman" w:cs="Times New Roman"/>
              </w:rPr>
            </w:pPr>
            <w:r w:rsidRPr="00D64734">
              <w:rPr>
                <w:rFonts w:ascii="Times New Roman" w:hAnsi="Times New Roman" w:cs="Times New Roman"/>
              </w:rPr>
              <w:t>2.2%</w:t>
            </w:r>
          </w:p>
        </w:tc>
      </w:tr>
      <w:tr w:rsidR="00321DC2" w:rsidRPr="00D64734" w14:paraId="2EEE968C" w14:textId="77777777" w:rsidTr="00360B83">
        <w:trPr>
          <w:jc w:val="center"/>
        </w:trPr>
        <w:tc>
          <w:tcPr>
            <w:tcW w:w="7480" w:type="dxa"/>
            <w:gridSpan w:val="4"/>
            <w:vAlign w:val="bottom"/>
          </w:tcPr>
          <w:p w14:paraId="130481A7" w14:textId="77777777" w:rsidR="00321DC2" w:rsidRPr="00D64734" w:rsidRDefault="00321DC2" w:rsidP="00360B83">
            <w:pPr>
              <w:spacing w:line="278" w:lineRule="auto"/>
              <w:rPr>
                <w:rFonts w:ascii="Times New Roman" w:hAnsi="Times New Roman" w:cs="Times New Roman"/>
              </w:rPr>
            </w:pPr>
            <w:proofErr w:type="gramStart"/>
            <w:r w:rsidRPr="00D64734">
              <w:rPr>
                <w:rFonts w:ascii="Times New Roman" w:hAnsi="Times New Roman" w:cs="Times New Roman"/>
                <w:vertAlign w:val="superscript"/>
              </w:rPr>
              <w:t>a</w:t>
            </w:r>
            <w:r w:rsidRPr="00D64734">
              <w:rPr>
                <w:rFonts w:ascii="Times New Roman" w:hAnsi="Times New Roman" w:cs="Times New Roman"/>
              </w:rPr>
              <w:t xml:space="preserve"> 1996</w:t>
            </w:r>
            <w:proofErr w:type="gramEnd"/>
            <w:r w:rsidRPr="00D64734">
              <w:rPr>
                <w:rFonts w:ascii="Times New Roman" w:hAnsi="Times New Roman" w:cs="Times New Roman"/>
              </w:rPr>
              <w:t xml:space="preserve"> data are the earliest available in </w:t>
            </w:r>
            <w:proofErr w:type="spellStart"/>
            <w:r w:rsidRPr="00D64734">
              <w:rPr>
                <w:rFonts w:ascii="Times New Roman" w:hAnsi="Times New Roman" w:cs="Times New Roman"/>
              </w:rPr>
              <w:t>eGRID</w:t>
            </w:r>
            <w:proofErr w:type="spellEnd"/>
            <w:r w:rsidRPr="00D64734">
              <w:rPr>
                <w:rFonts w:ascii="Times New Roman" w:hAnsi="Times New Roman" w:cs="Times New Roman"/>
              </w:rPr>
              <w:t xml:space="preserve"> and were used for 1990. </w:t>
            </w:r>
          </w:p>
        </w:tc>
      </w:tr>
    </w:tbl>
    <w:p w14:paraId="12123927" w14:textId="77777777" w:rsidR="00321DC2" w:rsidRDefault="00321DC2" w:rsidP="00321DC2">
      <w:pPr>
        <w:rPr>
          <w:rFonts w:ascii="Times New Roman" w:hAnsi="Times New Roman" w:cs="Times New Roman"/>
        </w:rPr>
      </w:pPr>
    </w:p>
    <w:p w14:paraId="76EA3F89" w14:textId="77777777" w:rsidR="002319E1" w:rsidRPr="00D64734" w:rsidRDefault="002319E1" w:rsidP="00321DC2">
      <w:pPr>
        <w:rPr>
          <w:rFonts w:ascii="Times New Roman" w:hAnsi="Times New Roman" w:cs="Times New Roman"/>
        </w:rPr>
      </w:pPr>
    </w:p>
    <w:p w14:paraId="60273ACC" w14:textId="5D9CBF60" w:rsidR="00321DC2" w:rsidRPr="00D64734" w:rsidRDefault="00321DC2" w:rsidP="00321DC2">
      <w:pPr>
        <w:jc w:val="center"/>
        <w:rPr>
          <w:rFonts w:ascii="Times New Roman" w:hAnsi="Times New Roman" w:cs="Times New Roman"/>
        </w:rPr>
      </w:pPr>
      <w:r w:rsidRPr="00D64734">
        <w:rPr>
          <w:rFonts w:ascii="Times New Roman" w:hAnsi="Times New Roman" w:cs="Times New Roman"/>
          <w:b/>
          <w:bCs/>
        </w:rPr>
        <w:t xml:space="preserve">Table </w:t>
      </w:r>
      <w:r w:rsidR="002319E1">
        <w:rPr>
          <w:rFonts w:ascii="Times New Roman" w:hAnsi="Times New Roman" w:cs="Times New Roman"/>
          <w:b/>
          <w:bCs/>
        </w:rPr>
        <w:t>S24</w:t>
      </w:r>
      <w:r w:rsidRPr="00D64734">
        <w:rPr>
          <w:rFonts w:ascii="Times New Roman" w:hAnsi="Times New Roman" w:cs="Times New Roman"/>
          <w:b/>
          <w:bCs/>
        </w:rPr>
        <w:t>.</w:t>
      </w:r>
      <w:r w:rsidRPr="00D64734">
        <w:rPr>
          <w:rFonts w:ascii="Times New Roman" w:hAnsi="Times New Roman" w:cs="Times New Roman"/>
        </w:rPr>
        <w:t xml:space="preserve"> Scope 3 Emission Factors for Purchased Electricity</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075"/>
        <w:gridCol w:w="3240"/>
        <w:gridCol w:w="3780"/>
      </w:tblGrid>
      <w:tr w:rsidR="00321DC2" w:rsidRPr="00D64734" w14:paraId="7B29970E" w14:textId="77777777" w:rsidTr="00360B83">
        <w:trPr>
          <w:jc w:val="center"/>
        </w:trPr>
        <w:tc>
          <w:tcPr>
            <w:tcW w:w="1075" w:type="dxa"/>
            <w:shd w:val="clear" w:color="auto" w:fill="D9D9D9" w:themeFill="background1" w:themeFillShade="D9"/>
          </w:tcPr>
          <w:p w14:paraId="5C0795B3"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Year</w:t>
            </w:r>
          </w:p>
        </w:tc>
        <w:tc>
          <w:tcPr>
            <w:tcW w:w="3240" w:type="dxa"/>
            <w:shd w:val="clear" w:color="auto" w:fill="D9D9D9" w:themeFill="background1" w:themeFillShade="D9"/>
          </w:tcPr>
          <w:p w14:paraId="2A06DBF4"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Kg CO</w:t>
            </w:r>
            <w:r w:rsidRPr="00D64734">
              <w:rPr>
                <w:rFonts w:ascii="Times New Roman" w:hAnsi="Times New Roman" w:cs="Times New Roman"/>
                <w:vertAlign w:val="subscript"/>
              </w:rPr>
              <w:t>2</w:t>
            </w:r>
            <w:r w:rsidRPr="00D64734">
              <w:rPr>
                <w:rFonts w:ascii="Times New Roman" w:hAnsi="Times New Roman" w:cs="Times New Roman"/>
              </w:rPr>
              <w:t>e per Purchased MWh</w:t>
            </w:r>
          </w:p>
          <w:p w14:paraId="6430F701"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US Average</w:t>
            </w:r>
          </w:p>
        </w:tc>
        <w:tc>
          <w:tcPr>
            <w:tcW w:w="3780" w:type="dxa"/>
            <w:shd w:val="clear" w:color="auto" w:fill="D9D9D9" w:themeFill="background1" w:themeFillShade="D9"/>
          </w:tcPr>
          <w:p w14:paraId="4580D9A0"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Ratio of Upstream Emission Factor to Combustion Emission Factor</w:t>
            </w:r>
          </w:p>
        </w:tc>
      </w:tr>
      <w:tr w:rsidR="00321DC2" w:rsidRPr="00D64734" w14:paraId="70CFFA0C" w14:textId="77777777" w:rsidTr="00360B83">
        <w:trPr>
          <w:jc w:val="center"/>
        </w:trPr>
        <w:tc>
          <w:tcPr>
            <w:tcW w:w="1075" w:type="dxa"/>
          </w:tcPr>
          <w:p w14:paraId="0594DC51"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1990</w:t>
            </w:r>
          </w:p>
        </w:tc>
        <w:tc>
          <w:tcPr>
            <w:tcW w:w="3240" w:type="dxa"/>
          </w:tcPr>
          <w:p w14:paraId="3AD4B604"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38</w:t>
            </w:r>
          </w:p>
        </w:tc>
        <w:tc>
          <w:tcPr>
            <w:tcW w:w="3780" w:type="dxa"/>
          </w:tcPr>
          <w:p w14:paraId="0D577FD6"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0.058</w:t>
            </w:r>
          </w:p>
        </w:tc>
      </w:tr>
      <w:tr w:rsidR="00321DC2" w:rsidRPr="00D64734" w14:paraId="6D0A861B" w14:textId="77777777" w:rsidTr="00360B83">
        <w:trPr>
          <w:jc w:val="center"/>
        </w:trPr>
        <w:tc>
          <w:tcPr>
            <w:tcW w:w="1075" w:type="dxa"/>
          </w:tcPr>
          <w:p w14:paraId="75B89F3C"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2005</w:t>
            </w:r>
          </w:p>
        </w:tc>
        <w:tc>
          <w:tcPr>
            <w:tcW w:w="3240" w:type="dxa"/>
          </w:tcPr>
          <w:p w14:paraId="46C1AAD2"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41</w:t>
            </w:r>
          </w:p>
        </w:tc>
        <w:tc>
          <w:tcPr>
            <w:tcW w:w="3780" w:type="dxa"/>
          </w:tcPr>
          <w:p w14:paraId="0EC31508"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0.068</w:t>
            </w:r>
          </w:p>
        </w:tc>
      </w:tr>
      <w:tr w:rsidR="00321DC2" w:rsidRPr="00D64734" w14:paraId="2D3D6053" w14:textId="77777777" w:rsidTr="00360B83">
        <w:trPr>
          <w:jc w:val="center"/>
        </w:trPr>
        <w:tc>
          <w:tcPr>
            <w:tcW w:w="1075" w:type="dxa"/>
          </w:tcPr>
          <w:p w14:paraId="47C7AE79" w14:textId="77777777" w:rsidR="00321DC2" w:rsidRPr="00D64734" w:rsidRDefault="00321DC2" w:rsidP="00360B83">
            <w:pPr>
              <w:spacing w:line="278" w:lineRule="auto"/>
              <w:rPr>
                <w:rFonts w:ascii="Times New Roman" w:hAnsi="Times New Roman" w:cs="Times New Roman"/>
              </w:rPr>
            </w:pPr>
            <w:r w:rsidRPr="00D64734">
              <w:rPr>
                <w:rFonts w:ascii="Times New Roman" w:hAnsi="Times New Roman" w:cs="Times New Roman"/>
              </w:rPr>
              <w:t>2020</w:t>
            </w:r>
          </w:p>
        </w:tc>
        <w:tc>
          <w:tcPr>
            <w:tcW w:w="3240" w:type="dxa"/>
          </w:tcPr>
          <w:p w14:paraId="527D2AC1"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41</w:t>
            </w:r>
          </w:p>
        </w:tc>
        <w:tc>
          <w:tcPr>
            <w:tcW w:w="3780" w:type="dxa"/>
          </w:tcPr>
          <w:p w14:paraId="26DDFCF1" w14:textId="77777777" w:rsidR="00321DC2" w:rsidRPr="00D64734" w:rsidRDefault="00321DC2" w:rsidP="00360B83">
            <w:pPr>
              <w:spacing w:line="278" w:lineRule="auto"/>
              <w:jc w:val="center"/>
              <w:rPr>
                <w:rFonts w:ascii="Times New Roman" w:hAnsi="Times New Roman" w:cs="Times New Roman"/>
              </w:rPr>
            </w:pPr>
            <w:r w:rsidRPr="00D64734">
              <w:rPr>
                <w:rFonts w:ascii="Times New Roman" w:hAnsi="Times New Roman" w:cs="Times New Roman"/>
              </w:rPr>
              <w:t>0.110</w:t>
            </w:r>
          </w:p>
        </w:tc>
      </w:tr>
    </w:tbl>
    <w:p w14:paraId="26A52187" w14:textId="77777777" w:rsidR="00321DC2" w:rsidRDefault="00321DC2" w:rsidP="00321DC2">
      <w:pPr>
        <w:rPr>
          <w:rFonts w:ascii="Times New Roman" w:hAnsi="Times New Roman" w:cs="Times New Roman"/>
        </w:rPr>
      </w:pPr>
    </w:p>
    <w:p w14:paraId="28E3E12D" w14:textId="1D5E3A04" w:rsidR="001D05E2" w:rsidRDefault="001D05E2" w:rsidP="001D05E2">
      <w:pPr>
        <w:spacing w:line="276" w:lineRule="auto"/>
        <w:rPr>
          <w:rFonts w:ascii="Times New Roman" w:hAnsi="Times New Roman" w:cs="Times New Roman"/>
        </w:rPr>
      </w:pPr>
    </w:p>
    <w:p w14:paraId="0B9DA245" w14:textId="303DFB4A" w:rsidR="001D05E2" w:rsidRPr="002D10B0" w:rsidRDefault="001D05E2" w:rsidP="00632FC1">
      <w:pPr>
        <w:pStyle w:val="Heading1"/>
        <w:rPr>
          <w:rFonts w:ascii="Times New Roman" w:hAnsi="Times New Roman" w:cs="Times New Roman"/>
          <w:b/>
          <w:bCs/>
          <w:color w:val="auto"/>
          <w:sz w:val="24"/>
          <w:szCs w:val="24"/>
        </w:rPr>
      </w:pPr>
      <w:bookmarkStart w:id="63" w:name="_Toc215829616"/>
      <w:r w:rsidRPr="002D10B0">
        <w:rPr>
          <w:rFonts w:ascii="Times New Roman" w:hAnsi="Times New Roman" w:cs="Times New Roman"/>
          <w:b/>
          <w:bCs/>
          <w:color w:val="auto"/>
          <w:sz w:val="24"/>
          <w:szCs w:val="24"/>
        </w:rPr>
        <w:lastRenderedPageBreak/>
        <w:t>F</w:t>
      </w:r>
      <w:r w:rsidR="002D10B0" w:rsidRPr="002D10B0">
        <w:rPr>
          <w:rFonts w:ascii="Times New Roman" w:hAnsi="Times New Roman" w:cs="Times New Roman"/>
          <w:b/>
          <w:bCs/>
          <w:color w:val="auto"/>
          <w:sz w:val="24"/>
          <w:szCs w:val="24"/>
        </w:rPr>
        <w:t>ACTORS FOR PRODUCING NON-FIBER NON-FUEL INPUTS</w:t>
      </w:r>
      <w:bookmarkEnd w:id="63"/>
    </w:p>
    <w:p w14:paraId="3ED8CFCA" w14:textId="68A7AD41" w:rsidR="002319E1" w:rsidRPr="002319E1" w:rsidRDefault="002319E1" w:rsidP="001D05E2">
      <w:pPr>
        <w:spacing w:line="276" w:lineRule="auto"/>
        <w:rPr>
          <w:rFonts w:ascii="Times New Roman" w:hAnsi="Times New Roman" w:cs="Times New Roman"/>
        </w:rPr>
      </w:pPr>
      <w:r>
        <w:rPr>
          <w:rFonts w:ascii="Times New Roman" w:hAnsi="Times New Roman" w:cs="Times New Roman"/>
        </w:rPr>
        <w:t>The factors used to account for upstream emissions attributable to non-fiber, non-fuel inputs to manufacturing are shown in Table S25.</w:t>
      </w:r>
    </w:p>
    <w:p w14:paraId="0AEA49F9" w14:textId="5B368898" w:rsidR="001D05E2" w:rsidRPr="002319E1" w:rsidRDefault="002319E1" w:rsidP="002319E1">
      <w:pPr>
        <w:spacing w:line="276" w:lineRule="auto"/>
        <w:jc w:val="center"/>
        <w:rPr>
          <w:rFonts w:ascii="Times New Roman" w:hAnsi="Times New Roman" w:cs="Times New Roman"/>
        </w:rPr>
      </w:pPr>
      <w:r w:rsidRPr="002319E1">
        <w:rPr>
          <w:rFonts w:ascii="Times New Roman" w:hAnsi="Times New Roman" w:cs="Times New Roman"/>
          <w:b/>
          <w:bCs/>
        </w:rPr>
        <w:t>Table S25</w:t>
      </w:r>
      <w:r>
        <w:rPr>
          <w:rFonts w:ascii="Times New Roman" w:hAnsi="Times New Roman" w:cs="Times New Roman"/>
        </w:rPr>
        <w:t>. Upstream Emission Factors for Non-Fiber, Non-Fuel Inputs</w:t>
      </w:r>
      <w:r>
        <w:rPr>
          <w:rFonts w:ascii="Times New Roman" w:hAnsi="Times New Roman" w:cs="Times New Roman"/>
        </w:rPr>
        <w:fldChar w:fldCharType="begin"/>
      </w:r>
      <w:r>
        <w:rPr>
          <w:rFonts w:ascii="Times New Roman" w:hAnsi="Times New Roman" w:cs="Times New Roman"/>
        </w:rPr>
        <w:instrText xml:space="preserve"> ADDIN ZOTERO_ITEM CSL_CITATION {"citationID":"upPhuUQJ","properties":{"formattedCitation":"\\super 29\\nosupersub{}","plainCitation":"29","noteIndex":0},"citationItems":[{"id":76,"uris":["http://zotero.org/users/18184231/items/RNP9GPRV"],"itemData":{"id":76,"type":"software","event-place":"Cary, NC","publisher":"NCASI","publisher-place":"Cary, NC","title":"Forest Industry Carbon Assessment Tool (FICAT)","URL":"https://www.ncasi.org/resource/forest-industry-carbon-assessment-tool/","author":[{"family":"NCASI","given":""},{"family":"International Finance Corporation of the World Bank (IFC)","given":""}],"issued":{"date-parts":[["2025"]]}}}],"schema":"https://github.com/citation-style-language/schema/raw/master/csl-citation.json"} </w:instrText>
      </w:r>
      <w:r>
        <w:rPr>
          <w:rFonts w:ascii="Times New Roman" w:hAnsi="Times New Roman" w:cs="Times New Roman"/>
        </w:rPr>
        <w:fldChar w:fldCharType="separate"/>
      </w:r>
      <w:r w:rsidRPr="002319E1">
        <w:rPr>
          <w:rFonts w:ascii="Times New Roman" w:hAnsi="Times New Roman" w:cs="Times New Roman"/>
          <w:kern w:val="0"/>
          <w:vertAlign w:val="superscript"/>
        </w:rPr>
        <w:t>29</w:t>
      </w:r>
      <w:r>
        <w:rPr>
          <w:rFonts w:ascii="Times New Roman" w:hAnsi="Times New Roman" w:cs="Times New Roman"/>
        </w:rPr>
        <w:fldChar w:fldCharType="end"/>
      </w:r>
    </w:p>
    <w:tbl>
      <w:tblPr>
        <w:tblW w:w="791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00"/>
        <w:gridCol w:w="3415"/>
      </w:tblGrid>
      <w:tr w:rsidR="001D05E2" w:rsidRPr="00477FDA" w14:paraId="12E4C08C" w14:textId="77777777" w:rsidTr="00360B83">
        <w:trPr>
          <w:trHeight w:val="300"/>
          <w:jc w:val="center"/>
        </w:trPr>
        <w:tc>
          <w:tcPr>
            <w:tcW w:w="4500" w:type="dxa"/>
            <w:shd w:val="clear" w:color="auto" w:fill="D9D9D9" w:themeFill="background1" w:themeFillShade="D9"/>
            <w:noWrap/>
            <w:vAlign w:val="bottom"/>
          </w:tcPr>
          <w:p w14:paraId="3966D51C"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Product Type</w:t>
            </w:r>
          </w:p>
        </w:tc>
        <w:tc>
          <w:tcPr>
            <w:tcW w:w="3415" w:type="dxa"/>
            <w:shd w:val="clear" w:color="auto" w:fill="D9D9D9" w:themeFill="background1" w:themeFillShade="D9"/>
          </w:tcPr>
          <w:p w14:paraId="390A54CF" w14:textId="38D67904" w:rsidR="001D05E2" w:rsidRDefault="001D05E2" w:rsidP="00360B83">
            <w:pPr>
              <w:spacing w:after="0"/>
              <w:jc w:val="center"/>
              <w:rPr>
                <w:rFonts w:ascii="Times New Roman" w:hAnsi="Times New Roman" w:cs="Times New Roman"/>
              </w:rPr>
            </w:pPr>
            <w:r w:rsidRPr="00477FDA">
              <w:rPr>
                <w:rFonts w:ascii="Times New Roman" w:hAnsi="Times New Roman" w:cs="Times New Roman"/>
              </w:rPr>
              <w:t>FICAT Emission Factor for Non</w:t>
            </w:r>
            <w:r>
              <w:rPr>
                <w:rFonts w:ascii="Times New Roman" w:hAnsi="Times New Roman" w:cs="Times New Roman"/>
              </w:rPr>
              <w:t>-</w:t>
            </w:r>
            <w:r w:rsidRPr="00477FDA">
              <w:rPr>
                <w:rFonts w:ascii="Times New Roman" w:hAnsi="Times New Roman" w:cs="Times New Roman"/>
              </w:rPr>
              <w:t>fiber, Non</w:t>
            </w:r>
            <w:r>
              <w:rPr>
                <w:rFonts w:ascii="Times New Roman" w:hAnsi="Times New Roman" w:cs="Times New Roman"/>
              </w:rPr>
              <w:t>-</w:t>
            </w:r>
            <w:r w:rsidRPr="00477FDA">
              <w:rPr>
                <w:rFonts w:ascii="Times New Roman" w:hAnsi="Times New Roman" w:cs="Times New Roman"/>
              </w:rPr>
              <w:t>fuel Materials used in Manufacturing</w:t>
            </w:r>
            <w:r>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{"citationID":"OLbPViy1","properties":{"formattedCitation":"\\super 29\\nosupersub{}","plainCitation":"29","noteIndex":0},"citationItems":[{"id":76,"uris":["http://zotero.org/users/18184231/items/RNP9GPRV"],"itemData":{"id":76,"type":"software","event-place":"Cary, NC","publisher":"NCASI","publisher-place":"Cary, NC","title":"Forest Industry Carbon Assessment Tool (FICAT)","URL":"https://www.ncasi.org/resource/forest-industry-carbon-assessment-tool/","author":[{"family":"NCASI","given":""},{"family":"International Finance Corporation of the World Bank (IFC)","given":""}],"issued":{"date-parts":[["2025"]]}}}],"schema":"https://github.com/citation-style-language/schema/raw/master/csl-citation.json"} </w:instrText>
            </w:r>
            <w:r>
              <w:rPr>
                <w:rFonts w:ascii="Times New Roman" w:hAnsi="Times New Roman" w:cs="Times New Roman"/>
              </w:rPr>
              <w:fldChar w:fldCharType="separate"/>
            </w:r>
            <w:r w:rsidR="006B64BF" w:rsidRPr="006B64BF">
              <w:rPr>
                <w:rFonts w:ascii="Times New Roman" w:hAnsi="Times New Roman" w:cs="Times New Roman"/>
                <w:kern w:val="0"/>
                <w:vertAlign w:val="superscript"/>
              </w:rPr>
              <w:t>29</w:t>
            </w:r>
            <w:r>
              <w:rPr>
                <w:rFonts w:ascii="Times New Roman" w:hAnsi="Times New Roman" w:cs="Times New Roman"/>
              </w:rPr>
              <w:fldChar w:fldCharType="end"/>
            </w:r>
            <w:r w:rsidRPr="00477FDA">
              <w:rPr>
                <w:rFonts w:ascii="Times New Roman" w:hAnsi="Times New Roman" w:cs="Times New Roman"/>
              </w:rPr>
              <w:t xml:space="preserve"> </w:t>
            </w:r>
          </w:p>
          <w:p w14:paraId="5C646788"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(kg CO</w:t>
            </w:r>
            <w:r w:rsidRPr="00477FDA">
              <w:rPr>
                <w:rFonts w:ascii="Times New Roman" w:hAnsi="Times New Roman" w:cs="Times New Roman"/>
                <w:vertAlign w:val="subscript"/>
              </w:rPr>
              <w:t>2</w:t>
            </w:r>
            <w:r>
              <w:rPr>
                <w:rFonts w:ascii="Times New Roman" w:hAnsi="Times New Roman" w:cs="Times New Roman"/>
              </w:rPr>
              <w:t>e</w:t>
            </w:r>
            <w:r w:rsidRPr="00477FDA">
              <w:rPr>
                <w:rFonts w:ascii="Times New Roman" w:hAnsi="Times New Roman" w:cs="Times New Roman"/>
              </w:rPr>
              <w:t>/Metric Ton Product)</w:t>
            </w:r>
          </w:p>
        </w:tc>
      </w:tr>
      <w:tr w:rsidR="001D05E2" w:rsidRPr="00477FDA" w14:paraId="5614AA00" w14:textId="77777777" w:rsidTr="00360B83">
        <w:trPr>
          <w:trHeight w:val="300"/>
          <w:jc w:val="center"/>
        </w:trPr>
        <w:tc>
          <w:tcPr>
            <w:tcW w:w="4500" w:type="dxa"/>
            <w:noWrap/>
            <w:vAlign w:val="bottom"/>
          </w:tcPr>
          <w:p w14:paraId="6CBB832A"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Paper, Paperboard, and Market Pulp</w:t>
            </w:r>
          </w:p>
        </w:tc>
        <w:tc>
          <w:tcPr>
            <w:tcW w:w="3415" w:type="dxa"/>
          </w:tcPr>
          <w:p w14:paraId="70A3C6F5" w14:textId="77777777" w:rsidR="001D05E2" w:rsidRPr="00477FDA" w:rsidRDefault="001D05E2" w:rsidP="00360B83">
            <w:pPr>
              <w:spacing w:after="0"/>
              <w:jc w:val="center"/>
              <w:rPr>
                <w:rFonts w:ascii="Times New Roman" w:hAnsi="Times New Roman" w:cs="Times New Roman"/>
              </w:rPr>
            </w:pPr>
          </w:p>
        </w:tc>
      </w:tr>
      <w:tr w:rsidR="001D05E2" w:rsidRPr="00477FDA" w14:paraId="0DAF54A8" w14:textId="77777777" w:rsidTr="00360B83">
        <w:trPr>
          <w:trHeight w:val="300"/>
          <w:jc w:val="center"/>
        </w:trPr>
        <w:tc>
          <w:tcPr>
            <w:tcW w:w="4500" w:type="dxa"/>
            <w:noWrap/>
            <w:vAlign w:val="bottom"/>
          </w:tcPr>
          <w:p w14:paraId="71CAABB9"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Newsprint</w:t>
            </w:r>
          </w:p>
        </w:tc>
        <w:tc>
          <w:tcPr>
            <w:tcW w:w="3415" w:type="dxa"/>
          </w:tcPr>
          <w:p w14:paraId="072ABD5D"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75</w:t>
            </w:r>
          </w:p>
        </w:tc>
      </w:tr>
      <w:tr w:rsidR="001D05E2" w:rsidRPr="00477FDA" w14:paraId="7ECA279D" w14:textId="77777777" w:rsidTr="00360B83">
        <w:trPr>
          <w:trHeight w:val="300"/>
          <w:jc w:val="center"/>
        </w:trPr>
        <w:tc>
          <w:tcPr>
            <w:tcW w:w="4500" w:type="dxa"/>
            <w:noWrap/>
            <w:vAlign w:val="bottom"/>
            <w:hideMark/>
          </w:tcPr>
          <w:p w14:paraId="1A4F6988"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Coated freesheet</w:t>
            </w:r>
          </w:p>
        </w:tc>
        <w:tc>
          <w:tcPr>
            <w:tcW w:w="3415" w:type="dxa"/>
          </w:tcPr>
          <w:p w14:paraId="7390383B"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300</w:t>
            </w:r>
          </w:p>
        </w:tc>
      </w:tr>
      <w:tr w:rsidR="001D05E2" w:rsidRPr="00477FDA" w14:paraId="4BCDDBF5" w14:textId="77777777" w:rsidTr="00360B83">
        <w:trPr>
          <w:trHeight w:val="300"/>
          <w:jc w:val="center"/>
        </w:trPr>
        <w:tc>
          <w:tcPr>
            <w:tcW w:w="4500" w:type="dxa"/>
            <w:noWrap/>
            <w:vAlign w:val="bottom"/>
            <w:hideMark/>
          </w:tcPr>
          <w:p w14:paraId="2C5EBFBA"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Coated mechanical</w:t>
            </w:r>
          </w:p>
        </w:tc>
        <w:tc>
          <w:tcPr>
            <w:tcW w:w="3415" w:type="dxa"/>
          </w:tcPr>
          <w:p w14:paraId="49EE08A1"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200</w:t>
            </w:r>
          </w:p>
        </w:tc>
      </w:tr>
      <w:tr w:rsidR="001D05E2" w:rsidRPr="00477FDA" w14:paraId="0CE9A602" w14:textId="77777777" w:rsidTr="00360B83">
        <w:trPr>
          <w:trHeight w:val="300"/>
          <w:jc w:val="center"/>
        </w:trPr>
        <w:tc>
          <w:tcPr>
            <w:tcW w:w="4500" w:type="dxa"/>
            <w:noWrap/>
            <w:vAlign w:val="bottom"/>
            <w:hideMark/>
          </w:tcPr>
          <w:p w14:paraId="337C2D2E"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Uncoated mechanical</w:t>
            </w:r>
          </w:p>
        </w:tc>
        <w:tc>
          <w:tcPr>
            <w:tcW w:w="3415" w:type="dxa"/>
          </w:tcPr>
          <w:p w14:paraId="3DDE1C1F"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60</w:t>
            </w:r>
          </w:p>
        </w:tc>
      </w:tr>
      <w:tr w:rsidR="001D05E2" w:rsidRPr="00477FDA" w14:paraId="02929566" w14:textId="77777777" w:rsidTr="00360B83">
        <w:trPr>
          <w:trHeight w:val="300"/>
          <w:jc w:val="center"/>
        </w:trPr>
        <w:tc>
          <w:tcPr>
            <w:tcW w:w="4500" w:type="dxa"/>
            <w:noWrap/>
            <w:vAlign w:val="bottom"/>
            <w:hideMark/>
          </w:tcPr>
          <w:p w14:paraId="7A925EE8"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Uncoated freesheet</w:t>
            </w:r>
          </w:p>
        </w:tc>
        <w:tc>
          <w:tcPr>
            <w:tcW w:w="3415" w:type="dxa"/>
          </w:tcPr>
          <w:p w14:paraId="5C4FF5B9"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100</w:t>
            </w:r>
          </w:p>
        </w:tc>
      </w:tr>
      <w:tr w:rsidR="001D05E2" w:rsidRPr="00477FDA" w14:paraId="37F53A7D" w14:textId="77777777" w:rsidTr="00360B83">
        <w:trPr>
          <w:trHeight w:val="300"/>
          <w:jc w:val="center"/>
        </w:trPr>
        <w:tc>
          <w:tcPr>
            <w:tcW w:w="4500" w:type="dxa"/>
            <w:noWrap/>
            <w:vAlign w:val="bottom"/>
            <w:hideMark/>
          </w:tcPr>
          <w:p w14:paraId="4C7A1FB4"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Packaging and special industrial</w:t>
            </w:r>
          </w:p>
        </w:tc>
        <w:tc>
          <w:tcPr>
            <w:tcW w:w="3415" w:type="dxa"/>
          </w:tcPr>
          <w:p w14:paraId="041F1855"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20</w:t>
            </w:r>
          </w:p>
        </w:tc>
      </w:tr>
      <w:tr w:rsidR="001D05E2" w:rsidRPr="00477FDA" w14:paraId="1AA2EE73" w14:textId="77777777" w:rsidTr="00360B83">
        <w:trPr>
          <w:trHeight w:val="300"/>
          <w:jc w:val="center"/>
        </w:trPr>
        <w:tc>
          <w:tcPr>
            <w:tcW w:w="4500" w:type="dxa"/>
            <w:noWrap/>
            <w:vAlign w:val="bottom"/>
            <w:hideMark/>
          </w:tcPr>
          <w:p w14:paraId="55D19D6F"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Linerboard – Virgin</w:t>
            </w:r>
          </w:p>
        </w:tc>
        <w:tc>
          <w:tcPr>
            <w:tcW w:w="3415" w:type="dxa"/>
          </w:tcPr>
          <w:p w14:paraId="659184DD"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20</w:t>
            </w:r>
          </w:p>
        </w:tc>
      </w:tr>
      <w:tr w:rsidR="001D05E2" w:rsidRPr="00477FDA" w14:paraId="28728E83" w14:textId="77777777" w:rsidTr="00360B83">
        <w:trPr>
          <w:trHeight w:val="300"/>
          <w:jc w:val="center"/>
        </w:trPr>
        <w:tc>
          <w:tcPr>
            <w:tcW w:w="4500" w:type="dxa"/>
            <w:noWrap/>
            <w:vAlign w:val="bottom"/>
            <w:hideMark/>
          </w:tcPr>
          <w:p w14:paraId="77A27549"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Linerboard – Recycled</w:t>
            </w:r>
          </w:p>
        </w:tc>
        <w:tc>
          <w:tcPr>
            <w:tcW w:w="3415" w:type="dxa"/>
          </w:tcPr>
          <w:p w14:paraId="2E7A649C"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20</w:t>
            </w:r>
          </w:p>
        </w:tc>
      </w:tr>
      <w:tr w:rsidR="001D05E2" w:rsidRPr="00477FDA" w14:paraId="39B95C29" w14:textId="77777777" w:rsidTr="00360B83">
        <w:trPr>
          <w:trHeight w:val="300"/>
          <w:jc w:val="center"/>
        </w:trPr>
        <w:tc>
          <w:tcPr>
            <w:tcW w:w="4500" w:type="dxa"/>
            <w:noWrap/>
            <w:vAlign w:val="bottom"/>
            <w:hideMark/>
          </w:tcPr>
          <w:p w14:paraId="4DD20943"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Semi-Chem Medium</w:t>
            </w:r>
          </w:p>
        </w:tc>
        <w:tc>
          <w:tcPr>
            <w:tcW w:w="3415" w:type="dxa"/>
          </w:tcPr>
          <w:p w14:paraId="0DBA28BC"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30</w:t>
            </w:r>
          </w:p>
        </w:tc>
      </w:tr>
      <w:tr w:rsidR="001D05E2" w:rsidRPr="00477FDA" w14:paraId="20DC630A" w14:textId="77777777" w:rsidTr="00360B83">
        <w:trPr>
          <w:trHeight w:val="300"/>
          <w:jc w:val="center"/>
        </w:trPr>
        <w:tc>
          <w:tcPr>
            <w:tcW w:w="4500" w:type="dxa"/>
            <w:noWrap/>
            <w:vAlign w:val="bottom"/>
            <w:hideMark/>
          </w:tcPr>
          <w:p w14:paraId="17115CA6"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Medium – Recycled</w:t>
            </w:r>
          </w:p>
        </w:tc>
        <w:tc>
          <w:tcPr>
            <w:tcW w:w="3415" w:type="dxa"/>
          </w:tcPr>
          <w:p w14:paraId="101C1849"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40</w:t>
            </w:r>
          </w:p>
        </w:tc>
      </w:tr>
      <w:tr w:rsidR="001D05E2" w:rsidRPr="00477FDA" w14:paraId="1F8CB2A5" w14:textId="77777777" w:rsidTr="00360B83">
        <w:trPr>
          <w:trHeight w:val="300"/>
          <w:jc w:val="center"/>
        </w:trPr>
        <w:tc>
          <w:tcPr>
            <w:tcW w:w="4500" w:type="dxa"/>
            <w:noWrap/>
            <w:vAlign w:val="bottom"/>
            <w:hideMark/>
          </w:tcPr>
          <w:p w14:paraId="41D04B27"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Solid bleached paperboard</w:t>
            </w:r>
          </w:p>
        </w:tc>
        <w:tc>
          <w:tcPr>
            <w:tcW w:w="3415" w:type="dxa"/>
          </w:tcPr>
          <w:p w14:paraId="6EDFECCF"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40</w:t>
            </w:r>
          </w:p>
        </w:tc>
      </w:tr>
      <w:tr w:rsidR="001D05E2" w:rsidRPr="00477FDA" w14:paraId="79BD9698" w14:textId="77777777" w:rsidTr="00360B83">
        <w:trPr>
          <w:trHeight w:val="300"/>
          <w:jc w:val="center"/>
        </w:trPr>
        <w:tc>
          <w:tcPr>
            <w:tcW w:w="4500" w:type="dxa"/>
            <w:noWrap/>
            <w:vAlign w:val="bottom"/>
            <w:hideMark/>
          </w:tcPr>
          <w:p w14:paraId="73AE17B7"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 xml:space="preserve">Recycled and other board </w:t>
            </w:r>
          </w:p>
        </w:tc>
        <w:tc>
          <w:tcPr>
            <w:tcW w:w="3415" w:type="dxa"/>
          </w:tcPr>
          <w:p w14:paraId="78D0B506"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200</w:t>
            </w:r>
          </w:p>
        </w:tc>
      </w:tr>
      <w:tr w:rsidR="001D05E2" w:rsidRPr="00477FDA" w14:paraId="7AEF2CED" w14:textId="77777777" w:rsidTr="00360B83">
        <w:trPr>
          <w:trHeight w:val="300"/>
          <w:jc w:val="center"/>
        </w:trPr>
        <w:tc>
          <w:tcPr>
            <w:tcW w:w="4500" w:type="dxa"/>
            <w:noWrap/>
            <w:vAlign w:val="bottom"/>
            <w:hideMark/>
          </w:tcPr>
          <w:p w14:paraId="79474950"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Tissue</w:t>
            </w:r>
          </w:p>
        </w:tc>
        <w:tc>
          <w:tcPr>
            <w:tcW w:w="3415" w:type="dxa"/>
          </w:tcPr>
          <w:p w14:paraId="3ED48B42"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50</w:t>
            </w:r>
          </w:p>
        </w:tc>
      </w:tr>
      <w:tr w:rsidR="001D05E2" w:rsidRPr="00477FDA" w14:paraId="55730870" w14:textId="77777777" w:rsidTr="00360B83">
        <w:trPr>
          <w:trHeight w:val="300"/>
          <w:jc w:val="center"/>
        </w:trPr>
        <w:tc>
          <w:tcPr>
            <w:tcW w:w="4500" w:type="dxa"/>
            <w:noWrap/>
            <w:vAlign w:val="bottom"/>
            <w:hideMark/>
          </w:tcPr>
          <w:p w14:paraId="449B8B04"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Market pulp</w:t>
            </w:r>
          </w:p>
        </w:tc>
        <w:tc>
          <w:tcPr>
            <w:tcW w:w="3415" w:type="dxa"/>
          </w:tcPr>
          <w:p w14:paraId="1E30E94E"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200</w:t>
            </w:r>
          </w:p>
        </w:tc>
      </w:tr>
      <w:tr w:rsidR="001D05E2" w:rsidRPr="00477FDA" w14:paraId="534156A6" w14:textId="77777777" w:rsidTr="00360B83">
        <w:trPr>
          <w:trHeight w:val="300"/>
          <w:jc w:val="center"/>
        </w:trPr>
        <w:tc>
          <w:tcPr>
            <w:tcW w:w="4500" w:type="dxa"/>
            <w:noWrap/>
            <w:vAlign w:val="bottom"/>
          </w:tcPr>
          <w:p w14:paraId="391785E2"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Wood Products</w:t>
            </w:r>
          </w:p>
        </w:tc>
        <w:tc>
          <w:tcPr>
            <w:tcW w:w="3415" w:type="dxa"/>
          </w:tcPr>
          <w:p w14:paraId="5677F6BB" w14:textId="77777777" w:rsidR="001D05E2" w:rsidRPr="00477FDA" w:rsidRDefault="001D05E2" w:rsidP="00360B83">
            <w:pPr>
              <w:spacing w:after="0"/>
              <w:jc w:val="center"/>
              <w:rPr>
                <w:rFonts w:ascii="Times New Roman" w:hAnsi="Times New Roman" w:cs="Times New Roman"/>
              </w:rPr>
            </w:pPr>
          </w:p>
        </w:tc>
      </w:tr>
      <w:tr w:rsidR="001D05E2" w:rsidRPr="00477FDA" w14:paraId="67E023C9" w14:textId="77777777" w:rsidTr="00360B83">
        <w:trPr>
          <w:trHeight w:val="300"/>
          <w:jc w:val="center"/>
        </w:trPr>
        <w:tc>
          <w:tcPr>
            <w:tcW w:w="4500" w:type="dxa"/>
            <w:noWrap/>
            <w:vAlign w:val="bottom"/>
          </w:tcPr>
          <w:p w14:paraId="0CA5FBAB"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Creosote-treated wood</w:t>
            </w:r>
          </w:p>
        </w:tc>
        <w:tc>
          <w:tcPr>
            <w:tcW w:w="3415" w:type="dxa"/>
          </w:tcPr>
          <w:p w14:paraId="56B48F09"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700</w:t>
            </w:r>
          </w:p>
        </w:tc>
      </w:tr>
      <w:tr w:rsidR="001D05E2" w:rsidRPr="00477FDA" w14:paraId="4E2A23DC" w14:textId="77777777" w:rsidTr="00360B83">
        <w:trPr>
          <w:trHeight w:val="300"/>
          <w:jc w:val="center"/>
        </w:trPr>
        <w:tc>
          <w:tcPr>
            <w:tcW w:w="4500" w:type="dxa"/>
            <w:noWrap/>
            <w:vAlign w:val="bottom"/>
          </w:tcPr>
          <w:p w14:paraId="1CC9B5DB"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Untreated lumber</w:t>
            </w:r>
          </w:p>
        </w:tc>
        <w:tc>
          <w:tcPr>
            <w:tcW w:w="3415" w:type="dxa"/>
          </w:tcPr>
          <w:p w14:paraId="01525240"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0</w:t>
            </w:r>
          </w:p>
        </w:tc>
      </w:tr>
      <w:tr w:rsidR="001D05E2" w:rsidRPr="00477FDA" w14:paraId="266E0868" w14:textId="77777777" w:rsidTr="00360B83">
        <w:trPr>
          <w:trHeight w:val="300"/>
          <w:jc w:val="center"/>
        </w:trPr>
        <w:tc>
          <w:tcPr>
            <w:tcW w:w="4500" w:type="dxa"/>
            <w:noWrap/>
            <w:vAlign w:val="bottom"/>
          </w:tcPr>
          <w:p w14:paraId="41AE9B1F"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Other preservative-treated lumber</w:t>
            </w:r>
          </w:p>
        </w:tc>
        <w:tc>
          <w:tcPr>
            <w:tcW w:w="3415" w:type="dxa"/>
          </w:tcPr>
          <w:p w14:paraId="6281BE4A"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50</w:t>
            </w:r>
          </w:p>
        </w:tc>
      </w:tr>
      <w:tr w:rsidR="001D05E2" w:rsidRPr="00477FDA" w14:paraId="0FE88512" w14:textId="77777777" w:rsidTr="00360B83">
        <w:trPr>
          <w:trHeight w:val="300"/>
          <w:jc w:val="center"/>
        </w:trPr>
        <w:tc>
          <w:tcPr>
            <w:tcW w:w="4500" w:type="dxa"/>
            <w:noWrap/>
            <w:vAlign w:val="bottom"/>
          </w:tcPr>
          <w:p w14:paraId="66454A5B" w14:textId="77777777" w:rsidR="001D05E2" w:rsidRPr="00477FDA" w:rsidRDefault="001D05E2" w:rsidP="00360B83">
            <w:pPr>
              <w:spacing w:after="0"/>
              <w:rPr>
                <w:rFonts w:ascii="Times New Roman" w:hAnsi="Times New Roman" w:cs="Times New Roman"/>
              </w:rPr>
            </w:pPr>
            <w:r w:rsidRPr="00477FDA">
              <w:rPr>
                <w:rFonts w:ascii="Times New Roman" w:hAnsi="Times New Roman" w:cs="Times New Roman"/>
              </w:rPr>
              <w:t>Panels, veneer, and misc. products</w:t>
            </w:r>
          </w:p>
        </w:tc>
        <w:tc>
          <w:tcPr>
            <w:tcW w:w="3415" w:type="dxa"/>
          </w:tcPr>
          <w:p w14:paraId="0B427754" w14:textId="77777777" w:rsidR="001D05E2" w:rsidRPr="00477FDA" w:rsidRDefault="001D05E2" w:rsidP="00360B83">
            <w:pPr>
              <w:spacing w:after="0"/>
              <w:jc w:val="center"/>
              <w:rPr>
                <w:rFonts w:ascii="Times New Roman" w:hAnsi="Times New Roman" w:cs="Times New Roman"/>
              </w:rPr>
            </w:pPr>
            <w:r w:rsidRPr="00477FDA">
              <w:rPr>
                <w:rFonts w:ascii="Times New Roman" w:hAnsi="Times New Roman" w:cs="Times New Roman"/>
              </w:rPr>
              <w:t>200</w:t>
            </w:r>
          </w:p>
        </w:tc>
      </w:tr>
    </w:tbl>
    <w:p w14:paraId="6645B5D0" w14:textId="77777777" w:rsidR="001D05E2" w:rsidRDefault="001D05E2" w:rsidP="001D05E2">
      <w:pPr>
        <w:rPr>
          <w:rFonts w:ascii="Times New Roman" w:hAnsi="Times New Roman" w:cs="Times New Roman"/>
        </w:rPr>
      </w:pPr>
    </w:p>
    <w:p w14:paraId="200BEB70" w14:textId="0B1C813B" w:rsidR="001D05E2" w:rsidRPr="002D3339" w:rsidRDefault="001D05E2" w:rsidP="001D05E2">
      <w:pPr>
        <w:spacing w:line="276" w:lineRule="auto"/>
        <w:rPr>
          <w:rFonts w:ascii="Times New Roman" w:hAnsi="Times New Roman" w:cs="Times New Roman"/>
          <w:b/>
          <w:bCs/>
        </w:rPr>
      </w:pPr>
    </w:p>
    <w:p w14:paraId="30D0CBA1" w14:textId="4EE6F2B6" w:rsidR="001D05E2" w:rsidRPr="002D10B0" w:rsidRDefault="001D05E2" w:rsidP="00632FC1">
      <w:pPr>
        <w:pStyle w:val="Heading1"/>
        <w:rPr>
          <w:rFonts w:ascii="Times New Roman" w:hAnsi="Times New Roman" w:cs="Times New Roman"/>
          <w:b/>
          <w:bCs/>
          <w:color w:val="auto"/>
          <w:sz w:val="24"/>
          <w:szCs w:val="24"/>
        </w:rPr>
      </w:pPr>
      <w:bookmarkStart w:id="64" w:name="_Toc215829617"/>
      <w:r w:rsidRPr="002D10B0">
        <w:rPr>
          <w:rFonts w:ascii="Times New Roman" w:hAnsi="Times New Roman" w:cs="Times New Roman"/>
          <w:b/>
          <w:bCs/>
          <w:color w:val="auto"/>
          <w:sz w:val="24"/>
          <w:szCs w:val="24"/>
        </w:rPr>
        <w:t>E</w:t>
      </w:r>
      <w:r w:rsidR="002D10B0" w:rsidRPr="002D10B0">
        <w:rPr>
          <w:rFonts w:ascii="Times New Roman" w:hAnsi="Times New Roman" w:cs="Times New Roman"/>
          <w:b/>
          <w:bCs/>
          <w:color w:val="auto"/>
          <w:sz w:val="24"/>
          <w:szCs w:val="24"/>
        </w:rPr>
        <w:t>MISSIONS FROM SYSTEMS MANAGING FOREST PRODUCT INDUSTRY WASTES</w:t>
      </w:r>
      <w:bookmarkEnd w:id="64"/>
      <w:r w:rsidRPr="002D10B0">
        <w:rPr>
          <w:rFonts w:ascii="Times New Roman" w:hAnsi="Times New Roman" w:cs="Times New Roman"/>
          <w:b/>
          <w:bCs/>
          <w:color w:val="auto"/>
          <w:sz w:val="24"/>
          <w:szCs w:val="24"/>
        </w:rPr>
        <w:t xml:space="preserve"> </w:t>
      </w:r>
    </w:p>
    <w:p w14:paraId="5520A5D8" w14:textId="77777777" w:rsidR="001D05E2" w:rsidRPr="002D10B0" w:rsidRDefault="001D05E2" w:rsidP="00632FC1">
      <w:pPr>
        <w:pStyle w:val="Heading2"/>
        <w:rPr>
          <w:rFonts w:ascii="Times New Roman" w:hAnsi="Times New Roman" w:cs="Times New Roman"/>
          <w:b/>
          <w:bCs/>
          <w:color w:val="auto"/>
          <w:sz w:val="24"/>
          <w:szCs w:val="24"/>
        </w:rPr>
      </w:pPr>
      <w:bookmarkStart w:id="65" w:name="_Toc165549664"/>
      <w:bookmarkStart w:id="66" w:name="_Toc174876804"/>
      <w:bookmarkStart w:id="67" w:name="_Toc215829618"/>
      <w:r w:rsidRPr="002D10B0">
        <w:rPr>
          <w:rFonts w:ascii="Times New Roman" w:hAnsi="Times New Roman" w:cs="Times New Roman"/>
          <w:b/>
          <w:bCs/>
          <w:color w:val="auto"/>
          <w:sz w:val="24"/>
          <w:szCs w:val="24"/>
        </w:rPr>
        <w:t>Emissions from Landfills Receiving Pulp and Paper Mill Wastes</w:t>
      </w:r>
      <w:bookmarkEnd w:id="65"/>
      <w:bookmarkEnd w:id="66"/>
      <w:bookmarkEnd w:id="67"/>
    </w:p>
    <w:p w14:paraId="60873ECF" w14:textId="3123331F"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Methane emissions are estimated for four different wastes that may be disposed of in mill landfills: wastewater treatment residuals (WWTR), boiler ash, recovery area </w:t>
      </w:r>
      <w:proofErr w:type="gramStart"/>
      <w:r w:rsidRPr="001D05E2">
        <w:rPr>
          <w:rFonts w:ascii="Times New Roman" w:hAnsi="Times New Roman" w:cs="Times New Roman"/>
        </w:rPr>
        <w:t>wastes</w:t>
      </w:r>
      <w:proofErr w:type="gramEnd"/>
      <w:r w:rsidRPr="001D05E2">
        <w:rPr>
          <w:rFonts w:ascii="Times New Roman" w:hAnsi="Times New Roman" w:cs="Times New Roman"/>
        </w:rPr>
        <w:t>, and other wastes. In earlier profiles, only WWTR were considered, but US EPA’s GHGRP</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{"citationID":"vBZbgT11","properties":{"formattedCitation":"\\super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r w:rsidRPr="001D05E2">
        <w:rPr>
          <w:rFonts w:ascii="Times New Roman" w:hAnsi="Times New Roman" w:cs="Times New Roman"/>
        </w:rPr>
        <w:t xml:space="preserve"> includes calculation parameters for all four types of wastes. Therefore, all are included here. In addition, </w:t>
      </w:r>
      <w:r w:rsidRPr="001D05E2">
        <w:rPr>
          <w:rFonts w:ascii="Times New Roman" w:hAnsi="Times New Roman" w:cs="Times New Roman"/>
        </w:rPr>
        <w:lastRenderedPageBreak/>
        <w:t>the GHGRP includes parameter values for combined wastes from pulp and paper mills, thus separate estimates are presented assuming that all landfilled wastes are co-disposed.</w:t>
      </w:r>
    </w:p>
    <w:p w14:paraId="3F818841"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Pulp and Paper Mill Wastewater Treatment Residuals (WWTR)</w:t>
      </w:r>
    </w:p>
    <w:p w14:paraId="6755058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There are three methods for estimating methane emissions from landfills receiving WWTR from pulp and paper mills: </w:t>
      </w:r>
    </w:p>
    <w:p w14:paraId="43C1AC56" w14:textId="261AEDE1" w:rsidR="001D05E2" w:rsidRPr="001D05E2" w:rsidRDefault="001D05E2" w:rsidP="001D05E2">
      <w:pPr>
        <w:numPr>
          <w:ilvl w:val="0"/>
          <w:numId w:val="2"/>
        </w:numPr>
        <w:spacing w:after="0"/>
        <w:rPr>
          <w:rFonts w:ascii="Times New Roman" w:hAnsi="Times New Roman" w:cs="Times New Roman"/>
        </w:rPr>
      </w:pPr>
      <w:r w:rsidRPr="001D05E2">
        <w:rPr>
          <w:rFonts w:ascii="Times New Roman" w:hAnsi="Times New Roman" w:cs="Times New Roman"/>
        </w:rPr>
        <w:t>Adapt estimates developed by US EPA for its annual inventory</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{"citationID":"lYACkoOj","properties":{"formattedCitation":"\\super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12</w:t>
      </w:r>
      <w:r w:rsidRPr="001D05E2">
        <w:rPr>
          <w:rFonts w:ascii="Times New Roman" w:hAnsi="Times New Roman" w:cs="Times New Roman"/>
        </w:rPr>
        <w:fldChar w:fldCharType="end"/>
      </w:r>
      <w:r w:rsidRPr="001D05E2">
        <w:rPr>
          <w:rFonts w:ascii="Times New Roman" w:hAnsi="Times New Roman" w:cs="Times New Roman"/>
        </w:rPr>
        <w:t>;</w:t>
      </w:r>
    </w:p>
    <w:p w14:paraId="77FD4418" w14:textId="2F7A97F9" w:rsidR="001D05E2" w:rsidRPr="001D05E2" w:rsidRDefault="001D05E2" w:rsidP="001D05E2">
      <w:pPr>
        <w:numPr>
          <w:ilvl w:val="0"/>
          <w:numId w:val="2"/>
        </w:numPr>
        <w:spacing w:after="0"/>
        <w:rPr>
          <w:rFonts w:ascii="Times New Roman" w:hAnsi="Times New Roman" w:cs="Times New Roman"/>
        </w:rPr>
      </w:pPr>
      <w:r w:rsidRPr="001D05E2">
        <w:rPr>
          <w:rFonts w:ascii="Times New Roman" w:hAnsi="Times New Roman" w:cs="Times New Roman"/>
        </w:rPr>
        <w:t>Extrapolate emissions reported by facilities under US EPA’s GHGRP</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{"citationID":"5bKx90rW","properties":{"formattedCitation":"\\super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r w:rsidRPr="001D05E2">
        <w:rPr>
          <w:rFonts w:ascii="Times New Roman" w:hAnsi="Times New Roman" w:cs="Times New Roman"/>
        </w:rPr>
        <w:t xml:space="preserve">; </w:t>
      </w:r>
    </w:p>
    <w:p w14:paraId="4A2A394A" w14:textId="77777777" w:rsidR="001D05E2" w:rsidRPr="001D05E2" w:rsidRDefault="001D05E2" w:rsidP="001D05E2">
      <w:pPr>
        <w:numPr>
          <w:ilvl w:val="0"/>
          <w:numId w:val="2"/>
        </w:numPr>
        <w:spacing w:after="0"/>
        <w:rPr>
          <w:rFonts w:ascii="Times New Roman" w:hAnsi="Times New Roman" w:cs="Times New Roman"/>
          <w:u w:val="single"/>
        </w:rPr>
      </w:pPr>
      <w:r w:rsidRPr="001D05E2">
        <w:rPr>
          <w:rFonts w:ascii="Times New Roman" w:hAnsi="Times New Roman" w:cs="Times New Roman"/>
        </w:rPr>
        <w:t xml:space="preserve">Use the same approach as used in the GHGRP but incorporate updated data and parameters. </w:t>
      </w:r>
    </w:p>
    <w:p w14:paraId="6F2B4CD0" w14:textId="77777777" w:rsidR="002E2C51" w:rsidRDefault="002E2C51" w:rsidP="001D05E2">
      <w:pPr>
        <w:rPr>
          <w:rFonts w:ascii="Times New Roman" w:hAnsi="Times New Roman" w:cs="Times New Roman"/>
          <w:i/>
          <w:iCs/>
        </w:rPr>
      </w:pPr>
    </w:p>
    <w:p w14:paraId="50E4AD5D" w14:textId="5521078B"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 xml:space="preserve">Pulp and Paper Mill WWTR Estimates Based on US EPA’s Annual Inventory </w:t>
      </w:r>
    </w:p>
    <w:p w14:paraId="6FDBAEAF" w14:textId="5DA41EBE" w:rsidR="001D05E2" w:rsidRPr="001D05E2" w:rsidRDefault="001D05E2" w:rsidP="001D05E2">
      <w:pPr>
        <w:rPr>
          <w:rFonts w:ascii="Times New Roman" w:hAnsi="Times New Roman" w:cs="Times New Roman"/>
        </w:rPr>
      </w:pPr>
      <w:r w:rsidRPr="001D05E2">
        <w:rPr>
          <w:rFonts w:ascii="Times New Roman" w:hAnsi="Times New Roman" w:cs="Times New Roman"/>
        </w:rPr>
        <w:t>US EPA develops estimates of methane emissions from landfills in the pulp/paper and food/beverage sectors</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{"citationID":"vvCoZ3jj","properties":{"formattedCitation":"\\super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12</w:t>
      </w:r>
      <w:r w:rsidRPr="001D05E2">
        <w:rPr>
          <w:rFonts w:ascii="Times New Roman" w:hAnsi="Times New Roman" w:cs="Times New Roman"/>
        </w:rPr>
        <w:fldChar w:fldCharType="end"/>
      </w:r>
      <w:r w:rsidRPr="001D05E2">
        <w:rPr>
          <w:rFonts w:ascii="Times New Roman" w:hAnsi="Times New Roman" w:cs="Times New Roman"/>
        </w:rPr>
        <w:t>. US EPA states that it used a factor of 0.05 metric tons of landfilled waste per metric ton of pulp and paper production to estimate annual disposal amounts and presents estimates of total waste generation and waste landfilled</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{"citationID":"cWCInoYP","properties":{"formattedCitation":"\\super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12</w:t>
      </w:r>
      <w:r w:rsidRPr="001D05E2">
        <w:rPr>
          <w:rFonts w:ascii="Times New Roman" w:hAnsi="Times New Roman" w:cs="Times New Roman"/>
        </w:rPr>
        <w:fldChar w:fldCharType="end"/>
      </w:r>
      <w:r w:rsidRPr="001D05E2">
        <w:rPr>
          <w:rFonts w:ascii="Times New Roman" w:hAnsi="Times New Roman" w:cs="Times New Roman"/>
        </w:rPr>
        <w:t xml:space="preserve">. There appear to be inconsistencies in EPA’s estimates, however. Table A-219 in the annexes to US EPA’s 1990–2020 inventory </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{"citationID":"xwbN9l8N","properties":{"formattedCitation":"\\super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12</w:t>
      </w:r>
      <w:r w:rsidRPr="001D05E2">
        <w:rPr>
          <w:rFonts w:ascii="Times New Roman" w:hAnsi="Times New Roman" w:cs="Times New Roman"/>
        </w:rPr>
        <w:fldChar w:fldCharType="end"/>
      </w:r>
      <w:r w:rsidRPr="001D05E2">
        <w:rPr>
          <w:rFonts w:ascii="Times New Roman" w:hAnsi="Times New Roman" w:cs="Times New Roman"/>
        </w:rPr>
        <w:t xml:space="preserve"> indicates that the pulp and paper sector produced 121 million metric tons of waste in 2020. Using a factor of 0.05 would suggest that pulp and paper production </w:t>
      </w:r>
      <w:proofErr w:type="gramStart"/>
      <w:r w:rsidRPr="001D05E2">
        <w:rPr>
          <w:rFonts w:ascii="Times New Roman" w:hAnsi="Times New Roman" w:cs="Times New Roman"/>
        </w:rPr>
        <w:t>equaled</w:t>
      </w:r>
      <w:proofErr w:type="gramEnd"/>
      <w:r w:rsidRPr="001D05E2">
        <w:rPr>
          <w:rFonts w:ascii="Times New Roman" w:hAnsi="Times New Roman" w:cs="Times New Roman"/>
        </w:rPr>
        <w:t xml:space="preserve"> 2.4 billion metric tons, which is more than an order of magnitude too large. The table, however, also shows US EPA’s estimate of the metric tons landfilled, which in 2020 equaled 5.9 million metric tons (assumed wet). This is much higher than NCASI estimates (see discussion later in this section) but far more reasonable, given industry production and other estimates.</w:t>
      </w:r>
    </w:p>
    <w:p w14:paraId="59C970F9" w14:textId="60B8CCC5" w:rsidR="001D05E2" w:rsidRDefault="001D05E2" w:rsidP="001D05E2">
      <w:pPr>
        <w:rPr>
          <w:rFonts w:ascii="Times New Roman" w:hAnsi="Times New Roman" w:cs="Times New Roman"/>
        </w:rPr>
      </w:pPr>
      <w:r w:rsidRPr="001D05E2">
        <w:rPr>
          <w:rFonts w:ascii="Times New Roman" w:hAnsi="Times New Roman" w:cs="Times New Roman"/>
        </w:rPr>
        <w:t xml:space="preserve">Degradation was modeled by EPA using a first order decay model with a value </w:t>
      </w:r>
      <w:proofErr w:type="gramStart"/>
      <w:r w:rsidRPr="001D05E2">
        <w:rPr>
          <w:rFonts w:ascii="Times New Roman" w:hAnsi="Times New Roman" w:cs="Times New Roman"/>
        </w:rPr>
        <w:t>for</w:t>
      </w:r>
      <w:proofErr w:type="gramEnd"/>
      <w:r w:rsidRPr="001D05E2">
        <w:rPr>
          <w:rFonts w:ascii="Times New Roman" w:hAnsi="Times New Roman" w:cs="Times New Roman"/>
        </w:rPr>
        <w:t xml:space="preserve"> k of 0.06 yr-</w:t>
      </w:r>
      <w:r w:rsidRPr="001D05E2">
        <w:rPr>
          <w:rFonts w:ascii="Times New Roman" w:hAnsi="Times New Roman" w:cs="Times New Roman"/>
          <w:vertAlign w:val="superscript"/>
        </w:rPr>
        <w:t xml:space="preserve">1 </w:t>
      </w:r>
      <w:r w:rsidRPr="001D05E2">
        <w:rPr>
          <w:rFonts w:ascii="Times New Roman" w:hAnsi="Times New Roman" w:cs="Times New Roman"/>
        </w:rPr>
        <w:t>and degradable organic carbon (DOC) of 0.15 (L</w:t>
      </w:r>
      <w:r w:rsidRPr="001D05E2">
        <w:rPr>
          <w:rFonts w:ascii="Times New Roman" w:hAnsi="Times New Roman" w:cs="Times New Roman"/>
          <w:vertAlign w:val="subscript"/>
        </w:rPr>
        <w:t xml:space="preserve">o </w:t>
      </w:r>
      <w:r w:rsidRPr="001D05E2">
        <w:rPr>
          <w:rFonts w:ascii="Times New Roman" w:hAnsi="Times New Roman" w:cs="Times New Roman"/>
        </w:rPr>
        <w:t>of 49 m</w:t>
      </w:r>
      <w:r w:rsidRPr="001D05E2">
        <w:rPr>
          <w:rFonts w:ascii="Times New Roman" w:hAnsi="Times New Roman" w:cs="Times New Roman"/>
          <w:vertAlign w:val="superscript"/>
        </w:rPr>
        <w:t xml:space="preserve">3 </w:t>
      </w:r>
      <w:r w:rsidRPr="001D05E2">
        <w:rPr>
          <w:rFonts w:ascii="Times New Roman" w:hAnsi="Times New Roman" w:cs="Times New Roman"/>
        </w:rPr>
        <w:t xml:space="preserve">methane/metric ton waste), wet basis. A comparable approach, using different parameter values, was used for the food/beverage sector. US EPA does not show the emissions results separately for the two sectors, but the amounts of waste </w:t>
      </w:r>
      <w:proofErr w:type="gramStart"/>
      <w:r w:rsidRPr="001D05E2">
        <w:rPr>
          <w:rFonts w:ascii="Times New Roman" w:hAnsi="Times New Roman" w:cs="Times New Roman"/>
        </w:rPr>
        <w:t>disposed</w:t>
      </w:r>
      <w:proofErr w:type="gramEnd"/>
      <w:r w:rsidRPr="001D05E2">
        <w:rPr>
          <w:rFonts w:ascii="Times New Roman" w:hAnsi="Times New Roman" w:cs="Times New Roman"/>
        </w:rPr>
        <w:t xml:space="preserve"> are shown separately. For this report, we have estimated the pulp and paper sector’s contribution to these emissions by multiplying the total emissions from the two sectors by the ratio of pulp and paper waste amounts to total waste amounts from the two sectors. Values from 2005 to 2026 were interpolated. The results are shown in Table </w:t>
      </w:r>
      <w:r w:rsidR="002319E1">
        <w:rPr>
          <w:rFonts w:ascii="Times New Roman" w:hAnsi="Times New Roman" w:cs="Times New Roman"/>
        </w:rPr>
        <w:t>S26</w:t>
      </w:r>
      <w:r w:rsidRPr="001D05E2">
        <w:rPr>
          <w:rFonts w:ascii="Times New Roman" w:hAnsi="Times New Roman" w:cs="Times New Roman"/>
        </w:rPr>
        <w:t>. Using this approach, US EPA’s annual inventory calculations suggest that methane emissions attributable to WWTR increased from 289,000 metric tons in 1990 to 363,000 metric tons in 2009 before declining to 355,000 metric tons in 2020.</w:t>
      </w:r>
    </w:p>
    <w:p w14:paraId="0DE2CD41" w14:textId="77777777" w:rsidR="002319E1" w:rsidRDefault="002319E1" w:rsidP="001D05E2">
      <w:pPr>
        <w:rPr>
          <w:rFonts w:ascii="Times New Roman" w:hAnsi="Times New Roman" w:cs="Times New Roman"/>
        </w:rPr>
      </w:pPr>
    </w:p>
    <w:p w14:paraId="105E1D91" w14:textId="77777777" w:rsidR="002319E1" w:rsidRDefault="002319E1" w:rsidP="001D05E2">
      <w:pPr>
        <w:rPr>
          <w:rFonts w:ascii="Times New Roman" w:hAnsi="Times New Roman" w:cs="Times New Roman"/>
        </w:rPr>
      </w:pPr>
    </w:p>
    <w:p w14:paraId="0E4FC126" w14:textId="77777777" w:rsidR="002319E1" w:rsidRPr="001D05E2" w:rsidRDefault="002319E1" w:rsidP="001D05E2">
      <w:pPr>
        <w:rPr>
          <w:rFonts w:ascii="Times New Roman" w:hAnsi="Times New Roman" w:cs="Times New Roman"/>
        </w:rPr>
      </w:pPr>
    </w:p>
    <w:p w14:paraId="1FFFF4F9" w14:textId="395501E8" w:rsidR="001D05E2" w:rsidRPr="001D05E2" w:rsidRDefault="001D05E2" w:rsidP="001D05E2">
      <w:pPr>
        <w:jc w:val="center"/>
        <w:rPr>
          <w:rFonts w:ascii="Times New Roman" w:hAnsi="Times New Roman" w:cs="Times New Roman"/>
        </w:rPr>
      </w:pPr>
      <w:r w:rsidRPr="002319E1">
        <w:rPr>
          <w:rFonts w:ascii="Times New Roman" w:hAnsi="Times New Roman" w:cs="Times New Roman"/>
          <w:b/>
          <w:bCs/>
        </w:rPr>
        <w:lastRenderedPageBreak/>
        <w:t xml:space="preserve">Table </w:t>
      </w:r>
      <w:r w:rsidR="002319E1" w:rsidRPr="002319E1">
        <w:rPr>
          <w:rFonts w:ascii="Times New Roman" w:hAnsi="Times New Roman" w:cs="Times New Roman"/>
          <w:b/>
          <w:bCs/>
        </w:rPr>
        <w:t>S26</w:t>
      </w:r>
      <w:r w:rsidRPr="001D05E2">
        <w:rPr>
          <w:rFonts w:ascii="Times New Roman" w:hAnsi="Times New Roman" w:cs="Times New Roman"/>
        </w:rPr>
        <w:t>. Adaptation of US EPA Annual Inventory Calculations to Estimate Methane Emissions Attributable to WWTR in Landfills</w:t>
      </w:r>
    </w:p>
    <w:tbl>
      <w:tblPr>
        <w:tblW w:w="855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0"/>
        <w:gridCol w:w="3270"/>
        <w:gridCol w:w="1890"/>
        <w:gridCol w:w="2430"/>
      </w:tblGrid>
      <w:tr w:rsidR="001D05E2" w:rsidRPr="001D05E2" w14:paraId="4F873099" w14:textId="77777777" w:rsidTr="00360B83">
        <w:trPr>
          <w:trHeight w:val="300"/>
          <w:jc w:val="center"/>
        </w:trPr>
        <w:tc>
          <w:tcPr>
            <w:tcW w:w="960" w:type="dxa"/>
            <w:shd w:val="clear" w:color="auto" w:fill="D9D9D9" w:themeFill="background1" w:themeFillShade="D9"/>
            <w:noWrap/>
            <w:vAlign w:val="bottom"/>
            <w:hideMark/>
          </w:tcPr>
          <w:p w14:paraId="3965B93E" w14:textId="77777777" w:rsidR="001D05E2" w:rsidRPr="001D05E2" w:rsidRDefault="001D05E2" w:rsidP="001D05E2">
            <w:pPr>
              <w:spacing w:after="0"/>
              <w:rPr>
                <w:rFonts w:ascii="Times New Roman" w:hAnsi="Times New Roman" w:cs="Times New Roman"/>
              </w:rPr>
            </w:pPr>
            <w:r w:rsidRPr="001D05E2">
              <w:rPr>
                <w:rFonts w:ascii="Times New Roman" w:hAnsi="Times New Roman" w:cs="Times New Roman"/>
              </w:rPr>
              <w:t>Year</w:t>
            </w:r>
          </w:p>
        </w:tc>
        <w:tc>
          <w:tcPr>
            <w:tcW w:w="3270" w:type="dxa"/>
            <w:shd w:val="clear" w:color="auto" w:fill="D9D9D9" w:themeFill="background1" w:themeFillShade="D9"/>
            <w:noWrap/>
            <w:vAlign w:val="bottom"/>
            <w:hideMark/>
          </w:tcPr>
          <w:p w14:paraId="0E804FA0"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Emissions from the Pulp-Paper and Beverage-Food Sectors Combined,</w:t>
            </w:r>
          </w:p>
          <w:p w14:paraId="6B7B6744"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Metric Tons Methane</w:t>
            </w:r>
          </w:p>
        </w:tc>
        <w:tc>
          <w:tcPr>
            <w:tcW w:w="1890" w:type="dxa"/>
            <w:shd w:val="clear" w:color="auto" w:fill="D9D9D9" w:themeFill="background1" w:themeFillShade="D9"/>
            <w:noWrap/>
            <w:vAlign w:val="bottom"/>
            <w:hideMark/>
          </w:tcPr>
          <w:p w14:paraId="78359A1B"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Fraction of Waste from the Pulp-Paper Sector</w:t>
            </w:r>
          </w:p>
        </w:tc>
        <w:tc>
          <w:tcPr>
            <w:tcW w:w="2430" w:type="dxa"/>
            <w:shd w:val="clear" w:color="auto" w:fill="D9D9D9" w:themeFill="background1" w:themeFillShade="D9"/>
            <w:noWrap/>
            <w:vAlign w:val="bottom"/>
            <w:hideMark/>
          </w:tcPr>
          <w:p w14:paraId="3B65E822"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Estimated Emissions from the Pulp and Paper Sector, Metric Tons Methane</w:t>
            </w:r>
          </w:p>
        </w:tc>
      </w:tr>
      <w:tr w:rsidR="001D05E2" w:rsidRPr="001D05E2" w14:paraId="17755C59" w14:textId="77777777" w:rsidTr="00360B83">
        <w:trPr>
          <w:trHeight w:val="300"/>
          <w:jc w:val="center"/>
        </w:trPr>
        <w:tc>
          <w:tcPr>
            <w:tcW w:w="960" w:type="dxa"/>
            <w:noWrap/>
            <w:vAlign w:val="bottom"/>
            <w:hideMark/>
          </w:tcPr>
          <w:p w14:paraId="10604C08" w14:textId="77777777" w:rsidR="001D05E2" w:rsidRPr="001D05E2" w:rsidRDefault="001D05E2" w:rsidP="001D05E2">
            <w:pPr>
              <w:spacing w:after="0"/>
              <w:rPr>
                <w:rFonts w:ascii="Times New Roman" w:hAnsi="Times New Roman" w:cs="Times New Roman"/>
              </w:rPr>
            </w:pPr>
            <w:r w:rsidRPr="001D05E2">
              <w:rPr>
                <w:rFonts w:ascii="Times New Roman" w:hAnsi="Times New Roman" w:cs="Times New Roman"/>
              </w:rPr>
              <w:t>1990</w:t>
            </w:r>
          </w:p>
        </w:tc>
        <w:tc>
          <w:tcPr>
            <w:tcW w:w="3270" w:type="dxa"/>
            <w:noWrap/>
            <w:vAlign w:val="bottom"/>
            <w:hideMark/>
          </w:tcPr>
          <w:p w14:paraId="59517857"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436,000</w:t>
            </w:r>
          </w:p>
        </w:tc>
        <w:tc>
          <w:tcPr>
            <w:tcW w:w="1890" w:type="dxa"/>
            <w:noWrap/>
            <w:vAlign w:val="bottom"/>
            <w:hideMark/>
          </w:tcPr>
          <w:p w14:paraId="25828C9B"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0.67</w:t>
            </w:r>
          </w:p>
        </w:tc>
        <w:tc>
          <w:tcPr>
            <w:tcW w:w="2430" w:type="dxa"/>
            <w:noWrap/>
            <w:vAlign w:val="bottom"/>
            <w:hideMark/>
          </w:tcPr>
          <w:p w14:paraId="1C58D879"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289,000</w:t>
            </w:r>
          </w:p>
        </w:tc>
      </w:tr>
      <w:tr w:rsidR="001D05E2" w:rsidRPr="001D05E2" w14:paraId="51C22B26" w14:textId="77777777" w:rsidTr="00360B83">
        <w:trPr>
          <w:trHeight w:val="300"/>
          <w:jc w:val="center"/>
        </w:trPr>
        <w:tc>
          <w:tcPr>
            <w:tcW w:w="960" w:type="dxa"/>
            <w:noWrap/>
            <w:vAlign w:val="bottom"/>
            <w:hideMark/>
          </w:tcPr>
          <w:p w14:paraId="0C647344" w14:textId="77777777" w:rsidR="001D05E2" w:rsidRPr="001D05E2" w:rsidRDefault="001D05E2" w:rsidP="001D05E2">
            <w:pPr>
              <w:spacing w:after="0"/>
              <w:rPr>
                <w:rFonts w:ascii="Times New Roman" w:hAnsi="Times New Roman" w:cs="Times New Roman"/>
              </w:rPr>
            </w:pPr>
            <w:r w:rsidRPr="001D05E2">
              <w:rPr>
                <w:rFonts w:ascii="Times New Roman" w:hAnsi="Times New Roman" w:cs="Times New Roman"/>
              </w:rPr>
              <w:t>2005</w:t>
            </w:r>
          </w:p>
        </w:tc>
        <w:tc>
          <w:tcPr>
            <w:tcW w:w="3270" w:type="dxa"/>
            <w:noWrap/>
            <w:vAlign w:val="bottom"/>
            <w:hideMark/>
          </w:tcPr>
          <w:p w14:paraId="04A69C46"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574,000</w:t>
            </w:r>
          </w:p>
        </w:tc>
        <w:tc>
          <w:tcPr>
            <w:tcW w:w="1890" w:type="dxa"/>
            <w:noWrap/>
            <w:vAlign w:val="bottom"/>
            <w:hideMark/>
          </w:tcPr>
          <w:p w14:paraId="06C5CF1F"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0.63</w:t>
            </w:r>
          </w:p>
        </w:tc>
        <w:tc>
          <w:tcPr>
            <w:tcW w:w="2430" w:type="dxa"/>
            <w:noWrap/>
            <w:vAlign w:val="bottom"/>
            <w:hideMark/>
          </w:tcPr>
          <w:p w14:paraId="6DA799BF"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363,000</w:t>
            </w:r>
          </w:p>
        </w:tc>
      </w:tr>
      <w:tr w:rsidR="001D05E2" w:rsidRPr="001D05E2" w14:paraId="26B371F5" w14:textId="77777777" w:rsidTr="00360B83">
        <w:trPr>
          <w:trHeight w:val="300"/>
          <w:jc w:val="center"/>
        </w:trPr>
        <w:tc>
          <w:tcPr>
            <w:tcW w:w="960" w:type="dxa"/>
            <w:noWrap/>
            <w:vAlign w:val="bottom"/>
            <w:hideMark/>
          </w:tcPr>
          <w:p w14:paraId="20FE26E6" w14:textId="77777777" w:rsidR="001D05E2" w:rsidRPr="001D05E2" w:rsidRDefault="001D05E2" w:rsidP="001D05E2">
            <w:pPr>
              <w:spacing w:after="0"/>
              <w:rPr>
                <w:rFonts w:ascii="Times New Roman" w:hAnsi="Times New Roman" w:cs="Times New Roman"/>
              </w:rPr>
            </w:pPr>
            <w:r w:rsidRPr="001D05E2">
              <w:rPr>
                <w:rFonts w:ascii="Times New Roman" w:hAnsi="Times New Roman" w:cs="Times New Roman"/>
              </w:rPr>
              <w:t>2020</w:t>
            </w:r>
          </w:p>
        </w:tc>
        <w:tc>
          <w:tcPr>
            <w:tcW w:w="3270" w:type="dxa"/>
            <w:noWrap/>
            <w:vAlign w:val="bottom"/>
            <w:hideMark/>
          </w:tcPr>
          <w:p w14:paraId="51271414"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674,000</w:t>
            </w:r>
          </w:p>
        </w:tc>
        <w:tc>
          <w:tcPr>
            <w:tcW w:w="1890" w:type="dxa"/>
            <w:noWrap/>
            <w:vAlign w:val="bottom"/>
            <w:hideMark/>
          </w:tcPr>
          <w:p w14:paraId="633A2AE4"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0.53</w:t>
            </w:r>
          </w:p>
        </w:tc>
        <w:tc>
          <w:tcPr>
            <w:tcW w:w="2430" w:type="dxa"/>
            <w:noWrap/>
            <w:vAlign w:val="bottom"/>
            <w:hideMark/>
          </w:tcPr>
          <w:p w14:paraId="498C4EAF" w14:textId="77777777" w:rsidR="001D05E2" w:rsidRPr="001D05E2" w:rsidRDefault="001D05E2" w:rsidP="001D05E2">
            <w:pPr>
              <w:spacing w:after="0"/>
              <w:jc w:val="center"/>
              <w:rPr>
                <w:rFonts w:ascii="Times New Roman" w:hAnsi="Times New Roman" w:cs="Times New Roman"/>
              </w:rPr>
            </w:pPr>
            <w:r w:rsidRPr="001D05E2">
              <w:rPr>
                <w:rFonts w:ascii="Times New Roman" w:hAnsi="Times New Roman" w:cs="Times New Roman"/>
              </w:rPr>
              <w:t>355,000</w:t>
            </w:r>
          </w:p>
        </w:tc>
      </w:tr>
    </w:tbl>
    <w:p w14:paraId="4D278A70" w14:textId="77777777" w:rsidR="001D05E2" w:rsidRPr="001D05E2" w:rsidRDefault="001D05E2" w:rsidP="001D05E2">
      <w:pPr>
        <w:rPr>
          <w:rFonts w:ascii="Times New Roman" w:hAnsi="Times New Roman" w:cs="Times New Roman"/>
        </w:rPr>
      </w:pPr>
    </w:p>
    <w:p w14:paraId="00F6BAA4"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Pulp and Paper Mill WWTR Estimates Based on the Greenhouse Gas Reporting Program</w:t>
      </w:r>
    </w:p>
    <w:p w14:paraId="1462D1CA" w14:textId="7A129B49" w:rsidR="001D05E2" w:rsidRPr="001D05E2" w:rsidRDefault="001D05E2" w:rsidP="001D05E2">
      <w:pPr>
        <w:rPr>
          <w:rFonts w:ascii="Times New Roman" w:hAnsi="Times New Roman" w:cs="Times New Roman"/>
        </w:rPr>
      </w:pPr>
      <w:r w:rsidRPr="001D05E2">
        <w:rPr>
          <w:rFonts w:ascii="Times New Roman" w:hAnsi="Times New Roman" w:cs="Times New Roman"/>
        </w:rPr>
        <w:t>Since 2011, many pulp and paper facilities have been required to report annual GHG emissions to US EPA under the GHGRP</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{"citationID":"NUDUyxhl","properties":{"formattedCitation":"\\super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r w:rsidRPr="001D05E2">
        <w:rPr>
          <w:rFonts w:ascii="Times New Roman" w:hAnsi="Times New Roman" w:cs="Times New Roman"/>
        </w:rPr>
        <w:t>. In reporting year 2021, 103 pulp and paper facilities reported to the program, 90 of which reported emissions for industrial landfills (based on the FLIGHT tool available from USEPA</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{"citationID":"TCls3HXu","properties":{"formattedCitation":"\\super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r w:rsidRPr="001D05E2">
        <w:rPr>
          <w:rFonts w:ascii="Times New Roman" w:hAnsi="Times New Roman" w:cs="Times New Roman"/>
        </w:rPr>
        <w:t xml:space="preserve">). The calculations involve the same first order decay approach described earlier. USEPA publishes default values for the parameters needed with this approach to calculate annual emissions from current and past discards of waste in landfills. </w:t>
      </w:r>
    </w:p>
    <w:p w14:paraId="2E16EC4E" w14:textId="052FA6A8"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The annual emissions reported under the GHGRP for landfill emissions at pulp and paper mills (NAICS codes 322110, 322121, 322122, and 322130) are shown in Table </w:t>
      </w:r>
      <w:r w:rsidR="002319E1">
        <w:rPr>
          <w:rFonts w:ascii="Times New Roman" w:hAnsi="Times New Roman" w:cs="Times New Roman"/>
        </w:rPr>
        <w:t>S27</w:t>
      </w:r>
      <w:r w:rsidRPr="001D05E2">
        <w:rPr>
          <w:rFonts w:ascii="Times New Roman" w:hAnsi="Times New Roman" w:cs="Times New Roman"/>
        </w:rPr>
        <w:t xml:space="preserve">. These are approximately one-half of those estimated in the national inventory shown in Table </w:t>
      </w:r>
      <w:r w:rsidR="002319E1">
        <w:rPr>
          <w:rFonts w:ascii="Times New Roman" w:hAnsi="Times New Roman" w:cs="Times New Roman"/>
        </w:rPr>
        <w:t>S26</w:t>
      </w:r>
      <w:r w:rsidRPr="001D05E2">
        <w:rPr>
          <w:rFonts w:ascii="Times New Roman" w:hAnsi="Times New Roman" w:cs="Times New Roman"/>
        </w:rPr>
        <w:t xml:space="preserve">. In addition to the quantity of emissions being different, the decline in emissions from 2011 to 2020 is also much larger than indicated by the US EPA national inventory calculations shown in Table </w:t>
      </w:r>
      <w:r w:rsidR="002319E1">
        <w:rPr>
          <w:rFonts w:ascii="Times New Roman" w:hAnsi="Times New Roman" w:cs="Times New Roman"/>
        </w:rPr>
        <w:t>S26</w:t>
      </w:r>
      <w:r w:rsidRPr="001D05E2">
        <w:rPr>
          <w:rFonts w:ascii="Times New Roman" w:hAnsi="Times New Roman" w:cs="Times New Roman"/>
        </w:rPr>
        <w:t xml:space="preserve">. The differences in emissions estimates are examined in more detail later in this report. </w:t>
      </w:r>
    </w:p>
    <w:p w14:paraId="40743AF9" w14:textId="77777777" w:rsidR="001D05E2" w:rsidRPr="001D05E2" w:rsidRDefault="001D05E2" w:rsidP="001D05E2">
      <w:pPr>
        <w:rPr>
          <w:rFonts w:ascii="Times New Roman" w:hAnsi="Times New Roman" w:cs="Times New Roman"/>
        </w:rPr>
      </w:pPr>
    </w:p>
    <w:p w14:paraId="4607415B" w14:textId="545B9DEE" w:rsidR="001D05E2" w:rsidRPr="001D05E2" w:rsidRDefault="001D05E2" w:rsidP="001D05E2">
      <w:pPr>
        <w:jc w:val="center"/>
        <w:rPr>
          <w:rFonts w:ascii="Times New Roman" w:hAnsi="Times New Roman" w:cs="Times New Roman"/>
        </w:rPr>
      </w:pPr>
      <w:r w:rsidRPr="002319E1">
        <w:rPr>
          <w:rFonts w:ascii="Times New Roman" w:hAnsi="Times New Roman" w:cs="Times New Roman"/>
          <w:b/>
          <w:bCs/>
        </w:rPr>
        <w:t xml:space="preserve">Table </w:t>
      </w:r>
      <w:r w:rsidR="002319E1" w:rsidRPr="002319E1">
        <w:rPr>
          <w:rFonts w:ascii="Times New Roman" w:hAnsi="Times New Roman" w:cs="Times New Roman"/>
          <w:b/>
          <w:bCs/>
        </w:rPr>
        <w:t>S27</w:t>
      </w:r>
      <w:r w:rsidRPr="001D05E2">
        <w:rPr>
          <w:rFonts w:ascii="Times New Roman" w:hAnsi="Times New Roman" w:cs="Times New Roman"/>
        </w:rPr>
        <w:t>. Methane Emissions from Pulp and Paper Mill Landfills Reported in 2020 Under the GHGRP</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960"/>
        <w:gridCol w:w="2640"/>
        <w:gridCol w:w="360"/>
        <w:gridCol w:w="900"/>
        <w:gridCol w:w="2790"/>
      </w:tblGrid>
      <w:tr w:rsidR="001D05E2" w:rsidRPr="001D05E2" w14:paraId="5F30576A" w14:textId="77777777" w:rsidTr="00360B83">
        <w:trPr>
          <w:trHeight w:val="300"/>
          <w:jc w:val="center"/>
        </w:trPr>
        <w:tc>
          <w:tcPr>
            <w:tcW w:w="960" w:type="dxa"/>
            <w:shd w:val="clear" w:color="auto" w:fill="D9D9D9" w:themeFill="background1" w:themeFillShade="D9"/>
            <w:noWrap/>
          </w:tcPr>
          <w:p w14:paraId="1F630897"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Year</w:t>
            </w:r>
          </w:p>
        </w:tc>
        <w:tc>
          <w:tcPr>
            <w:tcW w:w="2640" w:type="dxa"/>
            <w:shd w:val="clear" w:color="auto" w:fill="D9D9D9" w:themeFill="background1" w:themeFillShade="D9"/>
            <w:noWrap/>
          </w:tcPr>
          <w:p w14:paraId="354D5C1A"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Metric Tons Methane</w:t>
            </w:r>
          </w:p>
        </w:tc>
        <w:tc>
          <w:tcPr>
            <w:tcW w:w="360" w:type="dxa"/>
            <w:shd w:val="clear" w:color="auto" w:fill="D9D9D9" w:themeFill="background1" w:themeFillShade="D9"/>
          </w:tcPr>
          <w:p w14:paraId="73D323B7" w14:textId="77777777" w:rsidR="001D05E2" w:rsidRPr="001D05E2" w:rsidRDefault="001D05E2" w:rsidP="001D05E2">
            <w:pPr>
              <w:rPr>
                <w:rFonts w:ascii="Times New Roman" w:hAnsi="Times New Roman" w:cs="Times New Roman"/>
              </w:rPr>
            </w:pPr>
          </w:p>
        </w:tc>
        <w:tc>
          <w:tcPr>
            <w:tcW w:w="900" w:type="dxa"/>
            <w:shd w:val="clear" w:color="auto" w:fill="D9D9D9" w:themeFill="background1" w:themeFillShade="D9"/>
          </w:tcPr>
          <w:p w14:paraId="060E0E42"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Year</w:t>
            </w:r>
          </w:p>
        </w:tc>
        <w:tc>
          <w:tcPr>
            <w:tcW w:w="2790" w:type="dxa"/>
            <w:shd w:val="clear" w:color="auto" w:fill="D9D9D9" w:themeFill="background1" w:themeFillShade="D9"/>
          </w:tcPr>
          <w:p w14:paraId="6445A74E"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Metric Tons Methane</w:t>
            </w:r>
          </w:p>
        </w:tc>
      </w:tr>
      <w:tr w:rsidR="001D05E2" w:rsidRPr="001D05E2" w14:paraId="5728D03A" w14:textId="77777777" w:rsidTr="00360B83">
        <w:trPr>
          <w:trHeight w:val="300"/>
          <w:jc w:val="center"/>
        </w:trPr>
        <w:tc>
          <w:tcPr>
            <w:tcW w:w="960" w:type="dxa"/>
            <w:noWrap/>
          </w:tcPr>
          <w:p w14:paraId="5C9675EB"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2011</w:t>
            </w:r>
          </w:p>
        </w:tc>
        <w:tc>
          <w:tcPr>
            <w:tcW w:w="2640" w:type="dxa"/>
            <w:noWrap/>
          </w:tcPr>
          <w:p w14:paraId="13368E3E"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232,000</w:t>
            </w:r>
          </w:p>
        </w:tc>
        <w:tc>
          <w:tcPr>
            <w:tcW w:w="360" w:type="dxa"/>
          </w:tcPr>
          <w:p w14:paraId="2EFB9A25" w14:textId="77777777" w:rsidR="001D05E2" w:rsidRPr="001D05E2" w:rsidRDefault="001D05E2" w:rsidP="001D05E2"/>
        </w:tc>
        <w:tc>
          <w:tcPr>
            <w:tcW w:w="900" w:type="dxa"/>
          </w:tcPr>
          <w:p w14:paraId="05554B12"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2017</w:t>
            </w:r>
          </w:p>
        </w:tc>
        <w:tc>
          <w:tcPr>
            <w:tcW w:w="2790" w:type="dxa"/>
          </w:tcPr>
          <w:p w14:paraId="342DABE9"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172,000</w:t>
            </w:r>
          </w:p>
        </w:tc>
      </w:tr>
      <w:tr w:rsidR="001D05E2" w:rsidRPr="001D05E2" w14:paraId="5742D766" w14:textId="77777777" w:rsidTr="00360B83">
        <w:trPr>
          <w:trHeight w:val="300"/>
          <w:jc w:val="center"/>
        </w:trPr>
        <w:tc>
          <w:tcPr>
            <w:tcW w:w="960" w:type="dxa"/>
            <w:noWrap/>
            <w:hideMark/>
          </w:tcPr>
          <w:p w14:paraId="53C91EF4"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2012</w:t>
            </w:r>
          </w:p>
        </w:tc>
        <w:tc>
          <w:tcPr>
            <w:tcW w:w="2640" w:type="dxa"/>
            <w:noWrap/>
            <w:hideMark/>
          </w:tcPr>
          <w:p w14:paraId="65B56755"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224,000</w:t>
            </w:r>
          </w:p>
        </w:tc>
        <w:tc>
          <w:tcPr>
            <w:tcW w:w="360" w:type="dxa"/>
          </w:tcPr>
          <w:p w14:paraId="7B4A08E8" w14:textId="77777777" w:rsidR="001D05E2" w:rsidRPr="001D05E2" w:rsidRDefault="001D05E2" w:rsidP="001D05E2"/>
        </w:tc>
        <w:tc>
          <w:tcPr>
            <w:tcW w:w="900" w:type="dxa"/>
          </w:tcPr>
          <w:p w14:paraId="6244B519"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2018</w:t>
            </w:r>
          </w:p>
        </w:tc>
        <w:tc>
          <w:tcPr>
            <w:tcW w:w="2790" w:type="dxa"/>
          </w:tcPr>
          <w:p w14:paraId="00E47400"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168,000</w:t>
            </w:r>
          </w:p>
        </w:tc>
      </w:tr>
      <w:tr w:rsidR="001D05E2" w:rsidRPr="001D05E2" w14:paraId="25DB2A77" w14:textId="77777777" w:rsidTr="00360B83">
        <w:trPr>
          <w:trHeight w:val="300"/>
          <w:jc w:val="center"/>
        </w:trPr>
        <w:tc>
          <w:tcPr>
            <w:tcW w:w="960" w:type="dxa"/>
            <w:noWrap/>
            <w:hideMark/>
          </w:tcPr>
          <w:p w14:paraId="3A4E5520"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2013</w:t>
            </w:r>
          </w:p>
        </w:tc>
        <w:tc>
          <w:tcPr>
            <w:tcW w:w="2640" w:type="dxa"/>
            <w:noWrap/>
            <w:hideMark/>
          </w:tcPr>
          <w:p w14:paraId="6A246F3C"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204,000</w:t>
            </w:r>
          </w:p>
        </w:tc>
        <w:tc>
          <w:tcPr>
            <w:tcW w:w="360" w:type="dxa"/>
          </w:tcPr>
          <w:p w14:paraId="12CC3CFF" w14:textId="77777777" w:rsidR="001D05E2" w:rsidRPr="001D05E2" w:rsidRDefault="001D05E2" w:rsidP="001D05E2"/>
        </w:tc>
        <w:tc>
          <w:tcPr>
            <w:tcW w:w="900" w:type="dxa"/>
          </w:tcPr>
          <w:p w14:paraId="404CC134"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2019</w:t>
            </w:r>
          </w:p>
        </w:tc>
        <w:tc>
          <w:tcPr>
            <w:tcW w:w="2790" w:type="dxa"/>
          </w:tcPr>
          <w:p w14:paraId="5B9CB511"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168,000</w:t>
            </w:r>
          </w:p>
        </w:tc>
      </w:tr>
      <w:tr w:rsidR="001D05E2" w:rsidRPr="001D05E2" w14:paraId="00BB9EBF" w14:textId="77777777" w:rsidTr="00360B83">
        <w:trPr>
          <w:trHeight w:val="300"/>
          <w:jc w:val="center"/>
        </w:trPr>
        <w:tc>
          <w:tcPr>
            <w:tcW w:w="960" w:type="dxa"/>
            <w:noWrap/>
            <w:hideMark/>
          </w:tcPr>
          <w:p w14:paraId="63F8D02D"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2014</w:t>
            </w:r>
          </w:p>
        </w:tc>
        <w:tc>
          <w:tcPr>
            <w:tcW w:w="2640" w:type="dxa"/>
            <w:noWrap/>
            <w:hideMark/>
          </w:tcPr>
          <w:p w14:paraId="5B5729FC"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200,000</w:t>
            </w:r>
          </w:p>
        </w:tc>
        <w:tc>
          <w:tcPr>
            <w:tcW w:w="360" w:type="dxa"/>
          </w:tcPr>
          <w:p w14:paraId="39F28802" w14:textId="77777777" w:rsidR="001D05E2" w:rsidRPr="001D05E2" w:rsidRDefault="001D05E2" w:rsidP="001D05E2"/>
        </w:tc>
        <w:tc>
          <w:tcPr>
            <w:tcW w:w="900" w:type="dxa"/>
          </w:tcPr>
          <w:p w14:paraId="285877F0"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2020</w:t>
            </w:r>
          </w:p>
        </w:tc>
        <w:tc>
          <w:tcPr>
            <w:tcW w:w="2790" w:type="dxa"/>
          </w:tcPr>
          <w:p w14:paraId="64FE0967"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164,000</w:t>
            </w:r>
          </w:p>
        </w:tc>
      </w:tr>
      <w:tr w:rsidR="001D05E2" w:rsidRPr="001D05E2" w14:paraId="60749DC5" w14:textId="77777777" w:rsidTr="00360B83">
        <w:trPr>
          <w:trHeight w:val="300"/>
          <w:jc w:val="center"/>
        </w:trPr>
        <w:tc>
          <w:tcPr>
            <w:tcW w:w="960" w:type="dxa"/>
            <w:noWrap/>
            <w:hideMark/>
          </w:tcPr>
          <w:p w14:paraId="38C5AF33"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2015</w:t>
            </w:r>
          </w:p>
        </w:tc>
        <w:tc>
          <w:tcPr>
            <w:tcW w:w="2640" w:type="dxa"/>
            <w:noWrap/>
            <w:hideMark/>
          </w:tcPr>
          <w:p w14:paraId="12DEF8A5"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200,000</w:t>
            </w:r>
          </w:p>
        </w:tc>
        <w:tc>
          <w:tcPr>
            <w:tcW w:w="360" w:type="dxa"/>
          </w:tcPr>
          <w:p w14:paraId="0EF58AF7" w14:textId="77777777" w:rsidR="001D05E2" w:rsidRPr="001D05E2" w:rsidRDefault="001D05E2" w:rsidP="001D05E2"/>
        </w:tc>
        <w:tc>
          <w:tcPr>
            <w:tcW w:w="900" w:type="dxa"/>
          </w:tcPr>
          <w:p w14:paraId="7CE0E1F8"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2021</w:t>
            </w:r>
          </w:p>
        </w:tc>
        <w:tc>
          <w:tcPr>
            <w:tcW w:w="2790" w:type="dxa"/>
          </w:tcPr>
          <w:p w14:paraId="5A49E8CB"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160,000</w:t>
            </w:r>
          </w:p>
        </w:tc>
      </w:tr>
      <w:tr w:rsidR="001D05E2" w:rsidRPr="001D05E2" w14:paraId="3DFB2D76" w14:textId="77777777" w:rsidTr="00360B83">
        <w:trPr>
          <w:trHeight w:val="300"/>
          <w:jc w:val="center"/>
        </w:trPr>
        <w:tc>
          <w:tcPr>
            <w:tcW w:w="960" w:type="dxa"/>
            <w:noWrap/>
            <w:hideMark/>
          </w:tcPr>
          <w:p w14:paraId="74D5693A"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2016</w:t>
            </w:r>
          </w:p>
        </w:tc>
        <w:tc>
          <w:tcPr>
            <w:tcW w:w="2640" w:type="dxa"/>
            <w:noWrap/>
            <w:hideMark/>
          </w:tcPr>
          <w:p w14:paraId="3A32CE08"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188,000</w:t>
            </w:r>
          </w:p>
        </w:tc>
        <w:tc>
          <w:tcPr>
            <w:tcW w:w="360" w:type="dxa"/>
          </w:tcPr>
          <w:p w14:paraId="4A16DB67" w14:textId="77777777" w:rsidR="001D05E2" w:rsidRPr="001D05E2" w:rsidRDefault="001D05E2" w:rsidP="001D05E2">
            <w:pPr>
              <w:rPr>
                <w:rFonts w:ascii="Times New Roman" w:hAnsi="Times New Roman" w:cs="Times New Roman"/>
              </w:rPr>
            </w:pPr>
          </w:p>
        </w:tc>
        <w:tc>
          <w:tcPr>
            <w:tcW w:w="900" w:type="dxa"/>
          </w:tcPr>
          <w:p w14:paraId="69EBD7BB" w14:textId="77777777" w:rsidR="001D05E2" w:rsidRPr="001D05E2" w:rsidRDefault="001D05E2" w:rsidP="001D05E2">
            <w:pPr>
              <w:jc w:val="center"/>
              <w:rPr>
                <w:rFonts w:ascii="Times New Roman" w:hAnsi="Times New Roman" w:cs="Times New Roman"/>
              </w:rPr>
            </w:pPr>
          </w:p>
        </w:tc>
        <w:tc>
          <w:tcPr>
            <w:tcW w:w="2790" w:type="dxa"/>
          </w:tcPr>
          <w:p w14:paraId="17C00E8E" w14:textId="77777777" w:rsidR="001D05E2" w:rsidRPr="001D05E2" w:rsidRDefault="001D05E2" w:rsidP="001D05E2">
            <w:pPr>
              <w:jc w:val="center"/>
              <w:rPr>
                <w:rFonts w:ascii="Times New Roman" w:hAnsi="Times New Roman" w:cs="Times New Roman"/>
              </w:rPr>
            </w:pPr>
          </w:p>
        </w:tc>
      </w:tr>
    </w:tbl>
    <w:p w14:paraId="680BD378" w14:textId="77777777" w:rsidR="001D05E2" w:rsidRDefault="001D05E2" w:rsidP="001D05E2">
      <w:pPr>
        <w:rPr>
          <w:rFonts w:ascii="Times New Roman" w:hAnsi="Times New Roman" w:cs="Times New Roman"/>
        </w:rPr>
      </w:pPr>
    </w:p>
    <w:p w14:paraId="2EAD1ED6" w14:textId="77777777" w:rsidR="002319E1" w:rsidRDefault="002319E1" w:rsidP="001D05E2">
      <w:pPr>
        <w:rPr>
          <w:rFonts w:ascii="Times New Roman" w:hAnsi="Times New Roman" w:cs="Times New Roman"/>
        </w:rPr>
      </w:pPr>
    </w:p>
    <w:p w14:paraId="77C30857" w14:textId="77777777" w:rsidR="002319E1" w:rsidRPr="001D05E2" w:rsidRDefault="002319E1" w:rsidP="001D05E2">
      <w:pPr>
        <w:rPr>
          <w:rFonts w:ascii="Times New Roman" w:hAnsi="Times New Roman" w:cs="Times New Roman"/>
        </w:rPr>
      </w:pPr>
    </w:p>
    <w:p w14:paraId="28BC8700"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lastRenderedPageBreak/>
        <w:t>Pulp and Paper Mill WWTR Estimates Based on GHGRP First Order Decay Model</w:t>
      </w:r>
    </w:p>
    <w:p w14:paraId="6393CDC2" w14:textId="01F54087" w:rsidR="001D05E2" w:rsidRPr="001D05E2" w:rsidRDefault="001D05E2" w:rsidP="001D05E2">
      <w:pPr>
        <w:rPr>
          <w:rFonts w:ascii="Times New Roman" w:hAnsi="Times New Roman" w:cs="Times New Roman"/>
        </w:rPr>
      </w:pPr>
      <w:r w:rsidRPr="001D05E2">
        <w:rPr>
          <w:rFonts w:ascii="Times New Roman" w:hAnsi="Times New Roman" w:cs="Times New Roman"/>
        </w:rPr>
        <w:t>This modeling approach is the same as that published by IPCC for national inventories</w:t>
      </w:r>
      <w:r w:rsidRPr="001D05E2">
        <w:rPr>
          <w:rFonts w:ascii="Times New Roman" w:hAnsi="Times New Roman" w:cs="Times New Roman"/>
        </w:rPr>
        <w:fldChar w:fldCharType="begin"/>
      </w:r>
      <w:r w:rsidR="00775B85">
        <w:rPr>
          <w:rFonts w:ascii="Times New Roman" w:hAnsi="Times New Roman" w:cs="Times New Roman"/>
        </w:rPr>
        <w:instrText xml:space="preserve"> ADDIN ZOTERO_ITEM CSL_CITATION {"citationID":"eSEAVkz1","properties":{"formattedCitation":"\\super 7\\nosupersub{}","plainCitation":"7","noteIndex":0},"citationItems":[{"id":88,"uris":["http://zotero.org/users/local/T7KBDEDi/items/K7XZUS33","http://zotero.org/users/18184231/items/K7XZUS33"],"itemData":{"id":88,"type":"report","title":"2006 IPCC Guidelines for National Greenhouse Gas Inventories","URL":"https://www.ipcc-nggip.iges.or.jp/public/2006gl/index.html","author":[{"family":"IPCC (Intergovernmental Panel on Climate Change)","given":""}],"accessed":{"date-parts":[["2025",9,25]]},"issued":{"date-parts":[["2006"]]}}}],"schema":"https://github.com/citation-style-language/schema/raw/master/csl-citation.json"}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7</w:t>
      </w:r>
      <w:r w:rsidRPr="001D05E2">
        <w:rPr>
          <w:rFonts w:ascii="Times New Roman" w:hAnsi="Times New Roman" w:cs="Times New Roman"/>
        </w:rPr>
        <w:fldChar w:fldCharType="end"/>
      </w:r>
      <w:r w:rsidRPr="001D05E2">
        <w:rPr>
          <w:rFonts w:ascii="Times New Roman" w:hAnsi="Times New Roman" w:cs="Times New Roman"/>
        </w:rPr>
        <w:t xml:space="preserve"> and that used by US EPA for estimating industrial landfill emissions in its national inventories</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{"citationID":"0ScTws4x","properties":{"formattedCitation":"\\super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12</w:t>
      </w:r>
      <w:r w:rsidRPr="001D05E2">
        <w:rPr>
          <w:rFonts w:ascii="Times New Roman" w:hAnsi="Times New Roman" w:cs="Times New Roman"/>
        </w:rPr>
        <w:fldChar w:fldCharType="end"/>
      </w:r>
      <w:r w:rsidRPr="001D05E2">
        <w:rPr>
          <w:rFonts w:ascii="Times New Roman" w:hAnsi="Times New Roman" w:cs="Times New Roman"/>
        </w:rPr>
        <w:t xml:space="preserve"> and in the US EPA’s GHGRP</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{"citationID":"wfznYR3W","properties":{"formattedCitation":"\\super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r w:rsidRPr="001D05E2">
        <w:rPr>
          <w:rFonts w:ascii="Times New Roman" w:hAnsi="Times New Roman" w:cs="Times New Roman"/>
        </w:rPr>
        <w:t xml:space="preserve">. </w:t>
      </w:r>
    </w:p>
    <w:p w14:paraId="3849859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NCASI has data allowing estimates of WWTR generation rates per metric ton of production back to 1990. This is the starting date used in the GHGRP for landfill methane calculations. These have been multiplied by the corresponding industry production to estimate annual quantities of the residuals, as called for in the GHGRP. Survey data are also available indicating the fraction of residuals that are landfilled. The sources of this information are described herein. The fraction of WWTR being landfilled has declined from over 80% in the 1970s to under 40% in 2020. The balance of WWTR is used beneficially, for instance, as soil amendment or as a source of energy. In this profile, only landfill emissions are estimated because the other management methods produce far fewer GHGs.</w:t>
      </w:r>
    </w:p>
    <w:p w14:paraId="77978E5B" w14:textId="1D679E93"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US EPA’s GHGRP and US EPA’s annual inventory calculations do not use the same default DOC and k values for WWTR. The values used in the two programs are shown in Table </w:t>
      </w:r>
      <w:r w:rsidR="002319E1">
        <w:rPr>
          <w:rFonts w:ascii="Times New Roman" w:hAnsi="Times New Roman" w:cs="Times New Roman"/>
        </w:rPr>
        <w:t>S28</w:t>
      </w:r>
      <w:r w:rsidRPr="001D05E2">
        <w:rPr>
          <w:rFonts w:ascii="Times New Roman" w:hAnsi="Times New Roman" w:cs="Times New Roman"/>
        </w:rPr>
        <w:t>.</w:t>
      </w:r>
    </w:p>
    <w:p w14:paraId="0C3D2D5A" w14:textId="78DEB90B" w:rsidR="001D05E2" w:rsidRPr="001D05E2" w:rsidRDefault="001D05E2" w:rsidP="001D05E2">
      <w:pPr>
        <w:spacing w:before="240"/>
        <w:rPr>
          <w:rFonts w:ascii="Times New Roman" w:hAnsi="Times New Roman" w:cs="Times New Roman"/>
        </w:rPr>
      </w:pPr>
      <w:r w:rsidRPr="001D05E2">
        <w:rPr>
          <w:rFonts w:ascii="Times New Roman" w:hAnsi="Times New Roman" w:cs="Times New Roman"/>
        </w:rPr>
        <w:t>The amounts of WWTR generated and landfilled were estimated from NCASI survey data to construct a series of annual values starting in 1960 and ending in 2020. This period was used as it is the period used in the GHGRP. For the period before 1988, mean generation rates reported in Miner and Unwin</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{"citationID":"Q2DLiow9","properties":{"formattedCitation":"\\super 30\\nosupersub{}","plainCitation":"30","noteIndex":0},"citationItems":[{"id":84,"uris":["http://zotero.org/users/18184231/items/HH872FHB"],"itemData":{"id":84,"type":"article-journal","container-title":"TAPPI","issue":"8","page":"5","title":"Progress in Reducing Water Use and Wastewater Loads in the U.S. Paper Industry","volume":"74","author":[{"family":"Miner","given":"Reid"},{"family":"Unwin","given":"Jay"}],"issued":{"date-parts":[["1991",8]]}}}],"schema":"https://github.com/citation-style-language/schema/raw/master/csl-citation.json"}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30</w:t>
      </w:r>
      <w:r w:rsidRPr="001D05E2">
        <w:rPr>
          <w:rFonts w:ascii="Times New Roman" w:hAnsi="Times New Roman" w:cs="Times New Roman"/>
        </w:rPr>
        <w:fldChar w:fldCharType="end"/>
      </w:r>
      <w:r w:rsidRPr="001D05E2">
        <w:rPr>
          <w:rFonts w:ascii="Times New Roman" w:hAnsi="Times New Roman" w:cs="Times New Roman"/>
        </w:rPr>
        <w:t xml:space="preserve"> were used. Data for subsequent years were from periodic industry surveys. The five estimates from these sources ranged from 40.5 kg per metric ton in 1975 to 47.55 kg per metric ton in 2016. The average of the values, 44 dry kg per metric ton of production, was used to reflect all years. The information from these sources is in dry weight, but the DOC values used by US EPA are on a wet waste basis. Therefore, the generation rates were converted to a wet basis using a solids content of 31%. This value represents the facility-weighted average reported in Table 3.1 of NCASI (2019)</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{"citationID":"ha5vMlqX","properties":{"formattedCitation":"\\super 31\\nosupersub{}","plainCitation":"31","noteIndex":0},"citationItems":[{"id":78,"uris":["http://zotero.org/users/18184231/items/VGD5UWTS"],"itemData":{"id":78,"type":"report","event-place":"Cary,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31</w:t>
      </w:r>
      <w:r w:rsidRPr="001D05E2">
        <w:rPr>
          <w:rFonts w:ascii="Times New Roman" w:hAnsi="Times New Roman" w:cs="Times New Roman"/>
        </w:rPr>
        <w:fldChar w:fldCharType="end"/>
      </w:r>
      <w:r w:rsidRPr="001D05E2">
        <w:rPr>
          <w:rFonts w:ascii="Times New Roman" w:hAnsi="Times New Roman" w:cs="Times New Roman"/>
        </w:rPr>
        <w:t>. To derive this average, the number of mills with each type of waste and dewatering device was multiplied by the percent solids for that combination. The total was summed and divided by the number of mills. Dryers were not included. Generation rates were multiplied by annual production of paper, paperboard, and market pulp to derive estimates of metric tons of WWTR each year from 1960 to 2020.</w:t>
      </w:r>
    </w:p>
    <w:p w14:paraId="22018594" w14:textId="77777777" w:rsidR="001D05E2" w:rsidRPr="001D05E2" w:rsidRDefault="001D05E2" w:rsidP="001D05E2">
      <w:pPr>
        <w:rPr>
          <w:rFonts w:ascii="Times New Roman" w:hAnsi="Times New Roman" w:cs="Times New Roman"/>
        </w:rPr>
      </w:pPr>
    </w:p>
    <w:p w14:paraId="2F6E34DD" w14:textId="77777777" w:rsidR="001D05E2" w:rsidRPr="001D05E2" w:rsidRDefault="001D05E2" w:rsidP="001D05E2">
      <w:pPr>
        <w:rPr>
          <w:rFonts w:ascii="Times New Roman" w:hAnsi="Times New Roman" w:cs="Times New Roman"/>
        </w:rPr>
      </w:pPr>
    </w:p>
    <w:p w14:paraId="31EEE1AC" w14:textId="77777777" w:rsidR="001D05E2" w:rsidRPr="001D05E2" w:rsidRDefault="001D05E2" w:rsidP="001D05E2">
      <w:pPr>
        <w:rPr>
          <w:rFonts w:ascii="Times New Roman" w:hAnsi="Times New Roman" w:cs="Times New Roman"/>
        </w:rPr>
      </w:pPr>
    </w:p>
    <w:p w14:paraId="34543FBA" w14:textId="77777777" w:rsidR="001D05E2" w:rsidRPr="001D05E2" w:rsidRDefault="001D05E2" w:rsidP="001D05E2">
      <w:pPr>
        <w:rPr>
          <w:rFonts w:ascii="Times New Roman" w:hAnsi="Times New Roman" w:cs="Times New Roman"/>
        </w:rPr>
      </w:pPr>
    </w:p>
    <w:p w14:paraId="1F1D9DE9" w14:textId="77777777" w:rsidR="001D05E2" w:rsidRPr="001D05E2" w:rsidRDefault="001D05E2" w:rsidP="001D05E2">
      <w:pPr>
        <w:rPr>
          <w:rFonts w:ascii="Times New Roman" w:hAnsi="Times New Roman" w:cs="Times New Roman"/>
        </w:rPr>
      </w:pPr>
    </w:p>
    <w:p w14:paraId="4E3FB73B" w14:textId="613035C3" w:rsidR="001D05E2" w:rsidRPr="001D05E2" w:rsidRDefault="001D05E2" w:rsidP="002319E1">
      <w:pPr>
        <w:jc w:val="center"/>
        <w:rPr>
          <w:rFonts w:ascii="Times New Roman" w:hAnsi="Times New Roman" w:cs="Times New Roman"/>
        </w:rPr>
      </w:pPr>
      <w:r w:rsidRPr="002319E1">
        <w:rPr>
          <w:rFonts w:ascii="Times New Roman" w:hAnsi="Times New Roman" w:cs="Times New Roman"/>
          <w:b/>
          <w:bCs/>
        </w:rPr>
        <w:lastRenderedPageBreak/>
        <w:t xml:space="preserve">Table </w:t>
      </w:r>
      <w:r w:rsidR="002319E1" w:rsidRPr="002319E1">
        <w:rPr>
          <w:rFonts w:ascii="Times New Roman" w:hAnsi="Times New Roman" w:cs="Times New Roman"/>
          <w:b/>
          <w:bCs/>
        </w:rPr>
        <w:t>S28</w:t>
      </w:r>
      <w:r w:rsidRPr="001D05E2">
        <w:rPr>
          <w:rFonts w:ascii="Times New Roman" w:hAnsi="Times New Roman" w:cs="Times New Roman"/>
        </w:rPr>
        <w:t>. Pulp and Paper Mill Wastewater Treatment Residual Parameter Values for First Order Decay Model</w:t>
      </w:r>
    </w:p>
    <w:tbl>
      <w:tblPr>
        <w:tblStyle w:val="TableGrid3"/>
        <w:tblW w:w="0" w:type="auto"/>
        <w:tblBorders>
          <w:left w:val="none" w:sz="0" w:space="0" w:color="auto"/>
          <w:right w:val="none" w:sz="0" w:space="0" w:color="auto"/>
        </w:tblBorders>
        <w:tblLook w:val="04A0" w:firstRow="1" w:lastRow="0" w:firstColumn="1" w:lastColumn="0" w:noHBand="0" w:noVBand="1"/>
      </w:tblPr>
      <w:tblGrid>
        <w:gridCol w:w="1345"/>
        <w:gridCol w:w="2700"/>
        <w:gridCol w:w="2700"/>
        <w:gridCol w:w="2605"/>
      </w:tblGrid>
      <w:tr w:rsidR="001D05E2" w:rsidRPr="001D05E2" w14:paraId="389DF0F9" w14:textId="77777777" w:rsidTr="00360B83">
        <w:trPr>
          <w:trHeight w:val="944"/>
        </w:trPr>
        <w:tc>
          <w:tcPr>
            <w:tcW w:w="1345" w:type="dxa"/>
            <w:shd w:val="clear" w:color="auto" w:fill="D9D9D9" w:themeFill="background1" w:themeFillShade="D9"/>
          </w:tcPr>
          <w:p w14:paraId="7D652620"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Parameter</w:t>
            </w:r>
          </w:p>
          <w:p w14:paraId="2C7495B5" w14:textId="77777777" w:rsidR="001D05E2" w:rsidRPr="001D05E2" w:rsidRDefault="001D05E2" w:rsidP="001D05E2">
            <w:pPr>
              <w:rPr>
                <w:rFonts w:ascii="Times New Roman" w:hAnsi="Times New Roman" w:cs="Times New Roman"/>
              </w:rPr>
            </w:pPr>
          </w:p>
          <w:p w14:paraId="0FA012CE" w14:textId="77777777" w:rsidR="001D05E2" w:rsidRPr="001D05E2" w:rsidRDefault="001D05E2" w:rsidP="001D05E2">
            <w:pPr>
              <w:rPr>
                <w:rFonts w:ascii="Times New Roman" w:hAnsi="Times New Roman" w:cs="Times New Roman"/>
              </w:rPr>
            </w:pPr>
          </w:p>
        </w:tc>
        <w:tc>
          <w:tcPr>
            <w:tcW w:w="2700" w:type="dxa"/>
            <w:shd w:val="clear" w:color="auto" w:fill="D9D9D9" w:themeFill="background1" w:themeFillShade="D9"/>
          </w:tcPr>
          <w:p w14:paraId="0AFE185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Definitions</w:t>
            </w:r>
          </w:p>
          <w:p w14:paraId="50F8A19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(Units)</w:t>
            </w:r>
          </w:p>
        </w:tc>
        <w:tc>
          <w:tcPr>
            <w:tcW w:w="2700" w:type="dxa"/>
            <w:shd w:val="clear" w:color="auto" w:fill="D9D9D9" w:themeFill="background1" w:themeFillShade="D9"/>
          </w:tcPr>
          <w:p w14:paraId="6D5BEB7B" w14:textId="354B94E2" w:rsidR="001D05E2" w:rsidRPr="001D05E2" w:rsidRDefault="001D05E2" w:rsidP="001D05E2">
            <w:pPr>
              <w:rPr>
                <w:rFonts w:ascii="Times New Roman" w:hAnsi="Times New Roman" w:cs="Times New Roman"/>
              </w:rPr>
            </w:pPr>
            <w:r w:rsidRPr="001D05E2">
              <w:rPr>
                <w:rFonts w:ascii="Times New Roman" w:hAnsi="Times New Roman" w:cs="Times New Roman"/>
              </w:rPr>
              <w:t>GHGRP Subpart TT</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{"citationID":"P1flIxtK","properties":{"formattedCitation":"\\super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p>
        </w:tc>
        <w:tc>
          <w:tcPr>
            <w:tcW w:w="2605" w:type="dxa"/>
            <w:shd w:val="clear" w:color="auto" w:fill="D9D9D9" w:themeFill="background1" w:themeFillShade="D9"/>
          </w:tcPr>
          <w:p w14:paraId="7A65AE6A" w14:textId="58489992" w:rsidR="001D05E2" w:rsidRPr="001D05E2" w:rsidRDefault="001D05E2" w:rsidP="001D05E2">
            <w:pPr>
              <w:rPr>
                <w:rFonts w:ascii="Times New Roman" w:hAnsi="Times New Roman" w:cs="Times New Roman"/>
              </w:rPr>
            </w:pPr>
            <w:r w:rsidRPr="001D05E2">
              <w:rPr>
                <w:rFonts w:ascii="Times New Roman" w:hAnsi="Times New Roman" w:cs="Times New Roman"/>
              </w:rPr>
              <w:t>US EPA 2020 GHG Inventory Annexes</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{"citationID":"UH8VVUpn","properties":{"formattedCitation":"\\super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12</w:t>
            </w:r>
            <w:r w:rsidRPr="001D05E2">
              <w:rPr>
                <w:rFonts w:ascii="Times New Roman" w:hAnsi="Times New Roman" w:cs="Times New Roman"/>
              </w:rPr>
              <w:fldChar w:fldCharType="end"/>
            </w:r>
            <w:r w:rsidRPr="001D05E2">
              <w:rPr>
                <w:rFonts w:ascii="Times New Roman" w:hAnsi="Times New Roman" w:cs="Times New Roman"/>
              </w:rPr>
              <w:t xml:space="preserve">, </w:t>
            </w:r>
          </w:p>
          <w:p w14:paraId="29E1058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p. A-455</w:t>
            </w:r>
          </w:p>
        </w:tc>
      </w:tr>
      <w:tr w:rsidR="001D05E2" w:rsidRPr="001D05E2" w14:paraId="2C6F322D" w14:textId="77777777" w:rsidTr="00360B83">
        <w:tc>
          <w:tcPr>
            <w:tcW w:w="1345" w:type="dxa"/>
          </w:tcPr>
          <w:p w14:paraId="1E324DA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DOC</w:t>
            </w:r>
          </w:p>
        </w:tc>
        <w:tc>
          <w:tcPr>
            <w:tcW w:w="2700" w:type="dxa"/>
          </w:tcPr>
          <w:p w14:paraId="0AD91D2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Degradable Organic Carbon</w:t>
            </w:r>
          </w:p>
          <w:p w14:paraId="463FA70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(kg organic C/kg wet waste)</w:t>
            </w:r>
          </w:p>
        </w:tc>
        <w:tc>
          <w:tcPr>
            <w:tcW w:w="2700" w:type="dxa"/>
          </w:tcPr>
          <w:p w14:paraId="12F76CD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0.12</w:t>
            </w:r>
          </w:p>
        </w:tc>
        <w:tc>
          <w:tcPr>
            <w:tcW w:w="2605" w:type="dxa"/>
          </w:tcPr>
          <w:p w14:paraId="39166D6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0.15</w:t>
            </w:r>
          </w:p>
        </w:tc>
      </w:tr>
      <w:tr w:rsidR="001D05E2" w:rsidRPr="001D05E2" w14:paraId="3666B597" w14:textId="77777777" w:rsidTr="00360B83">
        <w:tc>
          <w:tcPr>
            <w:tcW w:w="1345" w:type="dxa"/>
          </w:tcPr>
          <w:p w14:paraId="40E4BF91" w14:textId="77777777" w:rsidR="001D05E2" w:rsidRPr="001D05E2" w:rsidRDefault="001D05E2" w:rsidP="001D05E2">
            <w:pPr>
              <w:rPr>
                <w:rFonts w:ascii="Times New Roman" w:hAnsi="Times New Roman" w:cs="Times New Roman"/>
              </w:rPr>
            </w:pPr>
            <w:proofErr w:type="spellStart"/>
            <w:r w:rsidRPr="001D05E2">
              <w:rPr>
                <w:rFonts w:ascii="Times New Roman" w:hAnsi="Times New Roman" w:cs="Times New Roman"/>
              </w:rPr>
              <w:t>DOCf</w:t>
            </w:r>
            <w:proofErr w:type="spellEnd"/>
          </w:p>
        </w:tc>
        <w:tc>
          <w:tcPr>
            <w:tcW w:w="2700" w:type="dxa"/>
          </w:tcPr>
          <w:p w14:paraId="2295E1A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DOC that will degrade in landfill</w:t>
            </w:r>
          </w:p>
          <w:p w14:paraId="6AFDFA6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(Unitless)</w:t>
            </w:r>
          </w:p>
        </w:tc>
        <w:tc>
          <w:tcPr>
            <w:tcW w:w="2700" w:type="dxa"/>
          </w:tcPr>
          <w:p w14:paraId="2C7B8F7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 (equivalent to a Lo of 59.7 m</w:t>
            </w:r>
            <w:r w:rsidRPr="001D05E2">
              <w:rPr>
                <w:rFonts w:ascii="Times New Roman" w:hAnsi="Times New Roman" w:cs="Times New Roman"/>
                <w:vertAlign w:val="superscript"/>
              </w:rPr>
              <w:t>3</w:t>
            </w:r>
            <w:r w:rsidRPr="001D05E2">
              <w:rPr>
                <w:rFonts w:ascii="Times New Roman" w:hAnsi="Times New Roman" w:cs="Times New Roman"/>
              </w:rPr>
              <w:t xml:space="preserve"> methane per wet metric ton waste)</w:t>
            </w:r>
          </w:p>
        </w:tc>
        <w:tc>
          <w:tcPr>
            <w:tcW w:w="2605" w:type="dxa"/>
          </w:tcPr>
          <w:p w14:paraId="1B3AB60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0.328 (calculated from Lo of 49 m</w:t>
            </w:r>
            <w:r w:rsidRPr="001D05E2">
              <w:rPr>
                <w:rFonts w:ascii="Times New Roman" w:hAnsi="Times New Roman" w:cs="Times New Roman"/>
                <w:vertAlign w:val="superscript"/>
              </w:rPr>
              <w:t>3</w:t>
            </w:r>
            <w:r w:rsidRPr="001D05E2">
              <w:rPr>
                <w:rFonts w:ascii="Times New Roman" w:hAnsi="Times New Roman" w:cs="Times New Roman"/>
              </w:rPr>
              <w:t xml:space="preserve"> methane per wet metric ton waste)</w:t>
            </w:r>
          </w:p>
        </w:tc>
      </w:tr>
      <w:tr w:rsidR="001D05E2" w:rsidRPr="001D05E2" w14:paraId="2E2F25EC" w14:textId="77777777" w:rsidTr="00360B83">
        <w:tc>
          <w:tcPr>
            <w:tcW w:w="1345" w:type="dxa"/>
          </w:tcPr>
          <w:p w14:paraId="1D51236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k </w:t>
            </w:r>
          </w:p>
        </w:tc>
        <w:tc>
          <w:tcPr>
            <w:tcW w:w="2700" w:type="dxa"/>
          </w:tcPr>
          <w:p w14:paraId="4CC8973D"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First Order Decay Rate</w:t>
            </w:r>
          </w:p>
          <w:p w14:paraId="465ED10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(yr</w:t>
            </w:r>
            <w:r w:rsidRPr="001D05E2">
              <w:rPr>
                <w:rFonts w:ascii="Times New Roman" w:hAnsi="Times New Roman" w:cs="Times New Roman"/>
                <w:vertAlign w:val="superscript"/>
              </w:rPr>
              <w:t>-1</w:t>
            </w:r>
            <w:r w:rsidRPr="001D05E2">
              <w:rPr>
                <w:rFonts w:ascii="Times New Roman" w:hAnsi="Times New Roman" w:cs="Times New Roman"/>
              </w:rPr>
              <w:t>)</w:t>
            </w:r>
          </w:p>
        </w:tc>
        <w:tc>
          <w:tcPr>
            <w:tcW w:w="2700" w:type="dxa"/>
          </w:tcPr>
          <w:p w14:paraId="3E86F46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0.02 (dry climate)</w:t>
            </w:r>
          </w:p>
          <w:p w14:paraId="5A5A157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0.04 (moderate climate)</w:t>
            </w:r>
          </w:p>
          <w:p w14:paraId="4CF6431B"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0.06 (wet climate)</w:t>
            </w:r>
          </w:p>
        </w:tc>
        <w:tc>
          <w:tcPr>
            <w:tcW w:w="2605" w:type="dxa"/>
          </w:tcPr>
          <w:p w14:paraId="1E794A9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0.06</w:t>
            </w:r>
          </w:p>
        </w:tc>
      </w:tr>
      <w:tr w:rsidR="001D05E2" w:rsidRPr="001D05E2" w14:paraId="35FD04B9" w14:textId="77777777" w:rsidTr="00360B83">
        <w:tc>
          <w:tcPr>
            <w:tcW w:w="1345" w:type="dxa"/>
          </w:tcPr>
          <w:p w14:paraId="61CEA8D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MCF</w:t>
            </w:r>
          </w:p>
        </w:tc>
        <w:tc>
          <w:tcPr>
            <w:tcW w:w="2700" w:type="dxa"/>
          </w:tcPr>
          <w:p w14:paraId="5031608E"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degradable carbon that is subject to anaerobic conditions</w:t>
            </w:r>
          </w:p>
          <w:p w14:paraId="115216D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(Unitless)</w:t>
            </w:r>
          </w:p>
        </w:tc>
        <w:tc>
          <w:tcPr>
            <w:tcW w:w="2700" w:type="dxa"/>
          </w:tcPr>
          <w:p w14:paraId="15439F4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w:t>
            </w:r>
          </w:p>
        </w:tc>
        <w:tc>
          <w:tcPr>
            <w:tcW w:w="2605" w:type="dxa"/>
          </w:tcPr>
          <w:p w14:paraId="5E42712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w:t>
            </w:r>
          </w:p>
        </w:tc>
      </w:tr>
      <w:tr w:rsidR="001D05E2" w:rsidRPr="001D05E2" w14:paraId="6D7F5C27" w14:textId="77777777" w:rsidTr="00360B83">
        <w:tc>
          <w:tcPr>
            <w:tcW w:w="1345" w:type="dxa"/>
          </w:tcPr>
          <w:p w14:paraId="46AAEF3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w:t>
            </w:r>
          </w:p>
        </w:tc>
        <w:tc>
          <w:tcPr>
            <w:tcW w:w="2700" w:type="dxa"/>
          </w:tcPr>
          <w:p w14:paraId="26A8122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by volume of CH</w:t>
            </w:r>
            <w:r w:rsidRPr="001D05E2">
              <w:rPr>
                <w:rFonts w:ascii="Times New Roman" w:hAnsi="Times New Roman" w:cs="Times New Roman"/>
                <w:vertAlign w:val="subscript"/>
              </w:rPr>
              <w:t>4</w:t>
            </w:r>
            <w:r w:rsidRPr="001D05E2">
              <w:rPr>
                <w:rFonts w:ascii="Times New Roman" w:hAnsi="Times New Roman" w:cs="Times New Roman"/>
              </w:rPr>
              <w:t xml:space="preserve"> in landfill gas, as generated</w:t>
            </w:r>
          </w:p>
        </w:tc>
        <w:tc>
          <w:tcPr>
            <w:tcW w:w="2700" w:type="dxa"/>
          </w:tcPr>
          <w:p w14:paraId="18CD681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c>
          <w:tcPr>
            <w:tcW w:w="2605" w:type="dxa"/>
          </w:tcPr>
          <w:p w14:paraId="1B1E1E5B"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41D102CE" w14:textId="77777777" w:rsidTr="00360B83">
        <w:tc>
          <w:tcPr>
            <w:tcW w:w="1345" w:type="dxa"/>
          </w:tcPr>
          <w:p w14:paraId="49FF2EDE"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OX</w:t>
            </w:r>
          </w:p>
        </w:tc>
        <w:tc>
          <w:tcPr>
            <w:tcW w:w="2700" w:type="dxa"/>
          </w:tcPr>
          <w:p w14:paraId="5DB5C74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CH</w:t>
            </w:r>
            <w:r w:rsidRPr="001D05E2">
              <w:rPr>
                <w:rFonts w:ascii="Times New Roman" w:hAnsi="Times New Roman" w:cs="Times New Roman"/>
                <w:vertAlign w:val="subscript"/>
              </w:rPr>
              <w:t>4</w:t>
            </w:r>
            <w:r w:rsidRPr="001D05E2">
              <w:rPr>
                <w:rFonts w:ascii="Times New Roman" w:hAnsi="Times New Roman" w:cs="Times New Roman"/>
              </w:rPr>
              <w:t xml:space="preserve"> that is oxidized before it is released to the atmosphere</w:t>
            </w:r>
          </w:p>
          <w:p w14:paraId="21ABA7D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(Unitless)</w:t>
            </w:r>
          </w:p>
        </w:tc>
        <w:tc>
          <w:tcPr>
            <w:tcW w:w="2700" w:type="dxa"/>
          </w:tcPr>
          <w:p w14:paraId="5152DF4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 (values ranging from 0.0 to 0.35 are listed with the choice depending on site-specific circumstances)</w:t>
            </w:r>
          </w:p>
        </w:tc>
        <w:tc>
          <w:tcPr>
            <w:tcW w:w="2605" w:type="dxa"/>
          </w:tcPr>
          <w:p w14:paraId="734BE65A"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w:t>
            </w:r>
          </w:p>
        </w:tc>
      </w:tr>
    </w:tbl>
    <w:p w14:paraId="0A657946" w14:textId="77777777" w:rsidR="001D05E2" w:rsidRPr="001D05E2" w:rsidRDefault="001D05E2" w:rsidP="001D05E2">
      <w:pPr>
        <w:rPr>
          <w:rFonts w:ascii="Times New Roman" w:hAnsi="Times New Roman" w:cs="Times New Roman"/>
        </w:rPr>
      </w:pPr>
    </w:p>
    <w:p w14:paraId="71EA1D23" w14:textId="64C2E0B5" w:rsidR="001D05E2" w:rsidRDefault="001D05E2" w:rsidP="001D05E2">
      <w:pPr>
        <w:rPr>
          <w:rFonts w:ascii="Times New Roman" w:hAnsi="Times New Roman" w:cs="Times New Roman"/>
        </w:rPr>
      </w:pPr>
      <w:r w:rsidRPr="001D05E2">
        <w:rPr>
          <w:rFonts w:ascii="Times New Roman" w:hAnsi="Times New Roman" w:cs="Times New Roman"/>
        </w:rPr>
        <w:t xml:space="preserve">The fraction of wastewater treatment plant residuals that </w:t>
      </w:r>
      <w:proofErr w:type="gramStart"/>
      <w:r w:rsidRPr="001D05E2">
        <w:rPr>
          <w:rFonts w:ascii="Times New Roman" w:hAnsi="Times New Roman" w:cs="Times New Roman"/>
        </w:rPr>
        <w:t>is</w:t>
      </w:r>
      <w:proofErr w:type="gramEnd"/>
      <w:r w:rsidRPr="001D05E2">
        <w:rPr>
          <w:rFonts w:ascii="Times New Roman" w:hAnsi="Times New Roman" w:cs="Times New Roman"/>
        </w:rPr>
        <w:t xml:space="preserve"> landfilled has changed significantly over time. Data from the sources discussed previously indicate that the fraction landfilled was 86%, 70%, 51%, and 36% in 1979, 1988, 1995, and 2016, respectively </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{"citationID":"l8Namlog","properties":{"formattedCitation":"\\super 30\\uc0\\u8211{}32\\nosupersub{}","plainCitation":"30–32","noteIndex":0},"citationItems":[{"id":84,"uris":["http://zotero.org/users/18184231/items/HH872FHB"],"itemData":{"id":84,"type":"article-journal","container-title":"TAPPI","issue":"8","page":"5","title":"Progress in Reducing Water Use and Wastewater Loads in the U.S. Paper Industry","volume":"74","author":[{"family":"Miner","given":"Reid"},{"family":"Unwin","given":"Jay"}],"issued":{"date-parts":[["1991",8]]}}},{"id":78,"uris":["http://zotero.org/users/18184231/items/VGD5UWTS"],"itemData":{"id":78,"type":"report","event-place":"Cary,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Industry","author":[{"family":"NCASI","given":""}],"issued":{"date-parts":[["2019"]]}}},{"id":83,"uris":["http://zotero.org/users/18184231/items/5BGCHVGQ"],"itemData":{"id":83,"type":"report","event-place":"Cary, NC","number":"Technical Bulletin 793","publisher":"NCASI","publisher-place":"Cary, NC","title":"Solid Waste Management and Disposal Practices in the US Paper Industry−1995","author":[{"family":"NCASI","given":""}],"issued":{"date-parts":[["1999"]]}}}],"schema":"https://github.com/citation-style-language/schema/raw/master/csl-citation.json"}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30–32</w:t>
      </w:r>
      <w:r w:rsidRPr="001D05E2">
        <w:rPr>
          <w:rFonts w:ascii="Times New Roman" w:hAnsi="Times New Roman" w:cs="Times New Roman"/>
        </w:rPr>
        <w:fldChar w:fldCharType="end"/>
      </w:r>
      <w:r w:rsidRPr="001D05E2">
        <w:rPr>
          <w:rFonts w:ascii="Times New Roman" w:hAnsi="Times New Roman" w:cs="Times New Roman"/>
        </w:rPr>
        <w:t>. To estimate the annual amounts of landfilled residuals, the 1979 value (86%) was used for 1960 to 1979, the 2016 value (36%) was used for 2016 to 2020, and the values for 1980 to 2017 were interpolated using the 1979, 1988, 1995, and 2016 data points. Methane releases for each year from 1990 were estimated using the calculation approach in Subpart TT of the GHGRP</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{"citationID":"fitnYjqh","properties":{"formattedCitation":"\\super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r w:rsidRPr="001D05E2">
        <w:rPr>
          <w:rFonts w:ascii="Times New Roman" w:hAnsi="Times New Roman" w:cs="Times New Roman"/>
        </w:rPr>
        <w:t xml:space="preserve">. The moderate climate value for k was used. For comparison, the parameter values used in US EPA’s inventory calculations were also used. The results are shown in Table </w:t>
      </w:r>
      <w:r w:rsidR="002319E1">
        <w:rPr>
          <w:rFonts w:ascii="Times New Roman" w:hAnsi="Times New Roman" w:cs="Times New Roman"/>
        </w:rPr>
        <w:t>S29</w:t>
      </w:r>
      <w:r w:rsidRPr="001D05E2">
        <w:rPr>
          <w:rFonts w:ascii="Times New Roman" w:hAnsi="Times New Roman" w:cs="Times New Roman"/>
        </w:rPr>
        <w:t xml:space="preserve">. </w:t>
      </w:r>
    </w:p>
    <w:p w14:paraId="717BCD15" w14:textId="77777777" w:rsidR="00F45DAC" w:rsidRDefault="00F45DAC" w:rsidP="001D05E2">
      <w:pPr>
        <w:rPr>
          <w:rFonts w:ascii="Times New Roman" w:hAnsi="Times New Roman" w:cs="Times New Roman"/>
        </w:rPr>
      </w:pPr>
    </w:p>
    <w:p w14:paraId="452CD022" w14:textId="77777777" w:rsidR="00F45DAC" w:rsidRDefault="00F45DAC" w:rsidP="001D05E2">
      <w:pPr>
        <w:rPr>
          <w:rFonts w:ascii="Times New Roman" w:hAnsi="Times New Roman" w:cs="Times New Roman"/>
        </w:rPr>
      </w:pPr>
    </w:p>
    <w:p w14:paraId="2DB22117" w14:textId="77777777" w:rsidR="00F45DAC" w:rsidRDefault="00F45DAC" w:rsidP="001D05E2">
      <w:pPr>
        <w:rPr>
          <w:rFonts w:ascii="Times New Roman" w:hAnsi="Times New Roman" w:cs="Times New Roman"/>
        </w:rPr>
      </w:pPr>
    </w:p>
    <w:p w14:paraId="5B22501F" w14:textId="77777777" w:rsidR="00F45DAC" w:rsidRDefault="00F45DAC" w:rsidP="001D05E2">
      <w:pPr>
        <w:rPr>
          <w:rFonts w:ascii="Times New Roman" w:hAnsi="Times New Roman" w:cs="Times New Roman"/>
        </w:rPr>
      </w:pPr>
    </w:p>
    <w:p w14:paraId="20099ECC" w14:textId="77777777" w:rsidR="00F45DAC" w:rsidRPr="001D05E2" w:rsidRDefault="00F45DAC" w:rsidP="001D05E2">
      <w:pPr>
        <w:rPr>
          <w:rFonts w:ascii="Times New Roman" w:hAnsi="Times New Roman" w:cs="Times New Roman"/>
        </w:rPr>
      </w:pPr>
    </w:p>
    <w:p w14:paraId="3D6CB616" w14:textId="58BD15BB" w:rsidR="001D05E2" w:rsidRPr="001D05E2" w:rsidRDefault="002319E1" w:rsidP="00F45DAC">
      <w:pPr>
        <w:jc w:val="center"/>
        <w:rPr>
          <w:rFonts w:ascii="Times New Roman" w:hAnsi="Times New Roman" w:cs="Times New Roman"/>
        </w:rPr>
      </w:pPr>
      <w:r w:rsidRPr="002319E1">
        <w:rPr>
          <w:rFonts w:ascii="Times New Roman" w:hAnsi="Times New Roman" w:cs="Times New Roman"/>
          <w:b/>
          <w:bCs/>
        </w:rPr>
        <w:lastRenderedPageBreak/>
        <w:t>Table S29</w:t>
      </w:r>
      <w:r w:rsidR="001D05E2" w:rsidRPr="001D05E2">
        <w:rPr>
          <w:rFonts w:ascii="Times New Roman" w:hAnsi="Times New Roman" w:cs="Times New Roman"/>
        </w:rPr>
        <w:t xml:space="preserve">. Methane Releases Attributed to Landfilling Pulp and Paper Mill WWTR Calculated Using the First Order Decay Model with Different Sets of US EPA Defaults (see Table </w:t>
      </w:r>
      <w:r w:rsidR="00F45DAC">
        <w:rPr>
          <w:rFonts w:ascii="Times New Roman" w:hAnsi="Times New Roman" w:cs="Times New Roman"/>
        </w:rPr>
        <w:t>S28</w:t>
      </w:r>
      <w:r w:rsidR="001D05E2" w:rsidRPr="001D05E2">
        <w:rPr>
          <w:rFonts w:ascii="Times New Roman" w:hAnsi="Times New Roman" w:cs="Times New Roman"/>
        </w:rPr>
        <w:t>)</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976"/>
        <w:gridCol w:w="3609"/>
        <w:gridCol w:w="3609"/>
      </w:tblGrid>
      <w:tr w:rsidR="001D05E2" w:rsidRPr="001D05E2" w14:paraId="2D8194D3" w14:textId="77777777" w:rsidTr="00360B83">
        <w:trPr>
          <w:trHeight w:val="300"/>
          <w:jc w:val="center"/>
        </w:trPr>
        <w:tc>
          <w:tcPr>
            <w:tcW w:w="976" w:type="dxa"/>
            <w:vMerge w:val="restart"/>
            <w:shd w:val="clear" w:color="auto" w:fill="D9D9D9" w:themeFill="background1" w:themeFillShade="D9"/>
            <w:noWrap/>
            <w:vAlign w:val="center"/>
          </w:tcPr>
          <w:p w14:paraId="0E9232E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Year</w:t>
            </w:r>
          </w:p>
        </w:tc>
        <w:tc>
          <w:tcPr>
            <w:tcW w:w="7218" w:type="dxa"/>
            <w:gridSpan w:val="2"/>
            <w:shd w:val="clear" w:color="auto" w:fill="D9D9D9" w:themeFill="background1" w:themeFillShade="D9"/>
          </w:tcPr>
          <w:p w14:paraId="19B77148"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Methane Emissions, Metric Tons</w:t>
            </w:r>
          </w:p>
        </w:tc>
      </w:tr>
      <w:tr w:rsidR="001D05E2" w:rsidRPr="001D05E2" w14:paraId="40901524" w14:textId="77777777" w:rsidTr="00360B83">
        <w:trPr>
          <w:trHeight w:val="300"/>
          <w:jc w:val="center"/>
        </w:trPr>
        <w:tc>
          <w:tcPr>
            <w:tcW w:w="976" w:type="dxa"/>
            <w:vMerge/>
            <w:shd w:val="clear" w:color="auto" w:fill="D9D9D9" w:themeFill="background1" w:themeFillShade="D9"/>
            <w:noWrap/>
            <w:vAlign w:val="center"/>
          </w:tcPr>
          <w:p w14:paraId="5F3728EF" w14:textId="77777777" w:rsidR="001D05E2" w:rsidRPr="001D05E2" w:rsidRDefault="001D05E2" w:rsidP="001D05E2">
            <w:pPr>
              <w:rPr>
                <w:rFonts w:ascii="Times New Roman" w:hAnsi="Times New Roman" w:cs="Times New Roman"/>
              </w:rPr>
            </w:pPr>
          </w:p>
        </w:tc>
        <w:tc>
          <w:tcPr>
            <w:tcW w:w="3609" w:type="dxa"/>
            <w:shd w:val="clear" w:color="auto" w:fill="D9D9D9" w:themeFill="background1" w:themeFillShade="D9"/>
          </w:tcPr>
          <w:p w14:paraId="622A4133"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First Order Decay Model Using GHGRP Subpart TT Parameter Values (US EPA 2023</w:t>
            </w:r>
            <w:proofErr w:type="gramStart"/>
            <w:r w:rsidRPr="001D05E2">
              <w:rPr>
                <w:rFonts w:ascii="Times New Roman" w:hAnsi="Times New Roman" w:cs="Times New Roman"/>
              </w:rPr>
              <w:t>a)</w:t>
            </w:r>
            <w:r w:rsidRPr="001D05E2">
              <w:rPr>
                <w:rFonts w:ascii="Times New Roman" w:hAnsi="Times New Roman" w:cs="Times New Roman"/>
                <w:vertAlign w:val="superscript"/>
              </w:rPr>
              <w:t>a</w:t>
            </w:r>
            <w:proofErr w:type="gramEnd"/>
          </w:p>
        </w:tc>
        <w:tc>
          <w:tcPr>
            <w:tcW w:w="3609" w:type="dxa"/>
            <w:shd w:val="clear" w:color="auto" w:fill="D9D9D9" w:themeFill="background1" w:themeFillShade="D9"/>
            <w:noWrap/>
            <w:vAlign w:val="center"/>
          </w:tcPr>
          <w:p w14:paraId="0A141C58"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First Order Decay Model Using US EPA GHG Inventory Parameter Values (US EPA 2022b)</w:t>
            </w:r>
          </w:p>
        </w:tc>
      </w:tr>
      <w:tr w:rsidR="001D05E2" w:rsidRPr="001D05E2" w14:paraId="1B2A98AF" w14:textId="77777777" w:rsidTr="00360B83">
        <w:trPr>
          <w:trHeight w:val="300"/>
          <w:jc w:val="center"/>
        </w:trPr>
        <w:tc>
          <w:tcPr>
            <w:tcW w:w="976" w:type="dxa"/>
            <w:noWrap/>
            <w:vAlign w:val="center"/>
            <w:hideMark/>
          </w:tcPr>
          <w:p w14:paraId="7287D04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1990</w:t>
            </w:r>
          </w:p>
        </w:tc>
        <w:tc>
          <w:tcPr>
            <w:tcW w:w="3609" w:type="dxa"/>
          </w:tcPr>
          <w:p w14:paraId="5F4D4712"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175,000</w:t>
            </w:r>
          </w:p>
        </w:tc>
        <w:tc>
          <w:tcPr>
            <w:tcW w:w="3609" w:type="dxa"/>
            <w:noWrap/>
          </w:tcPr>
          <w:p w14:paraId="32AC6850"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179,000</w:t>
            </w:r>
          </w:p>
        </w:tc>
      </w:tr>
      <w:tr w:rsidR="001D05E2" w:rsidRPr="001D05E2" w14:paraId="464926BC" w14:textId="77777777" w:rsidTr="00360B83">
        <w:trPr>
          <w:trHeight w:val="300"/>
          <w:jc w:val="center"/>
        </w:trPr>
        <w:tc>
          <w:tcPr>
            <w:tcW w:w="976" w:type="dxa"/>
            <w:noWrap/>
            <w:vAlign w:val="center"/>
            <w:hideMark/>
          </w:tcPr>
          <w:p w14:paraId="4C30405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1995</w:t>
            </w:r>
          </w:p>
        </w:tc>
        <w:tc>
          <w:tcPr>
            <w:tcW w:w="3609" w:type="dxa"/>
          </w:tcPr>
          <w:p w14:paraId="72208651"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190,000</w:t>
            </w:r>
          </w:p>
        </w:tc>
        <w:tc>
          <w:tcPr>
            <w:tcW w:w="3609" w:type="dxa"/>
            <w:noWrap/>
          </w:tcPr>
          <w:p w14:paraId="64CDCD48"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188,000</w:t>
            </w:r>
          </w:p>
        </w:tc>
      </w:tr>
      <w:tr w:rsidR="001D05E2" w:rsidRPr="001D05E2" w14:paraId="51BFD1B9" w14:textId="77777777" w:rsidTr="00360B83">
        <w:trPr>
          <w:trHeight w:val="260"/>
          <w:jc w:val="center"/>
        </w:trPr>
        <w:tc>
          <w:tcPr>
            <w:tcW w:w="976" w:type="dxa"/>
            <w:noWrap/>
            <w:vAlign w:val="center"/>
            <w:hideMark/>
          </w:tcPr>
          <w:p w14:paraId="7F5FE37E"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2000</w:t>
            </w:r>
          </w:p>
        </w:tc>
        <w:tc>
          <w:tcPr>
            <w:tcW w:w="3609" w:type="dxa"/>
          </w:tcPr>
          <w:p w14:paraId="1CA759E1"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199,000</w:t>
            </w:r>
          </w:p>
        </w:tc>
        <w:tc>
          <w:tcPr>
            <w:tcW w:w="3609" w:type="dxa"/>
            <w:noWrap/>
          </w:tcPr>
          <w:p w14:paraId="5B2FBF04"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192,000</w:t>
            </w:r>
          </w:p>
        </w:tc>
      </w:tr>
      <w:tr w:rsidR="001D05E2" w:rsidRPr="001D05E2" w14:paraId="6FB71D6B" w14:textId="77777777" w:rsidTr="00360B83">
        <w:trPr>
          <w:trHeight w:val="300"/>
          <w:jc w:val="center"/>
        </w:trPr>
        <w:tc>
          <w:tcPr>
            <w:tcW w:w="976" w:type="dxa"/>
            <w:noWrap/>
            <w:vAlign w:val="center"/>
            <w:hideMark/>
          </w:tcPr>
          <w:p w14:paraId="46DD74C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2005</w:t>
            </w:r>
          </w:p>
        </w:tc>
        <w:tc>
          <w:tcPr>
            <w:tcW w:w="3609" w:type="dxa"/>
          </w:tcPr>
          <w:p w14:paraId="38D6F16E"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202,000</w:t>
            </w:r>
          </w:p>
        </w:tc>
        <w:tc>
          <w:tcPr>
            <w:tcW w:w="3609" w:type="dxa"/>
            <w:noWrap/>
          </w:tcPr>
          <w:p w14:paraId="28F8E6B3"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189,000</w:t>
            </w:r>
          </w:p>
        </w:tc>
      </w:tr>
      <w:tr w:rsidR="001D05E2" w:rsidRPr="001D05E2" w14:paraId="69B679D0" w14:textId="77777777" w:rsidTr="00360B83">
        <w:trPr>
          <w:trHeight w:val="300"/>
          <w:jc w:val="center"/>
        </w:trPr>
        <w:tc>
          <w:tcPr>
            <w:tcW w:w="976" w:type="dxa"/>
            <w:noWrap/>
            <w:vAlign w:val="center"/>
            <w:hideMark/>
          </w:tcPr>
          <w:p w14:paraId="5EF07B2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2010</w:t>
            </w:r>
          </w:p>
        </w:tc>
        <w:tc>
          <w:tcPr>
            <w:tcW w:w="3609" w:type="dxa"/>
          </w:tcPr>
          <w:p w14:paraId="4AB11C39"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200,000</w:t>
            </w:r>
          </w:p>
        </w:tc>
        <w:tc>
          <w:tcPr>
            <w:tcW w:w="3609" w:type="dxa"/>
            <w:noWrap/>
          </w:tcPr>
          <w:p w14:paraId="07949220"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181,000</w:t>
            </w:r>
          </w:p>
        </w:tc>
      </w:tr>
      <w:tr w:rsidR="001D05E2" w:rsidRPr="001D05E2" w14:paraId="379813A6" w14:textId="77777777" w:rsidTr="00360B83">
        <w:trPr>
          <w:trHeight w:val="300"/>
          <w:jc w:val="center"/>
        </w:trPr>
        <w:tc>
          <w:tcPr>
            <w:tcW w:w="976" w:type="dxa"/>
            <w:noWrap/>
            <w:vAlign w:val="center"/>
            <w:hideMark/>
          </w:tcPr>
          <w:p w14:paraId="186C168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2015</w:t>
            </w:r>
          </w:p>
        </w:tc>
        <w:tc>
          <w:tcPr>
            <w:tcW w:w="3609" w:type="dxa"/>
          </w:tcPr>
          <w:p w14:paraId="05A80299"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194,000</w:t>
            </w:r>
          </w:p>
        </w:tc>
        <w:tc>
          <w:tcPr>
            <w:tcW w:w="3609" w:type="dxa"/>
            <w:noWrap/>
          </w:tcPr>
          <w:p w14:paraId="19784FBF"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170,000</w:t>
            </w:r>
          </w:p>
        </w:tc>
      </w:tr>
      <w:tr w:rsidR="001D05E2" w:rsidRPr="001D05E2" w14:paraId="5387CF05" w14:textId="77777777" w:rsidTr="00360B83">
        <w:trPr>
          <w:trHeight w:val="375"/>
          <w:jc w:val="center"/>
        </w:trPr>
        <w:tc>
          <w:tcPr>
            <w:tcW w:w="976" w:type="dxa"/>
            <w:noWrap/>
            <w:vAlign w:val="center"/>
            <w:hideMark/>
          </w:tcPr>
          <w:p w14:paraId="6036A92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2020</w:t>
            </w:r>
          </w:p>
        </w:tc>
        <w:tc>
          <w:tcPr>
            <w:tcW w:w="3609" w:type="dxa"/>
          </w:tcPr>
          <w:p w14:paraId="2C046C47"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186,000</w:t>
            </w:r>
          </w:p>
        </w:tc>
        <w:tc>
          <w:tcPr>
            <w:tcW w:w="3609" w:type="dxa"/>
            <w:noWrap/>
          </w:tcPr>
          <w:p w14:paraId="40BAA63A"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158,000</w:t>
            </w:r>
          </w:p>
        </w:tc>
      </w:tr>
      <w:tr w:rsidR="001D05E2" w:rsidRPr="001D05E2" w14:paraId="3D2A4740" w14:textId="77777777" w:rsidTr="00360B83">
        <w:trPr>
          <w:trHeight w:val="375"/>
          <w:jc w:val="center"/>
        </w:trPr>
        <w:tc>
          <w:tcPr>
            <w:tcW w:w="8194" w:type="dxa"/>
            <w:gridSpan w:val="3"/>
            <w:noWrap/>
            <w:vAlign w:val="center"/>
          </w:tcPr>
          <w:p w14:paraId="1C1DC564" w14:textId="77777777" w:rsidR="001D05E2" w:rsidRPr="001D05E2" w:rsidRDefault="001D05E2" w:rsidP="001D05E2">
            <w:pPr>
              <w:rPr>
                <w:rFonts w:ascii="Times New Roman" w:hAnsi="Times New Roman" w:cs="Times New Roman"/>
              </w:rPr>
            </w:pPr>
            <w:proofErr w:type="gramStart"/>
            <w:r w:rsidRPr="001D05E2">
              <w:rPr>
                <w:rFonts w:ascii="Times New Roman" w:hAnsi="Times New Roman" w:cs="Times New Roman"/>
                <w:vertAlign w:val="superscript"/>
              </w:rPr>
              <w:t>a</w:t>
            </w:r>
            <w:proofErr w:type="gramEnd"/>
            <w:r w:rsidRPr="001D05E2">
              <w:rPr>
                <w:rFonts w:ascii="Times New Roman" w:hAnsi="Times New Roman" w:cs="Times New Roman"/>
              </w:rPr>
              <w:t xml:space="preserve"> Elsewhere in this report, where a single estimate is required, this approach is used to provide the estimate. </w:t>
            </w:r>
          </w:p>
        </w:tc>
      </w:tr>
    </w:tbl>
    <w:p w14:paraId="19FC2563" w14:textId="77777777" w:rsidR="001D05E2" w:rsidRPr="001D05E2" w:rsidRDefault="001D05E2" w:rsidP="001D05E2">
      <w:pPr>
        <w:rPr>
          <w:rFonts w:ascii="Times New Roman" w:hAnsi="Times New Roman" w:cs="Times New Roman"/>
        </w:rPr>
      </w:pPr>
    </w:p>
    <w:p w14:paraId="79331736"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Pulp and Paper Mill WWTR Estimates: Comparison of Approaches</w:t>
      </w:r>
    </w:p>
    <w:p w14:paraId="380E6110" w14:textId="735F25DD"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The results of the approaches described earlier are compared in Figure </w:t>
      </w:r>
      <w:r w:rsidR="0080596C">
        <w:rPr>
          <w:rFonts w:ascii="Times New Roman" w:hAnsi="Times New Roman" w:cs="Times New Roman"/>
        </w:rPr>
        <w:t>S2</w:t>
      </w:r>
      <w:r w:rsidR="00843D6D">
        <w:rPr>
          <w:rFonts w:ascii="Times New Roman" w:hAnsi="Times New Roman" w:cs="Times New Roman"/>
        </w:rPr>
        <w:t>9</w:t>
      </w:r>
      <w:r w:rsidR="0080596C">
        <w:rPr>
          <w:rFonts w:ascii="Times New Roman" w:hAnsi="Times New Roman" w:cs="Times New Roman"/>
        </w:rPr>
        <w:t>.</w:t>
      </w:r>
      <w:r w:rsidRPr="001D05E2">
        <w:rPr>
          <w:rFonts w:ascii="Times New Roman" w:hAnsi="Times New Roman" w:cs="Times New Roman"/>
        </w:rPr>
        <w:t xml:space="preserve"> There are large differences between some of the estimates, the reasons for which are explored herein. </w:t>
      </w:r>
    </w:p>
    <w:p w14:paraId="1AAE72C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Data from the GHGRP </w:t>
      </w:r>
      <w:proofErr w:type="gramStart"/>
      <w:r w:rsidRPr="001D05E2">
        <w:rPr>
          <w:rFonts w:ascii="Times New Roman" w:hAnsi="Times New Roman" w:cs="Times New Roman"/>
        </w:rPr>
        <w:t>are</w:t>
      </w:r>
      <w:proofErr w:type="gramEnd"/>
      <w:r w:rsidRPr="001D05E2">
        <w:rPr>
          <w:rFonts w:ascii="Times New Roman" w:hAnsi="Times New Roman" w:cs="Times New Roman"/>
        </w:rPr>
        <w:t xml:space="preserve"> available only since 2011. Over the 2011 to 2020 period, they are </w:t>
      </w:r>
      <w:proofErr w:type="gramStart"/>
      <w:r w:rsidRPr="001D05E2">
        <w:rPr>
          <w:rFonts w:ascii="Times New Roman" w:hAnsi="Times New Roman" w:cs="Times New Roman"/>
        </w:rPr>
        <w:t>similar to</w:t>
      </w:r>
      <w:proofErr w:type="gramEnd"/>
      <w:r w:rsidRPr="001D05E2">
        <w:rPr>
          <w:rFonts w:ascii="Times New Roman" w:hAnsi="Times New Roman" w:cs="Times New Roman"/>
        </w:rPr>
        <w:t xml:space="preserve"> NCASI’s estimates but suggest much more rapid reductions. There are several factors to consider in interpreting these data.</w:t>
      </w:r>
    </w:p>
    <w:p w14:paraId="3175756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The companies reporting under the GHGRP are not required to use default values for k, DOC, </w:t>
      </w:r>
      <w:proofErr w:type="spellStart"/>
      <w:r w:rsidRPr="001D05E2">
        <w:rPr>
          <w:rFonts w:ascii="Times New Roman" w:hAnsi="Times New Roman" w:cs="Times New Roman"/>
        </w:rPr>
        <w:t>DOCf</w:t>
      </w:r>
      <w:proofErr w:type="spellEnd"/>
      <w:r w:rsidRPr="001D05E2">
        <w:rPr>
          <w:rFonts w:ascii="Times New Roman" w:hAnsi="Times New Roman" w:cs="Times New Roman"/>
        </w:rPr>
        <w:t xml:space="preserve">, or OX if they have more appropriate values. Indeed, examination of several GHGRP reports confirms that mills are not always using default values but rather values the companies find more appropriate. It is unsurprising, therefore, that the sum of these reports would not be the same as an industry estimate based on default values. </w:t>
      </w:r>
    </w:p>
    <w:p w14:paraId="02261D6E" w14:textId="3E09B1D2"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It is also important to consider that the GHGRP only includes materials placed in landfills owned by the reporting company. Landfills owned by third parties are not included in the reports from pulp and paper mills and are not easily identified in the GHGRP data. The three other approaches shown in Figure </w:t>
      </w:r>
      <w:r w:rsidR="0080596C">
        <w:rPr>
          <w:rFonts w:ascii="Times New Roman" w:hAnsi="Times New Roman" w:cs="Times New Roman"/>
        </w:rPr>
        <w:t>S2</w:t>
      </w:r>
      <w:r w:rsidR="00843D6D">
        <w:rPr>
          <w:rFonts w:ascii="Times New Roman" w:hAnsi="Times New Roman" w:cs="Times New Roman"/>
        </w:rPr>
        <w:t>3</w:t>
      </w:r>
      <w:r w:rsidR="0080596C">
        <w:rPr>
          <w:rFonts w:ascii="Times New Roman" w:hAnsi="Times New Roman" w:cs="Times New Roman"/>
        </w:rPr>
        <w:t xml:space="preserve"> </w:t>
      </w:r>
      <w:r w:rsidRPr="001D05E2">
        <w:rPr>
          <w:rFonts w:ascii="Times New Roman" w:hAnsi="Times New Roman" w:cs="Times New Roman"/>
        </w:rPr>
        <w:t xml:space="preserve">are intended to include all landfills, regardless of ownership. </w:t>
      </w:r>
    </w:p>
    <w:p w14:paraId="0B43C81A" w14:textId="77777777" w:rsidR="001D05E2" w:rsidRPr="001D05E2" w:rsidRDefault="001D05E2" w:rsidP="001D05E2">
      <w:pPr>
        <w:rPr>
          <w:rFonts w:ascii="Times New Roman" w:hAnsi="Times New Roman" w:cs="Times New Roman"/>
        </w:rPr>
      </w:pPr>
    </w:p>
    <w:p w14:paraId="42603755" w14:textId="77777777" w:rsidR="001D05E2" w:rsidRPr="001D05E2" w:rsidRDefault="001D05E2" w:rsidP="001D05E2">
      <w:pPr>
        <w:rPr>
          <w:rFonts w:ascii="Times New Roman" w:hAnsi="Times New Roman" w:cs="Times New Roman"/>
        </w:rPr>
      </w:pPr>
    </w:p>
    <w:p w14:paraId="003796F5" w14:textId="77777777" w:rsidR="001D05E2" w:rsidRPr="001D05E2" w:rsidRDefault="001D05E2" w:rsidP="001D05E2">
      <w:pPr>
        <w:rPr>
          <w:rFonts w:ascii="Times New Roman" w:hAnsi="Times New Roman" w:cs="Times New Roman"/>
        </w:rPr>
      </w:pPr>
      <w:r w:rsidRPr="001D05E2">
        <w:rPr>
          <w:rFonts w:ascii="Times New Roman" w:hAnsi="Times New Roman" w:cs="Times New Roman"/>
          <w:noProof/>
        </w:rPr>
        <w:lastRenderedPageBreak/>
        <w:drawing>
          <wp:inline distT="0" distB="0" distL="0" distR="0" wp14:anchorId="1CF35FFF" wp14:editId="5E6E93C3">
            <wp:extent cx="5943600" cy="3935896"/>
            <wp:effectExtent l="0" t="0" r="0" b="7620"/>
            <wp:docPr id="1738721186" name="Chart 1">
              <a:extLst xmlns:a="http://schemas.openxmlformats.org/drawingml/2006/main">
                <a:ext uri="{FF2B5EF4-FFF2-40B4-BE49-F238E27FC236}">
                  <a16:creationId xmlns:a16="http://schemas.microsoft.com/office/drawing/2014/main" id="{C408A92F-FE12-4F2E-B54E-55CD53081A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A6EC73" w14:textId="664AED49" w:rsidR="001D05E2" w:rsidRPr="001D05E2" w:rsidRDefault="001D05E2" w:rsidP="001D05E2">
      <w:pPr>
        <w:jc w:val="center"/>
        <w:rPr>
          <w:rFonts w:ascii="Times New Roman" w:hAnsi="Times New Roman" w:cs="Times New Roman"/>
        </w:rPr>
      </w:pPr>
      <w:r w:rsidRPr="0080596C">
        <w:rPr>
          <w:rFonts w:ascii="Times New Roman" w:hAnsi="Times New Roman" w:cs="Times New Roman"/>
          <w:b/>
          <w:bCs/>
        </w:rPr>
        <w:t>Figure</w:t>
      </w:r>
      <w:r w:rsidR="0080596C" w:rsidRPr="0080596C">
        <w:rPr>
          <w:rFonts w:ascii="Times New Roman" w:hAnsi="Times New Roman" w:cs="Times New Roman"/>
          <w:b/>
          <w:bCs/>
        </w:rPr>
        <w:t xml:space="preserve"> S2</w:t>
      </w:r>
      <w:r w:rsidR="00843D6D">
        <w:rPr>
          <w:rFonts w:ascii="Times New Roman" w:hAnsi="Times New Roman" w:cs="Times New Roman"/>
          <w:b/>
          <w:bCs/>
        </w:rPr>
        <w:t>9</w:t>
      </w:r>
      <w:r w:rsidRPr="0080596C">
        <w:rPr>
          <w:rFonts w:ascii="Times New Roman" w:hAnsi="Times New Roman" w:cs="Times New Roman"/>
          <w:b/>
          <w:bCs/>
        </w:rPr>
        <w:t>.</w:t>
      </w:r>
      <w:r w:rsidRPr="001D05E2">
        <w:rPr>
          <w:rFonts w:ascii="Times New Roman" w:hAnsi="Times New Roman" w:cs="Times New Roman"/>
        </w:rPr>
        <w:t xml:space="preserve"> Methane Emissions Attributable to Landfilling Pulp and Paper Mill WWTR: A Comparison of Methods</w:t>
      </w:r>
    </w:p>
    <w:p w14:paraId="71C9E180" w14:textId="77777777" w:rsidR="001D05E2" w:rsidRPr="001D05E2" w:rsidRDefault="001D05E2" w:rsidP="001D05E2">
      <w:pPr>
        <w:rPr>
          <w:rFonts w:ascii="Times New Roman" w:hAnsi="Times New Roman" w:cs="Times New Roman"/>
        </w:rPr>
      </w:pPr>
    </w:p>
    <w:p w14:paraId="68DCDF1D"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Another important consideration in interpreting GHGRP data is the approach used to estimate historical deposits into landfills. Most mills reporting under the GHGRP do not have data dating to 1960 (the starting year for GHGRP calculations) and, therefore, have had to use GHGRP-designated methods to estimate many prior years of landfill deposits. Examination of several mill reports suggests that the GHGRP methods can yield estimates for previous years that are larger than current deposits, sometimes by a significant amount. This may be producing overestimates of emissions in the earlier years of the reporting program, which would increase apparent reductions in emissions since the reporting began. For all these reasons, GHGRP reporting data on landfill methane emissions are not used in this profile for estimating these emissions.</w:t>
      </w:r>
    </w:p>
    <w:p w14:paraId="7C683FDC" w14:textId="40ABCBF4"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Estimates produced by allocating industrial landfill emissions reported in US EPA’s annual inventories are consistently much higher than those in the GHGRP as well as those estimated by NCASI when using the same parameter values as US EPA uses in GHG inventory calculations. Some of the </w:t>
      </w:r>
      <w:proofErr w:type="gramStart"/>
      <w:r w:rsidRPr="001D05E2">
        <w:rPr>
          <w:rFonts w:ascii="Times New Roman" w:hAnsi="Times New Roman" w:cs="Times New Roman"/>
        </w:rPr>
        <w:t>difference is</w:t>
      </w:r>
      <w:proofErr w:type="gramEnd"/>
      <w:r w:rsidRPr="001D05E2">
        <w:rPr>
          <w:rFonts w:ascii="Times New Roman" w:hAnsi="Times New Roman" w:cs="Times New Roman"/>
        </w:rPr>
        <w:t xml:space="preserve"> likely related to differences in estimates of the amounts of WWTR landfilled over time. US EPA’s estimates are based on wet weight whereas NCASI uses dry weight. Therefore, a comparison of waste quantities requires knowing the solids content of the waste being landfilled. Based on survey data described earlier in this report, NCASI has used </w:t>
      </w:r>
      <w:r w:rsidRPr="001D05E2">
        <w:rPr>
          <w:rFonts w:ascii="Times New Roman" w:hAnsi="Times New Roman" w:cs="Times New Roman"/>
        </w:rPr>
        <w:lastRenderedPageBreak/>
        <w:t xml:space="preserve">31% solids for WWTR in its calculations. The data in Figure </w:t>
      </w:r>
      <w:r w:rsidR="00A86F7E">
        <w:rPr>
          <w:rFonts w:ascii="Times New Roman" w:hAnsi="Times New Roman" w:cs="Times New Roman"/>
        </w:rPr>
        <w:t>S</w:t>
      </w:r>
      <w:r w:rsidR="00843D6D">
        <w:rPr>
          <w:rFonts w:ascii="Times New Roman" w:hAnsi="Times New Roman" w:cs="Times New Roman"/>
        </w:rPr>
        <w:t>30</w:t>
      </w:r>
      <w:r w:rsidRPr="001D05E2">
        <w:rPr>
          <w:rFonts w:ascii="Times New Roman" w:hAnsi="Times New Roman" w:cs="Times New Roman"/>
        </w:rPr>
        <w:t xml:space="preserve"> are shown for US EPA estimates of landfilled quantities if WWTR are at 30%, 40%, and 50% solids. The figure shows that even at 30% solids, NCASI’s data indicate lower quantities in landfills since 2005. At higher solids contents, the difference becomes larger. In addition, the figure shows that while NCASI data </w:t>
      </w:r>
      <w:proofErr w:type="gramStart"/>
      <w:r w:rsidRPr="001D05E2">
        <w:rPr>
          <w:rFonts w:ascii="Times New Roman" w:hAnsi="Times New Roman" w:cs="Times New Roman"/>
        </w:rPr>
        <w:t>indicate</w:t>
      </w:r>
      <w:proofErr w:type="gramEnd"/>
      <w:r w:rsidRPr="001D05E2">
        <w:rPr>
          <w:rFonts w:ascii="Times New Roman" w:hAnsi="Times New Roman" w:cs="Times New Roman"/>
        </w:rPr>
        <w:t xml:space="preserve"> large reductions </w:t>
      </w:r>
      <w:proofErr w:type="gramStart"/>
      <w:r w:rsidRPr="001D05E2">
        <w:rPr>
          <w:rFonts w:ascii="Times New Roman" w:hAnsi="Times New Roman" w:cs="Times New Roman"/>
        </w:rPr>
        <w:t>in amounts</w:t>
      </w:r>
      <w:proofErr w:type="gramEnd"/>
      <w:r w:rsidRPr="001D05E2">
        <w:rPr>
          <w:rFonts w:ascii="Times New Roman" w:hAnsi="Times New Roman" w:cs="Times New Roman"/>
        </w:rPr>
        <w:t xml:space="preserve"> landfilled over time, US EPA’s estimates have remained relatively constant. These differences would contribute to NCASI-modeled estimates of methane emissions being lower than those shown in US EPA’s inventory, especially in recent inventory years. </w:t>
      </w:r>
    </w:p>
    <w:p w14:paraId="4666E37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Another difference is that for its national inventory, US EPA begins the calculations in 1940 instead of 1960. NCASI has extended its calculations back to 1940 by lowering landfilled quantities according to changes in real gross domestic product, the method used by US EPA. Using this approach, starting in 1940 increases 1990 emissions by only about 5%, with the difference decreasing over time, leading to only a 1% difference in 2020. Thus, this difference does not explain the disparity between NCASI’s and US EPA’s estimates. </w:t>
      </w:r>
    </w:p>
    <w:p w14:paraId="74303E1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Even if all industrial waste identified in US EPA’s calculations is assigned to the pulp and paper industry, NCASI’s estimates, using US EPA methods and parameter values, remain 20 to 25% below those published by US EPA for methane from all industrial landfills. The reasons for the differences between NCASI’s and US EPA’s estimates, therefore, remain unclear.</w:t>
      </w:r>
    </w:p>
    <w:p w14:paraId="77641DA9" w14:textId="77777777" w:rsidR="001D05E2" w:rsidRPr="001D05E2" w:rsidRDefault="001D05E2" w:rsidP="001D05E2">
      <w:pPr>
        <w:rPr>
          <w:rFonts w:ascii="Times New Roman" w:hAnsi="Times New Roman" w:cs="Times New Roman"/>
        </w:rPr>
      </w:pPr>
    </w:p>
    <w:p w14:paraId="56D2D601"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noProof/>
        </w:rPr>
        <w:drawing>
          <wp:inline distT="0" distB="0" distL="0" distR="0" wp14:anchorId="571425B8" wp14:editId="3AF7F0B7">
            <wp:extent cx="5943600" cy="2926080"/>
            <wp:effectExtent l="0" t="0" r="0" b="7620"/>
            <wp:docPr id="1357071596" name="Chart 1">
              <a:extLst xmlns:a="http://schemas.openxmlformats.org/drawingml/2006/main">
                <a:ext uri="{FF2B5EF4-FFF2-40B4-BE49-F238E27FC236}">
                  <a16:creationId xmlns:a16="http://schemas.microsoft.com/office/drawing/2014/main" id="{25C7F002-C9FB-FAA1-FF17-60DE54DDF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68B6B5" w14:textId="13FF1307" w:rsidR="001D05E2" w:rsidRPr="001D05E2" w:rsidRDefault="001D05E2" w:rsidP="001D05E2">
      <w:pPr>
        <w:jc w:val="center"/>
        <w:rPr>
          <w:rFonts w:ascii="Times New Roman" w:hAnsi="Times New Roman" w:cs="Times New Roman"/>
        </w:rPr>
      </w:pPr>
      <w:r w:rsidRPr="00A86F7E">
        <w:rPr>
          <w:rFonts w:ascii="Times New Roman" w:hAnsi="Times New Roman" w:cs="Times New Roman"/>
          <w:b/>
          <w:bCs/>
        </w:rPr>
        <w:t xml:space="preserve">Figure </w:t>
      </w:r>
      <w:r w:rsidR="00A86F7E" w:rsidRPr="00A86F7E">
        <w:rPr>
          <w:rFonts w:ascii="Times New Roman" w:hAnsi="Times New Roman" w:cs="Times New Roman"/>
          <w:b/>
          <w:bCs/>
        </w:rPr>
        <w:t>S</w:t>
      </w:r>
      <w:r w:rsidR="00843D6D">
        <w:rPr>
          <w:rFonts w:ascii="Times New Roman" w:hAnsi="Times New Roman" w:cs="Times New Roman"/>
          <w:b/>
          <w:bCs/>
        </w:rPr>
        <w:t>30</w:t>
      </w:r>
      <w:r w:rsidRPr="001D05E2">
        <w:rPr>
          <w:rFonts w:ascii="Times New Roman" w:hAnsi="Times New Roman" w:cs="Times New Roman"/>
        </w:rPr>
        <w:t>. WWTR Quantities Landfilled Estimated by US EPA and Estimated in this Report by NCASI</w:t>
      </w:r>
    </w:p>
    <w:p w14:paraId="59362F7E" w14:textId="77777777" w:rsidR="001D05E2" w:rsidRPr="001D05E2" w:rsidRDefault="001D05E2" w:rsidP="001D05E2">
      <w:pPr>
        <w:rPr>
          <w:rFonts w:ascii="Times New Roman" w:hAnsi="Times New Roman" w:cs="Times New Roman"/>
          <w:iCs/>
        </w:rPr>
      </w:pPr>
    </w:p>
    <w:p w14:paraId="0EC8EACA" w14:textId="77777777" w:rsidR="001D05E2" w:rsidRPr="001D05E2" w:rsidRDefault="001D05E2" w:rsidP="001D05E2">
      <w:pPr>
        <w:rPr>
          <w:rFonts w:ascii="Times New Roman" w:hAnsi="Times New Roman" w:cs="Times New Roman"/>
          <w:iCs/>
        </w:rPr>
      </w:pPr>
    </w:p>
    <w:p w14:paraId="4CE3FE14" w14:textId="79334E81"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2020 reductions from 1990 and 2005 derived from these different calculation approaches are shown in Table </w:t>
      </w:r>
      <w:r w:rsidR="00A86F7E">
        <w:rPr>
          <w:rFonts w:ascii="Times New Roman" w:hAnsi="Times New Roman" w:cs="Times New Roman"/>
          <w:iCs/>
        </w:rPr>
        <w:t>S30</w:t>
      </w:r>
      <w:r w:rsidRPr="001D05E2">
        <w:rPr>
          <w:rFonts w:ascii="Times New Roman" w:hAnsi="Times New Roman" w:cs="Times New Roman"/>
          <w:iCs/>
        </w:rPr>
        <w:t>. NCASI’s modeling using GHGRP defaults for moderate climate (used in this study as a base case when a single estimate is required) indicates that 2020 methane emissions attributable to landfill disposal of WWTR were 6% higher than 1990 emissions and 8% lower than 2005 values.</w:t>
      </w:r>
    </w:p>
    <w:p w14:paraId="61973608" w14:textId="77777777" w:rsidR="001D05E2" w:rsidRPr="001D05E2" w:rsidRDefault="001D05E2" w:rsidP="001D05E2">
      <w:pPr>
        <w:rPr>
          <w:rFonts w:ascii="Times New Roman" w:hAnsi="Times New Roman" w:cs="Times New Roman"/>
          <w:iCs/>
        </w:rPr>
      </w:pPr>
    </w:p>
    <w:p w14:paraId="0100B8E9" w14:textId="2A15D380" w:rsidR="001D05E2" w:rsidRPr="001D05E2" w:rsidRDefault="001D05E2" w:rsidP="001D05E2">
      <w:pPr>
        <w:jc w:val="center"/>
        <w:rPr>
          <w:rFonts w:ascii="Times New Roman" w:hAnsi="Times New Roman" w:cs="Times New Roman"/>
          <w:iCs/>
        </w:rPr>
      </w:pPr>
      <w:r w:rsidRPr="00A86F7E">
        <w:rPr>
          <w:rFonts w:ascii="Times New Roman" w:hAnsi="Times New Roman" w:cs="Times New Roman"/>
          <w:b/>
          <w:bCs/>
          <w:iCs/>
        </w:rPr>
        <w:t xml:space="preserve">Table </w:t>
      </w:r>
      <w:r w:rsidR="00A86F7E" w:rsidRPr="00A86F7E">
        <w:rPr>
          <w:rFonts w:ascii="Times New Roman" w:hAnsi="Times New Roman" w:cs="Times New Roman"/>
          <w:b/>
          <w:bCs/>
          <w:iCs/>
        </w:rPr>
        <w:t>S30</w:t>
      </w:r>
      <w:r w:rsidRPr="001D05E2">
        <w:rPr>
          <w:rFonts w:ascii="Times New Roman" w:hAnsi="Times New Roman" w:cs="Times New Roman"/>
          <w:iCs/>
        </w:rPr>
        <w:t>. Methane Emissions in 2020 Attributable to WWTR and Change Since 1990</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5658"/>
        <w:gridCol w:w="1263"/>
        <w:gridCol w:w="1195"/>
        <w:gridCol w:w="1043"/>
      </w:tblGrid>
      <w:tr w:rsidR="001D05E2" w:rsidRPr="00234CFB" w14:paraId="46CFB52F" w14:textId="77777777" w:rsidTr="0008489A">
        <w:trPr>
          <w:trHeight w:val="432"/>
          <w:jc w:val="center"/>
        </w:trPr>
        <w:tc>
          <w:tcPr>
            <w:tcW w:w="5658" w:type="dxa"/>
            <w:shd w:val="clear" w:color="auto" w:fill="D9D9D9" w:themeFill="background1" w:themeFillShade="D9"/>
          </w:tcPr>
          <w:p w14:paraId="13C27A9E" w14:textId="77777777" w:rsidR="001D05E2" w:rsidRPr="00234CFB" w:rsidRDefault="001D05E2" w:rsidP="001D05E2">
            <w:pPr>
              <w:rPr>
                <w:rFonts w:ascii="Times New Roman" w:hAnsi="Times New Roman" w:cs="Times New Roman"/>
                <w:iCs/>
                <w:sz w:val="24"/>
                <w:szCs w:val="24"/>
              </w:rPr>
            </w:pPr>
          </w:p>
          <w:p w14:paraId="26E6CD2D" w14:textId="77777777" w:rsidR="001D05E2" w:rsidRPr="00234CFB" w:rsidRDefault="001D05E2" w:rsidP="001D05E2">
            <w:pPr>
              <w:rPr>
                <w:rFonts w:ascii="Times New Roman" w:hAnsi="Times New Roman" w:cs="Times New Roman"/>
                <w:iCs/>
                <w:sz w:val="24"/>
                <w:szCs w:val="24"/>
              </w:rPr>
            </w:pPr>
          </w:p>
          <w:p w14:paraId="7F5A0B27" w14:textId="77777777" w:rsidR="001D05E2" w:rsidRPr="00234CFB" w:rsidRDefault="001D05E2" w:rsidP="001D05E2">
            <w:pPr>
              <w:rPr>
                <w:rFonts w:ascii="Times New Roman" w:hAnsi="Times New Roman" w:cs="Times New Roman"/>
                <w:iCs/>
                <w:sz w:val="24"/>
                <w:szCs w:val="24"/>
              </w:rPr>
            </w:pPr>
            <w:r w:rsidRPr="00234CFB">
              <w:rPr>
                <w:rFonts w:ascii="Times New Roman" w:hAnsi="Times New Roman" w:cs="Times New Roman"/>
                <w:iCs/>
                <w:sz w:val="24"/>
                <w:szCs w:val="24"/>
              </w:rPr>
              <w:t>Estimation Method</w:t>
            </w:r>
          </w:p>
        </w:tc>
        <w:tc>
          <w:tcPr>
            <w:tcW w:w="1094" w:type="dxa"/>
            <w:shd w:val="clear" w:color="auto" w:fill="D9D9D9" w:themeFill="background1" w:themeFillShade="D9"/>
          </w:tcPr>
          <w:p w14:paraId="3C6ACA85" w14:textId="77777777" w:rsidR="001D05E2" w:rsidRPr="00234CFB" w:rsidRDefault="001D05E2" w:rsidP="001D05E2">
            <w:pPr>
              <w:jc w:val="center"/>
              <w:rPr>
                <w:rFonts w:ascii="Times New Roman" w:hAnsi="Times New Roman" w:cs="Times New Roman"/>
                <w:iCs/>
                <w:sz w:val="24"/>
                <w:szCs w:val="24"/>
              </w:rPr>
            </w:pPr>
            <w:r w:rsidRPr="00234CFB">
              <w:rPr>
                <w:rFonts w:ascii="Times New Roman" w:hAnsi="Times New Roman" w:cs="Times New Roman"/>
                <w:iCs/>
                <w:sz w:val="24"/>
                <w:szCs w:val="24"/>
              </w:rPr>
              <w:t>2020 Emissions, Metric Ton Methane</w:t>
            </w:r>
          </w:p>
        </w:tc>
        <w:tc>
          <w:tcPr>
            <w:tcW w:w="1195" w:type="dxa"/>
            <w:shd w:val="clear" w:color="auto" w:fill="D9D9D9" w:themeFill="background1" w:themeFillShade="D9"/>
          </w:tcPr>
          <w:p w14:paraId="67E82F66" w14:textId="77777777" w:rsidR="001D05E2" w:rsidRPr="00234CFB" w:rsidRDefault="001D05E2" w:rsidP="001D05E2">
            <w:pPr>
              <w:jc w:val="center"/>
              <w:rPr>
                <w:rFonts w:ascii="Times New Roman" w:hAnsi="Times New Roman" w:cs="Times New Roman"/>
                <w:iCs/>
                <w:sz w:val="24"/>
                <w:szCs w:val="24"/>
              </w:rPr>
            </w:pPr>
            <w:r w:rsidRPr="00234CFB">
              <w:rPr>
                <w:rFonts w:ascii="Times New Roman" w:hAnsi="Times New Roman" w:cs="Times New Roman"/>
                <w:iCs/>
                <w:sz w:val="24"/>
                <w:szCs w:val="24"/>
              </w:rPr>
              <w:t>2020 as Fraction of 1990</w:t>
            </w:r>
          </w:p>
        </w:tc>
        <w:tc>
          <w:tcPr>
            <w:tcW w:w="1043" w:type="dxa"/>
            <w:shd w:val="clear" w:color="auto" w:fill="D9D9D9" w:themeFill="background1" w:themeFillShade="D9"/>
          </w:tcPr>
          <w:p w14:paraId="516F4926" w14:textId="77777777" w:rsidR="001D05E2" w:rsidRPr="00234CFB" w:rsidRDefault="001D05E2" w:rsidP="001D05E2">
            <w:pPr>
              <w:jc w:val="center"/>
              <w:rPr>
                <w:rFonts w:ascii="Times New Roman" w:hAnsi="Times New Roman" w:cs="Times New Roman"/>
                <w:iCs/>
                <w:sz w:val="24"/>
                <w:szCs w:val="24"/>
              </w:rPr>
            </w:pPr>
            <w:r w:rsidRPr="00234CFB">
              <w:rPr>
                <w:rFonts w:ascii="Times New Roman" w:hAnsi="Times New Roman" w:cs="Times New Roman"/>
                <w:iCs/>
                <w:sz w:val="24"/>
                <w:szCs w:val="24"/>
              </w:rPr>
              <w:t>2020 as</w:t>
            </w:r>
          </w:p>
          <w:p w14:paraId="355622A1" w14:textId="77777777" w:rsidR="001D05E2" w:rsidRPr="00234CFB" w:rsidRDefault="001D05E2" w:rsidP="001D05E2">
            <w:pPr>
              <w:jc w:val="center"/>
              <w:rPr>
                <w:rFonts w:ascii="Times New Roman" w:hAnsi="Times New Roman" w:cs="Times New Roman"/>
                <w:iCs/>
                <w:sz w:val="24"/>
                <w:szCs w:val="24"/>
              </w:rPr>
            </w:pPr>
            <w:r w:rsidRPr="00234CFB">
              <w:rPr>
                <w:rFonts w:ascii="Times New Roman" w:hAnsi="Times New Roman" w:cs="Times New Roman"/>
                <w:iCs/>
                <w:sz w:val="24"/>
                <w:szCs w:val="24"/>
              </w:rPr>
              <w:t>Fraction of 2005</w:t>
            </w:r>
          </w:p>
          <w:p w14:paraId="447B3C93" w14:textId="77777777" w:rsidR="001D05E2" w:rsidRPr="00234CFB" w:rsidRDefault="001D05E2" w:rsidP="001D05E2">
            <w:pPr>
              <w:jc w:val="center"/>
              <w:rPr>
                <w:rFonts w:ascii="Times New Roman" w:hAnsi="Times New Roman" w:cs="Times New Roman"/>
                <w:iCs/>
                <w:sz w:val="24"/>
                <w:szCs w:val="24"/>
              </w:rPr>
            </w:pPr>
          </w:p>
        </w:tc>
      </w:tr>
      <w:tr w:rsidR="001D05E2" w:rsidRPr="00234CFB" w14:paraId="6754937C" w14:textId="77777777" w:rsidTr="0008489A">
        <w:trPr>
          <w:trHeight w:val="432"/>
          <w:jc w:val="center"/>
        </w:trPr>
        <w:tc>
          <w:tcPr>
            <w:tcW w:w="5658" w:type="dxa"/>
          </w:tcPr>
          <w:p w14:paraId="2966A77D" w14:textId="77777777" w:rsidR="001D05E2" w:rsidRPr="00234CFB" w:rsidRDefault="001D05E2" w:rsidP="0008489A">
            <w:pPr>
              <w:spacing w:line="276" w:lineRule="auto"/>
              <w:rPr>
                <w:rFonts w:ascii="Times New Roman" w:hAnsi="Times New Roman" w:cs="Times New Roman"/>
                <w:iCs/>
                <w:sz w:val="24"/>
                <w:szCs w:val="24"/>
              </w:rPr>
            </w:pPr>
            <w:r w:rsidRPr="00234CFB">
              <w:rPr>
                <w:rFonts w:ascii="Times New Roman" w:hAnsi="Times New Roman" w:cs="Times New Roman"/>
                <w:iCs/>
                <w:sz w:val="24"/>
                <w:szCs w:val="24"/>
              </w:rPr>
              <w:t>Allocate industrial landfill emissions in US EPA’s 2020 inventory report (1991 values used for 1990)</w:t>
            </w:r>
          </w:p>
        </w:tc>
        <w:tc>
          <w:tcPr>
            <w:tcW w:w="1094" w:type="dxa"/>
          </w:tcPr>
          <w:p w14:paraId="623430F6"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355,000</w:t>
            </w:r>
          </w:p>
        </w:tc>
        <w:tc>
          <w:tcPr>
            <w:tcW w:w="1195" w:type="dxa"/>
          </w:tcPr>
          <w:p w14:paraId="0747434F"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1.23</w:t>
            </w:r>
          </w:p>
        </w:tc>
        <w:tc>
          <w:tcPr>
            <w:tcW w:w="1043" w:type="dxa"/>
          </w:tcPr>
          <w:p w14:paraId="53EDDD6D"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0.98</w:t>
            </w:r>
          </w:p>
        </w:tc>
      </w:tr>
      <w:tr w:rsidR="001D05E2" w:rsidRPr="00234CFB" w14:paraId="4760C2F1" w14:textId="77777777" w:rsidTr="0008489A">
        <w:trPr>
          <w:trHeight w:val="432"/>
          <w:jc w:val="center"/>
        </w:trPr>
        <w:tc>
          <w:tcPr>
            <w:tcW w:w="5658" w:type="dxa"/>
          </w:tcPr>
          <w:p w14:paraId="32AAE3AD" w14:textId="77777777" w:rsidR="001D05E2" w:rsidRPr="00234CFB" w:rsidRDefault="001D05E2" w:rsidP="0008489A">
            <w:pPr>
              <w:spacing w:line="276" w:lineRule="auto"/>
              <w:rPr>
                <w:rFonts w:ascii="Times New Roman" w:hAnsi="Times New Roman" w:cs="Times New Roman"/>
                <w:iCs/>
                <w:sz w:val="24"/>
                <w:szCs w:val="24"/>
              </w:rPr>
            </w:pPr>
            <w:r w:rsidRPr="00234CFB">
              <w:rPr>
                <w:rFonts w:ascii="Times New Roman" w:hAnsi="Times New Roman" w:cs="Times New Roman"/>
                <w:iCs/>
                <w:sz w:val="24"/>
                <w:szCs w:val="24"/>
              </w:rPr>
              <w:t xml:space="preserve">This study: modeling using the same parameter values as used in US EPA’s 2020 inventory calculations (DOC = 0.15, </w:t>
            </w:r>
            <w:proofErr w:type="spellStart"/>
            <w:r w:rsidRPr="00234CFB">
              <w:rPr>
                <w:rFonts w:ascii="Times New Roman" w:hAnsi="Times New Roman" w:cs="Times New Roman"/>
                <w:iCs/>
                <w:sz w:val="24"/>
                <w:szCs w:val="24"/>
              </w:rPr>
              <w:t>DOCf</w:t>
            </w:r>
            <w:proofErr w:type="spellEnd"/>
            <w:r w:rsidRPr="00234CFB">
              <w:rPr>
                <w:rFonts w:ascii="Times New Roman" w:hAnsi="Times New Roman" w:cs="Times New Roman"/>
                <w:iCs/>
                <w:sz w:val="24"/>
                <w:szCs w:val="24"/>
              </w:rPr>
              <w:t xml:space="preserve"> = 0.328, k = 0.06)</w:t>
            </w:r>
          </w:p>
        </w:tc>
        <w:tc>
          <w:tcPr>
            <w:tcW w:w="1094" w:type="dxa"/>
          </w:tcPr>
          <w:p w14:paraId="60ED1F57"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158,000</w:t>
            </w:r>
          </w:p>
        </w:tc>
        <w:tc>
          <w:tcPr>
            <w:tcW w:w="1195" w:type="dxa"/>
          </w:tcPr>
          <w:p w14:paraId="03D82EFE"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0.88</w:t>
            </w:r>
          </w:p>
        </w:tc>
        <w:tc>
          <w:tcPr>
            <w:tcW w:w="1043" w:type="dxa"/>
          </w:tcPr>
          <w:p w14:paraId="178F6658"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0.84</w:t>
            </w:r>
          </w:p>
          <w:p w14:paraId="73560DEA" w14:textId="77777777" w:rsidR="001D05E2" w:rsidRPr="00234CFB" w:rsidRDefault="001D05E2" w:rsidP="0008489A">
            <w:pPr>
              <w:spacing w:line="276" w:lineRule="auto"/>
              <w:jc w:val="center"/>
              <w:rPr>
                <w:rFonts w:ascii="Times New Roman" w:hAnsi="Times New Roman" w:cs="Times New Roman"/>
                <w:iCs/>
                <w:sz w:val="24"/>
                <w:szCs w:val="24"/>
              </w:rPr>
            </w:pPr>
          </w:p>
        </w:tc>
      </w:tr>
      <w:tr w:rsidR="001D05E2" w:rsidRPr="00234CFB" w14:paraId="4BB005AE" w14:textId="77777777" w:rsidTr="0008489A">
        <w:trPr>
          <w:trHeight w:val="432"/>
          <w:jc w:val="center"/>
        </w:trPr>
        <w:tc>
          <w:tcPr>
            <w:tcW w:w="5658" w:type="dxa"/>
          </w:tcPr>
          <w:p w14:paraId="662377FB" w14:textId="77777777" w:rsidR="001D05E2" w:rsidRPr="00234CFB" w:rsidRDefault="001D05E2" w:rsidP="0008489A">
            <w:pPr>
              <w:spacing w:line="276" w:lineRule="auto"/>
              <w:rPr>
                <w:rFonts w:ascii="Times New Roman" w:hAnsi="Times New Roman" w:cs="Times New Roman"/>
                <w:iCs/>
                <w:sz w:val="24"/>
                <w:szCs w:val="24"/>
              </w:rPr>
            </w:pPr>
            <w:r w:rsidRPr="00234CFB">
              <w:rPr>
                <w:rFonts w:ascii="Times New Roman" w:hAnsi="Times New Roman" w:cs="Times New Roman"/>
                <w:iCs/>
                <w:sz w:val="24"/>
                <w:szCs w:val="24"/>
              </w:rPr>
              <w:t xml:space="preserve">This study: modeling using the same parameter values as used in the GHGRP program (moderate climate) (DOC = 0.12, </w:t>
            </w:r>
            <w:proofErr w:type="spellStart"/>
            <w:r w:rsidRPr="00234CFB">
              <w:rPr>
                <w:rFonts w:ascii="Times New Roman" w:hAnsi="Times New Roman" w:cs="Times New Roman"/>
                <w:iCs/>
                <w:sz w:val="24"/>
                <w:szCs w:val="24"/>
              </w:rPr>
              <w:t>DOCf</w:t>
            </w:r>
            <w:proofErr w:type="spellEnd"/>
            <w:r w:rsidRPr="00234CFB">
              <w:rPr>
                <w:rFonts w:ascii="Times New Roman" w:hAnsi="Times New Roman" w:cs="Times New Roman"/>
                <w:iCs/>
                <w:sz w:val="24"/>
                <w:szCs w:val="24"/>
              </w:rPr>
              <w:t xml:space="preserve"> = 0.5, k = </w:t>
            </w:r>
            <w:proofErr w:type="gramStart"/>
            <w:r w:rsidRPr="00234CFB">
              <w:rPr>
                <w:rFonts w:ascii="Times New Roman" w:hAnsi="Times New Roman" w:cs="Times New Roman"/>
                <w:iCs/>
                <w:sz w:val="24"/>
                <w:szCs w:val="24"/>
              </w:rPr>
              <w:t>0.04)</w:t>
            </w:r>
            <w:r w:rsidRPr="00234CFB">
              <w:rPr>
                <w:rFonts w:ascii="Times New Roman" w:hAnsi="Times New Roman" w:cs="Times New Roman"/>
                <w:iCs/>
                <w:sz w:val="24"/>
                <w:szCs w:val="24"/>
                <w:vertAlign w:val="superscript"/>
              </w:rPr>
              <w:t>a</w:t>
            </w:r>
            <w:proofErr w:type="gramEnd"/>
          </w:p>
        </w:tc>
        <w:tc>
          <w:tcPr>
            <w:tcW w:w="1094" w:type="dxa"/>
          </w:tcPr>
          <w:p w14:paraId="79BECF9E"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186,000</w:t>
            </w:r>
          </w:p>
        </w:tc>
        <w:tc>
          <w:tcPr>
            <w:tcW w:w="1195" w:type="dxa"/>
          </w:tcPr>
          <w:p w14:paraId="282FCEC5"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1.06</w:t>
            </w:r>
          </w:p>
        </w:tc>
        <w:tc>
          <w:tcPr>
            <w:tcW w:w="1043" w:type="dxa"/>
          </w:tcPr>
          <w:p w14:paraId="4D1C2479" w14:textId="77777777" w:rsidR="001D05E2" w:rsidRPr="00234CFB" w:rsidRDefault="001D05E2" w:rsidP="0008489A">
            <w:pPr>
              <w:spacing w:line="276" w:lineRule="auto"/>
              <w:jc w:val="center"/>
              <w:rPr>
                <w:rFonts w:ascii="Times New Roman" w:hAnsi="Times New Roman" w:cs="Times New Roman"/>
                <w:iCs/>
                <w:sz w:val="24"/>
                <w:szCs w:val="24"/>
              </w:rPr>
            </w:pPr>
            <w:r w:rsidRPr="00234CFB">
              <w:rPr>
                <w:rFonts w:ascii="Times New Roman" w:hAnsi="Times New Roman" w:cs="Times New Roman"/>
                <w:iCs/>
                <w:sz w:val="24"/>
                <w:szCs w:val="24"/>
              </w:rPr>
              <w:t>0.92</w:t>
            </w:r>
          </w:p>
        </w:tc>
      </w:tr>
      <w:tr w:rsidR="001D05E2" w:rsidRPr="00234CFB" w14:paraId="5CCCB8CE" w14:textId="77777777" w:rsidTr="0008489A">
        <w:trPr>
          <w:trHeight w:val="432"/>
          <w:jc w:val="center"/>
        </w:trPr>
        <w:tc>
          <w:tcPr>
            <w:tcW w:w="8990" w:type="dxa"/>
            <w:gridSpan w:val="4"/>
          </w:tcPr>
          <w:p w14:paraId="3AD6C83E" w14:textId="77777777" w:rsidR="001D05E2" w:rsidRPr="00234CFB" w:rsidRDefault="001D05E2" w:rsidP="001D05E2">
            <w:pPr>
              <w:rPr>
                <w:rFonts w:ascii="Times New Roman" w:hAnsi="Times New Roman" w:cs="Times New Roman"/>
                <w:iCs/>
                <w:sz w:val="24"/>
                <w:szCs w:val="24"/>
              </w:rPr>
            </w:pPr>
            <w:proofErr w:type="spellStart"/>
            <w:r w:rsidRPr="00234CFB">
              <w:rPr>
                <w:rFonts w:ascii="Times New Roman" w:hAnsi="Times New Roman" w:cs="Times New Roman"/>
                <w:iCs/>
                <w:sz w:val="24"/>
                <w:szCs w:val="24"/>
                <w:vertAlign w:val="superscript"/>
              </w:rPr>
              <w:t>a</w:t>
            </w:r>
            <w:proofErr w:type="spellEnd"/>
            <w:r w:rsidRPr="00234CFB">
              <w:rPr>
                <w:rFonts w:ascii="Times New Roman" w:hAnsi="Times New Roman" w:cs="Times New Roman"/>
                <w:iCs/>
                <w:sz w:val="24"/>
                <w:szCs w:val="24"/>
              </w:rPr>
              <w:t xml:space="preserve"> </w:t>
            </w:r>
            <w:proofErr w:type="gramStart"/>
            <w:r w:rsidRPr="00234CFB">
              <w:rPr>
                <w:rFonts w:ascii="Times New Roman" w:hAnsi="Times New Roman" w:cs="Times New Roman"/>
                <w:iCs/>
                <w:sz w:val="24"/>
                <w:szCs w:val="24"/>
              </w:rPr>
              <w:t>In</w:t>
            </w:r>
            <w:proofErr w:type="gramEnd"/>
            <w:r w:rsidRPr="00234CFB">
              <w:rPr>
                <w:rFonts w:ascii="Times New Roman" w:hAnsi="Times New Roman" w:cs="Times New Roman"/>
                <w:iCs/>
                <w:sz w:val="24"/>
                <w:szCs w:val="24"/>
              </w:rPr>
              <w:t xml:space="preserve"> this report, when a single estimate is required, these are the results used.</w:t>
            </w:r>
          </w:p>
        </w:tc>
      </w:tr>
    </w:tbl>
    <w:p w14:paraId="34DA9F36" w14:textId="77777777" w:rsidR="001D05E2" w:rsidRPr="001D05E2" w:rsidRDefault="001D05E2" w:rsidP="001D05E2">
      <w:pPr>
        <w:rPr>
          <w:rFonts w:ascii="Times New Roman" w:hAnsi="Times New Roman" w:cs="Times New Roman"/>
        </w:rPr>
      </w:pPr>
    </w:p>
    <w:p w14:paraId="421AB56E"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Pulp and Paper Mill Boiler Ash Estimates</w:t>
      </w:r>
    </w:p>
    <w:p w14:paraId="15AF1C7F" w14:textId="7BBAEB77" w:rsidR="001D05E2" w:rsidRPr="001D05E2" w:rsidRDefault="001D05E2" w:rsidP="001D05E2">
      <w:pPr>
        <w:rPr>
          <w:rFonts w:ascii="Times New Roman" w:hAnsi="Times New Roman" w:cs="Times New Roman"/>
          <w:iCs/>
        </w:rPr>
      </w:pPr>
      <w:r w:rsidRPr="001D05E2">
        <w:rPr>
          <w:rFonts w:ascii="Times New Roman" w:hAnsi="Times New Roman" w:cs="Times New Roman"/>
          <w:iCs/>
        </w:rPr>
        <w:t>Information on the quantities of ash produced by pulp and paper mills has only been collected by NCASI since the mid-1990s</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{"citationID":"ZJcUFr9f","properties":{"formattedCitation":"\\super 33\\nosupersub{}","plainCitation":"33","noteIndex":0},"citationItems":[{"id":75,"uris":["http://zotero.org/users/18184231/items/E2V8HSE8"],"itemData":{"id":75,"type":"report","event-place":"Cary, NC","publisher":"NCASI","publisher-place":"Cary, NC","title":"Unpublished survey data on solid waste generation rates","author":[{"family":"NCASI","given":""}],"issued":{"date-parts":[["2025"]]}}}],"schema":"https://github.com/citation-style-language/schema/raw/master/csl-citation.json"}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33</w:t>
      </w:r>
      <w:r w:rsidRPr="001D05E2">
        <w:rPr>
          <w:rFonts w:ascii="Times New Roman" w:hAnsi="Times New Roman" w:cs="Times New Roman"/>
          <w:iCs/>
        </w:rPr>
        <w:fldChar w:fldCharType="end"/>
      </w:r>
      <w:r w:rsidRPr="001D05E2">
        <w:rPr>
          <w:rFonts w:ascii="Times New Roman" w:hAnsi="Times New Roman" w:cs="Times New Roman"/>
          <w:iCs/>
        </w:rPr>
        <w:t>. These survey data indicate that from the mid-1990s until approximately 2010, ash generation rates remained relatively constant, averaging 56.55 kg per metric ton. Starting in approximately 2010, however, ash production began dropping significantly so that in 2020 the generation rate was 25.3 kg per metric ton. This trend is primarily the result of industry’s reduced reliance on coal for energy. The US Department of Energy (DOE) MECS survey, for instance, indicates that the pulp and paper industry (NAICS 322) reduced coal consumption from 8 million metric tons in 2010 to 2.7 million metric tons in 2018</w:t>
      </w:r>
      <w:r w:rsidRPr="001D05E2">
        <w:rPr>
          <w:rFonts w:ascii="Times New Roman" w:hAnsi="Times New Roman" w:cs="Times New Roman"/>
          <w:iCs/>
        </w:rPr>
        <w:fldChar w:fldCharType="begin"/>
      </w:r>
      <w:r w:rsidR="00CA0CAA">
        <w:rPr>
          <w:rFonts w:ascii="Times New Roman" w:hAnsi="Times New Roman" w:cs="Times New Roman"/>
          <w:iCs/>
        </w:rPr>
        <w:instrText xml:space="preserve"> ADDIN ZOTERO_ITEM CSL_CITATION {"citationID":"HC7cbith","properties":{"formattedCitation":"\\super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sidRPr="001D05E2">
        <w:rPr>
          <w:rFonts w:ascii="Times New Roman" w:hAnsi="Times New Roman" w:cs="Times New Roman"/>
          <w:iCs/>
        </w:rPr>
        <w:fldChar w:fldCharType="separate"/>
      </w:r>
      <w:r w:rsidR="00CA0CAA" w:rsidRPr="00CA0CAA">
        <w:rPr>
          <w:rFonts w:ascii="Times New Roman" w:hAnsi="Times New Roman" w:cs="Times New Roman"/>
          <w:kern w:val="0"/>
          <w:vertAlign w:val="superscript"/>
        </w:rPr>
        <w:t>15</w:t>
      </w:r>
      <w:r w:rsidRPr="001D05E2">
        <w:rPr>
          <w:rFonts w:ascii="Times New Roman" w:hAnsi="Times New Roman" w:cs="Times New Roman"/>
          <w:iCs/>
        </w:rPr>
        <w:fldChar w:fldCharType="end"/>
      </w:r>
      <w:r w:rsidRPr="001D05E2">
        <w:rPr>
          <w:rFonts w:ascii="Times New Roman" w:hAnsi="Times New Roman" w:cs="Times New Roman"/>
          <w:iCs/>
        </w:rPr>
        <w:t>.</w:t>
      </w:r>
    </w:p>
    <w:p w14:paraId="79E4FE50" w14:textId="3A1F3B91" w:rsidR="001D05E2" w:rsidRPr="001D05E2" w:rsidRDefault="001D05E2" w:rsidP="001D05E2">
      <w:pPr>
        <w:rPr>
          <w:rFonts w:ascii="Times New Roman" w:hAnsi="Times New Roman" w:cs="Times New Roman"/>
        </w:rPr>
      </w:pPr>
      <w:r w:rsidRPr="001D05E2">
        <w:rPr>
          <w:rFonts w:ascii="Times New Roman" w:hAnsi="Times New Roman" w:cs="Times New Roman"/>
          <w:iCs/>
        </w:rPr>
        <w:t xml:space="preserve">For this study, it was assumed that from 1960 until 2010, ash was produced at a rate of 56.55 kg per metric and from then until 2020, the rate declined according to NCASI’s </w:t>
      </w:r>
      <w:proofErr w:type="gramStart"/>
      <w:r w:rsidRPr="001D05E2">
        <w:rPr>
          <w:rFonts w:ascii="Times New Roman" w:hAnsi="Times New Roman" w:cs="Times New Roman"/>
          <w:iCs/>
        </w:rPr>
        <w:t>semiannual</w:t>
      </w:r>
      <w:proofErr w:type="gramEnd"/>
      <w:r w:rsidRPr="001D05E2">
        <w:rPr>
          <w:rFonts w:ascii="Times New Roman" w:hAnsi="Times New Roman" w:cs="Times New Roman"/>
          <w:iCs/>
        </w:rPr>
        <w:t xml:space="preserve"> survey data until it reached 25.3 kg per metric ton in 2020. NCASI published information indicates that the fraction landfilled was 84%, 72%, and 75% in 1988, 1995, and 2016, respectively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{"citationID":"nT4I0WZ5","properties":{"formattedCitation":"\\super 31,32,34\\nosupersub{}","plainCitation":"31,32,34","noteIndex":0},"citationItems":[{"id":78,"uris":["http://zotero.org/users/18184231/items/VGD5UWTS"],"itemData":{"id":78,"type":"report","event-place":"Cary,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Industry","author":[{"family":"NCASI","given":""}],"issued":{"date-parts":[["2019"]]}}},{"id":83,"uris":["http://zotero.org/users/18184231/items/5BGCHVGQ"],"itemData":{"id":83,"type":"report","event-place":"Cary, NC","number":"Technical Bulletin 793","publisher":"NCASI","publisher-place":"Cary, NC","title":"Solid Waste Management and Disposal Practices in the US Paper Industry−1995","author":[{"family":"NCASI","given":""}],"issued":{"date-parts":[["1999"]]}}},{"id":82,"uris":["http://zotero.org/users/18184231/items/QEQ2SITC"],"itemData":{"id":82,"type":"report","event-place":"Cary, NC","number":"Technical Bulletin 641","publisher":"NCASI","publisher-place":"Cary, NC","title":"Solid Waste Management and Disposal Practices in the US Paper Industry","author":[{"family":"NCASI","given":""}],"issued":{"date-parts":[["1992"]]}}}],"schema":"https://github.com/citation-style-language/schema/raw/master/csl-citation.json"}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31,32,34</w:t>
      </w:r>
      <w:r w:rsidRPr="001D05E2">
        <w:rPr>
          <w:rFonts w:ascii="Times New Roman" w:hAnsi="Times New Roman" w:cs="Times New Roman"/>
          <w:iCs/>
        </w:rPr>
        <w:fldChar w:fldCharType="end"/>
      </w:r>
      <w:r w:rsidRPr="001D05E2">
        <w:rPr>
          <w:rFonts w:ascii="Times New Roman" w:hAnsi="Times New Roman" w:cs="Times New Roman"/>
          <w:iCs/>
        </w:rPr>
        <w:t xml:space="preserve">. </w:t>
      </w:r>
      <w:r w:rsidRPr="001D05E2">
        <w:rPr>
          <w:rFonts w:ascii="Times New Roman" w:hAnsi="Times New Roman" w:cs="Times New Roman"/>
          <w:iCs/>
        </w:rPr>
        <w:lastRenderedPageBreak/>
        <w:t xml:space="preserve">Based on the survey data, however, it is impossible to know the extent to which these values include ash that is comingled with WWTR. For the calculations here, it is assumed that ash is managed separately from WWTR. To the extent this assumption is incorrect, it would result in double counting emissions from ash, making it a conservative approach. The landfilling rates between 1988 and 2016 were interpolated. The value for 1988 was extended back to 1960, while the 2016 value was extended forward to 2020. </w:t>
      </w:r>
      <w:r w:rsidRPr="001D05E2">
        <w:rPr>
          <w:rFonts w:ascii="Times New Roman" w:hAnsi="Times New Roman" w:cs="Times New Roman"/>
        </w:rPr>
        <w:t>Generation rates were multiplied by annual production of paper, paperboard, and market pulp</w:t>
      </w:r>
      <w:r w:rsidRPr="001D05E2">
        <w:rPr>
          <w:rFonts w:ascii="Times New Roman" w:hAnsi="Times New Roman" w:cs="Times New Roman"/>
        </w:rPr>
        <w:fldChar w:fldCharType="begin"/>
      </w:r>
      <w:r w:rsidR="00092B8E">
        <w:rPr>
          <w:rFonts w:ascii="Times New Roman" w:hAnsi="Times New Roman" w:cs="Times New Roman"/>
        </w:rPr>
        <w:instrText xml:space="preserve"> ADDIN ZOTERO_ITEM CSL_CITATION {"citationID":"22x0pPjc","properties":{"formattedCitation":"\\super 17,19\\nosupersub{}","plainCitation":"17,19","noteIndex":0},"citationItems":[{"id":51,"uris":["http://zotero.org/users/local/T7KBDEDi/items/UGVE2HUQ","http://zotero.org/users/18184231/items/UGVE2HUQ"],"itemData":{"id":51,"type":"report","publisher":"AF&amp;PA (American Forest and Paper Association), Washington D.C","title":"2019 Statistics, Paper, Paperboard &amp; Pulp","author":[{"family":"American Forest and Paper Association (AF&amp;PA)","given":""}],"issued":{"date-parts":[["2020"]]}}},{"id":41,"uris":["http://zotero.org/users/local/T7KBDEDi/items/GHF986PY","http://zotero.org/users/18184231/items/GHF986PY"],"itemData":{"id":41,"type":"report","publisher":"AF&amp;PA (American Forest and Paper Association), Washington D.C","title":"2020 Statistics, Paper, Paperboard &amp; Pulp","author":[{"family":"American Forest and Paper Association (AF&amp;PA)","given":""}],"issued":{"date-parts":[["2021"]]}}}],"schema":"https://github.com/citation-style-language/schema/raw/master/csl-citation.json"}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17,19</w:t>
      </w:r>
      <w:r w:rsidRPr="001D05E2">
        <w:rPr>
          <w:rFonts w:ascii="Times New Roman" w:hAnsi="Times New Roman" w:cs="Times New Roman"/>
        </w:rPr>
        <w:fldChar w:fldCharType="end"/>
      </w:r>
      <w:r w:rsidRPr="001D05E2">
        <w:rPr>
          <w:rFonts w:ascii="Times New Roman" w:hAnsi="Times New Roman" w:cs="Times New Roman"/>
        </w:rPr>
        <w:t xml:space="preserve"> to derive estimates of metric tons of ash each year from 1960 to 2020. The default parameter values used in the GHGRP to model methane emissions from boiler ash landfills are shown in Table </w:t>
      </w:r>
      <w:r w:rsidR="00A86F7E">
        <w:rPr>
          <w:rFonts w:ascii="Times New Roman" w:hAnsi="Times New Roman" w:cs="Times New Roman"/>
        </w:rPr>
        <w:t>S31</w:t>
      </w:r>
      <w:r w:rsidRPr="001D05E2">
        <w:rPr>
          <w:rFonts w:ascii="Times New Roman" w:hAnsi="Times New Roman" w:cs="Times New Roman"/>
        </w:rPr>
        <w:t>.</w:t>
      </w:r>
    </w:p>
    <w:p w14:paraId="6E07A516" w14:textId="77777777" w:rsidR="001D05E2" w:rsidRPr="001D05E2" w:rsidRDefault="001D05E2" w:rsidP="001D05E2">
      <w:pPr>
        <w:rPr>
          <w:rFonts w:ascii="Times New Roman" w:hAnsi="Times New Roman" w:cs="Times New Roman"/>
        </w:rPr>
      </w:pPr>
    </w:p>
    <w:p w14:paraId="365536FA" w14:textId="711D62A8" w:rsidR="001D05E2" w:rsidRPr="001D05E2" w:rsidRDefault="001D05E2" w:rsidP="001D05E2">
      <w:pPr>
        <w:rPr>
          <w:rFonts w:ascii="Times New Roman" w:hAnsi="Times New Roman" w:cs="Times New Roman"/>
        </w:rPr>
      </w:pPr>
      <w:r w:rsidRPr="00A86F7E">
        <w:rPr>
          <w:rFonts w:ascii="Times New Roman" w:hAnsi="Times New Roman" w:cs="Times New Roman"/>
          <w:b/>
          <w:bCs/>
        </w:rPr>
        <w:t xml:space="preserve">Table </w:t>
      </w:r>
      <w:r w:rsidR="00A86F7E" w:rsidRPr="00A86F7E">
        <w:rPr>
          <w:rFonts w:ascii="Times New Roman" w:hAnsi="Times New Roman" w:cs="Times New Roman"/>
          <w:b/>
          <w:bCs/>
        </w:rPr>
        <w:t>S31</w:t>
      </w:r>
      <w:r w:rsidRPr="00A86F7E">
        <w:rPr>
          <w:rFonts w:ascii="Times New Roman" w:hAnsi="Times New Roman" w:cs="Times New Roman"/>
          <w:b/>
          <w:bCs/>
        </w:rPr>
        <w:t>.</w:t>
      </w:r>
      <w:r w:rsidRPr="001D05E2">
        <w:rPr>
          <w:rFonts w:ascii="Times New Roman" w:hAnsi="Times New Roman" w:cs="Times New Roman"/>
        </w:rPr>
        <w:t xml:space="preserve"> Pulp and Paper Mill Boiler Ash Parameter Values for First Order Decay Model</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1345"/>
        <w:gridCol w:w="2700"/>
        <w:gridCol w:w="2700"/>
      </w:tblGrid>
      <w:tr w:rsidR="001D05E2" w:rsidRPr="001D05E2" w14:paraId="10AA4EA3" w14:textId="77777777" w:rsidTr="00360B83">
        <w:trPr>
          <w:jc w:val="center"/>
        </w:trPr>
        <w:tc>
          <w:tcPr>
            <w:tcW w:w="1345" w:type="dxa"/>
            <w:shd w:val="clear" w:color="auto" w:fill="D9D9D9" w:themeFill="background1" w:themeFillShade="D9"/>
          </w:tcPr>
          <w:p w14:paraId="7E2AE39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Parameter</w:t>
            </w:r>
          </w:p>
        </w:tc>
        <w:tc>
          <w:tcPr>
            <w:tcW w:w="2700" w:type="dxa"/>
            <w:shd w:val="clear" w:color="auto" w:fill="D9D9D9" w:themeFill="background1" w:themeFillShade="D9"/>
          </w:tcPr>
          <w:p w14:paraId="4E692E3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Units</w:t>
            </w:r>
          </w:p>
        </w:tc>
        <w:tc>
          <w:tcPr>
            <w:tcW w:w="2700" w:type="dxa"/>
            <w:shd w:val="clear" w:color="auto" w:fill="D9D9D9" w:themeFill="background1" w:themeFillShade="D9"/>
          </w:tcPr>
          <w:p w14:paraId="341E7CE6" w14:textId="3FC51DFD" w:rsidR="001D05E2" w:rsidRPr="001D05E2" w:rsidRDefault="001D05E2" w:rsidP="001D05E2">
            <w:pPr>
              <w:jc w:val="center"/>
              <w:rPr>
                <w:rFonts w:ascii="Times New Roman" w:hAnsi="Times New Roman" w:cs="Times New Roman"/>
              </w:rPr>
            </w:pPr>
            <w:r w:rsidRPr="001D05E2">
              <w:rPr>
                <w:rFonts w:ascii="Times New Roman" w:hAnsi="Times New Roman" w:cs="Times New Roman"/>
              </w:rPr>
              <w:t>GHGRP, Subpart TT</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{"citationID":"Nspedeuc","properties":{"formattedCitation":"\\super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p>
        </w:tc>
      </w:tr>
      <w:tr w:rsidR="001D05E2" w:rsidRPr="001D05E2" w14:paraId="0458758B" w14:textId="77777777" w:rsidTr="00360B83">
        <w:trPr>
          <w:jc w:val="center"/>
        </w:trPr>
        <w:tc>
          <w:tcPr>
            <w:tcW w:w="1345" w:type="dxa"/>
          </w:tcPr>
          <w:p w14:paraId="709776D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DOC</w:t>
            </w:r>
          </w:p>
        </w:tc>
        <w:tc>
          <w:tcPr>
            <w:tcW w:w="2700" w:type="dxa"/>
          </w:tcPr>
          <w:p w14:paraId="7DB6F5B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kg organic C/kg wet waste</w:t>
            </w:r>
          </w:p>
        </w:tc>
        <w:tc>
          <w:tcPr>
            <w:tcW w:w="2700" w:type="dxa"/>
          </w:tcPr>
          <w:p w14:paraId="6EFD3EA0"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0.06</w:t>
            </w:r>
          </w:p>
        </w:tc>
      </w:tr>
      <w:tr w:rsidR="001D05E2" w:rsidRPr="001D05E2" w14:paraId="258A0A6C" w14:textId="77777777" w:rsidTr="00360B83">
        <w:trPr>
          <w:jc w:val="center"/>
        </w:trPr>
        <w:tc>
          <w:tcPr>
            <w:tcW w:w="1345" w:type="dxa"/>
          </w:tcPr>
          <w:p w14:paraId="50A1FAE2" w14:textId="77777777" w:rsidR="001D05E2" w:rsidRPr="001D05E2" w:rsidRDefault="001D05E2" w:rsidP="001D05E2">
            <w:pPr>
              <w:rPr>
                <w:rFonts w:ascii="Times New Roman" w:hAnsi="Times New Roman" w:cs="Times New Roman"/>
              </w:rPr>
            </w:pPr>
            <w:proofErr w:type="spellStart"/>
            <w:r w:rsidRPr="001D05E2">
              <w:rPr>
                <w:rFonts w:ascii="Times New Roman" w:hAnsi="Times New Roman" w:cs="Times New Roman"/>
              </w:rPr>
              <w:t>DOCf</w:t>
            </w:r>
            <w:proofErr w:type="spellEnd"/>
          </w:p>
        </w:tc>
        <w:tc>
          <w:tcPr>
            <w:tcW w:w="2700" w:type="dxa"/>
          </w:tcPr>
          <w:p w14:paraId="7122A27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DOC that will degrade in landfill</w:t>
            </w:r>
          </w:p>
        </w:tc>
        <w:tc>
          <w:tcPr>
            <w:tcW w:w="2700" w:type="dxa"/>
          </w:tcPr>
          <w:p w14:paraId="58BEA9EF"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0.5</w:t>
            </w:r>
          </w:p>
        </w:tc>
      </w:tr>
      <w:tr w:rsidR="001D05E2" w:rsidRPr="001D05E2" w14:paraId="76AE2508" w14:textId="77777777" w:rsidTr="00360B83">
        <w:trPr>
          <w:jc w:val="center"/>
        </w:trPr>
        <w:tc>
          <w:tcPr>
            <w:tcW w:w="1345" w:type="dxa"/>
          </w:tcPr>
          <w:p w14:paraId="3BBE877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k </w:t>
            </w:r>
          </w:p>
        </w:tc>
        <w:tc>
          <w:tcPr>
            <w:tcW w:w="2700" w:type="dxa"/>
          </w:tcPr>
          <w:p w14:paraId="1760670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yr</w:t>
            </w:r>
            <w:r w:rsidRPr="001D05E2">
              <w:rPr>
                <w:rFonts w:ascii="Times New Roman" w:hAnsi="Times New Roman" w:cs="Times New Roman"/>
                <w:vertAlign w:val="superscript"/>
              </w:rPr>
              <w:t>-1</w:t>
            </w:r>
          </w:p>
        </w:tc>
        <w:tc>
          <w:tcPr>
            <w:tcW w:w="2700" w:type="dxa"/>
          </w:tcPr>
          <w:p w14:paraId="685C6BBA"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0.02 (dry climate)</w:t>
            </w:r>
          </w:p>
          <w:p w14:paraId="3C9D9AA8"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0.03 (moderate climate)</w:t>
            </w:r>
          </w:p>
          <w:p w14:paraId="054301F1"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0.04 (wet climate)</w:t>
            </w:r>
          </w:p>
        </w:tc>
      </w:tr>
      <w:tr w:rsidR="001D05E2" w:rsidRPr="001D05E2" w14:paraId="469492EA" w14:textId="77777777" w:rsidTr="00360B83">
        <w:trPr>
          <w:jc w:val="center"/>
        </w:trPr>
        <w:tc>
          <w:tcPr>
            <w:tcW w:w="1345" w:type="dxa"/>
          </w:tcPr>
          <w:p w14:paraId="11CFA3BD"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MCF</w:t>
            </w:r>
          </w:p>
        </w:tc>
        <w:tc>
          <w:tcPr>
            <w:tcW w:w="2700" w:type="dxa"/>
          </w:tcPr>
          <w:p w14:paraId="65C938A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degradable carbon that is subject to anaerobic conditions</w:t>
            </w:r>
          </w:p>
        </w:tc>
        <w:tc>
          <w:tcPr>
            <w:tcW w:w="2700" w:type="dxa"/>
          </w:tcPr>
          <w:p w14:paraId="738EC125"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w:t>
            </w:r>
          </w:p>
        </w:tc>
      </w:tr>
      <w:tr w:rsidR="001D05E2" w:rsidRPr="001D05E2" w14:paraId="6FC4B799" w14:textId="77777777" w:rsidTr="00360B83">
        <w:trPr>
          <w:jc w:val="center"/>
        </w:trPr>
        <w:tc>
          <w:tcPr>
            <w:tcW w:w="1345" w:type="dxa"/>
          </w:tcPr>
          <w:p w14:paraId="4CD4F93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w:t>
            </w:r>
          </w:p>
        </w:tc>
        <w:tc>
          <w:tcPr>
            <w:tcW w:w="2700" w:type="dxa"/>
          </w:tcPr>
          <w:p w14:paraId="2168B30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by volume of CH</w:t>
            </w:r>
            <w:r w:rsidRPr="001D05E2">
              <w:rPr>
                <w:rFonts w:ascii="Times New Roman" w:hAnsi="Times New Roman" w:cs="Times New Roman"/>
                <w:vertAlign w:val="subscript"/>
              </w:rPr>
              <w:t>4</w:t>
            </w:r>
            <w:r w:rsidRPr="001D05E2">
              <w:rPr>
                <w:rFonts w:ascii="Times New Roman" w:hAnsi="Times New Roman" w:cs="Times New Roman"/>
              </w:rPr>
              <w:t xml:space="preserve"> in landfill gas, as generated</w:t>
            </w:r>
          </w:p>
        </w:tc>
        <w:tc>
          <w:tcPr>
            <w:tcW w:w="2700" w:type="dxa"/>
          </w:tcPr>
          <w:p w14:paraId="48A7FDE9"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0.5</w:t>
            </w:r>
          </w:p>
        </w:tc>
      </w:tr>
      <w:tr w:rsidR="001D05E2" w:rsidRPr="001D05E2" w14:paraId="7C4AD1A2" w14:textId="77777777" w:rsidTr="00360B83">
        <w:trPr>
          <w:jc w:val="center"/>
        </w:trPr>
        <w:tc>
          <w:tcPr>
            <w:tcW w:w="1345" w:type="dxa"/>
          </w:tcPr>
          <w:p w14:paraId="68C44E4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OX</w:t>
            </w:r>
          </w:p>
        </w:tc>
        <w:tc>
          <w:tcPr>
            <w:tcW w:w="2700" w:type="dxa"/>
          </w:tcPr>
          <w:p w14:paraId="4DFB268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CH</w:t>
            </w:r>
            <w:r w:rsidRPr="001D05E2">
              <w:rPr>
                <w:rFonts w:ascii="Times New Roman" w:hAnsi="Times New Roman" w:cs="Times New Roman"/>
                <w:vertAlign w:val="subscript"/>
              </w:rPr>
              <w:t>4</w:t>
            </w:r>
            <w:r w:rsidRPr="001D05E2">
              <w:rPr>
                <w:rFonts w:ascii="Times New Roman" w:hAnsi="Times New Roman" w:cs="Times New Roman"/>
              </w:rPr>
              <w:t xml:space="preserve"> that is oxidized before it is released to the atmosphere</w:t>
            </w:r>
          </w:p>
        </w:tc>
        <w:tc>
          <w:tcPr>
            <w:tcW w:w="2700" w:type="dxa"/>
          </w:tcPr>
          <w:p w14:paraId="3702AA44"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0.1 (values ranging from 0.0 to 0.35 are listed with the choice depending on site-specific circumstances)</w:t>
            </w:r>
          </w:p>
        </w:tc>
      </w:tr>
    </w:tbl>
    <w:p w14:paraId="5D59395F" w14:textId="77777777" w:rsidR="001D05E2" w:rsidRPr="001D05E2" w:rsidRDefault="001D05E2" w:rsidP="001D05E2">
      <w:pPr>
        <w:rPr>
          <w:rFonts w:ascii="Times New Roman" w:hAnsi="Times New Roman" w:cs="Times New Roman"/>
        </w:rPr>
      </w:pPr>
    </w:p>
    <w:p w14:paraId="42FAE5BA" w14:textId="324126D6"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DOC values in the GHGRP Subpart TT rules are on a wet weight basis. Generation rates, however, are on a dry weight basis, requiring a factor to convert to as-disposed wet weight. Data </w:t>
      </w:r>
      <w:proofErr w:type="gramStart"/>
      <w:r w:rsidRPr="001D05E2">
        <w:rPr>
          <w:rFonts w:ascii="Times New Roman" w:hAnsi="Times New Roman" w:cs="Times New Roman"/>
          <w:iCs/>
        </w:rPr>
        <w:t>are</w:t>
      </w:r>
      <w:proofErr w:type="gramEnd"/>
      <w:r w:rsidRPr="001D05E2">
        <w:rPr>
          <w:rFonts w:ascii="Times New Roman" w:hAnsi="Times New Roman" w:cs="Times New Roman"/>
          <w:iCs/>
        </w:rPr>
        <w:t xml:space="preserve"> not available on the solids content of boiler ash disposed in pulp and paper industry landfills. Ash management methods in 1995, however, have been documented by NCASI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{"citationID":"rRAeigPg","properties":{"formattedCitation":"\\super 32\\nosupersub{}","plainCitation":"32","noteIndex":0},"citationItems":[{"id":83,"uris":["http://zotero.org/users/18184231/items/5BGCHVGQ"],"itemData":{"id":83,"type":"report","event-place":"Cary, NC","number":"Technical Bulletin 793","publisher":"NCASI","publisher-place":"Cary, NC","title":"Solid Waste Management and Disposal Practices in the US Paper Industry−1995","author":[{"family":"NCASI","given":""}],"issued":{"date-parts":[["1999"]]}}}],"schema":"https://github.com/citation-style-language/schema/raw/master/csl-citation.json"}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32</w:t>
      </w:r>
      <w:r w:rsidRPr="001D05E2">
        <w:rPr>
          <w:rFonts w:ascii="Times New Roman" w:hAnsi="Times New Roman" w:cs="Times New Roman"/>
          <w:iCs/>
        </w:rPr>
        <w:fldChar w:fldCharType="end"/>
      </w:r>
      <w:r w:rsidRPr="001D05E2">
        <w:rPr>
          <w:rFonts w:ascii="Times New Roman" w:hAnsi="Times New Roman" w:cs="Times New Roman"/>
          <w:iCs/>
        </w:rPr>
        <w:t xml:space="preserve">. NCASI collected 1995 data from 145 mills producing boiler ash. Forty-two of the mills indicated having a dewatering method for ash. Most of these were gravity drainage systems, such as drainage pads and settling ponds. Six respondents reported using mechanical dewatering devices. This information was used to infer that 71% (i.e., 103/145) of ash was handled and disposed of in a 100% dry state, 25% (i.e., 36/145) was dewatered using gravity systems like settling ponds, and 4% (i.e., 6/145) was dewatered mechanically. For this analysis, mechanical dewatering is assumed to produce a dewatered product at 90% solids (wet weight basis). A solids content of 60% (wet basis) was used to represent a reasonable value for dredged ash as landfilled, representing the remaining wet ash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{"citationID":"Uta13Ntx","properties":{"formattedCitation":"\\super 35\\nosupersub{}","plainCitation":"35","noteIndex":0},"citationItems":[{"id":38,"uris":["http://zotero.org/users/18184231/items/NKYLFKY8"],"itemData":{"id":38,"type":"report","collection-title":"Research Project 1404-1","number":"FP-1257","title":"Coal Ash Disposal Manual","URL":"https://doi.org/10.2172/5310803","author":[{"family":"Electric Power Research Institute (EPRI)","given":""}],"issued":{"date-parts":[["1979"]]}}}],"schema":"https://github.com/citation-style-language/schema/raw/master/csl-citation.json"}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35</w:t>
      </w:r>
      <w:r w:rsidRPr="001D05E2">
        <w:rPr>
          <w:rFonts w:ascii="Times New Roman" w:hAnsi="Times New Roman" w:cs="Times New Roman"/>
          <w:iCs/>
        </w:rPr>
        <w:fldChar w:fldCharType="end"/>
      </w:r>
      <w:r w:rsidRPr="001D05E2">
        <w:rPr>
          <w:rFonts w:ascii="Times New Roman" w:hAnsi="Times New Roman" w:cs="Times New Roman"/>
          <w:iCs/>
        </w:rPr>
        <w:t xml:space="preserve">. The weighted average solids content of ash disposed by </w:t>
      </w:r>
      <w:r w:rsidRPr="001D05E2">
        <w:rPr>
          <w:rFonts w:ascii="Times New Roman" w:hAnsi="Times New Roman" w:cs="Times New Roman"/>
          <w:iCs/>
        </w:rPr>
        <w:lastRenderedPageBreak/>
        <w:t xml:space="preserve">the industry is therefore calculated to be 90% (wet basis) in 1995. The survey was repeated in 2016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{"citationID":"gAeyWfWy","properties":{"formattedCitation":"\\super 31\\nosupersub{}","plainCitation":"31","noteIndex":0},"citationItems":[{"id":78,"uris":["http://zotero.org/users/18184231/items/VGD5UWTS"],"itemData":{"id":78,"type":"report","event-place":"Cary,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31</w:t>
      </w:r>
      <w:r w:rsidRPr="001D05E2">
        <w:rPr>
          <w:rFonts w:ascii="Times New Roman" w:hAnsi="Times New Roman" w:cs="Times New Roman"/>
          <w:iCs/>
        </w:rPr>
        <w:fldChar w:fldCharType="end"/>
      </w:r>
      <w:r w:rsidRPr="001D05E2">
        <w:rPr>
          <w:rFonts w:ascii="Times New Roman" w:hAnsi="Times New Roman" w:cs="Times New Roman"/>
          <w:iCs/>
        </w:rPr>
        <w:t xml:space="preserve">, but the results on ash management were not published. Using the same approach, however, the unpublished data for 2016 yield a weighted average solids content of disposed ash of 98%. The higher solids content reflects reduced reliance on wet scrubbing systems for particulate control on power boilers. For these calculations, it was assumed that in 1960 all ash was dewatered in ponds to 60%. The solids content used to convert the GHGRP wet basis DOC to a dry basis started at 60% in 1960, increased linearly to 90% in 1995, and again increased linearly to 98% in 2016, where it is estimated to have remained. </w:t>
      </w:r>
    </w:p>
    <w:p w14:paraId="2E4BDFD9" w14:textId="5801A293"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Using these values in the landfill model with GHGRP parameter defaults for DOC (wet basis) and k yields the results shown in Table </w:t>
      </w:r>
      <w:r w:rsidR="00A86F7E">
        <w:rPr>
          <w:rFonts w:ascii="Times New Roman" w:hAnsi="Times New Roman" w:cs="Times New Roman"/>
          <w:iCs/>
        </w:rPr>
        <w:t>S32</w:t>
      </w:r>
      <w:r w:rsidRPr="001D05E2">
        <w:rPr>
          <w:rFonts w:ascii="Times New Roman" w:hAnsi="Times New Roman" w:cs="Times New Roman"/>
          <w:iCs/>
        </w:rPr>
        <w:t>.</w:t>
      </w:r>
    </w:p>
    <w:p w14:paraId="2FD7420D" w14:textId="72C98466" w:rsidR="001D05E2" w:rsidRPr="001D05E2" w:rsidRDefault="001D05E2" w:rsidP="001D05E2">
      <w:pPr>
        <w:rPr>
          <w:rFonts w:ascii="Times New Roman" w:hAnsi="Times New Roman" w:cs="Times New Roman"/>
          <w:iCs/>
        </w:rPr>
      </w:pPr>
      <w:r w:rsidRPr="00A86F7E">
        <w:rPr>
          <w:rFonts w:ascii="Times New Roman" w:hAnsi="Times New Roman" w:cs="Times New Roman"/>
          <w:b/>
          <w:bCs/>
          <w:iCs/>
        </w:rPr>
        <w:t xml:space="preserve">Table </w:t>
      </w:r>
      <w:r w:rsidR="00A86F7E" w:rsidRPr="00A86F7E">
        <w:rPr>
          <w:rFonts w:ascii="Times New Roman" w:hAnsi="Times New Roman" w:cs="Times New Roman"/>
          <w:b/>
          <w:bCs/>
          <w:iCs/>
        </w:rPr>
        <w:t>S32</w:t>
      </w:r>
      <w:r w:rsidRPr="00A86F7E">
        <w:rPr>
          <w:rFonts w:ascii="Times New Roman" w:hAnsi="Times New Roman" w:cs="Times New Roman"/>
          <w:b/>
          <w:bCs/>
          <w:iCs/>
        </w:rPr>
        <w:t>.</w:t>
      </w:r>
      <w:r w:rsidRPr="001D05E2">
        <w:rPr>
          <w:rFonts w:ascii="Times New Roman" w:hAnsi="Times New Roman" w:cs="Times New Roman"/>
          <w:iCs/>
        </w:rPr>
        <w:t xml:space="preserve"> Methane Emissions from Boiler Ash Landfilled at Pulp, Paper, and Paperboard Mills</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781"/>
        <w:gridCol w:w="2681"/>
        <w:gridCol w:w="2853"/>
        <w:gridCol w:w="1388"/>
        <w:gridCol w:w="1297"/>
      </w:tblGrid>
      <w:tr w:rsidR="001D05E2" w:rsidRPr="001D05E2" w14:paraId="7817D09C" w14:textId="77777777" w:rsidTr="00360B83">
        <w:trPr>
          <w:trHeight w:val="665"/>
          <w:jc w:val="center"/>
        </w:trPr>
        <w:tc>
          <w:tcPr>
            <w:tcW w:w="781" w:type="dxa"/>
            <w:vMerge w:val="restart"/>
            <w:shd w:val="clear" w:color="auto" w:fill="D9D9D9" w:themeFill="background1" w:themeFillShade="D9"/>
            <w:noWrap/>
            <w:vAlign w:val="center"/>
          </w:tcPr>
          <w:p w14:paraId="700DCBBB"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5534" w:type="dxa"/>
            <w:gridSpan w:val="2"/>
            <w:shd w:val="clear" w:color="auto" w:fill="D9D9D9" w:themeFill="background1" w:themeFillShade="D9"/>
            <w:vAlign w:val="center"/>
          </w:tcPr>
          <w:p w14:paraId="5C4DAB0F"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iCs/>
              </w:rPr>
              <w:t>NCASI Calculations Using GHGRP Equations – GHGRP Default DOC and k (Moderate Climate)</w:t>
            </w:r>
          </w:p>
        </w:tc>
        <w:tc>
          <w:tcPr>
            <w:tcW w:w="1388" w:type="dxa"/>
            <w:vMerge w:val="restart"/>
            <w:shd w:val="clear" w:color="auto" w:fill="D9D9D9" w:themeFill="background1" w:themeFillShade="D9"/>
            <w:vAlign w:val="center"/>
          </w:tcPr>
          <w:p w14:paraId="2AA84E7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Fraction of 1990 value</w:t>
            </w:r>
          </w:p>
        </w:tc>
        <w:tc>
          <w:tcPr>
            <w:tcW w:w="1297" w:type="dxa"/>
            <w:vMerge w:val="restart"/>
            <w:shd w:val="clear" w:color="auto" w:fill="D9D9D9" w:themeFill="background1" w:themeFillShade="D9"/>
            <w:vAlign w:val="center"/>
          </w:tcPr>
          <w:p w14:paraId="15D71A4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Fraction of 2005 value</w:t>
            </w:r>
          </w:p>
        </w:tc>
      </w:tr>
      <w:tr w:rsidR="001D05E2" w:rsidRPr="001D05E2" w14:paraId="64784F1E" w14:textId="77777777" w:rsidTr="00360B83">
        <w:trPr>
          <w:trHeight w:val="350"/>
          <w:jc w:val="center"/>
        </w:trPr>
        <w:tc>
          <w:tcPr>
            <w:tcW w:w="781" w:type="dxa"/>
            <w:vMerge/>
            <w:noWrap/>
            <w:vAlign w:val="center"/>
          </w:tcPr>
          <w:p w14:paraId="44AAE110" w14:textId="77777777" w:rsidR="001D05E2" w:rsidRPr="001D05E2" w:rsidRDefault="001D05E2" w:rsidP="001D05E2">
            <w:pPr>
              <w:rPr>
                <w:rFonts w:ascii="Times New Roman" w:hAnsi="Times New Roman" w:cs="Times New Roman"/>
                <w:iCs/>
              </w:rPr>
            </w:pPr>
          </w:p>
        </w:tc>
        <w:tc>
          <w:tcPr>
            <w:tcW w:w="2681" w:type="dxa"/>
            <w:shd w:val="clear" w:color="auto" w:fill="D9D9D9" w:themeFill="background1" w:themeFillShade="D9"/>
            <w:vAlign w:val="center"/>
          </w:tcPr>
          <w:p w14:paraId="6A890E5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CH</w:t>
            </w:r>
            <w:r w:rsidRPr="001D05E2">
              <w:rPr>
                <w:rFonts w:ascii="Times New Roman" w:hAnsi="Times New Roman" w:cs="Times New Roman"/>
                <w:iCs/>
                <w:vertAlign w:val="subscript"/>
              </w:rPr>
              <w:t>4</w:t>
            </w:r>
          </w:p>
        </w:tc>
        <w:tc>
          <w:tcPr>
            <w:tcW w:w="2853" w:type="dxa"/>
            <w:shd w:val="clear" w:color="auto" w:fill="D9D9D9" w:themeFill="background1" w:themeFillShade="D9"/>
            <w:vAlign w:val="center"/>
          </w:tcPr>
          <w:p w14:paraId="26F7C5D2"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Million Metric Tons CO</w:t>
            </w:r>
            <w:r w:rsidRPr="001D05E2">
              <w:rPr>
                <w:rFonts w:ascii="Times New Roman" w:hAnsi="Times New Roman" w:cs="Times New Roman"/>
                <w:vertAlign w:val="subscript"/>
              </w:rPr>
              <w:t>2</w:t>
            </w:r>
            <w:r w:rsidRPr="001D05E2">
              <w:rPr>
                <w:rFonts w:ascii="Times New Roman" w:hAnsi="Times New Roman" w:cs="Times New Roman"/>
              </w:rPr>
              <w:t>e</w:t>
            </w:r>
            <w:r w:rsidRPr="001D05E2">
              <w:rPr>
                <w:rFonts w:ascii="Times New Roman" w:hAnsi="Times New Roman" w:cs="Times New Roman"/>
                <w:vertAlign w:val="superscript"/>
              </w:rPr>
              <w:t>a</w:t>
            </w:r>
          </w:p>
        </w:tc>
        <w:tc>
          <w:tcPr>
            <w:tcW w:w="1388" w:type="dxa"/>
            <w:vMerge/>
            <w:shd w:val="clear" w:color="auto" w:fill="D9D9D9" w:themeFill="background1" w:themeFillShade="D9"/>
            <w:vAlign w:val="center"/>
          </w:tcPr>
          <w:p w14:paraId="0A6CD532" w14:textId="77777777" w:rsidR="001D05E2" w:rsidRPr="001D05E2" w:rsidRDefault="001D05E2" w:rsidP="001D05E2">
            <w:pPr>
              <w:jc w:val="center"/>
              <w:rPr>
                <w:rFonts w:ascii="Times New Roman" w:hAnsi="Times New Roman" w:cs="Times New Roman"/>
              </w:rPr>
            </w:pPr>
          </w:p>
        </w:tc>
        <w:tc>
          <w:tcPr>
            <w:tcW w:w="1297" w:type="dxa"/>
            <w:vMerge/>
            <w:shd w:val="clear" w:color="auto" w:fill="D9D9D9" w:themeFill="background1" w:themeFillShade="D9"/>
            <w:vAlign w:val="center"/>
          </w:tcPr>
          <w:p w14:paraId="0C3B92B8" w14:textId="77777777" w:rsidR="001D05E2" w:rsidRPr="001D05E2" w:rsidRDefault="001D05E2" w:rsidP="001D05E2">
            <w:pPr>
              <w:jc w:val="center"/>
              <w:rPr>
                <w:rFonts w:ascii="Times New Roman" w:hAnsi="Times New Roman" w:cs="Times New Roman"/>
              </w:rPr>
            </w:pPr>
          </w:p>
        </w:tc>
      </w:tr>
      <w:tr w:rsidR="001D05E2" w:rsidRPr="001D05E2" w14:paraId="216FCDFD" w14:textId="77777777" w:rsidTr="00360B83">
        <w:trPr>
          <w:trHeight w:val="300"/>
          <w:jc w:val="center"/>
        </w:trPr>
        <w:tc>
          <w:tcPr>
            <w:tcW w:w="781" w:type="dxa"/>
            <w:noWrap/>
            <w:vAlign w:val="center"/>
            <w:hideMark/>
          </w:tcPr>
          <w:p w14:paraId="76802D87"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2681" w:type="dxa"/>
            <w:noWrap/>
          </w:tcPr>
          <w:p w14:paraId="2E5F890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40,300</w:t>
            </w:r>
          </w:p>
        </w:tc>
        <w:tc>
          <w:tcPr>
            <w:tcW w:w="2853" w:type="dxa"/>
          </w:tcPr>
          <w:p w14:paraId="2217DA09"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1.0</w:t>
            </w:r>
          </w:p>
        </w:tc>
        <w:tc>
          <w:tcPr>
            <w:tcW w:w="1388" w:type="dxa"/>
          </w:tcPr>
          <w:p w14:paraId="0814499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1297" w:type="dxa"/>
            <w:vAlign w:val="center"/>
          </w:tcPr>
          <w:p w14:paraId="0D58C44F" w14:textId="77777777" w:rsidR="001D05E2" w:rsidRPr="001D05E2" w:rsidRDefault="001D05E2" w:rsidP="001D05E2">
            <w:pPr>
              <w:jc w:val="center"/>
              <w:rPr>
                <w:rFonts w:ascii="Times New Roman" w:hAnsi="Times New Roman" w:cs="Times New Roman"/>
                <w:iCs/>
              </w:rPr>
            </w:pPr>
          </w:p>
        </w:tc>
      </w:tr>
      <w:tr w:rsidR="001D05E2" w:rsidRPr="001D05E2" w14:paraId="55BC8B4E" w14:textId="77777777" w:rsidTr="00360B83">
        <w:trPr>
          <w:trHeight w:val="300"/>
          <w:jc w:val="center"/>
        </w:trPr>
        <w:tc>
          <w:tcPr>
            <w:tcW w:w="781" w:type="dxa"/>
            <w:noWrap/>
            <w:vAlign w:val="center"/>
            <w:hideMark/>
          </w:tcPr>
          <w:p w14:paraId="593E1ABB"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1995</w:t>
            </w:r>
          </w:p>
        </w:tc>
        <w:tc>
          <w:tcPr>
            <w:tcW w:w="2681" w:type="dxa"/>
            <w:noWrap/>
          </w:tcPr>
          <w:p w14:paraId="3E945E2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45,300</w:t>
            </w:r>
          </w:p>
        </w:tc>
        <w:tc>
          <w:tcPr>
            <w:tcW w:w="2853" w:type="dxa"/>
          </w:tcPr>
          <w:p w14:paraId="5CEC3543"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1.1</w:t>
            </w:r>
          </w:p>
        </w:tc>
        <w:tc>
          <w:tcPr>
            <w:tcW w:w="1388" w:type="dxa"/>
          </w:tcPr>
          <w:p w14:paraId="6CC42F4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1.12</w:t>
            </w:r>
          </w:p>
        </w:tc>
        <w:tc>
          <w:tcPr>
            <w:tcW w:w="1297" w:type="dxa"/>
            <w:vAlign w:val="center"/>
          </w:tcPr>
          <w:p w14:paraId="3D5735ED" w14:textId="77777777" w:rsidR="001D05E2" w:rsidRPr="001D05E2" w:rsidRDefault="001D05E2" w:rsidP="001D05E2">
            <w:pPr>
              <w:jc w:val="center"/>
              <w:rPr>
                <w:rFonts w:ascii="Times New Roman" w:hAnsi="Times New Roman" w:cs="Times New Roman"/>
                <w:iCs/>
              </w:rPr>
            </w:pPr>
          </w:p>
        </w:tc>
      </w:tr>
      <w:tr w:rsidR="001D05E2" w:rsidRPr="001D05E2" w14:paraId="27D4E538" w14:textId="77777777" w:rsidTr="00360B83">
        <w:trPr>
          <w:trHeight w:val="300"/>
          <w:jc w:val="center"/>
        </w:trPr>
        <w:tc>
          <w:tcPr>
            <w:tcW w:w="781" w:type="dxa"/>
            <w:noWrap/>
            <w:vAlign w:val="center"/>
            <w:hideMark/>
          </w:tcPr>
          <w:p w14:paraId="3D3910BE"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2000</w:t>
            </w:r>
          </w:p>
        </w:tc>
        <w:tc>
          <w:tcPr>
            <w:tcW w:w="2681" w:type="dxa"/>
            <w:noWrap/>
          </w:tcPr>
          <w:p w14:paraId="514427F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49,800</w:t>
            </w:r>
          </w:p>
        </w:tc>
        <w:tc>
          <w:tcPr>
            <w:tcW w:w="2853" w:type="dxa"/>
          </w:tcPr>
          <w:p w14:paraId="3EBDC12A"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1.2</w:t>
            </w:r>
          </w:p>
        </w:tc>
        <w:tc>
          <w:tcPr>
            <w:tcW w:w="1388" w:type="dxa"/>
          </w:tcPr>
          <w:p w14:paraId="10A835F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1.24</w:t>
            </w:r>
          </w:p>
        </w:tc>
        <w:tc>
          <w:tcPr>
            <w:tcW w:w="1297" w:type="dxa"/>
            <w:vAlign w:val="center"/>
          </w:tcPr>
          <w:p w14:paraId="202ADFB5" w14:textId="77777777" w:rsidR="001D05E2" w:rsidRPr="001D05E2" w:rsidRDefault="001D05E2" w:rsidP="001D05E2">
            <w:pPr>
              <w:jc w:val="center"/>
              <w:rPr>
                <w:rFonts w:ascii="Times New Roman" w:hAnsi="Times New Roman" w:cs="Times New Roman"/>
                <w:iCs/>
              </w:rPr>
            </w:pPr>
          </w:p>
        </w:tc>
      </w:tr>
      <w:tr w:rsidR="001D05E2" w:rsidRPr="001D05E2" w14:paraId="768902E5" w14:textId="77777777" w:rsidTr="00360B83">
        <w:trPr>
          <w:trHeight w:val="300"/>
          <w:jc w:val="center"/>
        </w:trPr>
        <w:tc>
          <w:tcPr>
            <w:tcW w:w="781" w:type="dxa"/>
            <w:noWrap/>
            <w:vAlign w:val="center"/>
            <w:hideMark/>
          </w:tcPr>
          <w:p w14:paraId="2D6A4D3E"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2681" w:type="dxa"/>
            <w:noWrap/>
          </w:tcPr>
          <w:p w14:paraId="62220A5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53,200</w:t>
            </w:r>
          </w:p>
        </w:tc>
        <w:tc>
          <w:tcPr>
            <w:tcW w:w="2853" w:type="dxa"/>
          </w:tcPr>
          <w:p w14:paraId="4EF32B4E"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1.3</w:t>
            </w:r>
          </w:p>
        </w:tc>
        <w:tc>
          <w:tcPr>
            <w:tcW w:w="1388" w:type="dxa"/>
          </w:tcPr>
          <w:p w14:paraId="61D133A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1.32</w:t>
            </w:r>
          </w:p>
        </w:tc>
        <w:tc>
          <w:tcPr>
            <w:tcW w:w="1297" w:type="dxa"/>
          </w:tcPr>
          <w:p w14:paraId="31B7E2E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6BDB96B1" w14:textId="77777777" w:rsidTr="00360B83">
        <w:trPr>
          <w:trHeight w:val="300"/>
          <w:jc w:val="center"/>
        </w:trPr>
        <w:tc>
          <w:tcPr>
            <w:tcW w:w="781" w:type="dxa"/>
            <w:noWrap/>
            <w:vAlign w:val="center"/>
            <w:hideMark/>
          </w:tcPr>
          <w:p w14:paraId="01410DDF"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2010</w:t>
            </w:r>
          </w:p>
        </w:tc>
        <w:tc>
          <w:tcPr>
            <w:tcW w:w="2681" w:type="dxa"/>
            <w:noWrap/>
          </w:tcPr>
          <w:p w14:paraId="37BDCF1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55,600</w:t>
            </w:r>
          </w:p>
        </w:tc>
        <w:tc>
          <w:tcPr>
            <w:tcW w:w="2853" w:type="dxa"/>
          </w:tcPr>
          <w:p w14:paraId="07BEB692"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1.4</w:t>
            </w:r>
          </w:p>
        </w:tc>
        <w:tc>
          <w:tcPr>
            <w:tcW w:w="1388" w:type="dxa"/>
          </w:tcPr>
          <w:p w14:paraId="3A6EBEB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1.38</w:t>
            </w:r>
          </w:p>
        </w:tc>
        <w:tc>
          <w:tcPr>
            <w:tcW w:w="1297" w:type="dxa"/>
          </w:tcPr>
          <w:p w14:paraId="4597CE8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1.05</w:t>
            </w:r>
          </w:p>
        </w:tc>
      </w:tr>
      <w:tr w:rsidR="001D05E2" w:rsidRPr="001D05E2" w14:paraId="29F391DB" w14:textId="77777777" w:rsidTr="00360B83">
        <w:trPr>
          <w:trHeight w:val="300"/>
          <w:jc w:val="center"/>
        </w:trPr>
        <w:tc>
          <w:tcPr>
            <w:tcW w:w="781" w:type="dxa"/>
            <w:noWrap/>
            <w:vAlign w:val="center"/>
            <w:hideMark/>
          </w:tcPr>
          <w:p w14:paraId="6230E93A"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2015</w:t>
            </w:r>
          </w:p>
        </w:tc>
        <w:tc>
          <w:tcPr>
            <w:tcW w:w="2681" w:type="dxa"/>
            <w:noWrap/>
          </w:tcPr>
          <w:p w14:paraId="097049B0"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55,700</w:t>
            </w:r>
          </w:p>
        </w:tc>
        <w:tc>
          <w:tcPr>
            <w:tcW w:w="2853" w:type="dxa"/>
          </w:tcPr>
          <w:p w14:paraId="33C7A2D4"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1.4</w:t>
            </w:r>
          </w:p>
        </w:tc>
        <w:tc>
          <w:tcPr>
            <w:tcW w:w="1388" w:type="dxa"/>
          </w:tcPr>
          <w:p w14:paraId="0CBE7A3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1.38</w:t>
            </w:r>
          </w:p>
        </w:tc>
        <w:tc>
          <w:tcPr>
            <w:tcW w:w="1297" w:type="dxa"/>
          </w:tcPr>
          <w:p w14:paraId="0262F8E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1.05</w:t>
            </w:r>
          </w:p>
        </w:tc>
      </w:tr>
      <w:tr w:rsidR="001D05E2" w:rsidRPr="001D05E2" w14:paraId="0F2A67CF" w14:textId="77777777" w:rsidTr="00360B83">
        <w:trPr>
          <w:trHeight w:val="315"/>
          <w:jc w:val="center"/>
        </w:trPr>
        <w:tc>
          <w:tcPr>
            <w:tcW w:w="781" w:type="dxa"/>
            <w:noWrap/>
            <w:vAlign w:val="center"/>
            <w:hideMark/>
          </w:tcPr>
          <w:p w14:paraId="002F5389"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2681" w:type="dxa"/>
            <w:noWrap/>
          </w:tcPr>
          <w:p w14:paraId="32A4522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52,700</w:t>
            </w:r>
          </w:p>
        </w:tc>
        <w:tc>
          <w:tcPr>
            <w:tcW w:w="2853" w:type="dxa"/>
          </w:tcPr>
          <w:p w14:paraId="64EFD85D" w14:textId="77777777" w:rsidR="001D05E2" w:rsidRPr="001D05E2" w:rsidRDefault="001D05E2" w:rsidP="001D05E2">
            <w:pPr>
              <w:jc w:val="center"/>
              <w:rPr>
                <w:rFonts w:ascii="Times New Roman" w:hAnsi="Times New Roman" w:cs="Times New Roman"/>
              </w:rPr>
            </w:pPr>
            <w:r w:rsidRPr="001D05E2">
              <w:rPr>
                <w:rFonts w:ascii="Times New Roman" w:hAnsi="Times New Roman" w:cs="Times New Roman"/>
              </w:rPr>
              <w:t>1.3</w:t>
            </w:r>
          </w:p>
        </w:tc>
        <w:tc>
          <w:tcPr>
            <w:tcW w:w="1388" w:type="dxa"/>
          </w:tcPr>
          <w:p w14:paraId="604C533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1.31</w:t>
            </w:r>
          </w:p>
        </w:tc>
        <w:tc>
          <w:tcPr>
            <w:tcW w:w="1297" w:type="dxa"/>
          </w:tcPr>
          <w:p w14:paraId="6B21EA6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0.99</w:t>
            </w:r>
          </w:p>
        </w:tc>
      </w:tr>
      <w:tr w:rsidR="001D05E2" w:rsidRPr="001D05E2" w14:paraId="06A2F60A" w14:textId="77777777" w:rsidTr="00360B83">
        <w:trPr>
          <w:trHeight w:val="315"/>
          <w:jc w:val="center"/>
        </w:trPr>
        <w:tc>
          <w:tcPr>
            <w:tcW w:w="9000" w:type="dxa"/>
            <w:gridSpan w:val="5"/>
            <w:noWrap/>
            <w:vAlign w:val="center"/>
          </w:tcPr>
          <w:p w14:paraId="68DD2360" w14:textId="77777777" w:rsidR="001D05E2" w:rsidRPr="001D05E2" w:rsidRDefault="001D05E2" w:rsidP="001D05E2">
            <w:pPr>
              <w:rPr>
                <w:rFonts w:ascii="Times New Roman" w:hAnsi="Times New Roman" w:cs="Times New Roman"/>
              </w:rPr>
            </w:pPr>
            <w:r w:rsidRPr="001D05E2">
              <w:rPr>
                <w:rFonts w:ascii="Times New Roman" w:hAnsi="Times New Roman" w:cs="Times New Roman"/>
                <w:vertAlign w:val="superscript"/>
              </w:rPr>
              <w:t>a</w:t>
            </w:r>
            <w:r w:rsidRPr="001D05E2">
              <w:rPr>
                <w:rFonts w:ascii="Times New Roman" w:hAnsi="Times New Roman" w:cs="Times New Roman"/>
              </w:rPr>
              <w:t xml:space="preserve"> GWP of 25.</w:t>
            </w:r>
          </w:p>
        </w:tc>
      </w:tr>
    </w:tbl>
    <w:p w14:paraId="34C5A125" w14:textId="77777777" w:rsidR="001D05E2" w:rsidRPr="001D05E2" w:rsidRDefault="001D05E2" w:rsidP="001D05E2">
      <w:pPr>
        <w:rPr>
          <w:rFonts w:ascii="Times New Roman" w:hAnsi="Times New Roman" w:cs="Times New Roman"/>
        </w:rPr>
      </w:pPr>
    </w:p>
    <w:p w14:paraId="1CC3D52C"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Pulp and Paper Mill Recovery Area Waste Estimates</w:t>
      </w:r>
    </w:p>
    <w:p w14:paraId="1FD5AC76" w14:textId="15A4BF3B" w:rsidR="001D05E2" w:rsidRPr="001D05E2" w:rsidRDefault="001D05E2" w:rsidP="001D05E2">
      <w:pPr>
        <w:rPr>
          <w:rFonts w:ascii="Times New Roman" w:hAnsi="Times New Roman" w:cs="Times New Roman"/>
          <w:iCs/>
        </w:rPr>
      </w:pPr>
      <w:r w:rsidRPr="001D05E2">
        <w:rPr>
          <w:rFonts w:ascii="Times New Roman" w:hAnsi="Times New Roman" w:cs="Times New Roman"/>
          <w:iCs/>
        </w:rPr>
        <w:t>NCASI survey data allow estimates of the quantities of solid wastes, other than WWTR and ash,</w:t>
      </w:r>
      <w:r w:rsidRPr="001D05E2">
        <w:rPr>
          <w:rFonts w:ascii="Times New Roman" w:hAnsi="Times New Roman" w:cs="Times New Roman"/>
          <w:i/>
        </w:rPr>
        <w:t xml:space="preserve"> </w:t>
      </w:r>
      <w:r w:rsidRPr="001D05E2">
        <w:rPr>
          <w:rFonts w:ascii="Times New Roman" w:hAnsi="Times New Roman" w:cs="Times New Roman"/>
          <w:iCs/>
        </w:rPr>
        <w:t xml:space="preserve">at several points back to 1995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{"citationID":"LcekRC5H","properties":{"formattedCitation":"\\super 33\\nosupersub{}","plainCitation":"33","noteIndex":0},"citationItems":[{"id":75,"uris":["http://zotero.org/users/18184231/items/E2V8HSE8"],"itemData":{"id":75,"type":"report","event-place":"Cary, NC","publisher":"NCASI","publisher-place":"Cary, NC","title":"Unpublished survey data on solid waste generation rates","author":[{"family":"NCASI","given":""}],"issued":{"date-parts":[["2025"]]}}}],"schema":"https://github.com/citation-style-language/schema/raw/master/csl-citation.json"}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33</w:t>
      </w:r>
      <w:r w:rsidRPr="001D05E2">
        <w:rPr>
          <w:rFonts w:ascii="Times New Roman" w:hAnsi="Times New Roman" w:cs="Times New Roman"/>
          <w:iCs/>
        </w:rPr>
        <w:fldChar w:fldCharType="end"/>
      </w:r>
      <w:r w:rsidRPr="001D05E2">
        <w:rPr>
          <w:rFonts w:ascii="Times New Roman" w:hAnsi="Times New Roman" w:cs="Times New Roman"/>
          <w:iCs/>
        </w:rPr>
        <w:t xml:space="preserve">. In addition, NCASI 1999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{"citationID":"grrFQpLm","properties":{"formattedCitation":"\\super 32\\nosupersub{}","plainCitation":"32","noteIndex":0},"citationItems":[{"id":83,"uris":["http://zotero.org/users/18184231/items/5BGCHVGQ"],"itemData":{"id":83,"type":"report","event-place":"Cary, NC","number":"Technical Bulletin 793","publisher":"NCASI","publisher-place":"Cary, NC","title":"Solid Waste Management and Disposal Practices in the US Paper Industry−1995","author":[{"family":"NCASI","given":""}],"issued":{"date-parts":[["1999"]]}}}],"schema":"https://github.com/citation-style-language/schema/raw/master/csl-citation.json"}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32</w:t>
      </w:r>
      <w:r w:rsidRPr="001D05E2">
        <w:rPr>
          <w:rFonts w:ascii="Times New Roman" w:hAnsi="Times New Roman" w:cs="Times New Roman"/>
          <w:iCs/>
        </w:rPr>
        <w:fldChar w:fldCharType="end"/>
      </w:r>
      <w:r w:rsidRPr="001D05E2">
        <w:rPr>
          <w:rFonts w:ascii="Times New Roman" w:hAnsi="Times New Roman" w:cs="Times New Roman"/>
          <w:iCs/>
        </w:rPr>
        <w:t xml:space="preserve"> and NCASI 2019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{"citationID":"zwP1CQyx","properties":{"formattedCitation":"\\super 31\\nosupersub{}","plainCitation":"31","noteIndex":0},"citationItems":[{"id":78,"uris":["http://zotero.org/users/18184231/items/VGD5UWTS"],"itemData":{"id":78,"type":"report","event-place":"Cary,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31</w:t>
      </w:r>
      <w:r w:rsidRPr="001D05E2">
        <w:rPr>
          <w:rFonts w:ascii="Times New Roman" w:hAnsi="Times New Roman" w:cs="Times New Roman"/>
          <w:iCs/>
        </w:rPr>
        <w:fldChar w:fldCharType="end"/>
      </w:r>
      <w:r w:rsidRPr="001D05E2">
        <w:rPr>
          <w:rFonts w:ascii="Times New Roman" w:hAnsi="Times New Roman" w:cs="Times New Roman"/>
          <w:iCs/>
        </w:rPr>
        <w:t xml:space="preserve"> indicate that recovery area wastes represented 29% and 34% of these “other” wastes in 1995 and 2016, respectively. Using these two data sets, NCASI estimates that from 1960 to 1995, the industry generated about 21.05 kg per metric ton of recovery area </w:t>
      </w:r>
      <w:proofErr w:type="gramStart"/>
      <w:r w:rsidRPr="001D05E2">
        <w:rPr>
          <w:rFonts w:ascii="Times New Roman" w:hAnsi="Times New Roman" w:cs="Times New Roman"/>
          <w:iCs/>
        </w:rPr>
        <w:t>wastes</w:t>
      </w:r>
      <w:proofErr w:type="gramEnd"/>
      <w:r w:rsidRPr="001D05E2">
        <w:rPr>
          <w:rFonts w:ascii="Times New Roman" w:hAnsi="Times New Roman" w:cs="Times New Roman"/>
          <w:iCs/>
        </w:rPr>
        <w:t xml:space="preserve">. This decreased to 14.25 kg per metric ton in 2002 and then varied between 14 and 16 kg per metric ton until 2016. From 2016 to 2020, generation rates increased from 16.3 to 18.35 kg per metric ton. Dry weight was converted to wet weight using a solids content of 65%, the average reported for these materials in NCASI 2019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{"citationID":"mZYlYyoI","properties":{"formattedCitation":"\\super 31\\nosupersub{}","plainCitation":"31","noteIndex":0},"citationItems":[{"id":78,"uris":["http://zotero.org/users/18184231/items/VGD5UWTS"],"itemData":{"id":78,"type":"report","event-place":"Cary,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31</w:t>
      </w:r>
      <w:r w:rsidRPr="001D05E2">
        <w:rPr>
          <w:rFonts w:ascii="Times New Roman" w:hAnsi="Times New Roman" w:cs="Times New Roman"/>
          <w:iCs/>
        </w:rPr>
        <w:fldChar w:fldCharType="end"/>
      </w:r>
      <w:r w:rsidRPr="001D05E2">
        <w:rPr>
          <w:rFonts w:ascii="Times New Roman" w:hAnsi="Times New Roman" w:cs="Times New Roman"/>
          <w:iCs/>
        </w:rPr>
        <w:t xml:space="preserve">. A weighted average percent landfilled of 87.9% for dregs, lime mud, and slaker grit was developed from data in NCASI 1999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{"citationID":"UFaVrVOV","properties":{"formattedCitation":"\\super 32\\nosupersub{}","plainCitation":"32","noteIndex":0},"citationItems":[{"id":83,"uris":["http://zotero.org/users/18184231/items/5BGCHVGQ"],"itemData":{"id":83,"type":"report","event-place":"Cary, NC","number":"Technical Bulletin 793","publisher":"NCASI","publisher-place":"Cary, NC","title":"Solid Waste Management and Disposal Practices in the US Paper Industry−1995","author":[{"family":"NCASI","given":""}],"issued":{"date-parts":[["1999"]]}}}],"schema":"https://github.com/citation-style-language/schema/raw/master/csl-citation.json"}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32</w:t>
      </w:r>
      <w:r w:rsidRPr="001D05E2">
        <w:rPr>
          <w:rFonts w:ascii="Times New Roman" w:hAnsi="Times New Roman" w:cs="Times New Roman"/>
          <w:iCs/>
        </w:rPr>
        <w:fldChar w:fldCharType="end"/>
      </w:r>
      <w:r w:rsidRPr="001D05E2">
        <w:rPr>
          <w:rFonts w:ascii="Times New Roman" w:hAnsi="Times New Roman" w:cs="Times New Roman"/>
          <w:iCs/>
        </w:rPr>
        <w:t xml:space="preserve">. This was the only data point available; therefore, it was used for the entire period of 1960 to 2020. The parameter values used to model methane attributable to landfilled recovery area wastes are shown in Table </w:t>
      </w:r>
      <w:r w:rsidR="00A86F7E">
        <w:rPr>
          <w:rFonts w:ascii="Times New Roman" w:hAnsi="Times New Roman" w:cs="Times New Roman"/>
          <w:iCs/>
        </w:rPr>
        <w:t>S33</w:t>
      </w:r>
      <w:r w:rsidRPr="001D05E2">
        <w:rPr>
          <w:rFonts w:ascii="Times New Roman" w:hAnsi="Times New Roman" w:cs="Times New Roman"/>
          <w:iCs/>
        </w:rPr>
        <w:t>.</w:t>
      </w:r>
    </w:p>
    <w:p w14:paraId="6345FC8A" w14:textId="77777777" w:rsidR="001D05E2" w:rsidRDefault="001D05E2" w:rsidP="001D05E2">
      <w:pPr>
        <w:rPr>
          <w:rFonts w:ascii="Times New Roman" w:hAnsi="Times New Roman" w:cs="Times New Roman"/>
          <w:iCs/>
        </w:rPr>
      </w:pPr>
    </w:p>
    <w:p w14:paraId="54A7E4E5" w14:textId="77777777" w:rsidR="00A86F7E" w:rsidRPr="001D05E2" w:rsidRDefault="00A86F7E" w:rsidP="001D05E2">
      <w:pPr>
        <w:rPr>
          <w:rFonts w:ascii="Times New Roman" w:hAnsi="Times New Roman" w:cs="Times New Roman"/>
          <w:iCs/>
        </w:rPr>
      </w:pPr>
    </w:p>
    <w:p w14:paraId="0EF61387" w14:textId="73D21939" w:rsidR="001D05E2" w:rsidRPr="001D05E2" w:rsidRDefault="001D05E2" w:rsidP="001D05E2">
      <w:pPr>
        <w:jc w:val="center"/>
        <w:rPr>
          <w:rFonts w:ascii="Times New Roman" w:hAnsi="Times New Roman" w:cs="Times New Roman"/>
        </w:rPr>
      </w:pPr>
      <w:r w:rsidRPr="00A86F7E">
        <w:rPr>
          <w:rFonts w:ascii="Times New Roman" w:hAnsi="Times New Roman" w:cs="Times New Roman"/>
          <w:b/>
          <w:bCs/>
        </w:rPr>
        <w:t xml:space="preserve">Table </w:t>
      </w:r>
      <w:r w:rsidR="00A86F7E" w:rsidRPr="00A86F7E">
        <w:rPr>
          <w:rFonts w:ascii="Times New Roman" w:hAnsi="Times New Roman" w:cs="Times New Roman"/>
          <w:b/>
          <w:bCs/>
        </w:rPr>
        <w:t>S33</w:t>
      </w:r>
      <w:r w:rsidRPr="001D05E2">
        <w:rPr>
          <w:rFonts w:ascii="Times New Roman" w:hAnsi="Times New Roman" w:cs="Times New Roman"/>
        </w:rPr>
        <w:t>. Pulp and Paper Mill Recovery Area Waste Parameter Values for First Order Decay Model</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1345"/>
        <w:gridCol w:w="2700"/>
        <w:gridCol w:w="2700"/>
      </w:tblGrid>
      <w:tr w:rsidR="001D05E2" w:rsidRPr="001D05E2" w14:paraId="051EBFEC" w14:textId="77777777" w:rsidTr="00360B83">
        <w:trPr>
          <w:jc w:val="center"/>
        </w:trPr>
        <w:tc>
          <w:tcPr>
            <w:tcW w:w="1345" w:type="dxa"/>
            <w:shd w:val="clear" w:color="auto" w:fill="D9D9D9" w:themeFill="background1" w:themeFillShade="D9"/>
          </w:tcPr>
          <w:p w14:paraId="1157C9E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Parameter</w:t>
            </w:r>
          </w:p>
        </w:tc>
        <w:tc>
          <w:tcPr>
            <w:tcW w:w="2700" w:type="dxa"/>
            <w:shd w:val="clear" w:color="auto" w:fill="D9D9D9" w:themeFill="background1" w:themeFillShade="D9"/>
          </w:tcPr>
          <w:p w14:paraId="6FE9950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Units</w:t>
            </w:r>
          </w:p>
        </w:tc>
        <w:tc>
          <w:tcPr>
            <w:tcW w:w="2700" w:type="dxa"/>
            <w:shd w:val="clear" w:color="auto" w:fill="D9D9D9" w:themeFill="background1" w:themeFillShade="D9"/>
          </w:tcPr>
          <w:p w14:paraId="6F07463F" w14:textId="00D7783E" w:rsidR="001D05E2" w:rsidRPr="001D05E2" w:rsidRDefault="001D05E2" w:rsidP="001D05E2">
            <w:pPr>
              <w:rPr>
                <w:rFonts w:ascii="Times New Roman" w:hAnsi="Times New Roman" w:cs="Times New Roman"/>
              </w:rPr>
            </w:pPr>
            <w:r w:rsidRPr="001D05E2">
              <w:rPr>
                <w:rFonts w:ascii="Times New Roman" w:hAnsi="Times New Roman" w:cs="Times New Roman"/>
              </w:rPr>
              <w:t>GHGRP, Subpart TT</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{"citationID":"cJW8R5nn","properties":{"formattedCitation":"\\super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p>
        </w:tc>
      </w:tr>
      <w:tr w:rsidR="001D05E2" w:rsidRPr="001D05E2" w14:paraId="0E99082E" w14:textId="77777777" w:rsidTr="00360B83">
        <w:trPr>
          <w:jc w:val="center"/>
        </w:trPr>
        <w:tc>
          <w:tcPr>
            <w:tcW w:w="1345" w:type="dxa"/>
          </w:tcPr>
          <w:p w14:paraId="07B57CE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DOC</w:t>
            </w:r>
          </w:p>
        </w:tc>
        <w:tc>
          <w:tcPr>
            <w:tcW w:w="2700" w:type="dxa"/>
          </w:tcPr>
          <w:p w14:paraId="58857E4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kg organic C/kg wet waste</w:t>
            </w:r>
          </w:p>
        </w:tc>
        <w:tc>
          <w:tcPr>
            <w:tcW w:w="2700" w:type="dxa"/>
          </w:tcPr>
          <w:p w14:paraId="144AA49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0.025</w:t>
            </w:r>
          </w:p>
        </w:tc>
      </w:tr>
      <w:tr w:rsidR="001D05E2" w:rsidRPr="001D05E2" w14:paraId="3EC9BAEA" w14:textId="77777777" w:rsidTr="00360B83">
        <w:trPr>
          <w:jc w:val="center"/>
        </w:trPr>
        <w:tc>
          <w:tcPr>
            <w:tcW w:w="1345" w:type="dxa"/>
          </w:tcPr>
          <w:p w14:paraId="1FDB7F97" w14:textId="77777777" w:rsidR="001D05E2" w:rsidRPr="001D05E2" w:rsidRDefault="001D05E2" w:rsidP="001D05E2">
            <w:pPr>
              <w:rPr>
                <w:rFonts w:ascii="Times New Roman" w:hAnsi="Times New Roman" w:cs="Times New Roman"/>
              </w:rPr>
            </w:pPr>
            <w:proofErr w:type="spellStart"/>
            <w:r w:rsidRPr="001D05E2">
              <w:rPr>
                <w:rFonts w:ascii="Times New Roman" w:hAnsi="Times New Roman" w:cs="Times New Roman"/>
              </w:rPr>
              <w:t>DOCf</w:t>
            </w:r>
            <w:proofErr w:type="spellEnd"/>
          </w:p>
        </w:tc>
        <w:tc>
          <w:tcPr>
            <w:tcW w:w="2700" w:type="dxa"/>
          </w:tcPr>
          <w:p w14:paraId="42BA842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DOC that will degrade in landfill</w:t>
            </w:r>
          </w:p>
        </w:tc>
        <w:tc>
          <w:tcPr>
            <w:tcW w:w="2700" w:type="dxa"/>
          </w:tcPr>
          <w:p w14:paraId="086C537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479A084F" w14:textId="77777777" w:rsidTr="00360B83">
        <w:trPr>
          <w:jc w:val="center"/>
        </w:trPr>
        <w:tc>
          <w:tcPr>
            <w:tcW w:w="1345" w:type="dxa"/>
          </w:tcPr>
          <w:p w14:paraId="5C148AE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k </w:t>
            </w:r>
          </w:p>
        </w:tc>
        <w:tc>
          <w:tcPr>
            <w:tcW w:w="2700" w:type="dxa"/>
          </w:tcPr>
          <w:p w14:paraId="1B22CA3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yr</w:t>
            </w:r>
            <w:r w:rsidRPr="001D05E2">
              <w:rPr>
                <w:rFonts w:ascii="Times New Roman" w:hAnsi="Times New Roman" w:cs="Times New Roman"/>
                <w:vertAlign w:val="superscript"/>
              </w:rPr>
              <w:t>-1</w:t>
            </w:r>
          </w:p>
        </w:tc>
        <w:tc>
          <w:tcPr>
            <w:tcW w:w="2700" w:type="dxa"/>
          </w:tcPr>
          <w:p w14:paraId="20B38BB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0.02 (dry climate)</w:t>
            </w:r>
          </w:p>
          <w:p w14:paraId="230319F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0.03 (moderate climate)</w:t>
            </w:r>
          </w:p>
          <w:p w14:paraId="4907B43B"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0.04 (wet climate)</w:t>
            </w:r>
          </w:p>
        </w:tc>
      </w:tr>
      <w:tr w:rsidR="001D05E2" w:rsidRPr="001D05E2" w14:paraId="74BD4C02" w14:textId="77777777" w:rsidTr="00360B83">
        <w:trPr>
          <w:jc w:val="center"/>
        </w:trPr>
        <w:tc>
          <w:tcPr>
            <w:tcW w:w="1345" w:type="dxa"/>
          </w:tcPr>
          <w:p w14:paraId="7B3DA67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MCF</w:t>
            </w:r>
          </w:p>
        </w:tc>
        <w:tc>
          <w:tcPr>
            <w:tcW w:w="2700" w:type="dxa"/>
          </w:tcPr>
          <w:p w14:paraId="07285FC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degradable carbon that is subject to anaerobic conditions</w:t>
            </w:r>
          </w:p>
        </w:tc>
        <w:tc>
          <w:tcPr>
            <w:tcW w:w="2700" w:type="dxa"/>
          </w:tcPr>
          <w:p w14:paraId="32EE22E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w:t>
            </w:r>
          </w:p>
        </w:tc>
      </w:tr>
      <w:tr w:rsidR="001D05E2" w:rsidRPr="001D05E2" w14:paraId="4EBA5450" w14:textId="77777777" w:rsidTr="00360B83">
        <w:trPr>
          <w:jc w:val="center"/>
        </w:trPr>
        <w:tc>
          <w:tcPr>
            <w:tcW w:w="1345" w:type="dxa"/>
          </w:tcPr>
          <w:p w14:paraId="1D19D7F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w:t>
            </w:r>
          </w:p>
        </w:tc>
        <w:tc>
          <w:tcPr>
            <w:tcW w:w="2700" w:type="dxa"/>
          </w:tcPr>
          <w:p w14:paraId="03802170"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by volume of CH</w:t>
            </w:r>
            <w:r w:rsidRPr="001D05E2">
              <w:rPr>
                <w:rFonts w:ascii="Times New Roman" w:hAnsi="Times New Roman" w:cs="Times New Roman"/>
                <w:vertAlign w:val="subscript"/>
              </w:rPr>
              <w:t>4</w:t>
            </w:r>
            <w:r w:rsidRPr="001D05E2">
              <w:rPr>
                <w:rFonts w:ascii="Times New Roman" w:hAnsi="Times New Roman" w:cs="Times New Roman"/>
              </w:rPr>
              <w:t xml:space="preserve"> in landfill gas, as generated</w:t>
            </w:r>
          </w:p>
        </w:tc>
        <w:tc>
          <w:tcPr>
            <w:tcW w:w="2700" w:type="dxa"/>
          </w:tcPr>
          <w:p w14:paraId="658F8A5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082FD277" w14:textId="77777777" w:rsidTr="00360B83">
        <w:trPr>
          <w:jc w:val="center"/>
        </w:trPr>
        <w:tc>
          <w:tcPr>
            <w:tcW w:w="1345" w:type="dxa"/>
          </w:tcPr>
          <w:p w14:paraId="5D4169D0"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OX</w:t>
            </w:r>
          </w:p>
        </w:tc>
        <w:tc>
          <w:tcPr>
            <w:tcW w:w="2700" w:type="dxa"/>
          </w:tcPr>
          <w:p w14:paraId="318527DB"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CH</w:t>
            </w:r>
            <w:r w:rsidRPr="001D05E2">
              <w:rPr>
                <w:rFonts w:ascii="Times New Roman" w:hAnsi="Times New Roman" w:cs="Times New Roman"/>
                <w:vertAlign w:val="subscript"/>
              </w:rPr>
              <w:t>4</w:t>
            </w:r>
            <w:r w:rsidRPr="001D05E2">
              <w:rPr>
                <w:rFonts w:ascii="Times New Roman" w:hAnsi="Times New Roman" w:cs="Times New Roman"/>
              </w:rPr>
              <w:t xml:space="preserve"> that is oxidized before it is released to the atmosphere</w:t>
            </w:r>
          </w:p>
        </w:tc>
        <w:tc>
          <w:tcPr>
            <w:tcW w:w="2700" w:type="dxa"/>
          </w:tcPr>
          <w:p w14:paraId="5C56C77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 (values ranging from 0.0 to 0.35 are listed with the choice depending on site-specific circumstances)</w:t>
            </w:r>
          </w:p>
        </w:tc>
      </w:tr>
    </w:tbl>
    <w:p w14:paraId="2DA9E0B8" w14:textId="77777777" w:rsidR="001D05E2" w:rsidRPr="001D05E2" w:rsidRDefault="001D05E2" w:rsidP="001D05E2">
      <w:pPr>
        <w:rPr>
          <w:rFonts w:ascii="Times New Roman" w:hAnsi="Times New Roman" w:cs="Times New Roman"/>
          <w:iCs/>
        </w:rPr>
      </w:pPr>
    </w:p>
    <w:p w14:paraId="5C34F78A" w14:textId="372B67A6"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results are shown in Table </w:t>
      </w:r>
      <w:r w:rsidR="00A86F7E">
        <w:rPr>
          <w:rFonts w:ascii="Times New Roman" w:hAnsi="Times New Roman" w:cs="Times New Roman"/>
          <w:iCs/>
        </w:rPr>
        <w:t>S34</w:t>
      </w:r>
      <w:r w:rsidRPr="001D05E2">
        <w:rPr>
          <w:rFonts w:ascii="Times New Roman" w:hAnsi="Times New Roman" w:cs="Times New Roman"/>
          <w:iCs/>
        </w:rPr>
        <w:t>. These estimates indicate that the amounts of methane attributable to recovery area wastes are far lower than those attributable to other wastes.</w:t>
      </w:r>
    </w:p>
    <w:p w14:paraId="38D2C88C" w14:textId="7A27055F" w:rsidR="001D05E2" w:rsidRPr="001D05E2" w:rsidRDefault="001D05E2" w:rsidP="001D05E2">
      <w:pPr>
        <w:jc w:val="center"/>
        <w:rPr>
          <w:rFonts w:ascii="Times New Roman" w:hAnsi="Times New Roman" w:cs="Times New Roman"/>
          <w:iCs/>
        </w:rPr>
      </w:pPr>
      <w:r w:rsidRPr="00A86F7E">
        <w:rPr>
          <w:rFonts w:ascii="Times New Roman" w:hAnsi="Times New Roman" w:cs="Times New Roman"/>
          <w:b/>
          <w:bCs/>
          <w:iCs/>
        </w:rPr>
        <w:t xml:space="preserve">Table </w:t>
      </w:r>
      <w:r w:rsidR="00A86F7E" w:rsidRPr="00A86F7E">
        <w:rPr>
          <w:rFonts w:ascii="Times New Roman" w:hAnsi="Times New Roman" w:cs="Times New Roman"/>
          <w:b/>
          <w:bCs/>
          <w:iCs/>
        </w:rPr>
        <w:t>S34</w:t>
      </w:r>
      <w:r w:rsidRPr="001D05E2">
        <w:rPr>
          <w:rFonts w:ascii="Times New Roman" w:hAnsi="Times New Roman" w:cs="Times New Roman"/>
          <w:iCs/>
        </w:rPr>
        <w:t>. Methane Emissions Attributable to Landfilled Recovery Area Wastes from Pulp and Paper Mills</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1080"/>
        <w:gridCol w:w="3595"/>
        <w:gridCol w:w="1440"/>
        <w:gridCol w:w="1350"/>
      </w:tblGrid>
      <w:tr w:rsidR="001D05E2" w:rsidRPr="001D05E2" w14:paraId="685D9359" w14:textId="77777777" w:rsidTr="00360B83">
        <w:trPr>
          <w:trHeight w:val="1070"/>
          <w:jc w:val="center"/>
        </w:trPr>
        <w:tc>
          <w:tcPr>
            <w:tcW w:w="1080" w:type="dxa"/>
            <w:shd w:val="clear" w:color="auto" w:fill="D9D9D9" w:themeFill="background1" w:themeFillShade="D9"/>
            <w:noWrap/>
            <w:vAlign w:val="center"/>
          </w:tcPr>
          <w:p w14:paraId="096475A9"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3595" w:type="dxa"/>
            <w:shd w:val="clear" w:color="auto" w:fill="D9D9D9" w:themeFill="background1" w:themeFillShade="D9"/>
            <w:vAlign w:val="center"/>
          </w:tcPr>
          <w:p w14:paraId="6E027CD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 –</w:t>
            </w:r>
          </w:p>
          <w:p w14:paraId="707CBAB1"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NCASI Calculations Using GHGRP Equations – GHGRP Default DOC and k (Moderate Climate)</w:t>
            </w:r>
          </w:p>
        </w:tc>
        <w:tc>
          <w:tcPr>
            <w:tcW w:w="1440" w:type="dxa"/>
            <w:shd w:val="clear" w:color="auto" w:fill="D9D9D9" w:themeFill="background1" w:themeFillShade="D9"/>
            <w:vAlign w:val="center"/>
          </w:tcPr>
          <w:p w14:paraId="7C13101C"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1990 value</w:t>
            </w:r>
          </w:p>
        </w:tc>
        <w:tc>
          <w:tcPr>
            <w:tcW w:w="1350" w:type="dxa"/>
            <w:shd w:val="clear" w:color="auto" w:fill="D9D9D9" w:themeFill="background1" w:themeFillShade="D9"/>
            <w:vAlign w:val="center"/>
          </w:tcPr>
          <w:p w14:paraId="025DED1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2005 value</w:t>
            </w:r>
          </w:p>
        </w:tc>
      </w:tr>
      <w:tr w:rsidR="001D05E2" w:rsidRPr="001D05E2" w14:paraId="36B488E9" w14:textId="77777777" w:rsidTr="00360B83">
        <w:trPr>
          <w:trHeight w:val="300"/>
          <w:jc w:val="center"/>
        </w:trPr>
        <w:tc>
          <w:tcPr>
            <w:tcW w:w="1080" w:type="dxa"/>
            <w:noWrap/>
            <w:vAlign w:val="center"/>
            <w:hideMark/>
          </w:tcPr>
          <w:p w14:paraId="68EAB12C"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3595" w:type="dxa"/>
            <w:noWrap/>
          </w:tcPr>
          <w:p w14:paraId="0E9BCEC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7,700</w:t>
            </w:r>
          </w:p>
        </w:tc>
        <w:tc>
          <w:tcPr>
            <w:tcW w:w="1440" w:type="dxa"/>
          </w:tcPr>
          <w:p w14:paraId="0A58BAC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1350" w:type="dxa"/>
            <w:vAlign w:val="center"/>
          </w:tcPr>
          <w:p w14:paraId="09024242" w14:textId="77777777" w:rsidR="001D05E2" w:rsidRPr="001D05E2" w:rsidRDefault="001D05E2" w:rsidP="001D05E2">
            <w:pPr>
              <w:jc w:val="center"/>
              <w:rPr>
                <w:rFonts w:ascii="Times New Roman" w:hAnsi="Times New Roman" w:cs="Times New Roman"/>
                <w:iCs/>
              </w:rPr>
            </w:pPr>
          </w:p>
        </w:tc>
      </w:tr>
      <w:tr w:rsidR="001D05E2" w:rsidRPr="001D05E2" w14:paraId="30A60210" w14:textId="77777777" w:rsidTr="00360B83">
        <w:trPr>
          <w:trHeight w:val="300"/>
          <w:jc w:val="center"/>
        </w:trPr>
        <w:tc>
          <w:tcPr>
            <w:tcW w:w="1080" w:type="dxa"/>
            <w:noWrap/>
            <w:vAlign w:val="center"/>
            <w:hideMark/>
          </w:tcPr>
          <w:p w14:paraId="46F52F8E"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3595" w:type="dxa"/>
            <w:noWrap/>
          </w:tcPr>
          <w:p w14:paraId="472E3D6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10,800</w:t>
            </w:r>
          </w:p>
        </w:tc>
        <w:tc>
          <w:tcPr>
            <w:tcW w:w="1440" w:type="dxa"/>
          </w:tcPr>
          <w:p w14:paraId="53F6FBC0"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1.41</w:t>
            </w:r>
          </w:p>
        </w:tc>
        <w:tc>
          <w:tcPr>
            <w:tcW w:w="1350" w:type="dxa"/>
          </w:tcPr>
          <w:p w14:paraId="4524D25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63562071" w14:textId="77777777" w:rsidTr="00360B83">
        <w:trPr>
          <w:trHeight w:val="315"/>
          <w:jc w:val="center"/>
        </w:trPr>
        <w:tc>
          <w:tcPr>
            <w:tcW w:w="1080" w:type="dxa"/>
            <w:noWrap/>
            <w:vAlign w:val="center"/>
            <w:hideMark/>
          </w:tcPr>
          <w:p w14:paraId="6BA9EAF7"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3595" w:type="dxa"/>
            <w:noWrap/>
          </w:tcPr>
          <w:p w14:paraId="70A7E6A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11,800</w:t>
            </w:r>
          </w:p>
        </w:tc>
        <w:tc>
          <w:tcPr>
            <w:tcW w:w="1440" w:type="dxa"/>
          </w:tcPr>
          <w:p w14:paraId="7449C99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1.53</w:t>
            </w:r>
          </w:p>
        </w:tc>
        <w:tc>
          <w:tcPr>
            <w:tcW w:w="1350" w:type="dxa"/>
          </w:tcPr>
          <w:p w14:paraId="4DC6EBE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1.09</w:t>
            </w:r>
          </w:p>
        </w:tc>
      </w:tr>
    </w:tbl>
    <w:p w14:paraId="7A27691D" w14:textId="77777777" w:rsidR="001D05E2" w:rsidRPr="001D05E2" w:rsidRDefault="001D05E2" w:rsidP="001D05E2">
      <w:pPr>
        <w:rPr>
          <w:rFonts w:ascii="Times New Roman" w:hAnsi="Times New Roman" w:cs="Times New Roman"/>
        </w:rPr>
      </w:pPr>
    </w:p>
    <w:p w14:paraId="54F8641C"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Estimates for Other Waste from Pulp and Paper Mills</w:t>
      </w:r>
    </w:p>
    <w:p w14:paraId="582579A3" w14:textId="7CCBBE53"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In addition to WWTR, ash, and recovery wastes, many mills dispose of other materials in landfills. These other materials can include wood yard waste, pulp mill and paper mill rejects, and miscellaneous refuse. The types and quantities vary among mills, as do the methods used for disposal. The amounts of other waste were derived using the same set of data as described for recovery area wastes, using the assumption that all “other waste” reported in NCASI surveys that is </w:t>
      </w:r>
      <w:r w:rsidRPr="001D05E2">
        <w:rPr>
          <w:rFonts w:ascii="Times New Roman" w:hAnsi="Times New Roman" w:cs="Times New Roman"/>
          <w:iCs/>
          <w:u w:val="single"/>
        </w:rPr>
        <w:t>not</w:t>
      </w:r>
      <w:r w:rsidRPr="001D05E2">
        <w:rPr>
          <w:rFonts w:ascii="Times New Roman" w:hAnsi="Times New Roman" w:cs="Times New Roman"/>
          <w:iCs/>
        </w:rPr>
        <w:t xml:space="preserve"> from the recovery area could be considered “other pulp and paper wastes” as described in GHGRP rules (US EPA 2023</w:t>
      </w:r>
      <w:r w:rsidRPr="001D05E2">
        <w:rPr>
          <w:rFonts w:ascii="Times New Roman" w:hAnsi="Times New Roman" w:cs="Times New Roman"/>
          <w:iCs/>
        </w:rPr>
        <w:fldChar w:fldCharType="begin"/>
      </w:r>
      <w:r w:rsidR="002F7F0B">
        <w:rPr>
          <w:rFonts w:ascii="Times New Roman" w:hAnsi="Times New Roman" w:cs="Times New Roman"/>
          <w:iCs/>
        </w:rPr>
        <w:instrText xml:space="preserve"> ADDIN ZOTERO_ITEM CSL_CITATION {"citationID":"bZMUJb8K","properties":{"formattedCitation":"\\super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iCs/>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iCs/>
        </w:rPr>
        <w:fldChar w:fldCharType="end"/>
      </w:r>
      <w:r w:rsidRPr="001D05E2">
        <w:rPr>
          <w:rFonts w:ascii="Times New Roman" w:hAnsi="Times New Roman" w:cs="Times New Roman"/>
          <w:iCs/>
        </w:rPr>
        <w:t xml:space="preserve">, Subpart TT Table TT-1). For years up to 1995, this resulted in a </w:t>
      </w:r>
      <w:r w:rsidRPr="001D05E2">
        <w:rPr>
          <w:rFonts w:ascii="Times New Roman" w:hAnsi="Times New Roman" w:cs="Times New Roman"/>
          <w:iCs/>
        </w:rPr>
        <w:lastRenderedPageBreak/>
        <w:t>value of 51.5 dry kg per metric ton. This declined to 29.5 to 31 kg per metric ton between 2004 and 2015, when it began increasing, reaching 35.5 kg per metric ton in 2020. Dry weights were converted to wet weights using a solids content of 53%, derived from Table 3.3 of NCASI 2019</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{"citationID":"niTESOin","properties":{"formattedCitation":"\\super 31\\nosupersub{}","plainCitation":"31","noteIndex":0},"citationItems":[{"id":78,"uris":["http://zotero.org/users/18184231/items/VGD5UWTS"],"itemData":{"id":78,"type":"report","event-place":"Cary,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31</w:t>
      </w:r>
      <w:r w:rsidRPr="001D05E2">
        <w:rPr>
          <w:rFonts w:ascii="Times New Roman" w:hAnsi="Times New Roman" w:cs="Times New Roman"/>
          <w:iCs/>
        </w:rPr>
        <w:fldChar w:fldCharType="end"/>
      </w:r>
      <w:r w:rsidRPr="001D05E2">
        <w:rPr>
          <w:rFonts w:ascii="Times New Roman" w:hAnsi="Times New Roman" w:cs="Times New Roman"/>
          <w:iCs/>
        </w:rPr>
        <w:t xml:space="preserve">. This is the simple average of the reported values for virgin fiber pulping rejects, secondary fiber pulping rejects (deinking and other), </w:t>
      </w:r>
      <w:proofErr w:type="spellStart"/>
      <w:r w:rsidRPr="001D05E2">
        <w:rPr>
          <w:rFonts w:ascii="Times New Roman" w:hAnsi="Times New Roman" w:cs="Times New Roman"/>
          <w:iCs/>
        </w:rPr>
        <w:t>uncombusted</w:t>
      </w:r>
      <w:proofErr w:type="spellEnd"/>
      <w:r w:rsidRPr="001D05E2">
        <w:rPr>
          <w:rFonts w:ascii="Times New Roman" w:hAnsi="Times New Roman" w:cs="Times New Roman"/>
          <w:iCs/>
        </w:rPr>
        <w:t xml:space="preserve"> woodyard residuals, process water treatment solid residuals, and general mill refuse. The fraction landfilled (0.342) was derived from data in Figure 11 and Table 8 in NCASI 1999a</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{"citationID":"TeGcXOVp","properties":{"formattedCitation":"\\super 32\\nosupersub{}","plainCitation":"32","noteIndex":0},"citationItems":[{"id":83,"uris":["http://zotero.org/users/18184231/items/5BGCHVGQ"],"itemData":{"id":83,"type":"report","event-place":"Cary, NC","number":"Technical Bulletin 793","publisher":"NCASI","publisher-place":"Cary, NC","title":"Solid Waste Management and Disposal Practices in the US Paper Industry−1995","author":[{"family":"NCASI","given":""}],"issued":{"date-parts":[["1999"]]}}}],"schema":"https://github.com/citation-style-language/schema/raw/master/csl-citation.json"}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32</w:t>
      </w:r>
      <w:r w:rsidRPr="001D05E2">
        <w:rPr>
          <w:rFonts w:ascii="Times New Roman" w:hAnsi="Times New Roman" w:cs="Times New Roman"/>
          <w:iCs/>
        </w:rPr>
        <w:fldChar w:fldCharType="end"/>
      </w:r>
      <w:r w:rsidRPr="001D05E2">
        <w:rPr>
          <w:rFonts w:ascii="Times New Roman" w:hAnsi="Times New Roman" w:cs="Times New Roman"/>
          <w:iCs/>
        </w:rPr>
        <w:t xml:space="preserve"> for nonrecovery area wastes. The model parameter values used to estimate landfill methane emissions attributable to these other solid wastes are shown in Table </w:t>
      </w:r>
      <w:r w:rsidR="00A86F7E">
        <w:rPr>
          <w:rFonts w:ascii="Times New Roman" w:hAnsi="Times New Roman" w:cs="Times New Roman"/>
          <w:iCs/>
        </w:rPr>
        <w:t>S35</w:t>
      </w:r>
      <w:r w:rsidRPr="001D05E2">
        <w:rPr>
          <w:rFonts w:ascii="Times New Roman" w:hAnsi="Times New Roman" w:cs="Times New Roman"/>
          <w:iCs/>
        </w:rPr>
        <w:t xml:space="preserve">. The estimated emissions are shown in Table </w:t>
      </w:r>
      <w:r w:rsidR="00A86F7E">
        <w:rPr>
          <w:rFonts w:ascii="Times New Roman" w:hAnsi="Times New Roman" w:cs="Times New Roman"/>
          <w:iCs/>
        </w:rPr>
        <w:t>S36</w:t>
      </w:r>
      <w:r w:rsidRPr="001D05E2">
        <w:rPr>
          <w:rFonts w:ascii="Times New Roman" w:hAnsi="Times New Roman" w:cs="Times New Roman"/>
          <w:iCs/>
        </w:rPr>
        <w:t xml:space="preserve">. </w:t>
      </w:r>
    </w:p>
    <w:p w14:paraId="4F59683E" w14:textId="77777777" w:rsidR="001D05E2" w:rsidRPr="001D05E2" w:rsidRDefault="001D05E2" w:rsidP="001D05E2">
      <w:pPr>
        <w:rPr>
          <w:rFonts w:ascii="Times New Roman" w:hAnsi="Times New Roman" w:cs="Times New Roman"/>
        </w:rPr>
      </w:pPr>
    </w:p>
    <w:p w14:paraId="3400FD5F" w14:textId="73DE89F9" w:rsidR="001D05E2" w:rsidRPr="001D05E2" w:rsidRDefault="001D05E2" w:rsidP="001D05E2">
      <w:pPr>
        <w:jc w:val="center"/>
        <w:rPr>
          <w:rFonts w:ascii="Times New Roman" w:hAnsi="Times New Roman" w:cs="Times New Roman"/>
        </w:rPr>
      </w:pPr>
      <w:r w:rsidRPr="00A86F7E">
        <w:rPr>
          <w:rFonts w:ascii="Times New Roman" w:hAnsi="Times New Roman" w:cs="Times New Roman"/>
          <w:b/>
          <w:bCs/>
        </w:rPr>
        <w:t xml:space="preserve">Table </w:t>
      </w:r>
      <w:r w:rsidR="00A86F7E" w:rsidRPr="00A86F7E">
        <w:rPr>
          <w:rFonts w:ascii="Times New Roman" w:hAnsi="Times New Roman" w:cs="Times New Roman"/>
          <w:b/>
          <w:bCs/>
        </w:rPr>
        <w:t>S35</w:t>
      </w:r>
      <w:r w:rsidRPr="001D05E2">
        <w:rPr>
          <w:rFonts w:ascii="Times New Roman" w:hAnsi="Times New Roman" w:cs="Times New Roman"/>
        </w:rPr>
        <w:t>. Pulp and Paper Mill “Other” Waste Parameter Values for First Order Decay Model</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1170"/>
        <w:gridCol w:w="3240"/>
        <w:gridCol w:w="3685"/>
      </w:tblGrid>
      <w:tr w:rsidR="001D05E2" w:rsidRPr="001D05E2" w14:paraId="46EDAA63" w14:textId="77777777" w:rsidTr="00360B83">
        <w:trPr>
          <w:jc w:val="center"/>
        </w:trPr>
        <w:tc>
          <w:tcPr>
            <w:tcW w:w="1170" w:type="dxa"/>
            <w:shd w:val="clear" w:color="auto" w:fill="D9D9D9" w:themeFill="background1" w:themeFillShade="D9"/>
          </w:tcPr>
          <w:p w14:paraId="2505001A"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Parameter</w:t>
            </w:r>
          </w:p>
        </w:tc>
        <w:tc>
          <w:tcPr>
            <w:tcW w:w="3240" w:type="dxa"/>
            <w:shd w:val="clear" w:color="auto" w:fill="D9D9D9" w:themeFill="background1" w:themeFillShade="D9"/>
          </w:tcPr>
          <w:p w14:paraId="4BE1B01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Units</w:t>
            </w:r>
          </w:p>
        </w:tc>
        <w:tc>
          <w:tcPr>
            <w:tcW w:w="3685" w:type="dxa"/>
            <w:shd w:val="clear" w:color="auto" w:fill="D9D9D9" w:themeFill="background1" w:themeFillShade="D9"/>
          </w:tcPr>
          <w:p w14:paraId="2C2C9F72" w14:textId="7DF61324" w:rsidR="001D05E2" w:rsidRPr="001D05E2" w:rsidRDefault="001D05E2" w:rsidP="001D05E2">
            <w:pPr>
              <w:rPr>
                <w:rFonts w:ascii="Times New Roman" w:hAnsi="Times New Roman" w:cs="Times New Roman"/>
              </w:rPr>
            </w:pPr>
            <w:r w:rsidRPr="001D05E2">
              <w:rPr>
                <w:rFonts w:ascii="Times New Roman" w:hAnsi="Times New Roman" w:cs="Times New Roman"/>
              </w:rPr>
              <w:t>GHGRP, Subpart TT</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{"citationID":"TxAQ9oUM","properties":{"formattedCitation":"\\super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p>
        </w:tc>
      </w:tr>
      <w:tr w:rsidR="001D05E2" w:rsidRPr="001D05E2" w14:paraId="73C2A704" w14:textId="77777777" w:rsidTr="00360B83">
        <w:trPr>
          <w:jc w:val="center"/>
        </w:trPr>
        <w:tc>
          <w:tcPr>
            <w:tcW w:w="1170" w:type="dxa"/>
          </w:tcPr>
          <w:p w14:paraId="26AE66DE"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DOC</w:t>
            </w:r>
          </w:p>
        </w:tc>
        <w:tc>
          <w:tcPr>
            <w:tcW w:w="3240" w:type="dxa"/>
          </w:tcPr>
          <w:p w14:paraId="0BAD106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kg organic C/kg wet waste</w:t>
            </w:r>
          </w:p>
        </w:tc>
        <w:tc>
          <w:tcPr>
            <w:tcW w:w="3685" w:type="dxa"/>
          </w:tcPr>
          <w:p w14:paraId="095A999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0.2</w:t>
            </w:r>
          </w:p>
        </w:tc>
      </w:tr>
      <w:tr w:rsidR="001D05E2" w:rsidRPr="001D05E2" w14:paraId="5FB3E06C" w14:textId="77777777" w:rsidTr="00360B83">
        <w:trPr>
          <w:jc w:val="center"/>
        </w:trPr>
        <w:tc>
          <w:tcPr>
            <w:tcW w:w="1170" w:type="dxa"/>
          </w:tcPr>
          <w:p w14:paraId="0D8E4602" w14:textId="77777777" w:rsidR="001D05E2" w:rsidRPr="001D05E2" w:rsidRDefault="001D05E2" w:rsidP="001D05E2">
            <w:pPr>
              <w:rPr>
                <w:rFonts w:ascii="Times New Roman" w:hAnsi="Times New Roman" w:cs="Times New Roman"/>
              </w:rPr>
            </w:pPr>
            <w:proofErr w:type="spellStart"/>
            <w:r w:rsidRPr="001D05E2">
              <w:rPr>
                <w:rFonts w:ascii="Times New Roman" w:hAnsi="Times New Roman" w:cs="Times New Roman"/>
              </w:rPr>
              <w:t>DOCf</w:t>
            </w:r>
            <w:proofErr w:type="spellEnd"/>
          </w:p>
        </w:tc>
        <w:tc>
          <w:tcPr>
            <w:tcW w:w="3240" w:type="dxa"/>
          </w:tcPr>
          <w:p w14:paraId="2620707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DOC that will degrade in landfill</w:t>
            </w:r>
          </w:p>
        </w:tc>
        <w:tc>
          <w:tcPr>
            <w:tcW w:w="3685" w:type="dxa"/>
          </w:tcPr>
          <w:p w14:paraId="4586CEA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3C62E110" w14:textId="77777777" w:rsidTr="00360B83">
        <w:trPr>
          <w:jc w:val="center"/>
        </w:trPr>
        <w:tc>
          <w:tcPr>
            <w:tcW w:w="1170" w:type="dxa"/>
          </w:tcPr>
          <w:p w14:paraId="12B568B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k </w:t>
            </w:r>
          </w:p>
        </w:tc>
        <w:tc>
          <w:tcPr>
            <w:tcW w:w="3240" w:type="dxa"/>
          </w:tcPr>
          <w:p w14:paraId="547E703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yr</w:t>
            </w:r>
            <w:r w:rsidRPr="001D05E2">
              <w:rPr>
                <w:rFonts w:ascii="Times New Roman" w:hAnsi="Times New Roman" w:cs="Times New Roman"/>
                <w:vertAlign w:val="superscript"/>
              </w:rPr>
              <w:t>-1</w:t>
            </w:r>
          </w:p>
        </w:tc>
        <w:tc>
          <w:tcPr>
            <w:tcW w:w="3685" w:type="dxa"/>
          </w:tcPr>
          <w:p w14:paraId="11A4025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0.02 (dry climate)</w:t>
            </w:r>
          </w:p>
          <w:p w14:paraId="5BFA8FF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0.03 (moderate climate)</w:t>
            </w:r>
          </w:p>
          <w:p w14:paraId="3671875E"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0.04 (wet climate)</w:t>
            </w:r>
          </w:p>
        </w:tc>
      </w:tr>
      <w:tr w:rsidR="001D05E2" w:rsidRPr="001D05E2" w14:paraId="60DBECB9" w14:textId="77777777" w:rsidTr="00360B83">
        <w:trPr>
          <w:jc w:val="center"/>
        </w:trPr>
        <w:tc>
          <w:tcPr>
            <w:tcW w:w="1170" w:type="dxa"/>
          </w:tcPr>
          <w:p w14:paraId="3860FA5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MCF</w:t>
            </w:r>
          </w:p>
        </w:tc>
        <w:tc>
          <w:tcPr>
            <w:tcW w:w="3240" w:type="dxa"/>
          </w:tcPr>
          <w:p w14:paraId="7B70485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degradable carbon that is subject to anaerobic conditions</w:t>
            </w:r>
          </w:p>
        </w:tc>
        <w:tc>
          <w:tcPr>
            <w:tcW w:w="3685" w:type="dxa"/>
          </w:tcPr>
          <w:p w14:paraId="1D946463"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w:t>
            </w:r>
          </w:p>
        </w:tc>
      </w:tr>
      <w:tr w:rsidR="001D05E2" w:rsidRPr="001D05E2" w14:paraId="70BB0E19" w14:textId="77777777" w:rsidTr="00360B83">
        <w:trPr>
          <w:jc w:val="center"/>
        </w:trPr>
        <w:tc>
          <w:tcPr>
            <w:tcW w:w="1170" w:type="dxa"/>
          </w:tcPr>
          <w:p w14:paraId="70156F5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w:t>
            </w:r>
          </w:p>
        </w:tc>
        <w:tc>
          <w:tcPr>
            <w:tcW w:w="3240" w:type="dxa"/>
          </w:tcPr>
          <w:p w14:paraId="015D394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by volume of CH</w:t>
            </w:r>
            <w:r w:rsidRPr="001D05E2">
              <w:rPr>
                <w:rFonts w:ascii="Times New Roman" w:hAnsi="Times New Roman" w:cs="Times New Roman"/>
                <w:vertAlign w:val="subscript"/>
              </w:rPr>
              <w:t>4</w:t>
            </w:r>
            <w:r w:rsidRPr="001D05E2">
              <w:rPr>
                <w:rFonts w:ascii="Times New Roman" w:hAnsi="Times New Roman" w:cs="Times New Roman"/>
              </w:rPr>
              <w:t xml:space="preserve"> in landfill gas, as generated</w:t>
            </w:r>
          </w:p>
        </w:tc>
        <w:tc>
          <w:tcPr>
            <w:tcW w:w="3685" w:type="dxa"/>
          </w:tcPr>
          <w:p w14:paraId="706BC03E"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230D6B46" w14:textId="77777777" w:rsidTr="00360B83">
        <w:trPr>
          <w:jc w:val="center"/>
        </w:trPr>
        <w:tc>
          <w:tcPr>
            <w:tcW w:w="1170" w:type="dxa"/>
          </w:tcPr>
          <w:p w14:paraId="5318B8F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OX</w:t>
            </w:r>
          </w:p>
        </w:tc>
        <w:tc>
          <w:tcPr>
            <w:tcW w:w="3240" w:type="dxa"/>
          </w:tcPr>
          <w:p w14:paraId="767C942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CH</w:t>
            </w:r>
            <w:r w:rsidRPr="001D05E2">
              <w:rPr>
                <w:rFonts w:ascii="Times New Roman" w:hAnsi="Times New Roman" w:cs="Times New Roman"/>
                <w:vertAlign w:val="subscript"/>
              </w:rPr>
              <w:t>4</w:t>
            </w:r>
            <w:r w:rsidRPr="001D05E2">
              <w:rPr>
                <w:rFonts w:ascii="Times New Roman" w:hAnsi="Times New Roman" w:cs="Times New Roman"/>
              </w:rPr>
              <w:t xml:space="preserve"> that is oxidized before it is released to the atmosphere</w:t>
            </w:r>
          </w:p>
        </w:tc>
        <w:tc>
          <w:tcPr>
            <w:tcW w:w="3685" w:type="dxa"/>
          </w:tcPr>
          <w:p w14:paraId="244C6D6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 (values ranging from 0.0 to 0.35 are listed with the choice depending on site-specific circumstances)</w:t>
            </w:r>
          </w:p>
        </w:tc>
      </w:tr>
    </w:tbl>
    <w:p w14:paraId="54D91D04" w14:textId="77777777" w:rsidR="001D05E2" w:rsidRPr="001D05E2" w:rsidRDefault="001D05E2" w:rsidP="001D05E2">
      <w:pPr>
        <w:rPr>
          <w:rFonts w:ascii="Times New Roman" w:hAnsi="Times New Roman" w:cs="Times New Roman"/>
          <w:iCs/>
        </w:rPr>
      </w:pPr>
    </w:p>
    <w:p w14:paraId="283B1253" w14:textId="5621C694" w:rsidR="001D05E2" w:rsidRPr="001D05E2" w:rsidRDefault="001D05E2" w:rsidP="001D05E2">
      <w:pPr>
        <w:jc w:val="center"/>
        <w:rPr>
          <w:rFonts w:ascii="Times New Roman" w:hAnsi="Times New Roman" w:cs="Times New Roman"/>
          <w:iCs/>
        </w:rPr>
      </w:pPr>
      <w:r w:rsidRPr="00A86F7E">
        <w:rPr>
          <w:rFonts w:ascii="Times New Roman" w:hAnsi="Times New Roman" w:cs="Times New Roman"/>
          <w:b/>
          <w:bCs/>
          <w:iCs/>
        </w:rPr>
        <w:t xml:space="preserve">Table </w:t>
      </w:r>
      <w:r w:rsidR="00A86F7E" w:rsidRPr="00A86F7E">
        <w:rPr>
          <w:rFonts w:ascii="Times New Roman" w:hAnsi="Times New Roman" w:cs="Times New Roman"/>
          <w:b/>
          <w:bCs/>
          <w:iCs/>
        </w:rPr>
        <w:t>S36</w:t>
      </w:r>
      <w:r w:rsidRPr="001D05E2">
        <w:rPr>
          <w:rFonts w:ascii="Times New Roman" w:hAnsi="Times New Roman" w:cs="Times New Roman"/>
          <w:iCs/>
        </w:rPr>
        <w:t>. Methane Emissions Attributable to Landfilled “Other” Wastes from Pulp and Paper Mills</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1080"/>
        <w:gridCol w:w="4585"/>
        <w:gridCol w:w="1530"/>
        <w:gridCol w:w="1350"/>
      </w:tblGrid>
      <w:tr w:rsidR="001D05E2" w:rsidRPr="001D05E2" w14:paraId="3AB058ED" w14:textId="77777777" w:rsidTr="00360B83">
        <w:trPr>
          <w:trHeight w:val="791"/>
          <w:jc w:val="center"/>
        </w:trPr>
        <w:tc>
          <w:tcPr>
            <w:tcW w:w="1080" w:type="dxa"/>
            <w:shd w:val="clear" w:color="auto" w:fill="D9D9D9" w:themeFill="background1" w:themeFillShade="D9"/>
            <w:noWrap/>
            <w:vAlign w:val="center"/>
          </w:tcPr>
          <w:p w14:paraId="7D3AB4E5"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4585" w:type="dxa"/>
            <w:shd w:val="clear" w:color="auto" w:fill="D9D9D9" w:themeFill="background1" w:themeFillShade="D9"/>
            <w:vAlign w:val="center"/>
          </w:tcPr>
          <w:p w14:paraId="503A9E9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 –</w:t>
            </w:r>
          </w:p>
          <w:p w14:paraId="73E3DCC0"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NCASI Calculations Using GHGRP Equations – GHGRP Default DOC and k (Moderate Climate)</w:t>
            </w:r>
          </w:p>
        </w:tc>
        <w:tc>
          <w:tcPr>
            <w:tcW w:w="1530" w:type="dxa"/>
            <w:shd w:val="clear" w:color="auto" w:fill="D9D9D9" w:themeFill="background1" w:themeFillShade="D9"/>
            <w:vAlign w:val="center"/>
          </w:tcPr>
          <w:p w14:paraId="0798AB4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1990 value</w:t>
            </w:r>
          </w:p>
        </w:tc>
        <w:tc>
          <w:tcPr>
            <w:tcW w:w="1350" w:type="dxa"/>
            <w:shd w:val="clear" w:color="auto" w:fill="D9D9D9" w:themeFill="background1" w:themeFillShade="D9"/>
            <w:vAlign w:val="center"/>
          </w:tcPr>
          <w:p w14:paraId="06EFDAF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2005 value</w:t>
            </w:r>
          </w:p>
        </w:tc>
      </w:tr>
      <w:tr w:rsidR="001D05E2" w:rsidRPr="001D05E2" w14:paraId="04177494" w14:textId="77777777" w:rsidTr="00360B83">
        <w:trPr>
          <w:trHeight w:val="300"/>
          <w:jc w:val="center"/>
        </w:trPr>
        <w:tc>
          <w:tcPr>
            <w:tcW w:w="1080" w:type="dxa"/>
            <w:noWrap/>
            <w:vAlign w:val="center"/>
            <w:hideMark/>
          </w:tcPr>
          <w:p w14:paraId="1A50471A"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4585" w:type="dxa"/>
            <w:noWrap/>
          </w:tcPr>
          <w:p w14:paraId="14C4837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71,800</w:t>
            </w:r>
          </w:p>
        </w:tc>
        <w:tc>
          <w:tcPr>
            <w:tcW w:w="1530" w:type="dxa"/>
          </w:tcPr>
          <w:p w14:paraId="51F44FF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1350" w:type="dxa"/>
            <w:vAlign w:val="center"/>
          </w:tcPr>
          <w:p w14:paraId="24AC6124" w14:textId="77777777" w:rsidR="001D05E2" w:rsidRPr="001D05E2" w:rsidRDefault="001D05E2" w:rsidP="001D05E2">
            <w:pPr>
              <w:jc w:val="center"/>
              <w:rPr>
                <w:rFonts w:ascii="Times New Roman" w:hAnsi="Times New Roman" w:cs="Times New Roman"/>
                <w:iCs/>
              </w:rPr>
            </w:pPr>
          </w:p>
        </w:tc>
      </w:tr>
      <w:tr w:rsidR="001D05E2" w:rsidRPr="001D05E2" w14:paraId="13AEA4BC" w14:textId="77777777" w:rsidTr="00360B83">
        <w:trPr>
          <w:trHeight w:val="300"/>
          <w:jc w:val="center"/>
        </w:trPr>
        <w:tc>
          <w:tcPr>
            <w:tcW w:w="1080" w:type="dxa"/>
            <w:noWrap/>
            <w:vAlign w:val="center"/>
            <w:hideMark/>
          </w:tcPr>
          <w:p w14:paraId="12E004B8"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4585" w:type="dxa"/>
            <w:noWrap/>
          </w:tcPr>
          <w:p w14:paraId="3721CE1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98,800</w:t>
            </w:r>
          </w:p>
        </w:tc>
        <w:tc>
          <w:tcPr>
            <w:tcW w:w="1530" w:type="dxa"/>
          </w:tcPr>
          <w:p w14:paraId="26EC8B5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1.38</w:t>
            </w:r>
          </w:p>
        </w:tc>
        <w:tc>
          <w:tcPr>
            <w:tcW w:w="1350" w:type="dxa"/>
          </w:tcPr>
          <w:p w14:paraId="5BA9946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63C51C9F" w14:textId="77777777" w:rsidTr="00360B83">
        <w:trPr>
          <w:trHeight w:val="315"/>
          <w:jc w:val="center"/>
        </w:trPr>
        <w:tc>
          <w:tcPr>
            <w:tcW w:w="1080" w:type="dxa"/>
            <w:noWrap/>
            <w:vAlign w:val="center"/>
            <w:hideMark/>
          </w:tcPr>
          <w:p w14:paraId="2DF2830F"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4585" w:type="dxa"/>
            <w:noWrap/>
          </w:tcPr>
          <w:p w14:paraId="4B9AAA3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100,300</w:t>
            </w:r>
          </w:p>
        </w:tc>
        <w:tc>
          <w:tcPr>
            <w:tcW w:w="1530" w:type="dxa"/>
          </w:tcPr>
          <w:p w14:paraId="0781030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1.40</w:t>
            </w:r>
          </w:p>
        </w:tc>
        <w:tc>
          <w:tcPr>
            <w:tcW w:w="1350" w:type="dxa"/>
          </w:tcPr>
          <w:p w14:paraId="7B5E17D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1.01</w:t>
            </w:r>
          </w:p>
        </w:tc>
      </w:tr>
    </w:tbl>
    <w:p w14:paraId="1BE7DC4D" w14:textId="77777777" w:rsidR="001D05E2" w:rsidRPr="001D05E2" w:rsidRDefault="001D05E2" w:rsidP="001D05E2">
      <w:pPr>
        <w:rPr>
          <w:rFonts w:ascii="Times New Roman" w:hAnsi="Times New Roman" w:cs="Times New Roman"/>
          <w:i/>
          <w:iCs/>
        </w:rPr>
      </w:pPr>
    </w:p>
    <w:p w14:paraId="28FB35F7"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Estimates Assuming All Landfilled Waste, Except WWTR, is Combined</w:t>
      </w:r>
    </w:p>
    <w:p w14:paraId="4851FCDA" w14:textId="505471CC" w:rsidR="001D05E2" w:rsidRPr="001D05E2" w:rsidRDefault="001D05E2" w:rsidP="001D05E2">
      <w:pPr>
        <w:rPr>
          <w:rFonts w:ascii="Times New Roman" w:hAnsi="Times New Roman" w:cs="Times New Roman"/>
          <w:iCs/>
        </w:rPr>
      </w:pPr>
      <w:r w:rsidRPr="001D05E2">
        <w:rPr>
          <w:rFonts w:ascii="Times New Roman" w:hAnsi="Times New Roman" w:cs="Times New Roman"/>
          <w:iCs/>
        </w:rPr>
        <w:t>US EPA’s GHGRP includes parameter values for pulp and paper combined wastes, not including WWTR</w:t>
      </w:r>
      <w:r w:rsidRPr="001D05E2">
        <w:rPr>
          <w:rFonts w:ascii="Times New Roman" w:hAnsi="Times New Roman" w:cs="Times New Roman"/>
          <w:iCs/>
        </w:rPr>
        <w:fldChar w:fldCharType="begin"/>
      </w:r>
      <w:r w:rsidR="002F7F0B">
        <w:rPr>
          <w:rFonts w:ascii="Times New Roman" w:hAnsi="Times New Roman" w:cs="Times New Roman"/>
          <w:iCs/>
        </w:rPr>
        <w:instrText xml:space="preserve"> ADDIN ZOTERO_ITEM CSL_CITATION {"citationID":"NwCFnYqL","properties":{"formattedCitation":"\\super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iCs/>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iCs/>
        </w:rPr>
        <w:fldChar w:fldCharType="end"/>
      </w:r>
      <w:r w:rsidRPr="001D05E2">
        <w:rPr>
          <w:rFonts w:ascii="Times New Roman" w:hAnsi="Times New Roman" w:cs="Times New Roman"/>
          <w:iCs/>
        </w:rPr>
        <w:t xml:space="preserve">. The methods used to estimate quantities of the individual materials are described earlier in this report. These were summed (not including WWTR) to perform calculations using </w:t>
      </w:r>
      <w:r w:rsidRPr="001D05E2">
        <w:rPr>
          <w:rFonts w:ascii="Times New Roman" w:hAnsi="Times New Roman" w:cs="Times New Roman"/>
          <w:iCs/>
        </w:rPr>
        <w:lastRenderedPageBreak/>
        <w:t xml:space="preserve">this additional category in the GHGRP. The parameter values are shown in Table </w:t>
      </w:r>
      <w:r w:rsidR="00A86F7E">
        <w:rPr>
          <w:rFonts w:ascii="Times New Roman" w:hAnsi="Times New Roman" w:cs="Times New Roman"/>
          <w:iCs/>
        </w:rPr>
        <w:t>S37</w:t>
      </w:r>
      <w:r w:rsidRPr="001D05E2">
        <w:rPr>
          <w:rFonts w:ascii="Times New Roman" w:hAnsi="Times New Roman" w:cs="Times New Roman"/>
          <w:iCs/>
        </w:rPr>
        <w:t xml:space="preserve"> and the results in Table </w:t>
      </w:r>
      <w:r w:rsidR="00A86F7E">
        <w:rPr>
          <w:rFonts w:ascii="Times New Roman" w:hAnsi="Times New Roman" w:cs="Times New Roman"/>
          <w:iCs/>
        </w:rPr>
        <w:t>S38</w:t>
      </w:r>
      <w:r w:rsidRPr="001D05E2">
        <w:rPr>
          <w:rFonts w:ascii="Times New Roman" w:hAnsi="Times New Roman" w:cs="Times New Roman"/>
          <w:iCs/>
        </w:rPr>
        <w:t xml:space="preserve">. When ash was assumed to be landfilled at 60% solids, the weighted average solids content for the combined </w:t>
      </w:r>
      <w:proofErr w:type="gramStart"/>
      <w:r w:rsidRPr="001D05E2">
        <w:rPr>
          <w:rFonts w:ascii="Times New Roman" w:hAnsi="Times New Roman" w:cs="Times New Roman"/>
          <w:iCs/>
        </w:rPr>
        <w:t>wastes</w:t>
      </w:r>
      <w:proofErr w:type="gramEnd"/>
      <w:r w:rsidRPr="001D05E2">
        <w:rPr>
          <w:rFonts w:ascii="Times New Roman" w:hAnsi="Times New Roman" w:cs="Times New Roman"/>
          <w:iCs/>
        </w:rPr>
        <w:t xml:space="preserve"> was also assumed to be at 60%.</w:t>
      </w:r>
    </w:p>
    <w:p w14:paraId="100834B6" w14:textId="1C474A76"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estimated emissions from assumed combined landfilling of ash, recovery area wastes, and “other” wastes are almost double those calculated when the three emissions are estimated separately, as shown in Table </w:t>
      </w:r>
      <w:r w:rsidR="00A86F7E">
        <w:rPr>
          <w:rFonts w:ascii="Times New Roman" w:hAnsi="Times New Roman" w:cs="Times New Roman"/>
          <w:iCs/>
        </w:rPr>
        <w:t>S39</w:t>
      </w:r>
      <w:r w:rsidRPr="001D05E2">
        <w:rPr>
          <w:rFonts w:ascii="Times New Roman" w:hAnsi="Times New Roman" w:cs="Times New Roman"/>
          <w:iCs/>
        </w:rPr>
        <w:t>. An analysis of the calculations indicates that the difference is primarily due to the large difference between the DOC value for ash managed separately (DOC = 0.06) compared to the value applied if it is combined with other non-WWTR wastes (DOC = 0.15). As noted previously, most of the ash from the forest products industry is low in organic content and high in pH, suggesting that the amounts of methane produced from it would be low. Based on this, it is the authors’ judgment that the higher estimate of methane emissions associated with US EPA’s parameter values for combined wastes is less reliable than the lower value obtained by examining the wastes separately.</w:t>
      </w:r>
    </w:p>
    <w:p w14:paraId="25DAE935" w14:textId="6E83FE35" w:rsidR="001D05E2" w:rsidRPr="001D05E2" w:rsidRDefault="001D05E2" w:rsidP="001D05E2">
      <w:pPr>
        <w:jc w:val="center"/>
        <w:rPr>
          <w:rFonts w:ascii="Times New Roman" w:hAnsi="Times New Roman" w:cs="Times New Roman"/>
        </w:rPr>
      </w:pPr>
      <w:r w:rsidRPr="00A86F7E">
        <w:rPr>
          <w:rFonts w:ascii="Times New Roman" w:hAnsi="Times New Roman" w:cs="Times New Roman"/>
          <w:b/>
          <w:bCs/>
        </w:rPr>
        <w:t xml:space="preserve">Table </w:t>
      </w:r>
      <w:r w:rsidR="00A86F7E" w:rsidRPr="00A86F7E">
        <w:rPr>
          <w:rFonts w:ascii="Times New Roman" w:hAnsi="Times New Roman" w:cs="Times New Roman"/>
          <w:b/>
          <w:bCs/>
        </w:rPr>
        <w:t>S37</w:t>
      </w:r>
      <w:r w:rsidRPr="001D05E2">
        <w:rPr>
          <w:rFonts w:ascii="Times New Roman" w:hAnsi="Times New Roman" w:cs="Times New Roman"/>
        </w:rPr>
        <w:t>. First Order Decay Model Parameters for non-WWTR Combined Wastes</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1108"/>
        <w:gridCol w:w="4202"/>
        <w:gridCol w:w="3510"/>
      </w:tblGrid>
      <w:tr w:rsidR="001D05E2" w:rsidRPr="001D05E2" w14:paraId="598DC5FC" w14:textId="77777777" w:rsidTr="00360B83">
        <w:trPr>
          <w:jc w:val="center"/>
        </w:trPr>
        <w:tc>
          <w:tcPr>
            <w:tcW w:w="1108" w:type="dxa"/>
            <w:shd w:val="clear" w:color="auto" w:fill="D9D9D9" w:themeFill="background1" w:themeFillShade="D9"/>
          </w:tcPr>
          <w:p w14:paraId="5A316DD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Parameter</w:t>
            </w:r>
          </w:p>
        </w:tc>
        <w:tc>
          <w:tcPr>
            <w:tcW w:w="4202" w:type="dxa"/>
            <w:shd w:val="clear" w:color="auto" w:fill="D9D9D9" w:themeFill="background1" w:themeFillShade="D9"/>
          </w:tcPr>
          <w:p w14:paraId="354FDE4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Units</w:t>
            </w:r>
          </w:p>
        </w:tc>
        <w:tc>
          <w:tcPr>
            <w:tcW w:w="3510" w:type="dxa"/>
            <w:shd w:val="clear" w:color="auto" w:fill="D9D9D9" w:themeFill="background1" w:themeFillShade="D9"/>
          </w:tcPr>
          <w:p w14:paraId="540EDEFF" w14:textId="2E42B7BB" w:rsidR="001D05E2" w:rsidRPr="001D05E2" w:rsidRDefault="001D05E2" w:rsidP="001D05E2">
            <w:pPr>
              <w:rPr>
                <w:rFonts w:ascii="Times New Roman" w:hAnsi="Times New Roman" w:cs="Times New Roman"/>
              </w:rPr>
            </w:pPr>
            <w:r w:rsidRPr="001D05E2">
              <w:rPr>
                <w:rFonts w:ascii="Times New Roman" w:hAnsi="Times New Roman" w:cs="Times New Roman"/>
              </w:rPr>
              <w:t>GHGRP, Subpart TT</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{"citationID":"cgMYY2lS","properties":{"formattedCitation":"\\super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p>
        </w:tc>
      </w:tr>
      <w:tr w:rsidR="001D05E2" w:rsidRPr="001D05E2" w14:paraId="19BF83C2" w14:textId="77777777" w:rsidTr="00360B83">
        <w:trPr>
          <w:jc w:val="center"/>
        </w:trPr>
        <w:tc>
          <w:tcPr>
            <w:tcW w:w="1108" w:type="dxa"/>
          </w:tcPr>
          <w:p w14:paraId="2EF13D3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DOC</w:t>
            </w:r>
          </w:p>
        </w:tc>
        <w:tc>
          <w:tcPr>
            <w:tcW w:w="4202" w:type="dxa"/>
          </w:tcPr>
          <w:p w14:paraId="77C6840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kg organic C/kg wet waste</w:t>
            </w:r>
          </w:p>
        </w:tc>
        <w:tc>
          <w:tcPr>
            <w:tcW w:w="3510" w:type="dxa"/>
          </w:tcPr>
          <w:p w14:paraId="15C3F5F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0.15</w:t>
            </w:r>
          </w:p>
        </w:tc>
      </w:tr>
      <w:tr w:rsidR="001D05E2" w:rsidRPr="001D05E2" w14:paraId="424A1EAC" w14:textId="77777777" w:rsidTr="00360B83">
        <w:trPr>
          <w:jc w:val="center"/>
        </w:trPr>
        <w:tc>
          <w:tcPr>
            <w:tcW w:w="1108" w:type="dxa"/>
          </w:tcPr>
          <w:p w14:paraId="632E7574" w14:textId="77777777" w:rsidR="001D05E2" w:rsidRPr="001D05E2" w:rsidRDefault="001D05E2" w:rsidP="001D05E2">
            <w:pPr>
              <w:rPr>
                <w:rFonts w:ascii="Times New Roman" w:hAnsi="Times New Roman" w:cs="Times New Roman"/>
              </w:rPr>
            </w:pPr>
            <w:proofErr w:type="spellStart"/>
            <w:r w:rsidRPr="001D05E2">
              <w:rPr>
                <w:rFonts w:ascii="Times New Roman" w:hAnsi="Times New Roman" w:cs="Times New Roman"/>
              </w:rPr>
              <w:t>DOCf</w:t>
            </w:r>
            <w:proofErr w:type="spellEnd"/>
          </w:p>
        </w:tc>
        <w:tc>
          <w:tcPr>
            <w:tcW w:w="4202" w:type="dxa"/>
          </w:tcPr>
          <w:p w14:paraId="085CC40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DOC that will degrade in landfill</w:t>
            </w:r>
          </w:p>
        </w:tc>
        <w:tc>
          <w:tcPr>
            <w:tcW w:w="3510" w:type="dxa"/>
          </w:tcPr>
          <w:p w14:paraId="69D8EEB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5C3E0DA4" w14:textId="77777777" w:rsidTr="00360B83">
        <w:trPr>
          <w:jc w:val="center"/>
        </w:trPr>
        <w:tc>
          <w:tcPr>
            <w:tcW w:w="1108" w:type="dxa"/>
          </w:tcPr>
          <w:p w14:paraId="30877790" w14:textId="77777777" w:rsidR="001D05E2" w:rsidRPr="001D05E2" w:rsidRDefault="001D05E2" w:rsidP="001D05E2">
            <w:pPr>
              <w:rPr>
                <w:rFonts w:ascii="Times New Roman" w:hAnsi="Times New Roman" w:cs="Times New Roman"/>
              </w:rPr>
            </w:pPr>
          </w:p>
          <w:p w14:paraId="5802A94D"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k </w:t>
            </w:r>
          </w:p>
        </w:tc>
        <w:tc>
          <w:tcPr>
            <w:tcW w:w="4202" w:type="dxa"/>
          </w:tcPr>
          <w:p w14:paraId="7925CE94" w14:textId="77777777" w:rsidR="001D05E2" w:rsidRPr="001D05E2" w:rsidRDefault="001D05E2" w:rsidP="001D05E2">
            <w:pPr>
              <w:rPr>
                <w:rFonts w:ascii="Times New Roman" w:hAnsi="Times New Roman" w:cs="Times New Roman"/>
              </w:rPr>
            </w:pPr>
          </w:p>
          <w:p w14:paraId="3A72FB4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yr</w:t>
            </w:r>
            <w:r w:rsidRPr="001D05E2">
              <w:rPr>
                <w:rFonts w:ascii="Times New Roman" w:hAnsi="Times New Roman" w:cs="Times New Roman"/>
                <w:vertAlign w:val="superscript"/>
              </w:rPr>
              <w:t>-1</w:t>
            </w:r>
          </w:p>
        </w:tc>
        <w:tc>
          <w:tcPr>
            <w:tcW w:w="3510" w:type="dxa"/>
          </w:tcPr>
          <w:p w14:paraId="681EA1D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0.02 (dry climate)</w:t>
            </w:r>
          </w:p>
          <w:p w14:paraId="7A33A72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0.03 (moderate climate)</w:t>
            </w:r>
          </w:p>
          <w:p w14:paraId="2AA021D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0.04 (wet climate)</w:t>
            </w:r>
          </w:p>
        </w:tc>
      </w:tr>
      <w:tr w:rsidR="001D05E2" w:rsidRPr="001D05E2" w14:paraId="6C89E749" w14:textId="77777777" w:rsidTr="00360B83">
        <w:trPr>
          <w:jc w:val="center"/>
        </w:trPr>
        <w:tc>
          <w:tcPr>
            <w:tcW w:w="1108" w:type="dxa"/>
          </w:tcPr>
          <w:p w14:paraId="539E27B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MCF</w:t>
            </w:r>
          </w:p>
        </w:tc>
        <w:tc>
          <w:tcPr>
            <w:tcW w:w="4202" w:type="dxa"/>
          </w:tcPr>
          <w:p w14:paraId="7565865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degradable carbon that is subject to anaerobic conditions</w:t>
            </w:r>
          </w:p>
        </w:tc>
        <w:tc>
          <w:tcPr>
            <w:tcW w:w="3510" w:type="dxa"/>
          </w:tcPr>
          <w:p w14:paraId="52DFBE0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w:t>
            </w:r>
          </w:p>
        </w:tc>
      </w:tr>
      <w:tr w:rsidR="001D05E2" w:rsidRPr="001D05E2" w14:paraId="421D62DC" w14:textId="77777777" w:rsidTr="00360B83">
        <w:trPr>
          <w:jc w:val="center"/>
        </w:trPr>
        <w:tc>
          <w:tcPr>
            <w:tcW w:w="1108" w:type="dxa"/>
          </w:tcPr>
          <w:p w14:paraId="017AC61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w:t>
            </w:r>
          </w:p>
        </w:tc>
        <w:tc>
          <w:tcPr>
            <w:tcW w:w="4202" w:type="dxa"/>
          </w:tcPr>
          <w:p w14:paraId="5E0D5F6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by volume of CH</w:t>
            </w:r>
            <w:r w:rsidRPr="001D05E2">
              <w:rPr>
                <w:rFonts w:ascii="Times New Roman" w:hAnsi="Times New Roman" w:cs="Times New Roman"/>
                <w:vertAlign w:val="subscript"/>
              </w:rPr>
              <w:t>4</w:t>
            </w:r>
            <w:r w:rsidRPr="001D05E2">
              <w:rPr>
                <w:rFonts w:ascii="Times New Roman" w:hAnsi="Times New Roman" w:cs="Times New Roman"/>
              </w:rPr>
              <w:t xml:space="preserve"> in landfill gas, as generated</w:t>
            </w:r>
          </w:p>
        </w:tc>
        <w:tc>
          <w:tcPr>
            <w:tcW w:w="3510" w:type="dxa"/>
          </w:tcPr>
          <w:p w14:paraId="4211DB7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0FEA4B93" w14:textId="77777777" w:rsidTr="00360B83">
        <w:trPr>
          <w:jc w:val="center"/>
        </w:trPr>
        <w:tc>
          <w:tcPr>
            <w:tcW w:w="1108" w:type="dxa"/>
          </w:tcPr>
          <w:p w14:paraId="7C666AB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OX</w:t>
            </w:r>
          </w:p>
        </w:tc>
        <w:tc>
          <w:tcPr>
            <w:tcW w:w="4202" w:type="dxa"/>
          </w:tcPr>
          <w:p w14:paraId="0018AB5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CH</w:t>
            </w:r>
            <w:r w:rsidRPr="001D05E2">
              <w:rPr>
                <w:rFonts w:ascii="Times New Roman" w:hAnsi="Times New Roman" w:cs="Times New Roman"/>
                <w:vertAlign w:val="subscript"/>
              </w:rPr>
              <w:t xml:space="preserve">4 </w:t>
            </w:r>
            <w:r w:rsidRPr="001D05E2">
              <w:rPr>
                <w:rFonts w:ascii="Times New Roman" w:hAnsi="Times New Roman" w:cs="Times New Roman"/>
              </w:rPr>
              <w:t>that is oxidized before it is released to the atmosphere</w:t>
            </w:r>
          </w:p>
        </w:tc>
        <w:tc>
          <w:tcPr>
            <w:tcW w:w="3510" w:type="dxa"/>
          </w:tcPr>
          <w:p w14:paraId="4D71558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 (values ranging from 0.0 to 0.35 are listed with the choice depending on site-specific circumstances)</w:t>
            </w:r>
          </w:p>
        </w:tc>
      </w:tr>
    </w:tbl>
    <w:p w14:paraId="2A62045F" w14:textId="77777777" w:rsidR="001D05E2" w:rsidRPr="001D05E2" w:rsidRDefault="001D05E2" w:rsidP="001D05E2">
      <w:pPr>
        <w:rPr>
          <w:rFonts w:ascii="Times New Roman" w:hAnsi="Times New Roman" w:cs="Times New Roman"/>
          <w:iCs/>
        </w:rPr>
      </w:pPr>
    </w:p>
    <w:p w14:paraId="63B007FB" w14:textId="3793357E" w:rsidR="001D05E2" w:rsidRPr="001D05E2" w:rsidRDefault="001D05E2" w:rsidP="001D05E2">
      <w:pPr>
        <w:rPr>
          <w:rFonts w:ascii="Times New Roman" w:hAnsi="Times New Roman" w:cs="Times New Roman"/>
          <w:iCs/>
        </w:rPr>
      </w:pPr>
      <w:r w:rsidRPr="00A86F7E">
        <w:rPr>
          <w:rFonts w:ascii="Times New Roman" w:hAnsi="Times New Roman" w:cs="Times New Roman"/>
          <w:b/>
          <w:bCs/>
          <w:iCs/>
        </w:rPr>
        <w:t xml:space="preserve">Table </w:t>
      </w:r>
      <w:r w:rsidR="00A86F7E" w:rsidRPr="00A86F7E">
        <w:rPr>
          <w:rFonts w:ascii="Times New Roman" w:hAnsi="Times New Roman" w:cs="Times New Roman"/>
          <w:b/>
          <w:bCs/>
          <w:iCs/>
        </w:rPr>
        <w:t>S38</w:t>
      </w:r>
      <w:r w:rsidRPr="001D05E2">
        <w:rPr>
          <w:rFonts w:ascii="Times New Roman" w:hAnsi="Times New Roman" w:cs="Times New Roman"/>
          <w:iCs/>
        </w:rPr>
        <w:t>. Methane Emissions for Non-WWTR Combined Wastes from Pulp and Paper Mills</w:t>
      </w:r>
    </w:p>
    <w:tbl>
      <w:tblPr>
        <w:tblStyle w:val="TableGrid3"/>
        <w:tblW w:w="9355" w:type="dxa"/>
        <w:tblBorders>
          <w:left w:val="none" w:sz="0" w:space="0" w:color="auto"/>
          <w:right w:val="none" w:sz="0" w:space="0" w:color="auto"/>
        </w:tblBorders>
        <w:tblLook w:val="04A0" w:firstRow="1" w:lastRow="0" w:firstColumn="1" w:lastColumn="0" w:noHBand="0" w:noVBand="1"/>
      </w:tblPr>
      <w:tblGrid>
        <w:gridCol w:w="794"/>
        <w:gridCol w:w="6041"/>
        <w:gridCol w:w="1260"/>
        <w:gridCol w:w="1260"/>
      </w:tblGrid>
      <w:tr w:rsidR="001D05E2" w:rsidRPr="001D05E2" w14:paraId="61A1EAE9" w14:textId="77777777" w:rsidTr="00360B83">
        <w:trPr>
          <w:trHeight w:val="422"/>
        </w:trPr>
        <w:tc>
          <w:tcPr>
            <w:tcW w:w="794" w:type="dxa"/>
            <w:vMerge w:val="restart"/>
            <w:shd w:val="clear" w:color="auto" w:fill="D9D9D9" w:themeFill="background1" w:themeFillShade="D9"/>
            <w:noWrap/>
            <w:vAlign w:val="center"/>
          </w:tcPr>
          <w:p w14:paraId="732F0C49"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6041" w:type="dxa"/>
            <w:shd w:val="clear" w:color="auto" w:fill="D9D9D9" w:themeFill="background1" w:themeFillShade="D9"/>
            <w:vAlign w:val="center"/>
          </w:tcPr>
          <w:p w14:paraId="6EF7402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w:t>
            </w:r>
          </w:p>
        </w:tc>
        <w:tc>
          <w:tcPr>
            <w:tcW w:w="1260" w:type="dxa"/>
            <w:shd w:val="clear" w:color="auto" w:fill="D9D9D9" w:themeFill="background1" w:themeFillShade="D9"/>
            <w:vAlign w:val="center"/>
          </w:tcPr>
          <w:p w14:paraId="1E643CA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1990 value</w:t>
            </w:r>
          </w:p>
        </w:tc>
        <w:tc>
          <w:tcPr>
            <w:tcW w:w="1260" w:type="dxa"/>
            <w:shd w:val="clear" w:color="auto" w:fill="D9D9D9" w:themeFill="background1" w:themeFillShade="D9"/>
            <w:vAlign w:val="center"/>
          </w:tcPr>
          <w:p w14:paraId="0678C17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2005 value</w:t>
            </w:r>
          </w:p>
        </w:tc>
      </w:tr>
      <w:tr w:rsidR="001D05E2" w:rsidRPr="001D05E2" w14:paraId="3CCCBBD1" w14:textId="77777777" w:rsidTr="00360B83">
        <w:trPr>
          <w:trHeight w:val="746"/>
        </w:trPr>
        <w:tc>
          <w:tcPr>
            <w:tcW w:w="794" w:type="dxa"/>
            <w:vMerge/>
            <w:shd w:val="clear" w:color="auto" w:fill="D9D9D9" w:themeFill="background1" w:themeFillShade="D9"/>
            <w:noWrap/>
            <w:vAlign w:val="center"/>
          </w:tcPr>
          <w:p w14:paraId="1BBDC4D6" w14:textId="77777777" w:rsidR="001D05E2" w:rsidRPr="001D05E2" w:rsidRDefault="001D05E2" w:rsidP="001D05E2">
            <w:pPr>
              <w:rPr>
                <w:rFonts w:ascii="Times New Roman" w:hAnsi="Times New Roman" w:cs="Times New Roman"/>
                <w:iCs/>
              </w:rPr>
            </w:pPr>
          </w:p>
        </w:tc>
        <w:tc>
          <w:tcPr>
            <w:tcW w:w="6041" w:type="dxa"/>
            <w:shd w:val="clear" w:color="auto" w:fill="D9D9D9" w:themeFill="background1" w:themeFillShade="D9"/>
            <w:vAlign w:val="center"/>
          </w:tcPr>
          <w:p w14:paraId="5A351790"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NCASI Calculations Using GHGRP Equations – 60.1% Solids – GHGRP Default DOC and k (Moderate Climate) for Combined Wastes</w:t>
            </w:r>
          </w:p>
        </w:tc>
        <w:tc>
          <w:tcPr>
            <w:tcW w:w="1260" w:type="dxa"/>
            <w:shd w:val="clear" w:color="auto" w:fill="D9D9D9" w:themeFill="background1" w:themeFillShade="D9"/>
            <w:vAlign w:val="center"/>
          </w:tcPr>
          <w:p w14:paraId="41D5D6A4" w14:textId="77777777" w:rsidR="001D05E2" w:rsidRPr="001D05E2" w:rsidRDefault="001D05E2" w:rsidP="001D05E2">
            <w:pPr>
              <w:jc w:val="center"/>
              <w:rPr>
                <w:rFonts w:ascii="Times New Roman" w:hAnsi="Times New Roman" w:cs="Times New Roman"/>
                <w:iCs/>
              </w:rPr>
            </w:pPr>
          </w:p>
        </w:tc>
        <w:tc>
          <w:tcPr>
            <w:tcW w:w="1260" w:type="dxa"/>
            <w:shd w:val="clear" w:color="auto" w:fill="D9D9D9" w:themeFill="background1" w:themeFillShade="D9"/>
            <w:vAlign w:val="center"/>
          </w:tcPr>
          <w:p w14:paraId="43981790" w14:textId="77777777" w:rsidR="001D05E2" w:rsidRPr="001D05E2" w:rsidRDefault="001D05E2" w:rsidP="001D05E2">
            <w:pPr>
              <w:jc w:val="center"/>
              <w:rPr>
                <w:rFonts w:ascii="Times New Roman" w:hAnsi="Times New Roman" w:cs="Times New Roman"/>
                <w:iCs/>
              </w:rPr>
            </w:pPr>
          </w:p>
        </w:tc>
      </w:tr>
      <w:tr w:rsidR="001D05E2" w:rsidRPr="001D05E2" w14:paraId="53180C81" w14:textId="77777777" w:rsidTr="00360B83">
        <w:trPr>
          <w:trHeight w:val="300"/>
        </w:trPr>
        <w:tc>
          <w:tcPr>
            <w:tcW w:w="794" w:type="dxa"/>
            <w:noWrap/>
            <w:vAlign w:val="center"/>
            <w:hideMark/>
          </w:tcPr>
          <w:p w14:paraId="154E05DD"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6041" w:type="dxa"/>
            <w:noWrap/>
          </w:tcPr>
          <w:p w14:paraId="6D43A6F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226,000</w:t>
            </w:r>
          </w:p>
        </w:tc>
        <w:tc>
          <w:tcPr>
            <w:tcW w:w="1260" w:type="dxa"/>
          </w:tcPr>
          <w:p w14:paraId="5768DD4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1260" w:type="dxa"/>
            <w:vAlign w:val="center"/>
          </w:tcPr>
          <w:p w14:paraId="6CFD7901" w14:textId="77777777" w:rsidR="001D05E2" w:rsidRPr="001D05E2" w:rsidRDefault="001D05E2" w:rsidP="001D05E2">
            <w:pPr>
              <w:jc w:val="center"/>
              <w:rPr>
                <w:rFonts w:ascii="Times New Roman" w:hAnsi="Times New Roman" w:cs="Times New Roman"/>
                <w:iCs/>
              </w:rPr>
            </w:pPr>
          </w:p>
        </w:tc>
      </w:tr>
      <w:tr w:rsidR="001D05E2" w:rsidRPr="001D05E2" w14:paraId="41711CC9" w14:textId="77777777" w:rsidTr="00360B83">
        <w:trPr>
          <w:trHeight w:val="300"/>
        </w:trPr>
        <w:tc>
          <w:tcPr>
            <w:tcW w:w="794" w:type="dxa"/>
            <w:noWrap/>
            <w:vAlign w:val="center"/>
            <w:hideMark/>
          </w:tcPr>
          <w:p w14:paraId="5CA4957E"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1995</w:t>
            </w:r>
          </w:p>
        </w:tc>
        <w:tc>
          <w:tcPr>
            <w:tcW w:w="6041" w:type="dxa"/>
            <w:noWrap/>
          </w:tcPr>
          <w:p w14:paraId="3107DA71"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267,000</w:t>
            </w:r>
          </w:p>
        </w:tc>
        <w:tc>
          <w:tcPr>
            <w:tcW w:w="1260" w:type="dxa"/>
          </w:tcPr>
          <w:p w14:paraId="1553E87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1.18</w:t>
            </w:r>
          </w:p>
        </w:tc>
        <w:tc>
          <w:tcPr>
            <w:tcW w:w="1260" w:type="dxa"/>
            <w:vAlign w:val="center"/>
          </w:tcPr>
          <w:p w14:paraId="4F09AE50" w14:textId="77777777" w:rsidR="001D05E2" w:rsidRPr="001D05E2" w:rsidRDefault="001D05E2" w:rsidP="001D05E2">
            <w:pPr>
              <w:jc w:val="center"/>
              <w:rPr>
                <w:rFonts w:ascii="Times New Roman" w:hAnsi="Times New Roman" w:cs="Times New Roman"/>
                <w:iCs/>
              </w:rPr>
            </w:pPr>
          </w:p>
        </w:tc>
      </w:tr>
      <w:tr w:rsidR="001D05E2" w:rsidRPr="001D05E2" w14:paraId="592FF306" w14:textId="77777777" w:rsidTr="00360B83">
        <w:trPr>
          <w:trHeight w:val="300"/>
        </w:trPr>
        <w:tc>
          <w:tcPr>
            <w:tcW w:w="794" w:type="dxa"/>
            <w:noWrap/>
            <w:vAlign w:val="center"/>
            <w:hideMark/>
          </w:tcPr>
          <w:p w14:paraId="2B6A302D"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2000</w:t>
            </w:r>
          </w:p>
        </w:tc>
        <w:tc>
          <w:tcPr>
            <w:tcW w:w="6041" w:type="dxa"/>
            <w:noWrap/>
          </w:tcPr>
          <w:p w14:paraId="23C6EA11"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301,000</w:t>
            </w:r>
          </w:p>
        </w:tc>
        <w:tc>
          <w:tcPr>
            <w:tcW w:w="1260" w:type="dxa"/>
          </w:tcPr>
          <w:p w14:paraId="210E5F1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1.34</w:t>
            </w:r>
          </w:p>
        </w:tc>
        <w:tc>
          <w:tcPr>
            <w:tcW w:w="1260" w:type="dxa"/>
            <w:vAlign w:val="center"/>
          </w:tcPr>
          <w:p w14:paraId="3F632284" w14:textId="77777777" w:rsidR="001D05E2" w:rsidRPr="001D05E2" w:rsidRDefault="001D05E2" w:rsidP="001D05E2">
            <w:pPr>
              <w:jc w:val="center"/>
              <w:rPr>
                <w:rFonts w:ascii="Times New Roman" w:hAnsi="Times New Roman" w:cs="Times New Roman"/>
                <w:iCs/>
              </w:rPr>
            </w:pPr>
          </w:p>
        </w:tc>
      </w:tr>
      <w:tr w:rsidR="001D05E2" w:rsidRPr="001D05E2" w14:paraId="43EE8FE2" w14:textId="77777777" w:rsidTr="00360B83">
        <w:trPr>
          <w:trHeight w:val="300"/>
        </w:trPr>
        <w:tc>
          <w:tcPr>
            <w:tcW w:w="794" w:type="dxa"/>
            <w:noWrap/>
            <w:vAlign w:val="center"/>
            <w:hideMark/>
          </w:tcPr>
          <w:p w14:paraId="1F8B1B8D"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6041" w:type="dxa"/>
            <w:noWrap/>
          </w:tcPr>
          <w:p w14:paraId="36ACB90E"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322,000</w:t>
            </w:r>
          </w:p>
        </w:tc>
        <w:tc>
          <w:tcPr>
            <w:tcW w:w="1260" w:type="dxa"/>
          </w:tcPr>
          <w:p w14:paraId="1B4416D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1.43</w:t>
            </w:r>
          </w:p>
        </w:tc>
        <w:tc>
          <w:tcPr>
            <w:tcW w:w="1260" w:type="dxa"/>
          </w:tcPr>
          <w:p w14:paraId="1E2D1E4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30639475" w14:textId="77777777" w:rsidTr="00360B83">
        <w:trPr>
          <w:trHeight w:val="300"/>
        </w:trPr>
        <w:tc>
          <w:tcPr>
            <w:tcW w:w="794" w:type="dxa"/>
            <w:noWrap/>
            <w:vAlign w:val="center"/>
            <w:hideMark/>
          </w:tcPr>
          <w:p w14:paraId="3212BD00"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2010</w:t>
            </w:r>
          </w:p>
        </w:tc>
        <w:tc>
          <w:tcPr>
            <w:tcW w:w="6041" w:type="dxa"/>
            <w:noWrap/>
          </w:tcPr>
          <w:p w14:paraId="13E9720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337,000</w:t>
            </w:r>
          </w:p>
        </w:tc>
        <w:tc>
          <w:tcPr>
            <w:tcW w:w="1260" w:type="dxa"/>
          </w:tcPr>
          <w:p w14:paraId="7DC960BE"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1.49</w:t>
            </w:r>
          </w:p>
        </w:tc>
        <w:tc>
          <w:tcPr>
            <w:tcW w:w="1260" w:type="dxa"/>
          </w:tcPr>
          <w:p w14:paraId="31915B2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1.05</w:t>
            </w:r>
          </w:p>
        </w:tc>
      </w:tr>
      <w:tr w:rsidR="001D05E2" w:rsidRPr="001D05E2" w14:paraId="656E0FDF" w14:textId="77777777" w:rsidTr="00360B83">
        <w:trPr>
          <w:trHeight w:val="300"/>
        </w:trPr>
        <w:tc>
          <w:tcPr>
            <w:tcW w:w="794" w:type="dxa"/>
            <w:noWrap/>
            <w:vAlign w:val="center"/>
            <w:hideMark/>
          </w:tcPr>
          <w:p w14:paraId="77430E70"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2015</w:t>
            </w:r>
          </w:p>
        </w:tc>
        <w:tc>
          <w:tcPr>
            <w:tcW w:w="6041" w:type="dxa"/>
            <w:noWrap/>
          </w:tcPr>
          <w:p w14:paraId="628DD8E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343,000</w:t>
            </w:r>
          </w:p>
        </w:tc>
        <w:tc>
          <w:tcPr>
            <w:tcW w:w="1260" w:type="dxa"/>
          </w:tcPr>
          <w:p w14:paraId="76C6ACE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1.52</w:t>
            </w:r>
          </w:p>
        </w:tc>
        <w:tc>
          <w:tcPr>
            <w:tcW w:w="1260" w:type="dxa"/>
          </w:tcPr>
          <w:p w14:paraId="3EE4AA8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1.06</w:t>
            </w:r>
          </w:p>
        </w:tc>
      </w:tr>
      <w:tr w:rsidR="001D05E2" w:rsidRPr="001D05E2" w14:paraId="756CB4B9" w14:textId="77777777" w:rsidTr="00360B83">
        <w:trPr>
          <w:trHeight w:val="315"/>
        </w:trPr>
        <w:tc>
          <w:tcPr>
            <w:tcW w:w="794" w:type="dxa"/>
            <w:noWrap/>
            <w:vAlign w:val="center"/>
            <w:hideMark/>
          </w:tcPr>
          <w:p w14:paraId="4A63C543"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6041" w:type="dxa"/>
            <w:noWrap/>
          </w:tcPr>
          <w:p w14:paraId="709380B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337,000</w:t>
            </w:r>
          </w:p>
        </w:tc>
        <w:tc>
          <w:tcPr>
            <w:tcW w:w="1260" w:type="dxa"/>
          </w:tcPr>
          <w:p w14:paraId="65BDE37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1.49</w:t>
            </w:r>
          </w:p>
        </w:tc>
        <w:tc>
          <w:tcPr>
            <w:tcW w:w="1260" w:type="dxa"/>
          </w:tcPr>
          <w:p w14:paraId="40CC372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1.05</w:t>
            </w:r>
          </w:p>
        </w:tc>
      </w:tr>
    </w:tbl>
    <w:p w14:paraId="665E0A13" w14:textId="77777777" w:rsidR="001D05E2" w:rsidRPr="001D05E2" w:rsidRDefault="001D05E2" w:rsidP="001D05E2">
      <w:pPr>
        <w:rPr>
          <w:rFonts w:ascii="Times New Roman" w:hAnsi="Times New Roman" w:cs="Times New Roman"/>
          <w:iCs/>
        </w:rPr>
      </w:pPr>
    </w:p>
    <w:p w14:paraId="40B57842" w14:textId="742C6743" w:rsidR="001D05E2" w:rsidRPr="001D05E2" w:rsidRDefault="001D05E2" w:rsidP="001D05E2">
      <w:pPr>
        <w:jc w:val="center"/>
        <w:rPr>
          <w:rFonts w:ascii="Times New Roman" w:hAnsi="Times New Roman" w:cs="Times New Roman"/>
          <w:iCs/>
        </w:rPr>
      </w:pPr>
      <w:r w:rsidRPr="00A86F7E">
        <w:rPr>
          <w:rFonts w:ascii="Times New Roman" w:hAnsi="Times New Roman" w:cs="Times New Roman"/>
          <w:b/>
          <w:bCs/>
          <w:iCs/>
        </w:rPr>
        <w:t xml:space="preserve">Table </w:t>
      </w:r>
      <w:r w:rsidR="00A86F7E" w:rsidRPr="00A86F7E">
        <w:rPr>
          <w:rFonts w:ascii="Times New Roman" w:hAnsi="Times New Roman" w:cs="Times New Roman"/>
          <w:b/>
          <w:bCs/>
          <w:iCs/>
        </w:rPr>
        <w:t>S39</w:t>
      </w:r>
      <w:r w:rsidRPr="001D05E2">
        <w:rPr>
          <w:rFonts w:ascii="Times New Roman" w:hAnsi="Times New Roman" w:cs="Times New Roman"/>
          <w:iCs/>
        </w:rPr>
        <w:t>. Comparison of Combined and Individual Landfilling of Non-WWTR Solid Wastes at Pulp and Paper Mills</w:t>
      </w:r>
    </w:p>
    <w:tbl>
      <w:tblPr>
        <w:tblStyle w:val="TableGrid3"/>
        <w:tblW w:w="7740" w:type="dxa"/>
        <w:jc w:val="center"/>
        <w:tblBorders>
          <w:left w:val="none" w:sz="0" w:space="0" w:color="auto"/>
          <w:right w:val="none" w:sz="0" w:space="0" w:color="auto"/>
        </w:tblBorders>
        <w:tblLook w:val="04A0" w:firstRow="1" w:lastRow="0" w:firstColumn="1" w:lastColumn="0" w:noHBand="0" w:noVBand="1"/>
      </w:tblPr>
      <w:tblGrid>
        <w:gridCol w:w="900"/>
        <w:gridCol w:w="3330"/>
        <w:gridCol w:w="3510"/>
      </w:tblGrid>
      <w:tr w:rsidR="001D05E2" w:rsidRPr="001D05E2" w14:paraId="53F2D28E" w14:textId="77777777" w:rsidTr="00360B83">
        <w:trPr>
          <w:trHeight w:val="314"/>
          <w:jc w:val="center"/>
        </w:trPr>
        <w:tc>
          <w:tcPr>
            <w:tcW w:w="900" w:type="dxa"/>
            <w:vMerge w:val="restart"/>
            <w:shd w:val="clear" w:color="auto" w:fill="D9D9D9" w:themeFill="background1" w:themeFillShade="D9"/>
            <w:noWrap/>
            <w:hideMark/>
          </w:tcPr>
          <w:p w14:paraId="0CD35166" w14:textId="77777777" w:rsidR="001D05E2" w:rsidRPr="001D05E2" w:rsidRDefault="001D05E2" w:rsidP="001D05E2">
            <w:pPr>
              <w:rPr>
                <w:rFonts w:ascii="Times New Roman" w:hAnsi="Times New Roman" w:cs="Times New Roman"/>
                <w:iCs/>
              </w:rPr>
            </w:pPr>
          </w:p>
          <w:p w14:paraId="21E66C3B" w14:textId="77777777" w:rsidR="001D05E2" w:rsidRPr="001D05E2" w:rsidRDefault="001D05E2" w:rsidP="001D05E2">
            <w:pPr>
              <w:rPr>
                <w:rFonts w:ascii="Times New Roman" w:hAnsi="Times New Roman" w:cs="Times New Roman"/>
                <w:iCs/>
              </w:rPr>
            </w:pPr>
          </w:p>
          <w:p w14:paraId="1FD2D36D"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6840" w:type="dxa"/>
            <w:gridSpan w:val="2"/>
            <w:shd w:val="clear" w:color="auto" w:fill="D9D9D9" w:themeFill="background1" w:themeFillShade="D9"/>
          </w:tcPr>
          <w:p w14:paraId="7605B4B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w:t>
            </w:r>
          </w:p>
        </w:tc>
      </w:tr>
      <w:tr w:rsidR="001D05E2" w:rsidRPr="001D05E2" w14:paraId="569C1ECB" w14:textId="77777777" w:rsidTr="00360B83">
        <w:trPr>
          <w:trHeight w:val="620"/>
          <w:jc w:val="center"/>
        </w:trPr>
        <w:tc>
          <w:tcPr>
            <w:tcW w:w="900" w:type="dxa"/>
            <w:vMerge/>
            <w:shd w:val="clear" w:color="auto" w:fill="D9D9D9" w:themeFill="background1" w:themeFillShade="D9"/>
            <w:noWrap/>
          </w:tcPr>
          <w:p w14:paraId="25847804" w14:textId="77777777" w:rsidR="001D05E2" w:rsidRPr="001D05E2" w:rsidRDefault="001D05E2" w:rsidP="001D05E2">
            <w:pPr>
              <w:rPr>
                <w:rFonts w:ascii="Times New Roman" w:hAnsi="Times New Roman" w:cs="Times New Roman"/>
                <w:iCs/>
              </w:rPr>
            </w:pPr>
            <w:bookmarkStart w:id="68" w:name="_Hlk130382529"/>
          </w:p>
        </w:tc>
        <w:tc>
          <w:tcPr>
            <w:tcW w:w="3330" w:type="dxa"/>
            <w:shd w:val="clear" w:color="auto" w:fill="D9D9D9" w:themeFill="background1" w:themeFillShade="D9"/>
          </w:tcPr>
          <w:p w14:paraId="65FCF08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Co-disposed, Not Including WWTR</w:t>
            </w:r>
          </w:p>
        </w:tc>
        <w:tc>
          <w:tcPr>
            <w:tcW w:w="3510" w:type="dxa"/>
            <w:shd w:val="clear" w:color="auto" w:fill="D9D9D9" w:themeFill="background1" w:themeFillShade="D9"/>
          </w:tcPr>
          <w:p w14:paraId="33A4DC1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Individually Disposed, Not Including WWTR</w:t>
            </w:r>
          </w:p>
        </w:tc>
      </w:tr>
      <w:bookmarkEnd w:id="68"/>
      <w:tr w:rsidR="001D05E2" w:rsidRPr="001D05E2" w14:paraId="38BD1B6E" w14:textId="77777777" w:rsidTr="00360B83">
        <w:trPr>
          <w:trHeight w:val="300"/>
          <w:jc w:val="center"/>
        </w:trPr>
        <w:tc>
          <w:tcPr>
            <w:tcW w:w="900" w:type="dxa"/>
            <w:noWrap/>
            <w:hideMark/>
          </w:tcPr>
          <w:p w14:paraId="3E5633AE"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3330" w:type="dxa"/>
          </w:tcPr>
          <w:p w14:paraId="0C095D3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226,000</w:t>
            </w:r>
          </w:p>
        </w:tc>
        <w:tc>
          <w:tcPr>
            <w:tcW w:w="3510" w:type="dxa"/>
          </w:tcPr>
          <w:p w14:paraId="5E492FD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120,000</w:t>
            </w:r>
          </w:p>
        </w:tc>
      </w:tr>
      <w:tr w:rsidR="001D05E2" w:rsidRPr="001D05E2" w14:paraId="0A11FE69" w14:textId="77777777" w:rsidTr="00360B83">
        <w:trPr>
          <w:trHeight w:val="300"/>
          <w:jc w:val="center"/>
        </w:trPr>
        <w:tc>
          <w:tcPr>
            <w:tcW w:w="900" w:type="dxa"/>
            <w:noWrap/>
            <w:hideMark/>
          </w:tcPr>
          <w:p w14:paraId="49D21A03"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3330" w:type="dxa"/>
          </w:tcPr>
          <w:p w14:paraId="1C3CB0C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322,000</w:t>
            </w:r>
          </w:p>
        </w:tc>
        <w:tc>
          <w:tcPr>
            <w:tcW w:w="3510" w:type="dxa"/>
          </w:tcPr>
          <w:p w14:paraId="5F563A9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163,000</w:t>
            </w:r>
          </w:p>
        </w:tc>
      </w:tr>
      <w:tr w:rsidR="001D05E2" w:rsidRPr="001D05E2" w14:paraId="443CF009" w14:textId="77777777" w:rsidTr="00360B83">
        <w:trPr>
          <w:trHeight w:val="300"/>
          <w:jc w:val="center"/>
        </w:trPr>
        <w:tc>
          <w:tcPr>
            <w:tcW w:w="900" w:type="dxa"/>
            <w:noWrap/>
            <w:hideMark/>
          </w:tcPr>
          <w:p w14:paraId="6F59AFEC"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3330" w:type="dxa"/>
          </w:tcPr>
          <w:p w14:paraId="5EBEF04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337,000</w:t>
            </w:r>
          </w:p>
        </w:tc>
        <w:tc>
          <w:tcPr>
            <w:tcW w:w="3510" w:type="dxa"/>
          </w:tcPr>
          <w:p w14:paraId="5E141A2C"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165,000</w:t>
            </w:r>
          </w:p>
        </w:tc>
      </w:tr>
    </w:tbl>
    <w:p w14:paraId="70D1723E" w14:textId="77777777" w:rsidR="001D05E2" w:rsidRPr="001D05E2" w:rsidRDefault="001D05E2" w:rsidP="001D05E2">
      <w:pPr>
        <w:rPr>
          <w:rFonts w:ascii="Times New Roman" w:hAnsi="Times New Roman" w:cs="Times New Roman"/>
          <w:iCs/>
        </w:rPr>
      </w:pPr>
    </w:p>
    <w:p w14:paraId="2E18A0B9"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Total Landfill Methane Emissions from Pulp and Paper Mill Wastes</w:t>
      </w:r>
    </w:p>
    <w:p w14:paraId="01DA97C7" w14:textId="0DE4F654"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earlier analysis yields </w:t>
      </w:r>
      <w:proofErr w:type="gramStart"/>
      <w:r w:rsidRPr="001D05E2">
        <w:rPr>
          <w:rFonts w:ascii="Times New Roman" w:hAnsi="Times New Roman" w:cs="Times New Roman"/>
          <w:iCs/>
        </w:rPr>
        <w:t>estimates</w:t>
      </w:r>
      <w:proofErr w:type="gramEnd"/>
      <w:r w:rsidRPr="001D05E2">
        <w:rPr>
          <w:rFonts w:ascii="Times New Roman" w:hAnsi="Times New Roman" w:cs="Times New Roman"/>
          <w:iCs/>
        </w:rPr>
        <w:t xml:space="preserve"> of methane emissions attributable to landfilled solid wastes from pulp and paper mills, shown in Table </w:t>
      </w:r>
      <w:r w:rsidR="007377EF">
        <w:rPr>
          <w:rFonts w:ascii="Times New Roman" w:hAnsi="Times New Roman" w:cs="Times New Roman"/>
          <w:iCs/>
        </w:rPr>
        <w:t>S40</w:t>
      </w:r>
      <w:r w:rsidRPr="001D05E2">
        <w:rPr>
          <w:rFonts w:ascii="Times New Roman" w:hAnsi="Times New Roman" w:cs="Times New Roman"/>
          <w:iCs/>
        </w:rPr>
        <w:t>.</w:t>
      </w:r>
    </w:p>
    <w:p w14:paraId="28B9F7AA" w14:textId="52A08E52" w:rsidR="001D05E2" w:rsidRPr="001D05E2" w:rsidRDefault="001D05E2" w:rsidP="001D05E2">
      <w:pPr>
        <w:jc w:val="center"/>
        <w:rPr>
          <w:rFonts w:ascii="Times New Roman" w:hAnsi="Times New Roman" w:cs="Times New Roman"/>
          <w:iCs/>
        </w:rPr>
      </w:pPr>
      <w:r w:rsidRPr="007377EF">
        <w:rPr>
          <w:rFonts w:ascii="Times New Roman" w:hAnsi="Times New Roman" w:cs="Times New Roman"/>
          <w:b/>
          <w:bCs/>
          <w:iCs/>
        </w:rPr>
        <w:t xml:space="preserve">Table </w:t>
      </w:r>
      <w:r w:rsidR="007377EF" w:rsidRPr="007377EF">
        <w:rPr>
          <w:rFonts w:ascii="Times New Roman" w:hAnsi="Times New Roman" w:cs="Times New Roman"/>
          <w:b/>
          <w:bCs/>
          <w:iCs/>
        </w:rPr>
        <w:t>S40</w:t>
      </w:r>
      <w:r w:rsidRPr="001D05E2">
        <w:rPr>
          <w:rFonts w:ascii="Times New Roman" w:hAnsi="Times New Roman" w:cs="Times New Roman"/>
          <w:iCs/>
        </w:rPr>
        <w:t>. Total Methane Emissions Attributable to Landfilled Solid Wastes from Pulp and Paper Mills</w:t>
      </w:r>
    </w:p>
    <w:tbl>
      <w:tblPr>
        <w:tblStyle w:val="TableGrid3"/>
        <w:tblW w:w="9715" w:type="dxa"/>
        <w:tblBorders>
          <w:left w:val="none" w:sz="0" w:space="0" w:color="auto"/>
          <w:right w:val="none" w:sz="0" w:space="0" w:color="auto"/>
        </w:tblBorders>
        <w:tblLook w:val="04A0" w:firstRow="1" w:lastRow="0" w:firstColumn="1" w:lastColumn="0" w:noHBand="0" w:noVBand="1"/>
      </w:tblPr>
      <w:tblGrid>
        <w:gridCol w:w="888"/>
        <w:gridCol w:w="931"/>
        <w:gridCol w:w="1159"/>
        <w:gridCol w:w="1169"/>
        <w:gridCol w:w="1079"/>
        <w:gridCol w:w="2066"/>
        <w:gridCol w:w="2423"/>
      </w:tblGrid>
      <w:tr w:rsidR="001D05E2" w:rsidRPr="001D05E2" w14:paraId="5440A257" w14:textId="77777777" w:rsidTr="00360B83">
        <w:tc>
          <w:tcPr>
            <w:tcW w:w="888" w:type="dxa"/>
            <w:vMerge w:val="restart"/>
            <w:shd w:val="clear" w:color="auto" w:fill="D9D9D9" w:themeFill="background1" w:themeFillShade="D9"/>
          </w:tcPr>
          <w:p w14:paraId="015EFCD8" w14:textId="77777777" w:rsidR="001D05E2" w:rsidRPr="001D05E2" w:rsidRDefault="001D05E2" w:rsidP="001D05E2">
            <w:pPr>
              <w:rPr>
                <w:rFonts w:ascii="Times New Roman" w:hAnsi="Times New Roman" w:cs="Times New Roman"/>
                <w:iCs/>
              </w:rPr>
            </w:pPr>
          </w:p>
          <w:p w14:paraId="341693E8" w14:textId="77777777" w:rsidR="001D05E2" w:rsidRPr="001D05E2" w:rsidRDefault="001D05E2" w:rsidP="001D05E2">
            <w:pPr>
              <w:rPr>
                <w:rFonts w:ascii="Times New Roman" w:hAnsi="Times New Roman" w:cs="Times New Roman"/>
                <w:iCs/>
              </w:rPr>
            </w:pPr>
          </w:p>
          <w:p w14:paraId="6134EFEA"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8827" w:type="dxa"/>
            <w:gridSpan w:val="6"/>
            <w:shd w:val="clear" w:color="auto" w:fill="D9D9D9" w:themeFill="background1" w:themeFillShade="D9"/>
          </w:tcPr>
          <w:p w14:paraId="46E4D80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Emissions</w:t>
            </w:r>
          </w:p>
        </w:tc>
      </w:tr>
      <w:tr w:rsidR="001D05E2" w:rsidRPr="001D05E2" w14:paraId="27A36495" w14:textId="77777777" w:rsidTr="00360B83">
        <w:trPr>
          <w:trHeight w:val="602"/>
        </w:trPr>
        <w:tc>
          <w:tcPr>
            <w:tcW w:w="888" w:type="dxa"/>
            <w:vMerge/>
            <w:shd w:val="clear" w:color="auto" w:fill="D9D9D9" w:themeFill="background1" w:themeFillShade="D9"/>
          </w:tcPr>
          <w:p w14:paraId="4EA0D1F9" w14:textId="77777777" w:rsidR="001D05E2" w:rsidRPr="001D05E2" w:rsidRDefault="001D05E2" w:rsidP="001D05E2">
            <w:pPr>
              <w:rPr>
                <w:rFonts w:ascii="Times New Roman" w:hAnsi="Times New Roman" w:cs="Times New Roman"/>
                <w:iCs/>
              </w:rPr>
            </w:pPr>
          </w:p>
        </w:tc>
        <w:tc>
          <w:tcPr>
            <w:tcW w:w="916" w:type="dxa"/>
            <w:shd w:val="clear" w:color="auto" w:fill="D9D9D9" w:themeFill="background1" w:themeFillShade="D9"/>
          </w:tcPr>
          <w:p w14:paraId="0AA42CA7"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WWTR</w:t>
            </w:r>
          </w:p>
        </w:tc>
        <w:tc>
          <w:tcPr>
            <w:tcW w:w="1161" w:type="dxa"/>
            <w:shd w:val="clear" w:color="auto" w:fill="D9D9D9" w:themeFill="background1" w:themeFillShade="D9"/>
          </w:tcPr>
          <w:p w14:paraId="5751CB6C"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Ash</w:t>
            </w:r>
          </w:p>
        </w:tc>
        <w:tc>
          <w:tcPr>
            <w:tcW w:w="1170" w:type="dxa"/>
            <w:shd w:val="clear" w:color="auto" w:fill="D9D9D9" w:themeFill="background1" w:themeFillShade="D9"/>
          </w:tcPr>
          <w:p w14:paraId="77F5D66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Recovery Area</w:t>
            </w:r>
          </w:p>
        </w:tc>
        <w:tc>
          <w:tcPr>
            <w:tcW w:w="1080" w:type="dxa"/>
            <w:shd w:val="clear" w:color="auto" w:fill="D9D9D9" w:themeFill="background1" w:themeFillShade="D9"/>
          </w:tcPr>
          <w:p w14:paraId="2D2E59E0"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Other Wastes</w:t>
            </w:r>
          </w:p>
        </w:tc>
        <w:tc>
          <w:tcPr>
            <w:tcW w:w="2070" w:type="dxa"/>
            <w:shd w:val="clear" w:color="auto" w:fill="D9D9D9" w:themeFill="background1" w:themeFillShade="D9"/>
          </w:tcPr>
          <w:p w14:paraId="663AABF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Total of Individually Disposed Wastes</w:t>
            </w:r>
          </w:p>
        </w:tc>
        <w:tc>
          <w:tcPr>
            <w:tcW w:w="2430" w:type="dxa"/>
            <w:shd w:val="clear" w:color="auto" w:fill="D9D9D9" w:themeFill="background1" w:themeFillShade="D9"/>
          </w:tcPr>
          <w:p w14:paraId="73E4B291"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WWTR Emissions Plus Combined Non-WWTR Wastes, Co-disposed</w:t>
            </w:r>
          </w:p>
        </w:tc>
      </w:tr>
      <w:tr w:rsidR="001D05E2" w:rsidRPr="001D05E2" w14:paraId="73C023A8" w14:textId="77777777" w:rsidTr="00360B83">
        <w:tc>
          <w:tcPr>
            <w:tcW w:w="888" w:type="dxa"/>
          </w:tcPr>
          <w:p w14:paraId="42565E01"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916" w:type="dxa"/>
          </w:tcPr>
          <w:p w14:paraId="066116D9"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175,000</w:t>
            </w:r>
          </w:p>
        </w:tc>
        <w:tc>
          <w:tcPr>
            <w:tcW w:w="1161" w:type="dxa"/>
          </w:tcPr>
          <w:p w14:paraId="55B6251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40,000</w:t>
            </w:r>
          </w:p>
        </w:tc>
        <w:tc>
          <w:tcPr>
            <w:tcW w:w="1170" w:type="dxa"/>
          </w:tcPr>
          <w:p w14:paraId="47B9241E"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7,700</w:t>
            </w:r>
          </w:p>
        </w:tc>
        <w:tc>
          <w:tcPr>
            <w:tcW w:w="1080" w:type="dxa"/>
          </w:tcPr>
          <w:p w14:paraId="24AB610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72,000</w:t>
            </w:r>
          </w:p>
        </w:tc>
        <w:tc>
          <w:tcPr>
            <w:tcW w:w="2070" w:type="dxa"/>
          </w:tcPr>
          <w:p w14:paraId="5DB6F481"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295,000</w:t>
            </w:r>
          </w:p>
        </w:tc>
        <w:tc>
          <w:tcPr>
            <w:tcW w:w="2430" w:type="dxa"/>
          </w:tcPr>
          <w:p w14:paraId="4ECEEF5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401,000</w:t>
            </w:r>
          </w:p>
        </w:tc>
      </w:tr>
      <w:tr w:rsidR="001D05E2" w:rsidRPr="001D05E2" w14:paraId="294682F0" w14:textId="77777777" w:rsidTr="00360B83">
        <w:tc>
          <w:tcPr>
            <w:tcW w:w="888" w:type="dxa"/>
          </w:tcPr>
          <w:p w14:paraId="2D24E270"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916" w:type="dxa"/>
          </w:tcPr>
          <w:p w14:paraId="7B0FA6A5"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202,000</w:t>
            </w:r>
          </w:p>
        </w:tc>
        <w:tc>
          <w:tcPr>
            <w:tcW w:w="1161" w:type="dxa"/>
          </w:tcPr>
          <w:p w14:paraId="2278FE7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53,000</w:t>
            </w:r>
          </w:p>
        </w:tc>
        <w:tc>
          <w:tcPr>
            <w:tcW w:w="1170" w:type="dxa"/>
          </w:tcPr>
          <w:p w14:paraId="16C775F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11,000</w:t>
            </w:r>
          </w:p>
        </w:tc>
        <w:tc>
          <w:tcPr>
            <w:tcW w:w="1080" w:type="dxa"/>
          </w:tcPr>
          <w:p w14:paraId="7D04A6C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99,000</w:t>
            </w:r>
          </w:p>
        </w:tc>
        <w:tc>
          <w:tcPr>
            <w:tcW w:w="2070" w:type="dxa"/>
          </w:tcPr>
          <w:p w14:paraId="367EB5F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365,000</w:t>
            </w:r>
          </w:p>
        </w:tc>
        <w:tc>
          <w:tcPr>
            <w:tcW w:w="2430" w:type="dxa"/>
          </w:tcPr>
          <w:p w14:paraId="3616F1C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524,000</w:t>
            </w:r>
          </w:p>
        </w:tc>
      </w:tr>
      <w:tr w:rsidR="001D05E2" w:rsidRPr="001D05E2" w14:paraId="49F1FB8F" w14:textId="77777777" w:rsidTr="00360B83">
        <w:tc>
          <w:tcPr>
            <w:tcW w:w="888" w:type="dxa"/>
          </w:tcPr>
          <w:p w14:paraId="1119FFA4"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916" w:type="dxa"/>
          </w:tcPr>
          <w:p w14:paraId="2D70F0E0"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186,000</w:t>
            </w:r>
          </w:p>
        </w:tc>
        <w:tc>
          <w:tcPr>
            <w:tcW w:w="1161" w:type="dxa"/>
          </w:tcPr>
          <w:p w14:paraId="60D580F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53,000</w:t>
            </w:r>
          </w:p>
        </w:tc>
        <w:tc>
          <w:tcPr>
            <w:tcW w:w="1170" w:type="dxa"/>
          </w:tcPr>
          <w:p w14:paraId="79C24BE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12,000</w:t>
            </w:r>
          </w:p>
        </w:tc>
        <w:tc>
          <w:tcPr>
            <w:tcW w:w="1080" w:type="dxa"/>
          </w:tcPr>
          <w:p w14:paraId="2DE7405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100,000</w:t>
            </w:r>
          </w:p>
        </w:tc>
        <w:tc>
          <w:tcPr>
            <w:tcW w:w="2070" w:type="dxa"/>
          </w:tcPr>
          <w:p w14:paraId="1B9B94C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350,000</w:t>
            </w:r>
          </w:p>
        </w:tc>
        <w:tc>
          <w:tcPr>
            <w:tcW w:w="2430" w:type="dxa"/>
          </w:tcPr>
          <w:p w14:paraId="3AA7945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523,000</w:t>
            </w:r>
          </w:p>
        </w:tc>
      </w:tr>
    </w:tbl>
    <w:p w14:paraId="634C7AC2" w14:textId="77777777" w:rsidR="001D05E2" w:rsidRPr="001D05E2" w:rsidRDefault="001D05E2" w:rsidP="001D05E2">
      <w:pPr>
        <w:rPr>
          <w:rFonts w:ascii="Times New Roman" w:hAnsi="Times New Roman" w:cs="Times New Roman"/>
          <w:iCs/>
        </w:rPr>
      </w:pPr>
    </w:p>
    <w:p w14:paraId="080E4E34" w14:textId="45195314"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contributions of different wastes to these emissions in 2020 are shown in Figure </w:t>
      </w:r>
      <w:r w:rsidR="007377EF">
        <w:rPr>
          <w:rFonts w:ascii="Times New Roman" w:hAnsi="Times New Roman" w:cs="Times New Roman"/>
          <w:iCs/>
        </w:rPr>
        <w:t>S</w:t>
      </w:r>
      <w:r w:rsidR="00794CC1">
        <w:rPr>
          <w:rFonts w:ascii="Times New Roman" w:hAnsi="Times New Roman" w:cs="Times New Roman"/>
          <w:iCs/>
        </w:rPr>
        <w:t>31</w:t>
      </w:r>
      <w:r w:rsidRPr="001D05E2">
        <w:rPr>
          <w:rFonts w:ascii="Times New Roman" w:hAnsi="Times New Roman" w:cs="Times New Roman"/>
          <w:iCs/>
        </w:rPr>
        <w:t xml:space="preserve">. WWTR contributes most to emissions, at about 53% of the total. Boiler ash contributes 15% and other waste contributes 29%. Methane emissions attributable to recovery area wastes are only about 3%. </w:t>
      </w:r>
    </w:p>
    <w:p w14:paraId="27DADFAF" w14:textId="77777777" w:rsidR="001D05E2" w:rsidRPr="001D05E2" w:rsidRDefault="001D05E2" w:rsidP="001D05E2">
      <w:pPr>
        <w:rPr>
          <w:rFonts w:ascii="Times New Roman" w:hAnsi="Times New Roman" w:cs="Times New Roman"/>
          <w:iCs/>
        </w:rPr>
      </w:pPr>
    </w:p>
    <w:p w14:paraId="12C3F84C"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noProof/>
        </w:rPr>
        <w:lastRenderedPageBreak/>
        <w:drawing>
          <wp:inline distT="0" distB="0" distL="0" distR="0" wp14:anchorId="54DA7365" wp14:editId="62ED9D5C">
            <wp:extent cx="4484536" cy="2647784"/>
            <wp:effectExtent l="0" t="0" r="11430" b="635"/>
            <wp:docPr id="1346952413" name="Chart 1">
              <a:extLst xmlns:a="http://schemas.openxmlformats.org/drawingml/2006/main">
                <a:ext uri="{FF2B5EF4-FFF2-40B4-BE49-F238E27FC236}">
                  <a16:creationId xmlns:a16="http://schemas.microsoft.com/office/drawing/2014/main" id="{422F4529-7313-7BBB-5207-804A12E30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19262C" w14:textId="68999870" w:rsidR="001D05E2" w:rsidRPr="001D05E2" w:rsidRDefault="001D05E2" w:rsidP="001D05E2">
      <w:pPr>
        <w:jc w:val="center"/>
        <w:rPr>
          <w:rFonts w:ascii="Times New Roman" w:hAnsi="Times New Roman" w:cs="Times New Roman"/>
          <w:iCs/>
        </w:rPr>
      </w:pPr>
      <w:r w:rsidRPr="007377EF">
        <w:rPr>
          <w:rFonts w:ascii="Times New Roman" w:hAnsi="Times New Roman" w:cs="Times New Roman"/>
          <w:b/>
          <w:bCs/>
          <w:iCs/>
        </w:rPr>
        <w:t xml:space="preserve">Figure </w:t>
      </w:r>
      <w:r w:rsidR="007377EF" w:rsidRPr="007377EF">
        <w:rPr>
          <w:rFonts w:ascii="Times New Roman" w:hAnsi="Times New Roman" w:cs="Times New Roman"/>
          <w:b/>
          <w:bCs/>
          <w:iCs/>
        </w:rPr>
        <w:t>S</w:t>
      </w:r>
      <w:r w:rsidR="00794CC1">
        <w:rPr>
          <w:rFonts w:ascii="Times New Roman" w:hAnsi="Times New Roman" w:cs="Times New Roman"/>
          <w:b/>
          <w:bCs/>
          <w:iCs/>
        </w:rPr>
        <w:t>31</w:t>
      </w:r>
      <w:r w:rsidRPr="001D05E2">
        <w:rPr>
          <w:rFonts w:ascii="Times New Roman" w:hAnsi="Times New Roman" w:cs="Times New Roman"/>
          <w:iCs/>
        </w:rPr>
        <w:t>. Contributions of Different Wastes to Pulp and Paper Mill 2020 Landfill Methane Emissions</w:t>
      </w:r>
    </w:p>
    <w:p w14:paraId="76DA200D" w14:textId="77777777" w:rsidR="001D05E2" w:rsidRPr="001D05E2" w:rsidRDefault="001D05E2" w:rsidP="001D05E2">
      <w:pPr>
        <w:rPr>
          <w:rFonts w:ascii="Times New Roman" w:hAnsi="Times New Roman" w:cs="Times New Roman"/>
          <w:iCs/>
        </w:rPr>
      </w:pPr>
    </w:p>
    <w:p w14:paraId="290C8A2A" w14:textId="5E865113"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Emissions in 2020 are compared to those in 1990 and 2005 in Table </w:t>
      </w:r>
      <w:r w:rsidR="007377EF">
        <w:rPr>
          <w:rFonts w:ascii="Times New Roman" w:hAnsi="Times New Roman" w:cs="Times New Roman"/>
          <w:iCs/>
        </w:rPr>
        <w:t>S41</w:t>
      </w:r>
      <w:r w:rsidRPr="001D05E2">
        <w:rPr>
          <w:rFonts w:ascii="Times New Roman" w:hAnsi="Times New Roman" w:cs="Times New Roman"/>
          <w:iCs/>
        </w:rPr>
        <w:t xml:space="preserve">. Emissions in 2020 were 19% higher than 1990 emissions, based on the sum of individual waste estimates, and 4% below 2005 emissions. If non-WWTR wastes are modeled as co-disposed, 2005 and 2020 emissions have increased more than indicated in calculations that keep the wastes separate. </w:t>
      </w:r>
    </w:p>
    <w:p w14:paraId="611D25FA" w14:textId="77777777" w:rsidR="001D05E2" w:rsidRPr="001D05E2" w:rsidRDefault="001D05E2" w:rsidP="001D05E2">
      <w:pPr>
        <w:rPr>
          <w:rFonts w:ascii="Times New Roman" w:hAnsi="Times New Roman" w:cs="Times New Roman"/>
          <w:iCs/>
        </w:rPr>
      </w:pPr>
    </w:p>
    <w:p w14:paraId="3646D4EB" w14:textId="26A07DF3" w:rsidR="001D05E2" w:rsidRPr="001D05E2" w:rsidRDefault="001D05E2" w:rsidP="001D05E2">
      <w:pPr>
        <w:jc w:val="center"/>
        <w:rPr>
          <w:rFonts w:ascii="Times New Roman" w:hAnsi="Times New Roman" w:cs="Times New Roman"/>
          <w:iCs/>
        </w:rPr>
      </w:pPr>
      <w:r w:rsidRPr="007377EF">
        <w:rPr>
          <w:rFonts w:ascii="Times New Roman" w:hAnsi="Times New Roman" w:cs="Times New Roman"/>
          <w:b/>
          <w:bCs/>
          <w:iCs/>
        </w:rPr>
        <w:t xml:space="preserve">Table </w:t>
      </w:r>
      <w:r w:rsidR="007377EF" w:rsidRPr="007377EF">
        <w:rPr>
          <w:rFonts w:ascii="Times New Roman" w:hAnsi="Times New Roman" w:cs="Times New Roman"/>
          <w:b/>
          <w:bCs/>
          <w:iCs/>
        </w:rPr>
        <w:t>S41</w:t>
      </w:r>
      <w:r w:rsidRPr="007377EF">
        <w:rPr>
          <w:rFonts w:ascii="Times New Roman" w:hAnsi="Times New Roman" w:cs="Times New Roman"/>
          <w:b/>
          <w:bCs/>
          <w:iCs/>
        </w:rPr>
        <w:t>.</w:t>
      </w:r>
      <w:r w:rsidRPr="001D05E2">
        <w:rPr>
          <w:rFonts w:ascii="Times New Roman" w:hAnsi="Times New Roman" w:cs="Times New Roman"/>
          <w:iCs/>
        </w:rPr>
        <w:t xml:space="preserve"> 1990 to 2020 Change in Methane Emissions Attributable to Landfilled Solid Wastes from Pulp and Paper Mills</w:t>
      </w:r>
    </w:p>
    <w:tbl>
      <w:tblPr>
        <w:tblW w:w="953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05"/>
        <w:gridCol w:w="1890"/>
        <w:gridCol w:w="2340"/>
        <w:gridCol w:w="2160"/>
        <w:gridCol w:w="2340"/>
      </w:tblGrid>
      <w:tr w:rsidR="001D05E2" w:rsidRPr="001D05E2" w14:paraId="711B9E80" w14:textId="77777777" w:rsidTr="00360B83">
        <w:trPr>
          <w:trHeight w:val="260"/>
        </w:trPr>
        <w:tc>
          <w:tcPr>
            <w:tcW w:w="805" w:type="dxa"/>
            <w:vMerge w:val="restart"/>
            <w:shd w:val="clear" w:color="auto" w:fill="D9D9D9" w:themeFill="background1" w:themeFillShade="D9"/>
            <w:noWrap/>
            <w:vAlign w:val="bottom"/>
            <w:hideMark/>
          </w:tcPr>
          <w:p w14:paraId="566300D4" w14:textId="77777777" w:rsidR="001D05E2" w:rsidRPr="001D05E2" w:rsidRDefault="001D05E2" w:rsidP="007377EF">
            <w:pPr>
              <w:spacing w:after="0"/>
              <w:rPr>
                <w:rFonts w:ascii="Times New Roman" w:hAnsi="Times New Roman" w:cs="Times New Roman"/>
              </w:rPr>
            </w:pPr>
            <w:r w:rsidRPr="001D05E2">
              <w:rPr>
                <w:rFonts w:ascii="Times New Roman" w:hAnsi="Times New Roman" w:cs="Times New Roman"/>
              </w:rPr>
              <w:t>Year</w:t>
            </w:r>
          </w:p>
        </w:tc>
        <w:tc>
          <w:tcPr>
            <w:tcW w:w="4230" w:type="dxa"/>
            <w:gridSpan w:val="2"/>
            <w:shd w:val="clear" w:color="auto" w:fill="D9D9D9" w:themeFill="background1" w:themeFillShade="D9"/>
            <w:vAlign w:val="bottom"/>
          </w:tcPr>
          <w:p w14:paraId="2F23AD78"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Fraction of 1990 Emissions</w:t>
            </w:r>
          </w:p>
        </w:tc>
        <w:tc>
          <w:tcPr>
            <w:tcW w:w="4500" w:type="dxa"/>
            <w:gridSpan w:val="2"/>
            <w:shd w:val="clear" w:color="auto" w:fill="D9D9D9" w:themeFill="background1" w:themeFillShade="D9"/>
            <w:vAlign w:val="bottom"/>
          </w:tcPr>
          <w:p w14:paraId="06C29004"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Fraction of 2005 Emissions</w:t>
            </w:r>
          </w:p>
        </w:tc>
      </w:tr>
      <w:tr w:rsidR="001D05E2" w:rsidRPr="001D05E2" w14:paraId="76015619" w14:textId="77777777" w:rsidTr="00360B83">
        <w:trPr>
          <w:trHeight w:val="300"/>
        </w:trPr>
        <w:tc>
          <w:tcPr>
            <w:tcW w:w="805" w:type="dxa"/>
            <w:vMerge/>
            <w:shd w:val="clear" w:color="auto" w:fill="D9D9D9" w:themeFill="background1" w:themeFillShade="D9"/>
            <w:noWrap/>
            <w:vAlign w:val="bottom"/>
          </w:tcPr>
          <w:p w14:paraId="4B9C856B" w14:textId="77777777" w:rsidR="001D05E2" w:rsidRPr="001D05E2" w:rsidRDefault="001D05E2" w:rsidP="007377EF">
            <w:pPr>
              <w:spacing w:after="0"/>
              <w:rPr>
                <w:rFonts w:ascii="Times New Roman" w:hAnsi="Times New Roman" w:cs="Times New Roman"/>
              </w:rPr>
            </w:pPr>
          </w:p>
        </w:tc>
        <w:tc>
          <w:tcPr>
            <w:tcW w:w="1890" w:type="dxa"/>
            <w:shd w:val="clear" w:color="auto" w:fill="D9D9D9" w:themeFill="background1" w:themeFillShade="D9"/>
            <w:noWrap/>
          </w:tcPr>
          <w:p w14:paraId="4EB72985"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Sum of Individual Wastes Separately Disposed</w:t>
            </w:r>
          </w:p>
        </w:tc>
        <w:tc>
          <w:tcPr>
            <w:tcW w:w="2340" w:type="dxa"/>
            <w:shd w:val="clear" w:color="auto" w:fill="D9D9D9" w:themeFill="background1" w:themeFillShade="D9"/>
            <w:noWrap/>
          </w:tcPr>
          <w:p w14:paraId="63C0B060"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WWTR Emissions Plus Combined Disposal of All Other Wastes</w:t>
            </w:r>
          </w:p>
        </w:tc>
        <w:tc>
          <w:tcPr>
            <w:tcW w:w="2160" w:type="dxa"/>
            <w:shd w:val="clear" w:color="auto" w:fill="D9D9D9" w:themeFill="background1" w:themeFillShade="D9"/>
            <w:noWrap/>
          </w:tcPr>
          <w:p w14:paraId="723B43A4"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Sum of Individual Wastes Separately Disposed</w:t>
            </w:r>
          </w:p>
        </w:tc>
        <w:tc>
          <w:tcPr>
            <w:tcW w:w="2340" w:type="dxa"/>
            <w:shd w:val="clear" w:color="auto" w:fill="D9D9D9" w:themeFill="background1" w:themeFillShade="D9"/>
            <w:noWrap/>
          </w:tcPr>
          <w:p w14:paraId="669ED294"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WWTR Emissions Plus Combined Disposal of All Other Wastes</w:t>
            </w:r>
          </w:p>
        </w:tc>
      </w:tr>
      <w:tr w:rsidR="001D05E2" w:rsidRPr="001D05E2" w14:paraId="13EA8856" w14:textId="77777777" w:rsidTr="00360B83">
        <w:trPr>
          <w:trHeight w:val="300"/>
        </w:trPr>
        <w:tc>
          <w:tcPr>
            <w:tcW w:w="805" w:type="dxa"/>
            <w:noWrap/>
            <w:vAlign w:val="bottom"/>
            <w:hideMark/>
          </w:tcPr>
          <w:p w14:paraId="2C50F139" w14:textId="77777777" w:rsidR="001D05E2" w:rsidRPr="001D05E2" w:rsidRDefault="001D05E2" w:rsidP="007377EF">
            <w:pPr>
              <w:spacing w:after="0"/>
              <w:rPr>
                <w:rFonts w:ascii="Times New Roman" w:hAnsi="Times New Roman" w:cs="Times New Roman"/>
              </w:rPr>
            </w:pPr>
            <w:r w:rsidRPr="001D05E2">
              <w:rPr>
                <w:rFonts w:ascii="Times New Roman" w:hAnsi="Times New Roman" w:cs="Times New Roman"/>
              </w:rPr>
              <w:t>1990</w:t>
            </w:r>
          </w:p>
        </w:tc>
        <w:tc>
          <w:tcPr>
            <w:tcW w:w="1890" w:type="dxa"/>
            <w:noWrap/>
            <w:vAlign w:val="bottom"/>
            <w:hideMark/>
          </w:tcPr>
          <w:p w14:paraId="3842E02A"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1.00</w:t>
            </w:r>
          </w:p>
        </w:tc>
        <w:tc>
          <w:tcPr>
            <w:tcW w:w="2340" w:type="dxa"/>
            <w:noWrap/>
            <w:vAlign w:val="bottom"/>
          </w:tcPr>
          <w:p w14:paraId="789E7788"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1.00</w:t>
            </w:r>
          </w:p>
        </w:tc>
        <w:tc>
          <w:tcPr>
            <w:tcW w:w="2160" w:type="dxa"/>
            <w:noWrap/>
            <w:vAlign w:val="bottom"/>
            <w:hideMark/>
          </w:tcPr>
          <w:p w14:paraId="725C9929" w14:textId="77777777" w:rsidR="001D05E2" w:rsidRPr="001D05E2" w:rsidRDefault="001D05E2" w:rsidP="007377EF">
            <w:pPr>
              <w:spacing w:after="0"/>
              <w:jc w:val="center"/>
              <w:rPr>
                <w:rFonts w:ascii="Times New Roman" w:hAnsi="Times New Roman" w:cs="Times New Roman"/>
              </w:rPr>
            </w:pPr>
          </w:p>
        </w:tc>
        <w:tc>
          <w:tcPr>
            <w:tcW w:w="2340" w:type="dxa"/>
            <w:noWrap/>
            <w:vAlign w:val="bottom"/>
            <w:hideMark/>
          </w:tcPr>
          <w:p w14:paraId="656CA45E" w14:textId="77777777" w:rsidR="001D05E2" w:rsidRPr="001D05E2" w:rsidRDefault="001D05E2" w:rsidP="007377EF">
            <w:pPr>
              <w:spacing w:after="0"/>
              <w:jc w:val="center"/>
              <w:rPr>
                <w:rFonts w:ascii="Times New Roman" w:hAnsi="Times New Roman" w:cs="Times New Roman"/>
              </w:rPr>
            </w:pPr>
          </w:p>
        </w:tc>
      </w:tr>
      <w:tr w:rsidR="001D05E2" w:rsidRPr="001D05E2" w14:paraId="3D8E7D49" w14:textId="77777777" w:rsidTr="00360B83">
        <w:trPr>
          <w:trHeight w:val="300"/>
        </w:trPr>
        <w:tc>
          <w:tcPr>
            <w:tcW w:w="805" w:type="dxa"/>
            <w:noWrap/>
            <w:vAlign w:val="bottom"/>
            <w:hideMark/>
          </w:tcPr>
          <w:p w14:paraId="277D0B15" w14:textId="77777777" w:rsidR="001D05E2" w:rsidRPr="001D05E2" w:rsidRDefault="001D05E2" w:rsidP="007377EF">
            <w:pPr>
              <w:spacing w:after="0"/>
              <w:rPr>
                <w:rFonts w:ascii="Times New Roman" w:hAnsi="Times New Roman" w:cs="Times New Roman"/>
              </w:rPr>
            </w:pPr>
            <w:r w:rsidRPr="001D05E2">
              <w:rPr>
                <w:rFonts w:ascii="Times New Roman" w:hAnsi="Times New Roman" w:cs="Times New Roman"/>
              </w:rPr>
              <w:t>2005</w:t>
            </w:r>
          </w:p>
        </w:tc>
        <w:tc>
          <w:tcPr>
            <w:tcW w:w="1890" w:type="dxa"/>
            <w:noWrap/>
            <w:vAlign w:val="bottom"/>
            <w:hideMark/>
          </w:tcPr>
          <w:p w14:paraId="031EF52E"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1.24</w:t>
            </w:r>
          </w:p>
        </w:tc>
        <w:tc>
          <w:tcPr>
            <w:tcW w:w="2340" w:type="dxa"/>
            <w:noWrap/>
            <w:vAlign w:val="bottom"/>
          </w:tcPr>
          <w:p w14:paraId="55B0A34D"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1.31</w:t>
            </w:r>
          </w:p>
        </w:tc>
        <w:tc>
          <w:tcPr>
            <w:tcW w:w="2160" w:type="dxa"/>
            <w:noWrap/>
            <w:vAlign w:val="bottom"/>
          </w:tcPr>
          <w:p w14:paraId="7475A6A6"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1.00</w:t>
            </w:r>
          </w:p>
        </w:tc>
        <w:tc>
          <w:tcPr>
            <w:tcW w:w="2340" w:type="dxa"/>
            <w:noWrap/>
            <w:vAlign w:val="bottom"/>
          </w:tcPr>
          <w:p w14:paraId="608731CD"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1.00</w:t>
            </w:r>
          </w:p>
        </w:tc>
      </w:tr>
      <w:tr w:rsidR="001D05E2" w:rsidRPr="001D05E2" w14:paraId="712794D7" w14:textId="77777777" w:rsidTr="00360B83">
        <w:trPr>
          <w:trHeight w:val="300"/>
        </w:trPr>
        <w:tc>
          <w:tcPr>
            <w:tcW w:w="805" w:type="dxa"/>
            <w:noWrap/>
            <w:vAlign w:val="bottom"/>
            <w:hideMark/>
          </w:tcPr>
          <w:p w14:paraId="1E691E02" w14:textId="77777777" w:rsidR="001D05E2" w:rsidRPr="001D05E2" w:rsidRDefault="001D05E2" w:rsidP="007377EF">
            <w:pPr>
              <w:spacing w:after="0"/>
              <w:rPr>
                <w:rFonts w:ascii="Times New Roman" w:hAnsi="Times New Roman" w:cs="Times New Roman"/>
              </w:rPr>
            </w:pPr>
            <w:r w:rsidRPr="001D05E2">
              <w:rPr>
                <w:rFonts w:ascii="Times New Roman" w:hAnsi="Times New Roman" w:cs="Times New Roman"/>
              </w:rPr>
              <w:t>2020</w:t>
            </w:r>
          </w:p>
        </w:tc>
        <w:tc>
          <w:tcPr>
            <w:tcW w:w="1890" w:type="dxa"/>
            <w:noWrap/>
            <w:vAlign w:val="bottom"/>
            <w:hideMark/>
          </w:tcPr>
          <w:p w14:paraId="41B0E6F4"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1.19</w:t>
            </w:r>
          </w:p>
        </w:tc>
        <w:tc>
          <w:tcPr>
            <w:tcW w:w="2340" w:type="dxa"/>
            <w:noWrap/>
            <w:vAlign w:val="bottom"/>
          </w:tcPr>
          <w:p w14:paraId="3A98E945"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1.30</w:t>
            </w:r>
          </w:p>
        </w:tc>
        <w:tc>
          <w:tcPr>
            <w:tcW w:w="2160" w:type="dxa"/>
            <w:noWrap/>
            <w:vAlign w:val="bottom"/>
          </w:tcPr>
          <w:p w14:paraId="1739D29D"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0.96</w:t>
            </w:r>
          </w:p>
        </w:tc>
        <w:tc>
          <w:tcPr>
            <w:tcW w:w="2340" w:type="dxa"/>
            <w:noWrap/>
            <w:vAlign w:val="bottom"/>
          </w:tcPr>
          <w:p w14:paraId="20517CA5" w14:textId="77777777" w:rsidR="001D05E2" w:rsidRPr="001D05E2" w:rsidRDefault="001D05E2" w:rsidP="007377EF">
            <w:pPr>
              <w:spacing w:after="0"/>
              <w:jc w:val="center"/>
              <w:rPr>
                <w:rFonts w:ascii="Times New Roman" w:hAnsi="Times New Roman" w:cs="Times New Roman"/>
              </w:rPr>
            </w:pPr>
            <w:r w:rsidRPr="001D05E2">
              <w:rPr>
                <w:rFonts w:ascii="Times New Roman" w:hAnsi="Times New Roman" w:cs="Times New Roman"/>
              </w:rPr>
              <w:t>1.00</w:t>
            </w:r>
          </w:p>
        </w:tc>
      </w:tr>
    </w:tbl>
    <w:p w14:paraId="1685E036" w14:textId="77777777" w:rsidR="001D05E2" w:rsidRDefault="001D05E2" w:rsidP="001D05E2">
      <w:pPr>
        <w:rPr>
          <w:rFonts w:ascii="Times New Roman" w:hAnsi="Times New Roman" w:cs="Times New Roman"/>
          <w:iCs/>
        </w:rPr>
      </w:pPr>
    </w:p>
    <w:p w14:paraId="5DD33B28" w14:textId="77777777" w:rsidR="007377EF" w:rsidRDefault="007377EF" w:rsidP="001D05E2">
      <w:pPr>
        <w:rPr>
          <w:rFonts w:ascii="Times New Roman" w:hAnsi="Times New Roman" w:cs="Times New Roman"/>
          <w:iCs/>
        </w:rPr>
      </w:pPr>
    </w:p>
    <w:p w14:paraId="023B0D02" w14:textId="77777777" w:rsidR="007377EF" w:rsidRPr="001D05E2" w:rsidRDefault="007377EF" w:rsidP="001D05E2">
      <w:pPr>
        <w:rPr>
          <w:rFonts w:ascii="Times New Roman" w:hAnsi="Times New Roman" w:cs="Times New Roman"/>
          <w:iCs/>
        </w:rPr>
      </w:pPr>
    </w:p>
    <w:p w14:paraId="28F744DF" w14:textId="77777777" w:rsidR="001D05E2" w:rsidRPr="002D10B0" w:rsidRDefault="001D05E2" w:rsidP="00590ED8">
      <w:pPr>
        <w:pStyle w:val="Heading2"/>
        <w:rPr>
          <w:rFonts w:ascii="Times New Roman" w:hAnsi="Times New Roman" w:cs="Times New Roman"/>
          <w:b/>
          <w:bCs/>
          <w:color w:val="auto"/>
          <w:sz w:val="24"/>
          <w:szCs w:val="24"/>
        </w:rPr>
      </w:pPr>
      <w:bookmarkStart w:id="69" w:name="_Toc165549666"/>
      <w:bookmarkStart w:id="70" w:name="_Toc174876806"/>
      <w:bookmarkStart w:id="71" w:name="_Toc215829619"/>
      <w:r w:rsidRPr="002D10B0">
        <w:rPr>
          <w:rFonts w:ascii="Times New Roman" w:hAnsi="Times New Roman" w:cs="Times New Roman"/>
          <w:b/>
          <w:bCs/>
          <w:color w:val="auto"/>
          <w:sz w:val="24"/>
          <w:szCs w:val="24"/>
        </w:rPr>
        <w:lastRenderedPageBreak/>
        <w:t>Emissions from Wood Product Facility Landfills – Lumber</w:t>
      </w:r>
      <w:bookmarkEnd w:id="69"/>
      <w:bookmarkEnd w:id="70"/>
      <w:r w:rsidRPr="002D10B0">
        <w:rPr>
          <w:rFonts w:ascii="Times New Roman" w:hAnsi="Times New Roman" w:cs="Times New Roman"/>
          <w:b/>
          <w:bCs/>
          <w:color w:val="auto"/>
          <w:sz w:val="24"/>
          <w:szCs w:val="24"/>
        </w:rPr>
        <w:t xml:space="preserve"> Mills</w:t>
      </w:r>
      <w:bookmarkEnd w:id="71"/>
    </w:p>
    <w:p w14:paraId="3119DCE7"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Estimates for Lumber Mill Boiler Ash</w:t>
      </w:r>
    </w:p>
    <w:p w14:paraId="483C651B" w14:textId="4E5B283B"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There are few survey data available on the amounts and types of solid waste from wood products mills. For this profile, NCASI calculated ash quantities based primarily on data on biomass energy consumption reported in EIA MECS surveys </w:t>
      </w:r>
      <w:r w:rsidRPr="001D05E2">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{"citationID":"Ga4XeeZf","properties":{"formattedCitation":"\\super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sidRPr="001D05E2">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sidRPr="001D05E2">
        <w:rPr>
          <w:rFonts w:ascii="Times New Roman" w:hAnsi="Times New Roman" w:cs="Times New Roman"/>
        </w:rPr>
        <w:fldChar w:fldCharType="end"/>
      </w:r>
      <w:r w:rsidRPr="001D05E2">
        <w:rPr>
          <w:rFonts w:ascii="Times New Roman" w:hAnsi="Times New Roman" w:cs="Times New Roman"/>
        </w:rPr>
        <w:t xml:space="preserve">. Biomass energy consumption per unit of production was calculated using production data from FAOSTAT </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{"citationID":"M4AaXgIF","properties":{"formattedCitation":"\\super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sidRPr="001D05E2">
        <w:rPr>
          <w:rFonts w:ascii="Times New Roman" w:hAnsi="Times New Roman" w:cs="Times New Roman"/>
        </w:rPr>
        <w:fldChar w:fldCharType="end"/>
      </w:r>
      <w:r w:rsidRPr="001D05E2">
        <w:rPr>
          <w:rFonts w:ascii="Times New Roman" w:hAnsi="Times New Roman" w:cs="Times New Roman"/>
        </w:rPr>
        <w:t>. An analysis of biomass energy consumption per unit of production over time did not reveal a statistically significant trend; therefore, the average biomass energy use per unit of production was used for all years (based on EIA MECS data from 1994 to 2018). The average was calculated to be 1.3 million BTU HHV (or 1370 MJ) per m</w:t>
      </w:r>
      <w:r w:rsidRPr="001D05E2">
        <w:rPr>
          <w:rFonts w:ascii="Times New Roman" w:hAnsi="Times New Roman" w:cs="Times New Roman"/>
          <w:vertAlign w:val="superscript"/>
        </w:rPr>
        <w:t>3</w:t>
      </w:r>
      <w:r w:rsidRPr="001D05E2">
        <w:rPr>
          <w:rFonts w:ascii="Times New Roman" w:hAnsi="Times New Roman" w:cs="Times New Roman"/>
        </w:rPr>
        <w:t xml:space="preserve"> of lumber. This was converted to fuel quantity using a factor of 17.48 million BTU HHV per short ton of biomass fuel </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{"citationID":"YHAAWPkf","properties":{"formattedCitation":"\\super 36\\nosupersub{}","plainCitation":"36","noteIndex":0},"citationItems":[{"id":66,"uris":["http://zotero.org/users/18184231/items/9JJNNK2V"],"itemData":{"id":66,"type":"report","language":"en","source":"Zotero","title":"Greenhouse Gas Inventory Guidance, Direct Emissions from   Stationary Combustion Sources","URL":"https://www.epa.gov/sites/default/files/2016-03/documents/stationaryemissions_3_2016.pdf","author":[{"family":"United States Environmental Protection Agency (EPA)","given":""}],"issued":{"date-parts":[["2016"]]}}}],"schema":"https://github.com/citation-style-language/schema/raw/master/csl-citation.json"}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36</w:t>
      </w:r>
      <w:r w:rsidRPr="001D05E2">
        <w:rPr>
          <w:rFonts w:ascii="Times New Roman" w:hAnsi="Times New Roman" w:cs="Times New Roman"/>
        </w:rPr>
        <w:fldChar w:fldCharType="end"/>
      </w:r>
      <w:r w:rsidRPr="001D05E2">
        <w:rPr>
          <w:rFonts w:ascii="Times New Roman" w:hAnsi="Times New Roman" w:cs="Times New Roman"/>
        </w:rPr>
        <w:t xml:space="preserve">. Ash production was calculated by multiplying biomass quantity by an ash content of 2% (value derived in Someshwar 1996 </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{"citationID":"IRuanfaC","properties":{"formattedCitation":"\\super 37\\nosupersub{}","plainCitation":"37","noteIndex":0},"citationItems":[{"id":71,"uris":["http://zotero.org/users/18184231/items/S8VXV7CC"],"itemData":{"id":71,"type":"article-journal","abstract":"Ashes resulting from the combustion of wood residues in industrial boilers are characterized relative to (i) macroelement compositions, (ii) trace and heavy metal microelement compositions, (iii) organics, and (iv) polychlorinated dibenzo-dioxins and -furans (PCDD/Fs). Ash compositions, both macro- and microelements, are compared with coal ash and limestone. Microelements in wood ashes are also compared with other potential soil amendments such as pulp mill sludges. The impact of burning sludge and combinations of coal and wood residue on ash metal concentrations is presented. Levels of PCDD/Fs in ash resulting from combustion of 100% inland wood residue, salty wood, or bleached mill sludge with wood residue are reviewed, as are the levels of PCDD/Fs in ashes and soot resulting from residential wood combustion. The concentrations of metals in wood ash are comparable to other potential soil amendments. The concentration in wood ash of common organics of environmental concern appears to be negligible. The levels of PCDD/Fs in the ash appear to have a direct correlation with extraneous sources of chloride in the wood fuel.","container-title":"Journal of Environmental Quality","DOI":"10.2134/jeq1996.00472425002500050006x","ISSN":"1537-2537","issue":"5","language":"en","license":"© 1996 American Society of Agronomy, Crop Science Society of America, and Soil Science Society of America","note":"_eprint: https://acsess.onlinelibrary.wiley.com/doi/pdf/10.2134/jeq1996.00472425002500050006x","page":"962-972","source":"Wiley Online Library","title":"Wood and Combination Wood-Fired Boiler Ash Characterization","volume":"25","author":[{"family":"Someshwar","given":"Arun V."}],"issued":{"date-parts":[["1996"]]}}}],"schema":"https://github.com/citation-style-language/schema/raw/master/csl-citation.json"}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37</w:t>
      </w:r>
      <w:r w:rsidRPr="001D05E2">
        <w:rPr>
          <w:rFonts w:ascii="Times New Roman" w:hAnsi="Times New Roman" w:cs="Times New Roman"/>
        </w:rPr>
        <w:fldChar w:fldCharType="end"/>
      </w:r>
      <w:r w:rsidRPr="001D05E2">
        <w:rPr>
          <w:rFonts w:ascii="Times New Roman" w:hAnsi="Times New Roman" w:cs="Times New Roman"/>
        </w:rPr>
        <w:t>). These factors resulted in a calculated ash generation rate of 1.35 dry kg per m</w:t>
      </w:r>
      <w:r w:rsidRPr="001D05E2">
        <w:rPr>
          <w:rFonts w:ascii="Times New Roman" w:hAnsi="Times New Roman" w:cs="Times New Roman"/>
          <w:vertAlign w:val="superscript"/>
        </w:rPr>
        <w:t>3</w:t>
      </w:r>
      <w:r w:rsidRPr="001D05E2">
        <w:rPr>
          <w:rFonts w:ascii="Times New Roman" w:hAnsi="Times New Roman" w:cs="Times New Roman"/>
        </w:rPr>
        <w:t xml:space="preserve"> of lumber. This value was used for all years. For the pulp and paper sector (discussed earlier in this section), </w:t>
      </w:r>
      <w:r w:rsidRPr="001D05E2">
        <w:rPr>
          <w:rFonts w:ascii="Times New Roman" w:hAnsi="Times New Roman" w:cs="Times New Roman"/>
          <w:iCs/>
        </w:rPr>
        <w:t xml:space="preserve">NCASI relied on published information indicating that the fraction landfilled was 84%, 72%, and 75% in 1988, 1995, and 2016 respectively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{"citationID":"YEbHLccs","properties":{"formattedCitation":"\\super 31,32,34\\nosupersub{}","plainCitation":"31,32,34","noteIndex":0},"citationItems":[{"id":78,"uris":["http://zotero.org/users/18184231/items/VGD5UWTS"],"itemData":{"id":78,"type":"report","event-place":"Cary, NC","number":"Technical Bulletin 1063","publisher":"NCASI","publisher-place":"Cary, NC","title":"Solid Residual Generation and Beneficial Use, and Wastewater Treatment Performance and Practices of the North American Pulp and Paper Industry","author":[{"family":"NCASI","given":""}],"issued":{"date-parts":[["2019"]]}}},{"id":83,"uris":["http://zotero.org/users/18184231/items/5BGCHVGQ"],"itemData":{"id":83,"type":"report","event-place":"Cary, NC","number":"Technical Bulletin 793","publisher":"NCASI","publisher-place":"Cary, NC","title":"Solid Waste Management and Disposal Practices in the US Paper Industry−1995","author":[{"family":"NCASI","given":""}],"issued":{"date-parts":[["1999"]]}}},{"id":82,"uris":["http://zotero.org/users/18184231/items/QEQ2SITC"],"itemData":{"id":82,"type":"report","event-place":"Cary, NC","number":"Technical Bulletin 641","publisher":"NCASI","publisher-place":"Cary, NC","title":"Solid Waste Management and Disposal Practices in the US Paper Industry","author":[{"family":"NCASI","given":""}],"issued":{"date-parts":[["1992"]]}}}],"schema":"https://github.com/citation-style-language/schema/raw/master/csl-citation.json"}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31,32,34</w:t>
      </w:r>
      <w:r w:rsidRPr="001D05E2">
        <w:rPr>
          <w:rFonts w:ascii="Times New Roman" w:hAnsi="Times New Roman" w:cs="Times New Roman"/>
          <w:iCs/>
        </w:rPr>
        <w:fldChar w:fldCharType="end"/>
      </w:r>
      <w:r w:rsidRPr="001D05E2">
        <w:rPr>
          <w:rFonts w:ascii="Times New Roman" w:hAnsi="Times New Roman" w:cs="Times New Roman"/>
          <w:iCs/>
        </w:rPr>
        <w:t>. Due to the lack of robust data for lumber mills, these pulp and paper mill data were used to describe the disposition of boiler ash. The landfilling rates between 1988 and 2016 were interpolated using these values. The value for 1988 was extended back to 1960, while the 2016 value was extended forward to 2020.</w:t>
      </w:r>
    </w:p>
    <w:p w14:paraId="1B968C3B" w14:textId="739836D2"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DOC values in GHGRP Subpart TT rules </w:t>
      </w:r>
      <w:r w:rsidRPr="001D05E2">
        <w:rPr>
          <w:rFonts w:ascii="Times New Roman" w:hAnsi="Times New Roman" w:cs="Times New Roman"/>
          <w:iCs/>
        </w:rPr>
        <w:fldChar w:fldCharType="begin"/>
      </w:r>
      <w:r w:rsidR="002F7F0B">
        <w:rPr>
          <w:rFonts w:ascii="Times New Roman" w:hAnsi="Times New Roman" w:cs="Times New Roman"/>
          <w:iCs/>
        </w:rPr>
        <w:instrText xml:space="preserve"> ADDIN ZOTERO_ITEM CSL_CITATION {"citationID":"JOx5NjOl","properties":{"formattedCitation":"\\super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iCs/>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iCs/>
        </w:rPr>
        <w:fldChar w:fldCharType="end"/>
      </w:r>
      <w:r w:rsidRPr="001D05E2">
        <w:rPr>
          <w:rFonts w:ascii="Times New Roman" w:hAnsi="Times New Roman" w:cs="Times New Roman"/>
        </w:rPr>
        <w:t xml:space="preserve"> </w:t>
      </w:r>
      <w:r w:rsidRPr="001D05E2">
        <w:rPr>
          <w:rFonts w:ascii="Times New Roman" w:hAnsi="Times New Roman" w:cs="Times New Roman"/>
          <w:iCs/>
        </w:rPr>
        <w:t xml:space="preserve">are on a wet weight basis. Generation rates, however, are on a dry basis, requiring a factor to convert them to as-disposed wet weight. Data </w:t>
      </w:r>
      <w:proofErr w:type="gramStart"/>
      <w:r w:rsidRPr="001D05E2">
        <w:rPr>
          <w:rFonts w:ascii="Times New Roman" w:hAnsi="Times New Roman" w:cs="Times New Roman"/>
          <w:iCs/>
        </w:rPr>
        <w:t>are</w:t>
      </w:r>
      <w:proofErr w:type="gramEnd"/>
      <w:r w:rsidRPr="001D05E2">
        <w:rPr>
          <w:rFonts w:ascii="Times New Roman" w:hAnsi="Times New Roman" w:cs="Times New Roman"/>
          <w:iCs/>
        </w:rPr>
        <w:t xml:space="preserve"> not available, however, on the solids content of boiler ash disposed of in wood product mill landfills. For pulp and paper mill ash disposal estimates, data were available, allowing solids content to be estimated over time. These data are not available for wood products mills, however. Therefore, the average solids content for pulp and paper mill ash disposal from 1990 to 2020, equal to 83%, was used. The current default DOC values for ash are most likely based on as-disposed solids content. This is evident because in December 2016, EPA created new categories of pulp and paper mill </w:t>
      </w:r>
      <w:proofErr w:type="gramStart"/>
      <w:r w:rsidRPr="001D05E2">
        <w:rPr>
          <w:rFonts w:ascii="Times New Roman" w:hAnsi="Times New Roman" w:cs="Times New Roman"/>
          <w:iCs/>
        </w:rPr>
        <w:t>wastes</w:t>
      </w:r>
      <w:proofErr w:type="gramEnd"/>
      <w:r w:rsidRPr="001D05E2">
        <w:rPr>
          <w:rFonts w:ascii="Times New Roman" w:hAnsi="Times New Roman" w:cs="Times New Roman"/>
          <w:iCs/>
        </w:rPr>
        <w:t xml:space="preserve"> with different DOC values under the GHGRP. The data used to derive these categories are reviewed in a 2015 memorandum from RTI International to US EPA</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{"citationID":"SnmgdFXi","properties":{"formattedCitation":"\\super 38\\nosupersub{}","plainCitation":"38","noteIndex":0},"citationItems":[{"id":166,"uris":["http://zotero.org/users/18184231/items/NCT6CG57"],"itemData":{"id":166,"type":"report","title":"Review of Site-Specific Industrial Waste Degradable Organic Content Data","URL":"https://www.regulations.gov/document/EPA-HQ-OAR-2015-0526-0019","author":[{"family":"RTI International","given":""}],"accessed":{"date-parts":[["2025",12,3]]},"issued":{"date-parts":[["2015"]]}}}],"schema":"https://github.com/citation-style-language/schema/raw/master/csl-citation.json"}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38</w:t>
      </w:r>
      <w:r w:rsidRPr="001D05E2">
        <w:rPr>
          <w:rFonts w:ascii="Times New Roman" w:hAnsi="Times New Roman" w:cs="Times New Roman"/>
          <w:iCs/>
        </w:rPr>
        <w:fldChar w:fldCharType="end"/>
      </w:r>
      <w:r w:rsidRPr="001D05E2">
        <w:rPr>
          <w:rFonts w:ascii="Times New Roman" w:hAnsi="Times New Roman" w:cs="Times New Roman"/>
          <w:iCs/>
        </w:rPr>
        <w:t xml:space="preserve">. The DOC data examined in that memorandum </w:t>
      </w:r>
      <w:proofErr w:type="gramStart"/>
      <w:r w:rsidRPr="001D05E2">
        <w:rPr>
          <w:rFonts w:ascii="Times New Roman" w:hAnsi="Times New Roman" w:cs="Times New Roman"/>
          <w:iCs/>
        </w:rPr>
        <w:t>are those</w:t>
      </w:r>
      <w:proofErr w:type="gramEnd"/>
      <w:r w:rsidRPr="001D05E2">
        <w:rPr>
          <w:rFonts w:ascii="Times New Roman" w:hAnsi="Times New Roman" w:cs="Times New Roman"/>
          <w:iCs/>
        </w:rPr>
        <w:t xml:space="preserve"> submitted by companies and are all on a wet basis. The default DOC values subsequently added to the GHGRP are based directly on </w:t>
      </w:r>
      <w:proofErr w:type="gramStart"/>
      <w:r w:rsidRPr="001D05E2">
        <w:rPr>
          <w:rFonts w:ascii="Times New Roman" w:hAnsi="Times New Roman" w:cs="Times New Roman"/>
          <w:iCs/>
        </w:rPr>
        <w:t>these</w:t>
      </w:r>
      <w:proofErr w:type="gramEnd"/>
      <w:r w:rsidRPr="001D05E2">
        <w:rPr>
          <w:rFonts w:ascii="Times New Roman" w:hAnsi="Times New Roman" w:cs="Times New Roman"/>
          <w:iCs/>
        </w:rPr>
        <w:t xml:space="preserve"> data and are therefore most appropriately applied at the solids content expected of the wastes tested by the reporting companies. Therefore, in this report, when using GHGRP default DOC values, we have applied them to waste materials at solids contents that, based on best judgment and data, are representative of what is disposed. </w:t>
      </w:r>
      <w:r w:rsidR="007377EF">
        <w:rPr>
          <w:rFonts w:ascii="Times New Roman" w:hAnsi="Times New Roman" w:cs="Times New Roman"/>
          <w:iCs/>
        </w:rPr>
        <w:t>T</w:t>
      </w:r>
      <w:r w:rsidRPr="001D05E2">
        <w:rPr>
          <w:rFonts w:ascii="Times New Roman" w:hAnsi="Times New Roman" w:cs="Times New Roman"/>
          <w:iCs/>
        </w:rPr>
        <w:t xml:space="preserve">he base case for this assessment, used when a single estimate is needed, is based on an assumed solids content of 83% in as-disposed ash. </w:t>
      </w:r>
    </w:p>
    <w:p w14:paraId="798E6209" w14:textId="4B748766" w:rsidR="001D05E2" w:rsidRPr="001D05E2" w:rsidRDefault="001D05E2" w:rsidP="001D05E2">
      <w:pPr>
        <w:rPr>
          <w:rFonts w:ascii="Times New Roman" w:hAnsi="Times New Roman" w:cs="Times New Roman"/>
          <w:iCs/>
        </w:rPr>
      </w:pPr>
      <w:r w:rsidRPr="001D05E2">
        <w:rPr>
          <w:rFonts w:ascii="Times New Roman" w:hAnsi="Times New Roman" w:cs="Times New Roman"/>
          <w:iCs/>
        </w:rPr>
        <w:lastRenderedPageBreak/>
        <w:t xml:space="preserve">The parameter values used for modeling methane emissions attributable to landfilled ash from lumber mills were the same as those used for pulp and paper mills (see Table </w:t>
      </w:r>
      <w:r w:rsidR="007377EF">
        <w:rPr>
          <w:rFonts w:ascii="Times New Roman" w:hAnsi="Times New Roman" w:cs="Times New Roman"/>
          <w:iCs/>
        </w:rPr>
        <w:t>S31</w:t>
      </w:r>
      <w:r w:rsidRPr="001D05E2">
        <w:rPr>
          <w:rFonts w:ascii="Times New Roman" w:hAnsi="Times New Roman" w:cs="Times New Roman"/>
          <w:iCs/>
        </w:rPr>
        <w:t xml:space="preserve">). Results are shown in Table </w:t>
      </w:r>
      <w:r w:rsidR="007377EF">
        <w:rPr>
          <w:rFonts w:ascii="Times New Roman" w:hAnsi="Times New Roman" w:cs="Times New Roman"/>
          <w:iCs/>
        </w:rPr>
        <w:t>S42</w:t>
      </w:r>
      <w:r w:rsidRPr="001D05E2">
        <w:rPr>
          <w:rFonts w:ascii="Times New Roman" w:hAnsi="Times New Roman" w:cs="Times New Roman"/>
          <w:iCs/>
        </w:rPr>
        <w:t>. The emissions are much lower than those attributable to ash disposal at pulp and paper mills because the amounts of ash disposed are much lower.</w:t>
      </w:r>
    </w:p>
    <w:p w14:paraId="6653F2B8" w14:textId="77777777" w:rsidR="001D05E2" w:rsidRPr="001D05E2" w:rsidRDefault="001D05E2" w:rsidP="001D05E2">
      <w:pPr>
        <w:rPr>
          <w:rFonts w:ascii="Times New Roman" w:hAnsi="Times New Roman" w:cs="Times New Roman"/>
          <w:iCs/>
        </w:rPr>
      </w:pPr>
    </w:p>
    <w:p w14:paraId="3D937BFF" w14:textId="027E37EB" w:rsidR="001D05E2" w:rsidRPr="001D05E2" w:rsidRDefault="001D05E2" w:rsidP="001D05E2">
      <w:pPr>
        <w:jc w:val="center"/>
        <w:rPr>
          <w:rFonts w:ascii="Times New Roman" w:hAnsi="Times New Roman" w:cs="Times New Roman"/>
          <w:iCs/>
        </w:rPr>
      </w:pPr>
      <w:r w:rsidRPr="007377EF">
        <w:rPr>
          <w:rFonts w:ascii="Times New Roman" w:hAnsi="Times New Roman" w:cs="Times New Roman"/>
          <w:b/>
          <w:bCs/>
          <w:iCs/>
        </w:rPr>
        <w:t xml:space="preserve">Table </w:t>
      </w:r>
      <w:r w:rsidR="007377EF" w:rsidRPr="007377EF">
        <w:rPr>
          <w:rFonts w:ascii="Times New Roman" w:hAnsi="Times New Roman" w:cs="Times New Roman"/>
          <w:b/>
          <w:bCs/>
          <w:iCs/>
        </w:rPr>
        <w:t>S42</w:t>
      </w:r>
      <w:r w:rsidRPr="001D05E2">
        <w:rPr>
          <w:rFonts w:ascii="Times New Roman" w:hAnsi="Times New Roman" w:cs="Times New Roman"/>
          <w:iCs/>
        </w:rPr>
        <w:t>. Methane Emissions Attributable to Landfilled Boiler Ash from Lumber Mills</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794"/>
        <w:gridCol w:w="1361"/>
        <w:gridCol w:w="2970"/>
        <w:gridCol w:w="2970"/>
      </w:tblGrid>
      <w:tr w:rsidR="001D05E2" w:rsidRPr="001D05E2" w14:paraId="434BE06D" w14:textId="77777777" w:rsidTr="00360B83">
        <w:trPr>
          <w:trHeight w:val="980"/>
          <w:jc w:val="center"/>
        </w:trPr>
        <w:tc>
          <w:tcPr>
            <w:tcW w:w="794" w:type="dxa"/>
            <w:shd w:val="clear" w:color="auto" w:fill="D9D9D9" w:themeFill="background1" w:themeFillShade="D9"/>
            <w:noWrap/>
            <w:vAlign w:val="center"/>
          </w:tcPr>
          <w:p w14:paraId="5E08C8D7"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1361" w:type="dxa"/>
            <w:shd w:val="clear" w:color="auto" w:fill="D9D9D9" w:themeFill="background1" w:themeFillShade="D9"/>
            <w:vAlign w:val="center"/>
          </w:tcPr>
          <w:p w14:paraId="120DCCD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w:t>
            </w:r>
          </w:p>
        </w:tc>
        <w:tc>
          <w:tcPr>
            <w:tcW w:w="2970" w:type="dxa"/>
            <w:shd w:val="clear" w:color="auto" w:fill="D9D9D9" w:themeFill="background1" w:themeFillShade="D9"/>
            <w:vAlign w:val="center"/>
          </w:tcPr>
          <w:p w14:paraId="3677A9F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1990 Value – Reflects Only Changes in Lumber Production</w:t>
            </w:r>
          </w:p>
        </w:tc>
        <w:tc>
          <w:tcPr>
            <w:tcW w:w="2970" w:type="dxa"/>
            <w:shd w:val="clear" w:color="auto" w:fill="D9D9D9" w:themeFill="background1" w:themeFillShade="D9"/>
            <w:vAlign w:val="center"/>
          </w:tcPr>
          <w:p w14:paraId="27C1725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2005 Value – Reflects Only Changes in Lumber Production</w:t>
            </w:r>
          </w:p>
        </w:tc>
      </w:tr>
      <w:tr w:rsidR="001D05E2" w:rsidRPr="001D05E2" w14:paraId="4C251AAC" w14:textId="77777777" w:rsidTr="00360B83">
        <w:trPr>
          <w:trHeight w:val="300"/>
          <w:jc w:val="center"/>
        </w:trPr>
        <w:tc>
          <w:tcPr>
            <w:tcW w:w="794" w:type="dxa"/>
            <w:noWrap/>
            <w:vAlign w:val="center"/>
            <w:hideMark/>
          </w:tcPr>
          <w:p w14:paraId="50ED7C41"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1361" w:type="dxa"/>
            <w:noWrap/>
          </w:tcPr>
          <w:p w14:paraId="41C4AE7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1.100</w:t>
            </w:r>
          </w:p>
        </w:tc>
        <w:tc>
          <w:tcPr>
            <w:tcW w:w="2970" w:type="dxa"/>
          </w:tcPr>
          <w:p w14:paraId="3165F7CE"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2970" w:type="dxa"/>
            <w:vAlign w:val="center"/>
          </w:tcPr>
          <w:p w14:paraId="2FE054E1" w14:textId="77777777" w:rsidR="001D05E2" w:rsidRPr="001D05E2" w:rsidRDefault="001D05E2" w:rsidP="001D05E2">
            <w:pPr>
              <w:jc w:val="center"/>
              <w:rPr>
                <w:rFonts w:ascii="Times New Roman" w:hAnsi="Times New Roman" w:cs="Times New Roman"/>
                <w:iCs/>
              </w:rPr>
            </w:pPr>
          </w:p>
        </w:tc>
      </w:tr>
      <w:tr w:rsidR="001D05E2" w:rsidRPr="001D05E2" w14:paraId="114B64A9" w14:textId="77777777" w:rsidTr="00360B83">
        <w:trPr>
          <w:trHeight w:val="300"/>
          <w:jc w:val="center"/>
        </w:trPr>
        <w:tc>
          <w:tcPr>
            <w:tcW w:w="794" w:type="dxa"/>
            <w:noWrap/>
            <w:vAlign w:val="center"/>
            <w:hideMark/>
          </w:tcPr>
          <w:p w14:paraId="467D17A5"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1361" w:type="dxa"/>
            <w:noWrap/>
          </w:tcPr>
          <w:p w14:paraId="4800E2A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1,400</w:t>
            </w:r>
          </w:p>
        </w:tc>
        <w:tc>
          <w:tcPr>
            <w:tcW w:w="2970" w:type="dxa"/>
          </w:tcPr>
          <w:p w14:paraId="6503954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1.31</w:t>
            </w:r>
          </w:p>
        </w:tc>
        <w:tc>
          <w:tcPr>
            <w:tcW w:w="2970" w:type="dxa"/>
          </w:tcPr>
          <w:p w14:paraId="5582AD9E"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50DB24D4" w14:textId="77777777" w:rsidTr="00360B83">
        <w:trPr>
          <w:trHeight w:val="315"/>
          <w:jc w:val="center"/>
        </w:trPr>
        <w:tc>
          <w:tcPr>
            <w:tcW w:w="794" w:type="dxa"/>
            <w:noWrap/>
            <w:vAlign w:val="center"/>
            <w:hideMark/>
          </w:tcPr>
          <w:p w14:paraId="14616E34"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1361" w:type="dxa"/>
            <w:noWrap/>
          </w:tcPr>
          <w:p w14:paraId="78CD8D50"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1,500</w:t>
            </w:r>
          </w:p>
        </w:tc>
        <w:tc>
          <w:tcPr>
            <w:tcW w:w="2970" w:type="dxa"/>
          </w:tcPr>
          <w:p w14:paraId="00B340C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1.41</w:t>
            </w:r>
          </w:p>
        </w:tc>
        <w:tc>
          <w:tcPr>
            <w:tcW w:w="2970" w:type="dxa"/>
          </w:tcPr>
          <w:p w14:paraId="77C80E5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1.08</w:t>
            </w:r>
          </w:p>
        </w:tc>
      </w:tr>
    </w:tbl>
    <w:p w14:paraId="0220BCC0" w14:textId="77777777" w:rsidR="001D05E2" w:rsidRPr="001D05E2" w:rsidRDefault="001D05E2" w:rsidP="001D05E2">
      <w:pPr>
        <w:rPr>
          <w:rFonts w:ascii="Times New Roman" w:hAnsi="Times New Roman" w:cs="Times New Roman"/>
          <w:iCs/>
        </w:rPr>
      </w:pPr>
    </w:p>
    <w:p w14:paraId="3CF5BC29" w14:textId="3F33EBD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Estimates for Other Wastes from Lumber Mills</w:t>
      </w:r>
    </w:p>
    <w:p w14:paraId="3A404365" w14:textId="62A9A222" w:rsidR="001D05E2" w:rsidRPr="001D05E2" w:rsidRDefault="001D05E2" w:rsidP="001D05E2">
      <w:pPr>
        <w:rPr>
          <w:rFonts w:ascii="Times New Roman" w:hAnsi="Times New Roman" w:cs="Times New Roman"/>
        </w:rPr>
      </w:pPr>
      <w:r w:rsidRPr="001D05E2">
        <w:rPr>
          <w:rFonts w:ascii="Times New Roman" w:hAnsi="Times New Roman" w:cs="Times New Roman"/>
          <w:iCs/>
        </w:rPr>
        <w:t>CORRIM studies</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{"citationID":"kEphZ6p0","properties":{"formattedCitation":"\\super 39\\nosupersub{}","plainCitation":"39","noteIndex":0},"citationItems":[{"id":9,"uris":["http://zotero.org/users/18184231/items/FYPU64N2"],"itemData":{"id":9,"type":"webpage","title":"corrim.org","URL":"https://corrim.org/","author":[{"family":"Consortium for Research on Renewable Industrial Materials (CORRIM)","given":""}],"accessed":{"date-parts":[["2025",10,3]]}}}],"schema":"https://github.com/citation-style-language/schema/raw/master/csl-citation.json"}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39</w:t>
      </w:r>
      <w:r w:rsidRPr="001D05E2">
        <w:rPr>
          <w:rFonts w:ascii="Times New Roman" w:hAnsi="Times New Roman" w:cs="Times New Roman"/>
          <w:iCs/>
        </w:rPr>
        <w:fldChar w:fldCharType="end"/>
      </w:r>
      <w:r w:rsidRPr="001D05E2">
        <w:rPr>
          <w:rFonts w:ascii="Times New Roman" w:hAnsi="Times New Roman" w:cs="Times New Roman"/>
          <w:iCs/>
        </w:rPr>
        <w:t xml:space="preserve"> were used to develop a factor for estimating the amounts of non-ash solid waste landfilled at lumber mills. Data were taken from LCA reports on softwood lumber from the Pacific Northwest and Southeast US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{"citationID":"PomoyanP","properties":{"formattedCitation":"\\super 25,26\\nosupersub{}","plainCitation":"25,26","noteIndex":0},"citationItems":[{"id":35,"uris":["http://zotero.org/users/18184231/items/X47EGAWD"],"itemData":{"id":35,"type":"report","language":"en","publisher":"Consortium for Research on Renewable Industrial Materials (CORRIM)","source":"Zotero","title":"Life cycle assessment for the production of southeastern softwood lumber","author":[{"family":"Milota","given":"Mike"},{"family":"Science","given":"Wood"},{"family":"Hall","given":"Richardson"}],"issued":{"date-parts":[["2020"]]}}},{"id":36,"uris":["http://zotero.org/users/18184231/items/QYGPNRTL"],"itemData":{"id":36,"type":"report","language":"en","publisher":"Consortium for Research on Renewable Industrial Materials (CORRIM)","source":"Zotero","title":"Life Cycle assessment for the production of Pacific Northwest softwood lumber","URL":"https://corrim.org/wp-content/uploads/2020/06/CORRIM-AWC-PNW-Lumber.pdf","author":[{"family":"Milota","given":"Mike"},{"family":"Science","given":"Wood"},{"family":"Hall","given":"Richardson"}],"accessed":{"date-parts":[["2025",9,25]]},"issued":{"date-parts":[["2020"]]}}}],"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25,26</w:t>
      </w:r>
      <w:r w:rsidRPr="001D05E2">
        <w:rPr>
          <w:rFonts w:ascii="Times New Roman" w:hAnsi="Times New Roman" w:cs="Times New Roman"/>
          <w:iCs/>
        </w:rPr>
        <w:fldChar w:fldCharType="end"/>
      </w:r>
      <w:r w:rsidRPr="001D05E2">
        <w:rPr>
          <w:rFonts w:ascii="Times New Roman" w:hAnsi="Times New Roman" w:cs="Times New Roman"/>
          <w:iCs/>
        </w:rPr>
        <w:t>. For all processes in the mill, the reported quantities of “dirt and rocks,” “general trash,” “woody material,” and “other organics” were added together and then summed for all processes. The result was rounded to an “other waste” generation rate of 0.009 kg/m</w:t>
      </w:r>
      <w:r w:rsidRPr="001D05E2">
        <w:rPr>
          <w:rFonts w:ascii="Times New Roman" w:hAnsi="Times New Roman" w:cs="Times New Roman"/>
          <w:iCs/>
          <w:vertAlign w:val="superscript"/>
        </w:rPr>
        <w:t>3</w:t>
      </w:r>
      <w:r w:rsidRPr="001D05E2">
        <w:rPr>
          <w:rFonts w:ascii="Times New Roman" w:hAnsi="Times New Roman" w:cs="Times New Roman"/>
          <w:iCs/>
        </w:rPr>
        <w:t xml:space="preserve"> of lumber, which was used for all years. </w:t>
      </w:r>
      <w:r w:rsidRPr="001D05E2">
        <w:rPr>
          <w:rFonts w:ascii="Times New Roman" w:hAnsi="Times New Roman" w:cs="Times New Roman"/>
        </w:rPr>
        <w:t>This factor was multiplied by the production of lumber, downloaded from FAOSTAT</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{"citationID":"bHxxbYpw","properties":{"formattedCitation":"\\super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sidRPr="001D05E2">
        <w:rPr>
          <w:rFonts w:ascii="Times New Roman" w:hAnsi="Times New Roman" w:cs="Times New Roman"/>
        </w:rPr>
        <w:fldChar w:fldCharType="end"/>
      </w:r>
      <w:r w:rsidRPr="001D05E2">
        <w:rPr>
          <w:rFonts w:ascii="Times New Roman" w:hAnsi="Times New Roman" w:cs="Times New Roman"/>
        </w:rPr>
        <w:t xml:space="preserve">, for every year from 1960 to 2020. As a result, the year-to-year changes in production of “other waste” are entirely reflective of changes in production. </w:t>
      </w:r>
    </w:p>
    <w:p w14:paraId="4E6643A5" w14:textId="188B5F07" w:rsidR="001D05E2" w:rsidRPr="001D05E2" w:rsidRDefault="001D05E2" w:rsidP="001D05E2">
      <w:pPr>
        <w:rPr>
          <w:rFonts w:ascii="Times New Roman" w:hAnsi="Times New Roman" w:cs="Times New Roman"/>
        </w:rPr>
      </w:pPr>
      <w:r w:rsidRPr="001D05E2">
        <w:rPr>
          <w:rFonts w:ascii="Times New Roman" w:hAnsi="Times New Roman" w:cs="Times New Roman"/>
        </w:rPr>
        <w:t>The DOC values in GHGRP Subpart TT</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{"citationID":"B14y609J","properties":{"formattedCitation":"\\super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r w:rsidRPr="001D05E2">
        <w:rPr>
          <w:rFonts w:ascii="Times New Roman" w:hAnsi="Times New Roman" w:cs="Times New Roman"/>
        </w:rPr>
        <w:t xml:space="preserve"> (US EPA 2023a) are on a wet weight basis; therefore, the dry weights estimated herein were converted to wet weights using a solids content of 85% based on the fact that the GHGRP DOC is taken from IPCC </w:t>
      </w:r>
      <w:r w:rsidRPr="001D05E2">
        <w:rPr>
          <w:rFonts w:ascii="Times New Roman" w:hAnsi="Times New Roman" w:cs="Times New Roman"/>
        </w:rPr>
        <w:fldChar w:fldCharType="begin"/>
      </w:r>
      <w:r w:rsidR="00775B85">
        <w:rPr>
          <w:rFonts w:ascii="Times New Roman" w:hAnsi="Times New Roman" w:cs="Times New Roman"/>
        </w:rPr>
        <w:instrText xml:space="preserve"> ADDIN ZOTERO_ITEM CSL_CITATION {"citationID":"BZaEeRuQ","properties":{"formattedCitation":"\\super 7\\nosupersub{}","plainCitation":"7","noteIndex":0},"citationItems":[{"id":88,"uris":["http://zotero.org/users/local/T7KBDEDi/items/K7XZUS33","http://zotero.org/users/18184231/items/K7XZUS33"],"itemData":{"id":88,"type":"report","title":"2006 IPCC Guidelines for National Greenhouse Gas Inventories","URL":"https://www.ipcc-nggip.iges.or.jp/public/2006gl/index.html","author":[{"family":"IPCC (Intergovernmental Panel on Climate Change)","given":""}],"accessed":{"date-parts":[["2025",9,25]]},"issued":{"date-parts":[["2006"]]}}}],"schema":"https://github.com/citation-style-language/schema/raw/master/csl-citation.json"}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7</w:t>
      </w:r>
      <w:r w:rsidRPr="001D05E2">
        <w:rPr>
          <w:rFonts w:ascii="Times New Roman" w:hAnsi="Times New Roman" w:cs="Times New Roman"/>
        </w:rPr>
        <w:fldChar w:fldCharType="end"/>
      </w:r>
      <w:r w:rsidRPr="001D05E2">
        <w:rPr>
          <w:rFonts w:ascii="Times New Roman" w:hAnsi="Times New Roman" w:cs="Times New Roman"/>
        </w:rPr>
        <w:t>, where the associated water content is 15%.</w:t>
      </w:r>
    </w:p>
    <w:p w14:paraId="443DF57F" w14:textId="642D1188" w:rsidR="001D05E2" w:rsidRDefault="001D05E2" w:rsidP="001D05E2">
      <w:pPr>
        <w:rPr>
          <w:rFonts w:ascii="Times New Roman" w:hAnsi="Times New Roman" w:cs="Times New Roman"/>
        </w:rPr>
      </w:pPr>
      <w:r w:rsidRPr="001D05E2">
        <w:rPr>
          <w:rFonts w:ascii="Times New Roman" w:hAnsi="Times New Roman" w:cs="Times New Roman"/>
        </w:rPr>
        <w:t xml:space="preserve">The GHGRP Subpart TT defaults for non-ash waste from wood and wood products mills are shown in Table </w:t>
      </w:r>
      <w:r w:rsidR="007377EF">
        <w:rPr>
          <w:rFonts w:ascii="Times New Roman" w:hAnsi="Times New Roman" w:cs="Times New Roman"/>
        </w:rPr>
        <w:t>S43</w:t>
      </w:r>
      <w:r w:rsidRPr="001D05E2">
        <w:rPr>
          <w:rFonts w:ascii="Times New Roman" w:hAnsi="Times New Roman" w:cs="Times New Roman"/>
        </w:rPr>
        <w:t xml:space="preserve">. Note that the DOC for non-ash </w:t>
      </w:r>
      <w:proofErr w:type="gramStart"/>
      <w:r w:rsidRPr="001D05E2">
        <w:rPr>
          <w:rFonts w:ascii="Times New Roman" w:hAnsi="Times New Roman" w:cs="Times New Roman"/>
        </w:rPr>
        <w:t>wastes</w:t>
      </w:r>
      <w:proofErr w:type="gramEnd"/>
      <w:r w:rsidRPr="001D05E2">
        <w:rPr>
          <w:rFonts w:ascii="Times New Roman" w:hAnsi="Times New Roman" w:cs="Times New Roman"/>
        </w:rPr>
        <w:t xml:space="preserve"> is more than double the corresponding value for miscellaneous </w:t>
      </w:r>
      <w:proofErr w:type="gramStart"/>
      <w:r w:rsidRPr="001D05E2">
        <w:rPr>
          <w:rFonts w:ascii="Times New Roman" w:hAnsi="Times New Roman" w:cs="Times New Roman"/>
        </w:rPr>
        <w:t>wastes</w:t>
      </w:r>
      <w:proofErr w:type="gramEnd"/>
      <w:r w:rsidRPr="001D05E2">
        <w:rPr>
          <w:rFonts w:ascii="Times New Roman" w:hAnsi="Times New Roman" w:cs="Times New Roman"/>
        </w:rPr>
        <w:t xml:space="preserve"> from pulp and paper mills (0.2).</w:t>
      </w:r>
    </w:p>
    <w:p w14:paraId="034985E9" w14:textId="77777777" w:rsidR="007377EF" w:rsidRDefault="007377EF" w:rsidP="001D05E2">
      <w:pPr>
        <w:rPr>
          <w:rFonts w:ascii="Times New Roman" w:hAnsi="Times New Roman" w:cs="Times New Roman"/>
        </w:rPr>
      </w:pPr>
    </w:p>
    <w:p w14:paraId="21BCA0F5" w14:textId="77777777" w:rsidR="007377EF" w:rsidRDefault="007377EF" w:rsidP="001D05E2">
      <w:pPr>
        <w:rPr>
          <w:rFonts w:ascii="Times New Roman" w:hAnsi="Times New Roman" w:cs="Times New Roman"/>
        </w:rPr>
      </w:pPr>
    </w:p>
    <w:p w14:paraId="751BD368" w14:textId="77777777" w:rsidR="007377EF" w:rsidRDefault="007377EF" w:rsidP="001D05E2">
      <w:pPr>
        <w:rPr>
          <w:rFonts w:ascii="Times New Roman" w:hAnsi="Times New Roman" w:cs="Times New Roman"/>
        </w:rPr>
      </w:pPr>
    </w:p>
    <w:p w14:paraId="1D49C19C" w14:textId="77777777" w:rsidR="007377EF" w:rsidRPr="001D05E2" w:rsidRDefault="007377EF" w:rsidP="001D05E2">
      <w:pPr>
        <w:rPr>
          <w:rFonts w:ascii="Times New Roman" w:hAnsi="Times New Roman" w:cs="Times New Roman"/>
        </w:rPr>
      </w:pPr>
    </w:p>
    <w:p w14:paraId="17FFD9D6" w14:textId="23BB5F29" w:rsidR="001D05E2" w:rsidRPr="001D05E2" w:rsidRDefault="001D05E2" w:rsidP="007377EF">
      <w:pPr>
        <w:jc w:val="center"/>
        <w:rPr>
          <w:rFonts w:ascii="Times New Roman" w:hAnsi="Times New Roman" w:cs="Times New Roman"/>
        </w:rPr>
      </w:pPr>
      <w:r w:rsidRPr="007377EF">
        <w:rPr>
          <w:rFonts w:ascii="Times New Roman" w:hAnsi="Times New Roman" w:cs="Times New Roman"/>
          <w:b/>
          <w:bCs/>
        </w:rPr>
        <w:lastRenderedPageBreak/>
        <w:t xml:space="preserve">Table </w:t>
      </w:r>
      <w:r w:rsidR="007377EF" w:rsidRPr="007377EF">
        <w:rPr>
          <w:rFonts w:ascii="Times New Roman" w:hAnsi="Times New Roman" w:cs="Times New Roman"/>
          <w:b/>
          <w:bCs/>
        </w:rPr>
        <w:t>S43</w:t>
      </w:r>
      <w:r w:rsidRPr="001D05E2">
        <w:rPr>
          <w:rFonts w:ascii="Times New Roman" w:hAnsi="Times New Roman" w:cs="Times New Roman"/>
        </w:rPr>
        <w:t>. Wood Product Non-Ash Waste Parameter Values for First Order Decay Model</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1345"/>
        <w:gridCol w:w="2700"/>
        <w:gridCol w:w="3695"/>
      </w:tblGrid>
      <w:tr w:rsidR="001D05E2" w:rsidRPr="001D05E2" w14:paraId="50288FC8" w14:textId="77777777" w:rsidTr="00360B83">
        <w:trPr>
          <w:jc w:val="center"/>
        </w:trPr>
        <w:tc>
          <w:tcPr>
            <w:tcW w:w="1345" w:type="dxa"/>
            <w:shd w:val="clear" w:color="auto" w:fill="D9D9D9" w:themeFill="background1" w:themeFillShade="D9"/>
          </w:tcPr>
          <w:p w14:paraId="4D54B24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Parameter</w:t>
            </w:r>
          </w:p>
        </w:tc>
        <w:tc>
          <w:tcPr>
            <w:tcW w:w="2700" w:type="dxa"/>
            <w:shd w:val="clear" w:color="auto" w:fill="D9D9D9" w:themeFill="background1" w:themeFillShade="D9"/>
          </w:tcPr>
          <w:p w14:paraId="4547DE8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Units</w:t>
            </w:r>
          </w:p>
        </w:tc>
        <w:tc>
          <w:tcPr>
            <w:tcW w:w="3695" w:type="dxa"/>
            <w:shd w:val="clear" w:color="auto" w:fill="D9D9D9" w:themeFill="background1" w:themeFillShade="D9"/>
          </w:tcPr>
          <w:p w14:paraId="712FC1BE" w14:textId="67B4A48B" w:rsidR="001D05E2" w:rsidRPr="001D05E2" w:rsidRDefault="001D05E2" w:rsidP="001D05E2">
            <w:pPr>
              <w:rPr>
                <w:rFonts w:ascii="Times New Roman" w:hAnsi="Times New Roman" w:cs="Times New Roman"/>
              </w:rPr>
            </w:pPr>
            <w:r w:rsidRPr="001D05E2">
              <w:rPr>
                <w:rFonts w:ascii="Times New Roman" w:hAnsi="Times New Roman" w:cs="Times New Roman"/>
              </w:rPr>
              <w:t>GHGRP, Subpart TT</w:t>
            </w:r>
            <w:r w:rsidRPr="001D05E2">
              <w:rPr>
                <w:rFonts w:ascii="Times New Roman" w:hAnsi="Times New Roman" w:cs="Times New Roman"/>
              </w:rPr>
              <w:fldChar w:fldCharType="begin"/>
            </w:r>
            <w:r w:rsidR="002F7F0B">
              <w:rPr>
                <w:rFonts w:ascii="Times New Roman" w:hAnsi="Times New Roman" w:cs="Times New Roman"/>
              </w:rPr>
              <w:instrText xml:space="preserve"> ADDIN ZOTERO_ITEM CSL_CITATION {"citationID":"nHL1uVWt","properties":{"formattedCitation":"\\super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rPr>
              <w:fldChar w:fldCharType="end"/>
            </w:r>
          </w:p>
        </w:tc>
      </w:tr>
      <w:tr w:rsidR="001D05E2" w:rsidRPr="001D05E2" w14:paraId="036C4086" w14:textId="77777777" w:rsidTr="00360B83">
        <w:trPr>
          <w:jc w:val="center"/>
        </w:trPr>
        <w:tc>
          <w:tcPr>
            <w:tcW w:w="1345" w:type="dxa"/>
          </w:tcPr>
          <w:p w14:paraId="3F20CBF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DOC</w:t>
            </w:r>
          </w:p>
        </w:tc>
        <w:tc>
          <w:tcPr>
            <w:tcW w:w="2700" w:type="dxa"/>
          </w:tcPr>
          <w:p w14:paraId="683C9FA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kg organic C/kg wet waste</w:t>
            </w:r>
          </w:p>
        </w:tc>
        <w:tc>
          <w:tcPr>
            <w:tcW w:w="3695" w:type="dxa"/>
          </w:tcPr>
          <w:p w14:paraId="78C6F32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0.43</w:t>
            </w:r>
          </w:p>
        </w:tc>
      </w:tr>
      <w:tr w:rsidR="001D05E2" w:rsidRPr="001D05E2" w14:paraId="78F5095B" w14:textId="77777777" w:rsidTr="00360B83">
        <w:trPr>
          <w:jc w:val="center"/>
        </w:trPr>
        <w:tc>
          <w:tcPr>
            <w:tcW w:w="1345" w:type="dxa"/>
          </w:tcPr>
          <w:p w14:paraId="6AF3FE43" w14:textId="77777777" w:rsidR="001D05E2" w:rsidRPr="001D05E2" w:rsidRDefault="001D05E2" w:rsidP="001D05E2">
            <w:pPr>
              <w:rPr>
                <w:rFonts w:ascii="Times New Roman" w:hAnsi="Times New Roman" w:cs="Times New Roman"/>
              </w:rPr>
            </w:pPr>
            <w:proofErr w:type="spellStart"/>
            <w:r w:rsidRPr="001D05E2">
              <w:rPr>
                <w:rFonts w:ascii="Times New Roman" w:hAnsi="Times New Roman" w:cs="Times New Roman"/>
              </w:rPr>
              <w:t>DOCf</w:t>
            </w:r>
            <w:proofErr w:type="spellEnd"/>
          </w:p>
        </w:tc>
        <w:tc>
          <w:tcPr>
            <w:tcW w:w="2700" w:type="dxa"/>
          </w:tcPr>
          <w:p w14:paraId="2D6E4947"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DOC that will degrade in landfill</w:t>
            </w:r>
          </w:p>
        </w:tc>
        <w:tc>
          <w:tcPr>
            <w:tcW w:w="3695" w:type="dxa"/>
          </w:tcPr>
          <w:p w14:paraId="7AFDE2DC"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35A8A8AF" w14:textId="77777777" w:rsidTr="00360B83">
        <w:trPr>
          <w:jc w:val="center"/>
        </w:trPr>
        <w:tc>
          <w:tcPr>
            <w:tcW w:w="1345" w:type="dxa"/>
          </w:tcPr>
          <w:p w14:paraId="6B74D693" w14:textId="77777777" w:rsidR="001D05E2" w:rsidRPr="001D05E2" w:rsidRDefault="001D05E2" w:rsidP="001D05E2">
            <w:pPr>
              <w:rPr>
                <w:rFonts w:ascii="Times New Roman" w:hAnsi="Times New Roman" w:cs="Times New Roman"/>
              </w:rPr>
            </w:pPr>
          </w:p>
          <w:p w14:paraId="7C58C29B"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k </w:t>
            </w:r>
          </w:p>
        </w:tc>
        <w:tc>
          <w:tcPr>
            <w:tcW w:w="2700" w:type="dxa"/>
          </w:tcPr>
          <w:p w14:paraId="742EA23A" w14:textId="77777777" w:rsidR="001D05E2" w:rsidRPr="001D05E2" w:rsidRDefault="001D05E2" w:rsidP="001D05E2">
            <w:pPr>
              <w:rPr>
                <w:rFonts w:ascii="Times New Roman" w:hAnsi="Times New Roman" w:cs="Times New Roman"/>
              </w:rPr>
            </w:pPr>
          </w:p>
          <w:p w14:paraId="3C1276E5"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yr</w:t>
            </w:r>
            <w:r w:rsidRPr="001D05E2">
              <w:rPr>
                <w:rFonts w:ascii="Times New Roman" w:hAnsi="Times New Roman" w:cs="Times New Roman"/>
                <w:vertAlign w:val="superscript"/>
              </w:rPr>
              <w:t>-1</w:t>
            </w:r>
          </w:p>
        </w:tc>
        <w:tc>
          <w:tcPr>
            <w:tcW w:w="3695" w:type="dxa"/>
          </w:tcPr>
          <w:p w14:paraId="2B67F15B"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0.02 (dry climate)</w:t>
            </w:r>
          </w:p>
          <w:p w14:paraId="4DA2F27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0.03 (moderate climate)</w:t>
            </w:r>
          </w:p>
          <w:p w14:paraId="7F3BD6B4"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0.04 (wet climate)</w:t>
            </w:r>
          </w:p>
        </w:tc>
      </w:tr>
      <w:tr w:rsidR="001D05E2" w:rsidRPr="001D05E2" w14:paraId="28E8EF5D" w14:textId="77777777" w:rsidTr="00360B83">
        <w:trPr>
          <w:jc w:val="center"/>
        </w:trPr>
        <w:tc>
          <w:tcPr>
            <w:tcW w:w="1345" w:type="dxa"/>
          </w:tcPr>
          <w:p w14:paraId="225C0DA1"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MCF</w:t>
            </w:r>
          </w:p>
        </w:tc>
        <w:tc>
          <w:tcPr>
            <w:tcW w:w="2700" w:type="dxa"/>
          </w:tcPr>
          <w:p w14:paraId="40839AFA"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degradable carbon that is subject to anaerobic conditions</w:t>
            </w:r>
          </w:p>
        </w:tc>
        <w:tc>
          <w:tcPr>
            <w:tcW w:w="3695" w:type="dxa"/>
          </w:tcPr>
          <w:p w14:paraId="13DD3939"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1</w:t>
            </w:r>
          </w:p>
        </w:tc>
      </w:tr>
      <w:tr w:rsidR="001D05E2" w:rsidRPr="001D05E2" w14:paraId="53AFD940" w14:textId="77777777" w:rsidTr="00360B83">
        <w:trPr>
          <w:jc w:val="center"/>
        </w:trPr>
        <w:tc>
          <w:tcPr>
            <w:tcW w:w="1345" w:type="dxa"/>
          </w:tcPr>
          <w:p w14:paraId="0B338A58"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w:t>
            </w:r>
          </w:p>
        </w:tc>
        <w:tc>
          <w:tcPr>
            <w:tcW w:w="2700" w:type="dxa"/>
          </w:tcPr>
          <w:p w14:paraId="534F175A"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by volume of CH</w:t>
            </w:r>
            <w:r w:rsidRPr="001D05E2">
              <w:rPr>
                <w:rFonts w:ascii="Times New Roman" w:hAnsi="Times New Roman" w:cs="Times New Roman"/>
                <w:vertAlign w:val="subscript"/>
              </w:rPr>
              <w:t>4</w:t>
            </w:r>
            <w:r w:rsidRPr="001D05E2">
              <w:rPr>
                <w:rFonts w:ascii="Times New Roman" w:hAnsi="Times New Roman" w:cs="Times New Roman"/>
              </w:rPr>
              <w:t xml:space="preserve"> in landfill gas, as generated</w:t>
            </w:r>
          </w:p>
        </w:tc>
        <w:tc>
          <w:tcPr>
            <w:tcW w:w="3695" w:type="dxa"/>
          </w:tcPr>
          <w:p w14:paraId="1C3FB92E"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0.5</w:t>
            </w:r>
          </w:p>
        </w:tc>
      </w:tr>
      <w:tr w:rsidR="001D05E2" w:rsidRPr="001D05E2" w14:paraId="1790954C" w14:textId="77777777" w:rsidTr="00360B83">
        <w:trPr>
          <w:jc w:val="center"/>
        </w:trPr>
        <w:tc>
          <w:tcPr>
            <w:tcW w:w="1345" w:type="dxa"/>
          </w:tcPr>
          <w:p w14:paraId="1C2E474A"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OX</w:t>
            </w:r>
          </w:p>
        </w:tc>
        <w:tc>
          <w:tcPr>
            <w:tcW w:w="2700" w:type="dxa"/>
          </w:tcPr>
          <w:p w14:paraId="3671AFF6"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Fraction of CH</w:t>
            </w:r>
            <w:r w:rsidRPr="001D05E2">
              <w:rPr>
                <w:rFonts w:ascii="Times New Roman" w:hAnsi="Times New Roman" w:cs="Times New Roman"/>
                <w:vertAlign w:val="subscript"/>
              </w:rPr>
              <w:t>4</w:t>
            </w:r>
            <w:r w:rsidRPr="001D05E2">
              <w:rPr>
                <w:rFonts w:ascii="Times New Roman" w:hAnsi="Times New Roman" w:cs="Times New Roman"/>
              </w:rPr>
              <w:t xml:space="preserve"> that is oxidized before it is released to the atmosphere</w:t>
            </w:r>
          </w:p>
        </w:tc>
        <w:tc>
          <w:tcPr>
            <w:tcW w:w="3695" w:type="dxa"/>
          </w:tcPr>
          <w:p w14:paraId="42782E2F"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0.1 (values ranging from 0.0 to 0.35 are listed with the choice depending on site-specific circumstances)</w:t>
            </w:r>
          </w:p>
        </w:tc>
      </w:tr>
    </w:tbl>
    <w:p w14:paraId="20BC3E62" w14:textId="77777777" w:rsidR="001D05E2" w:rsidRPr="001D05E2" w:rsidRDefault="001D05E2" w:rsidP="001D05E2">
      <w:pPr>
        <w:rPr>
          <w:rFonts w:ascii="Times New Roman" w:hAnsi="Times New Roman" w:cs="Times New Roman"/>
          <w:iCs/>
        </w:rPr>
      </w:pPr>
    </w:p>
    <w:p w14:paraId="70B1EACC" w14:textId="078D7C65"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estimated emissions associated with landfilled non-ash waste from lumber mills, derived using the GHGRP Subpart TT default DOC for “wood and wood product [wastes] (other than industrial sludges)” are shown in Table </w:t>
      </w:r>
      <w:r w:rsidR="007377EF">
        <w:rPr>
          <w:rFonts w:ascii="Times New Roman" w:hAnsi="Times New Roman" w:cs="Times New Roman"/>
          <w:iCs/>
        </w:rPr>
        <w:t>S44</w:t>
      </w:r>
      <w:r w:rsidRPr="001D05E2">
        <w:rPr>
          <w:rFonts w:ascii="Times New Roman" w:hAnsi="Times New Roman" w:cs="Times New Roman"/>
          <w:iCs/>
        </w:rPr>
        <w:t xml:space="preserve">. It is likely that these estimates are too high given the nature of the material involved. The major components of this waste are likely to be wood-derived materials that are not </w:t>
      </w:r>
      <w:proofErr w:type="gramStart"/>
      <w:r w:rsidRPr="001D05E2">
        <w:rPr>
          <w:rFonts w:ascii="Times New Roman" w:hAnsi="Times New Roman" w:cs="Times New Roman"/>
          <w:iCs/>
        </w:rPr>
        <w:t>usable</w:t>
      </w:r>
      <w:proofErr w:type="gramEnd"/>
      <w:r w:rsidRPr="001D05E2">
        <w:rPr>
          <w:rFonts w:ascii="Times New Roman" w:hAnsi="Times New Roman" w:cs="Times New Roman"/>
          <w:iCs/>
        </w:rPr>
        <w:t xml:space="preserve"> as raw material or fuel due to their contamination with soil and other debris. The default DOC of 0.43 at 85% solids equates to a carbon content of 50% of dry weight (which is reasonable if most of the material is woody). However, the default GHGRP value for the fraction of carbon degradable in the landfill is 50%, which is not reasonable given current research. US EPA’s Waste Reduction Model (WARM), for instance, considers 88% of the carbon in lumber and 77% of the carbon in branches to be nondegradable in anaerobic landfills</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{"citationID":"vi5Px3Wv","properties":{"formattedCitation":"\\super 40\\nosupersub{}","plainCitation":"40","noteIndex":0},"citationItems":[{"id":65,"uris":["http://zotero.org/users/18184231/items/VR9BR2GR"],"itemData":{"id":65,"type":"report","language":"en","source":"Zotero","title":"Documentation for Greenhouse Gas Emission and Energy Factors Used in the Waste Reduction Model (WARM) - Management Practices Chapters","URL":"https://www.epa.gov/sites/default/files/2020-12/documents/warm_management_practices_v15_10-29-2020.pdf","author":[{"family":"United States Environmental Protection Agency (EPA)","given":""}],"issued":{"date-parts":[["2020"]]}}}],"schema":"https://github.com/citation-style-language/schema/raw/master/csl-citation.json"}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40</w:t>
      </w:r>
      <w:r w:rsidRPr="001D05E2">
        <w:rPr>
          <w:rFonts w:ascii="Times New Roman" w:hAnsi="Times New Roman" w:cs="Times New Roman"/>
          <w:iCs/>
        </w:rPr>
        <w:fldChar w:fldCharType="end"/>
      </w:r>
      <w:r w:rsidRPr="001D05E2">
        <w:rPr>
          <w:rFonts w:ascii="Times New Roman" w:hAnsi="Times New Roman" w:cs="Times New Roman"/>
          <w:iCs/>
        </w:rPr>
        <w:t>.</w:t>
      </w:r>
    </w:p>
    <w:p w14:paraId="5CD7D523" w14:textId="2DCEC3B1"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br/>
      </w:r>
      <w:r w:rsidRPr="007377EF">
        <w:rPr>
          <w:rFonts w:ascii="Times New Roman" w:hAnsi="Times New Roman" w:cs="Times New Roman"/>
          <w:b/>
          <w:bCs/>
          <w:iCs/>
        </w:rPr>
        <w:t xml:space="preserve">Table </w:t>
      </w:r>
      <w:r w:rsidR="007377EF" w:rsidRPr="007377EF">
        <w:rPr>
          <w:rFonts w:ascii="Times New Roman" w:hAnsi="Times New Roman" w:cs="Times New Roman"/>
          <w:b/>
          <w:bCs/>
          <w:iCs/>
        </w:rPr>
        <w:t>S44</w:t>
      </w:r>
      <w:r w:rsidRPr="007377EF">
        <w:rPr>
          <w:rFonts w:ascii="Times New Roman" w:hAnsi="Times New Roman" w:cs="Times New Roman"/>
          <w:b/>
          <w:bCs/>
          <w:iCs/>
        </w:rPr>
        <w:t>.</w:t>
      </w:r>
      <w:r w:rsidRPr="001D05E2">
        <w:rPr>
          <w:rFonts w:ascii="Times New Roman" w:hAnsi="Times New Roman" w:cs="Times New Roman"/>
          <w:iCs/>
        </w:rPr>
        <w:t xml:space="preserve"> Methane Emissions Attributable to Landfilled Non-Ash Solid Waste from Lumber Mills Using GHGRP Subpart TT Default </w:t>
      </w:r>
      <w:proofErr w:type="spellStart"/>
      <w:r w:rsidRPr="001D05E2">
        <w:rPr>
          <w:rFonts w:ascii="Times New Roman" w:hAnsi="Times New Roman" w:cs="Times New Roman"/>
          <w:iCs/>
        </w:rPr>
        <w:t>Values</w:t>
      </w:r>
      <w:r w:rsidRPr="001D05E2">
        <w:rPr>
          <w:rFonts w:ascii="Times New Roman" w:hAnsi="Times New Roman" w:cs="Times New Roman"/>
          <w:iCs/>
          <w:vertAlign w:val="superscript"/>
        </w:rPr>
        <w:t>a</w:t>
      </w:r>
      <w:proofErr w:type="spellEnd"/>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895"/>
        <w:gridCol w:w="2885"/>
        <w:gridCol w:w="2700"/>
        <w:gridCol w:w="2250"/>
      </w:tblGrid>
      <w:tr w:rsidR="001D05E2" w:rsidRPr="001D05E2" w14:paraId="4AE51B8E" w14:textId="77777777" w:rsidTr="00360B83">
        <w:trPr>
          <w:trHeight w:val="422"/>
          <w:jc w:val="center"/>
        </w:trPr>
        <w:tc>
          <w:tcPr>
            <w:tcW w:w="895" w:type="dxa"/>
            <w:shd w:val="clear" w:color="auto" w:fill="D9D9D9" w:themeFill="background1" w:themeFillShade="D9"/>
            <w:noWrap/>
            <w:vAlign w:val="center"/>
          </w:tcPr>
          <w:p w14:paraId="5F187D99"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2885" w:type="dxa"/>
            <w:shd w:val="clear" w:color="auto" w:fill="D9D9D9" w:themeFill="background1" w:themeFillShade="D9"/>
            <w:vAlign w:val="center"/>
          </w:tcPr>
          <w:p w14:paraId="4997474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w:t>
            </w:r>
          </w:p>
        </w:tc>
        <w:tc>
          <w:tcPr>
            <w:tcW w:w="2700" w:type="dxa"/>
            <w:shd w:val="clear" w:color="auto" w:fill="D9D9D9" w:themeFill="background1" w:themeFillShade="D9"/>
            <w:vAlign w:val="center"/>
          </w:tcPr>
          <w:p w14:paraId="4B96297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1990 Value</w:t>
            </w:r>
          </w:p>
        </w:tc>
        <w:tc>
          <w:tcPr>
            <w:tcW w:w="2250" w:type="dxa"/>
            <w:shd w:val="clear" w:color="auto" w:fill="D9D9D9" w:themeFill="background1" w:themeFillShade="D9"/>
            <w:vAlign w:val="center"/>
          </w:tcPr>
          <w:p w14:paraId="5AC1765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Fraction of 2005 Value</w:t>
            </w:r>
          </w:p>
        </w:tc>
      </w:tr>
      <w:tr w:rsidR="001D05E2" w:rsidRPr="001D05E2" w14:paraId="373520AF" w14:textId="77777777" w:rsidTr="00360B83">
        <w:trPr>
          <w:trHeight w:val="300"/>
          <w:jc w:val="center"/>
        </w:trPr>
        <w:tc>
          <w:tcPr>
            <w:tcW w:w="895" w:type="dxa"/>
            <w:noWrap/>
            <w:vAlign w:val="center"/>
            <w:hideMark/>
          </w:tcPr>
          <w:p w14:paraId="525EE26A"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2885" w:type="dxa"/>
            <w:noWrap/>
            <w:vAlign w:val="bottom"/>
          </w:tcPr>
          <w:p w14:paraId="1D20CF7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60</w:t>
            </w:r>
          </w:p>
        </w:tc>
        <w:tc>
          <w:tcPr>
            <w:tcW w:w="2700" w:type="dxa"/>
          </w:tcPr>
          <w:p w14:paraId="0EC371E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2250" w:type="dxa"/>
            <w:vAlign w:val="center"/>
          </w:tcPr>
          <w:p w14:paraId="7AF57FCF" w14:textId="77777777" w:rsidR="001D05E2" w:rsidRPr="001D05E2" w:rsidRDefault="001D05E2" w:rsidP="001D05E2">
            <w:pPr>
              <w:jc w:val="center"/>
              <w:rPr>
                <w:rFonts w:ascii="Times New Roman" w:hAnsi="Times New Roman" w:cs="Times New Roman"/>
                <w:iCs/>
              </w:rPr>
            </w:pPr>
          </w:p>
        </w:tc>
      </w:tr>
      <w:tr w:rsidR="001D05E2" w:rsidRPr="001D05E2" w14:paraId="7F1B14FE" w14:textId="77777777" w:rsidTr="00360B83">
        <w:trPr>
          <w:trHeight w:val="300"/>
          <w:jc w:val="center"/>
        </w:trPr>
        <w:tc>
          <w:tcPr>
            <w:tcW w:w="895" w:type="dxa"/>
            <w:noWrap/>
            <w:vAlign w:val="center"/>
            <w:hideMark/>
          </w:tcPr>
          <w:p w14:paraId="0C33B66A"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2885" w:type="dxa"/>
            <w:noWrap/>
            <w:vAlign w:val="bottom"/>
          </w:tcPr>
          <w:p w14:paraId="36E9B60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80</w:t>
            </w:r>
          </w:p>
        </w:tc>
        <w:tc>
          <w:tcPr>
            <w:tcW w:w="2700" w:type="dxa"/>
          </w:tcPr>
          <w:p w14:paraId="3EF838B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1.40</w:t>
            </w:r>
          </w:p>
        </w:tc>
        <w:tc>
          <w:tcPr>
            <w:tcW w:w="2250" w:type="dxa"/>
          </w:tcPr>
          <w:p w14:paraId="53A514C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55E272DB" w14:textId="77777777" w:rsidTr="00360B83">
        <w:trPr>
          <w:trHeight w:val="315"/>
          <w:jc w:val="center"/>
        </w:trPr>
        <w:tc>
          <w:tcPr>
            <w:tcW w:w="895" w:type="dxa"/>
            <w:tcBorders>
              <w:bottom w:val="single" w:sz="4" w:space="0" w:color="auto"/>
            </w:tcBorders>
            <w:noWrap/>
            <w:vAlign w:val="center"/>
            <w:hideMark/>
          </w:tcPr>
          <w:p w14:paraId="4D015A65"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2885" w:type="dxa"/>
            <w:tcBorders>
              <w:bottom w:val="single" w:sz="4" w:space="0" w:color="auto"/>
            </w:tcBorders>
            <w:noWrap/>
            <w:vAlign w:val="bottom"/>
          </w:tcPr>
          <w:p w14:paraId="47F5B3E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90</w:t>
            </w:r>
          </w:p>
        </w:tc>
        <w:tc>
          <w:tcPr>
            <w:tcW w:w="2700" w:type="dxa"/>
            <w:tcBorders>
              <w:bottom w:val="single" w:sz="4" w:space="0" w:color="auto"/>
            </w:tcBorders>
          </w:tcPr>
          <w:p w14:paraId="38045FC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1.54</w:t>
            </w:r>
          </w:p>
        </w:tc>
        <w:tc>
          <w:tcPr>
            <w:tcW w:w="2250" w:type="dxa"/>
            <w:tcBorders>
              <w:bottom w:val="single" w:sz="4" w:space="0" w:color="auto"/>
            </w:tcBorders>
          </w:tcPr>
          <w:p w14:paraId="1ADAC5C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1.10</w:t>
            </w:r>
          </w:p>
        </w:tc>
      </w:tr>
      <w:tr w:rsidR="001D05E2" w:rsidRPr="001D05E2" w14:paraId="6D2D3A2C" w14:textId="77777777" w:rsidTr="00360B83">
        <w:trPr>
          <w:trHeight w:val="315"/>
          <w:jc w:val="center"/>
        </w:trPr>
        <w:tc>
          <w:tcPr>
            <w:tcW w:w="8730" w:type="dxa"/>
            <w:gridSpan w:val="4"/>
            <w:tcBorders>
              <w:bottom w:val="nil"/>
            </w:tcBorders>
            <w:noWrap/>
            <w:vAlign w:val="center"/>
          </w:tcPr>
          <w:p w14:paraId="6B5D164B" w14:textId="77777777" w:rsidR="001D05E2" w:rsidRPr="001D05E2" w:rsidRDefault="001D05E2" w:rsidP="001D05E2">
            <w:pPr>
              <w:rPr>
                <w:rFonts w:ascii="Times New Roman" w:hAnsi="Times New Roman" w:cs="Times New Roman"/>
              </w:rPr>
            </w:pPr>
            <w:proofErr w:type="spellStart"/>
            <w:proofErr w:type="gramStart"/>
            <w:r w:rsidRPr="001D05E2">
              <w:rPr>
                <w:rFonts w:ascii="Times New Roman" w:hAnsi="Times New Roman" w:cs="Times New Roman"/>
                <w:vertAlign w:val="superscript"/>
              </w:rPr>
              <w:t>a</w:t>
            </w:r>
            <w:proofErr w:type="spellEnd"/>
            <w:r w:rsidRPr="001D05E2">
              <w:rPr>
                <w:rFonts w:ascii="Times New Roman" w:hAnsi="Times New Roman" w:cs="Times New Roman"/>
              </w:rPr>
              <w:t xml:space="preserve"> Changes</w:t>
            </w:r>
            <w:proofErr w:type="gramEnd"/>
            <w:r w:rsidRPr="001D05E2">
              <w:rPr>
                <w:rFonts w:ascii="Times New Roman" w:hAnsi="Times New Roman" w:cs="Times New Roman"/>
              </w:rPr>
              <w:t xml:space="preserve"> reflect only changes in production of lumber.</w:t>
            </w:r>
          </w:p>
        </w:tc>
      </w:tr>
    </w:tbl>
    <w:p w14:paraId="7B1D9ECB" w14:textId="77777777" w:rsidR="001D05E2" w:rsidRPr="001D05E2" w:rsidRDefault="001D05E2" w:rsidP="001D05E2">
      <w:pPr>
        <w:rPr>
          <w:rFonts w:ascii="Times New Roman" w:hAnsi="Times New Roman" w:cs="Times New Roman"/>
          <w:iCs/>
        </w:rPr>
      </w:pPr>
    </w:p>
    <w:p w14:paraId="14447BA1" w14:textId="45B36A7F" w:rsidR="001A5FC7" w:rsidRPr="001D05E2" w:rsidRDefault="001A5FC7" w:rsidP="001A5FC7">
      <w:pPr>
        <w:rPr>
          <w:rFonts w:ascii="Times New Roman" w:hAnsi="Times New Roman" w:cs="Times New Roman"/>
          <w:iCs/>
        </w:rPr>
      </w:pPr>
      <w:r w:rsidRPr="001D05E2">
        <w:rPr>
          <w:rFonts w:ascii="Times New Roman" w:hAnsi="Times New Roman" w:cs="Times New Roman"/>
          <w:iCs/>
        </w:rPr>
        <w:t>If one uses an assumption that 80% of the carbon is nondegradable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 0.2) instead of the GHGRP Subpart TT value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 0.5), estimated methane production decreases by 60%. The effect of this is approximately equivalent to using the DOC for miscellaneous wastes from pulp and paper mills (0.2) and a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of 0.5. The alternative estimates, using a DOC of 0.43 </w:t>
      </w:r>
      <w:r w:rsidRPr="001D05E2">
        <w:rPr>
          <w:rFonts w:ascii="Times New Roman" w:hAnsi="Times New Roman" w:cs="Times New Roman"/>
          <w:iCs/>
        </w:rPr>
        <w:lastRenderedPageBreak/>
        <w:t xml:space="preserve">(GHGRP Subpart TT default for non-ash waste at wood products mills) and a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of 0.2 are shown in Table </w:t>
      </w:r>
      <w:r>
        <w:rPr>
          <w:rFonts w:ascii="Times New Roman" w:hAnsi="Times New Roman" w:cs="Times New Roman"/>
          <w:iCs/>
        </w:rPr>
        <w:t>S45</w:t>
      </w:r>
      <w:r w:rsidRPr="001D05E2">
        <w:rPr>
          <w:rFonts w:ascii="Times New Roman" w:hAnsi="Times New Roman" w:cs="Times New Roman"/>
          <w:iCs/>
        </w:rPr>
        <w:t xml:space="preserve">. These values are used in this profile in places where a single estimate is required. </w:t>
      </w:r>
    </w:p>
    <w:p w14:paraId="56C89D20" w14:textId="0F57C62E" w:rsidR="001D05E2" w:rsidRPr="001D05E2" w:rsidRDefault="001D05E2" w:rsidP="001D05E2">
      <w:pPr>
        <w:jc w:val="center"/>
        <w:rPr>
          <w:rFonts w:ascii="Times New Roman" w:hAnsi="Times New Roman" w:cs="Times New Roman"/>
          <w:iCs/>
        </w:rPr>
      </w:pPr>
      <w:r w:rsidRPr="001A5FC7">
        <w:rPr>
          <w:rFonts w:ascii="Times New Roman" w:hAnsi="Times New Roman" w:cs="Times New Roman"/>
          <w:b/>
          <w:bCs/>
          <w:iCs/>
        </w:rPr>
        <w:t xml:space="preserve">Table </w:t>
      </w:r>
      <w:r w:rsidR="001A5FC7" w:rsidRPr="001A5FC7">
        <w:rPr>
          <w:rFonts w:ascii="Times New Roman" w:hAnsi="Times New Roman" w:cs="Times New Roman"/>
          <w:b/>
          <w:bCs/>
          <w:iCs/>
        </w:rPr>
        <w:t>S45</w:t>
      </w:r>
      <w:r w:rsidRPr="001D05E2">
        <w:rPr>
          <w:rFonts w:ascii="Times New Roman" w:hAnsi="Times New Roman" w:cs="Times New Roman"/>
          <w:iCs/>
        </w:rPr>
        <w:t xml:space="preserve">. Methane Emissions Attributable to Landfilled Non-Ash Solid Waste from Lumber Mills – Using GHGRP Subpart TT Default Values Except for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(Using 0.2 Instead of 0.5)</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895"/>
        <w:gridCol w:w="2975"/>
        <w:gridCol w:w="2430"/>
        <w:gridCol w:w="2430"/>
      </w:tblGrid>
      <w:tr w:rsidR="001D05E2" w:rsidRPr="001D05E2" w14:paraId="15104A18" w14:textId="77777777" w:rsidTr="00360B83">
        <w:trPr>
          <w:trHeight w:val="422"/>
          <w:jc w:val="center"/>
        </w:trPr>
        <w:tc>
          <w:tcPr>
            <w:tcW w:w="895" w:type="dxa"/>
            <w:shd w:val="clear" w:color="auto" w:fill="D9D9D9" w:themeFill="background1" w:themeFillShade="D9"/>
            <w:noWrap/>
            <w:vAlign w:val="center"/>
          </w:tcPr>
          <w:p w14:paraId="6940B97A"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2975" w:type="dxa"/>
            <w:shd w:val="clear" w:color="auto" w:fill="D9D9D9" w:themeFill="background1" w:themeFillShade="D9"/>
            <w:vAlign w:val="center"/>
          </w:tcPr>
          <w:p w14:paraId="731869E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w:t>
            </w:r>
          </w:p>
        </w:tc>
        <w:tc>
          <w:tcPr>
            <w:tcW w:w="2430" w:type="dxa"/>
            <w:shd w:val="clear" w:color="auto" w:fill="D9D9D9" w:themeFill="background1" w:themeFillShade="D9"/>
            <w:vAlign w:val="center"/>
          </w:tcPr>
          <w:p w14:paraId="0AA3313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1990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c>
          <w:tcPr>
            <w:tcW w:w="2430" w:type="dxa"/>
            <w:shd w:val="clear" w:color="auto" w:fill="D9D9D9" w:themeFill="background1" w:themeFillShade="D9"/>
            <w:vAlign w:val="center"/>
          </w:tcPr>
          <w:p w14:paraId="31A4A9B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2005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r>
      <w:tr w:rsidR="001D05E2" w:rsidRPr="001D05E2" w14:paraId="68DD96AA" w14:textId="77777777" w:rsidTr="00360B83">
        <w:trPr>
          <w:trHeight w:val="300"/>
          <w:jc w:val="center"/>
        </w:trPr>
        <w:tc>
          <w:tcPr>
            <w:tcW w:w="895" w:type="dxa"/>
            <w:noWrap/>
            <w:vAlign w:val="center"/>
            <w:hideMark/>
          </w:tcPr>
          <w:p w14:paraId="2CF7486C"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2975" w:type="dxa"/>
            <w:noWrap/>
            <w:vAlign w:val="bottom"/>
          </w:tcPr>
          <w:p w14:paraId="25A2189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24</w:t>
            </w:r>
          </w:p>
        </w:tc>
        <w:tc>
          <w:tcPr>
            <w:tcW w:w="2430" w:type="dxa"/>
          </w:tcPr>
          <w:p w14:paraId="569581D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1.00</w:t>
            </w:r>
          </w:p>
        </w:tc>
        <w:tc>
          <w:tcPr>
            <w:tcW w:w="2430" w:type="dxa"/>
            <w:vAlign w:val="center"/>
          </w:tcPr>
          <w:p w14:paraId="40A3D98C" w14:textId="77777777" w:rsidR="001D05E2" w:rsidRPr="001D05E2" w:rsidRDefault="001D05E2" w:rsidP="001D05E2">
            <w:pPr>
              <w:jc w:val="center"/>
              <w:rPr>
                <w:rFonts w:ascii="Times New Roman" w:hAnsi="Times New Roman" w:cs="Times New Roman"/>
                <w:iCs/>
              </w:rPr>
            </w:pPr>
          </w:p>
        </w:tc>
      </w:tr>
      <w:tr w:rsidR="001D05E2" w:rsidRPr="001D05E2" w14:paraId="3065217C" w14:textId="77777777" w:rsidTr="00360B83">
        <w:trPr>
          <w:trHeight w:val="300"/>
          <w:jc w:val="center"/>
        </w:trPr>
        <w:tc>
          <w:tcPr>
            <w:tcW w:w="895" w:type="dxa"/>
            <w:noWrap/>
            <w:vAlign w:val="center"/>
            <w:hideMark/>
          </w:tcPr>
          <w:p w14:paraId="17E9EA8D"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2975" w:type="dxa"/>
            <w:noWrap/>
            <w:vAlign w:val="bottom"/>
          </w:tcPr>
          <w:p w14:paraId="03D7E131"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33</w:t>
            </w:r>
          </w:p>
        </w:tc>
        <w:tc>
          <w:tcPr>
            <w:tcW w:w="2430" w:type="dxa"/>
          </w:tcPr>
          <w:p w14:paraId="0BE6D09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1.40</w:t>
            </w:r>
          </w:p>
        </w:tc>
        <w:tc>
          <w:tcPr>
            <w:tcW w:w="2430" w:type="dxa"/>
          </w:tcPr>
          <w:p w14:paraId="30DD2F1C"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1.00</w:t>
            </w:r>
          </w:p>
        </w:tc>
      </w:tr>
      <w:tr w:rsidR="001D05E2" w:rsidRPr="001D05E2" w14:paraId="19F87EB2" w14:textId="77777777" w:rsidTr="00360B83">
        <w:trPr>
          <w:trHeight w:val="315"/>
          <w:jc w:val="center"/>
        </w:trPr>
        <w:tc>
          <w:tcPr>
            <w:tcW w:w="895" w:type="dxa"/>
            <w:tcBorders>
              <w:bottom w:val="single" w:sz="4" w:space="0" w:color="auto"/>
            </w:tcBorders>
            <w:noWrap/>
            <w:vAlign w:val="center"/>
            <w:hideMark/>
          </w:tcPr>
          <w:p w14:paraId="32C2637F"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2975" w:type="dxa"/>
            <w:tcBorders>
              <w:bottom w:val="single" w:sz="4" w:space="0" w:color="auto"/>
            </w:tcBorders>
            <w:noWrap/>
            <w:vAlign w:val="bottom"/>
          </w:tcPr>
          <w:p w14:paraId="666FC39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36</w:t>
            </w:r>
          </w:p>
        </w:tc>
        <w:tc>
          <w:tcPr>
            <w:tcW w:w="2430" w:type="dxa"/>
            <w:tcBorders>
              <w:bottom w:val="single" w:sz="4" w:space="0" w:color="auto"/>
            </w:tcBorders>
          </w:tcPr>
          <w:p w14:paraId="68B0855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1.54</w:t>
            </w:r>
          </w:p>
        </w:tc>
        <w:tc>
          <w:tcPr>
            <w:tcW w:w="2430" w:type="dxa"/>
            <w:tcBorders>
              <w:bottom w:val="single" w:sz="4" w:space="0" w:color="auto"/>
            </w:tcBorders>
          </w:tcPr>
          <w:p w14:paraId="56F8985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1.10</w:t>
            </w:r>
          </w:p>
        </w:tc>
      </w:tr>
      <w:tr w:rsidR="001D05E2" w:rsidRPr="001D05E2" w14:paraId="3052F01E" w14:textId="77777777" w:rsidTr="00360B83">
        <w:trPr>
          <w:trHeight w:val="315"/>
          <w:jc w:val="center"/>
        </w:trPr>
        <w:tc>
          <w:tcPr>
            <w:tcW w:w="8730" w:type="dxa"/>
            <w:gridSpan w:val="4"/>
            <w:tcBorders>
              <w:bottom w:val="nil"/>
            </w:tcBorders>
            <w:noWrap/>
            <w:vAlign w:val="center"/>
          </w:tcPr>
          <w:p w14:paraId="6D2144A2" w14:textId="77777777" w:rsidR="001D05E2" w:rsidRPr="001D05E2" w:rsidRDefault="001D05E2" w:rsidP="001D05E2">
            <w:pPr>
              <w:rPr>
                <w:rFonts w:ascii="Times New Roman" w:hAnsi="Times New Roman" w:cs="Times New Roman"/>
                <w:iCs/>
              </w:rPr>
            </w:pPr>
            <w:proofErr w:type="spellStart"/>
            <w:proofErr w:type="gramStart"/>
            <w:r w:rsidRPr="001D05E2">
              <w:rPr>
                <w:rFonts w:ascii="Times New Roman" w:hAnsi="Times New Roman" w:cs="Times New Roman"/>
                <w:iCs/>
                <w:vertAlign w:val="superscript"/>
              </w:rPr>
              <w:t>a</w:t>
            </w:r>
            <w:proofErr w:type="spellEnd"/>
            <w:r w:rsidRPr="001D05E2">
              <w:rPr>
                <w:rFonts w:ascii="Times New Roman" w:hAnsi="Times New Roman" w:cs="Times New Roman"/>
                <w:iCs/>
                <w:vertAlign w:val="superscript"/>
              </w:rPr>
              <w:t xml:space="preserve"> </w:t>
            </w:r>
            <w:r w:rsidRPr="001D05E2">
              <w:rPr>
                <w:rFonts w:ascii="Times New Roman" w:hAnsi="Times New Roman" w:cs="Times New Roman"/>
                <w:iCs/>
              </w:rPr>
              <w:t>Changes</w:t>
            </w:r>
            <w:proofErr w:type="gramEnd"/>
            <w:r w:rsidRPr="001D05E2">
              <w:rPr>
                <w:rFonts w:ascii="Times New Roman" w:hAnsi="Times New Roman" w:cs="Times New Roman"/>
                <w:iCs/>
              </w:rPr>
              <w:t xml:space="preserve"> reflect only changes in production of lumber.</w:t>
            </w:r>
          </w:p>
        </w:tc>
      </w:tr>
    </w:tbl>
    <w:p w14:paraId="3C29E072" w14:textId="77777777" w:rsidR="007377EF" w:rsidRDefault="007377EF" w:rsidP="007377EF">
      <w:pPr>
        <w:rPr>
          <w:rFonts w:ascii="Times New Roman" w:hAnsi="Times New Roman" w:cs="Times New Roman"/>
          <w:iCs/>
        </w:rPr>
      </w:pPr>
    </w:p>
    <w:p w14:paraId="3BA17CB3" w14:textId="77777777" w:rsidR="001D05E2" w:rsidRPr="002D10B0" w:rsidRDefault="001D05E2" w:rsidP="00590ED8">
      <w:pPr>
        <w:pStyle w:val="Heading2"/>
        <w:rPr>
          <w:rFonts w:ascii="Times New Roman" w:hAnsi="Times New Roman" w:cs="Times New Roman"/>
          <w:b/>
          <w:bCs/>
          <w:color w:val="auto"/>
          <w:sz w:val="24"/>
          <w:szCs w:val="24"/>
        </w:rPr>
      </w:pPr>
      <w:bookmarkStart w:id="72" w:name="_Toc215829620"/>
      <w:r w:rsidRPr="002D10B0">
        <w:rPr>
          <w:rFonts w:ascii="Times New Roman" w:hAnsi="Times New Roman" w:cs="Times New Roman"/>
          <w:b/>
          <w:bCs/>
          <w:color w:val="auto"/>
          <w:sz w:val="24"/>
          <w:szCs w:val="24"/>
        </w:rPr>
        <w:t>Emissions from Wood Product Facility Landfills – Panel Plants</w:t>
      </w:r>
      <w:bookmarkEnd w:id="72"/>
    </w:p>
    <w:p w14:paraId="3D39BF29"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t>Estimates for Panel Plant Boiler Ash</w:t>
      </w:r>
    </w:p>
    <w:p w14:paraId="6B676374" w14:textId="4D6D66CD" w:rsidR="001D05E2" w:rsidRPr="001D05E2" w:rsidRDefault="001D05E2" w:rsidP="001D05E2">
      <w:pPr>
        <w:rPr>
          <w:rFonts w:ascii="Times New Roman" w:hAnsi="Times New Roman" w:cs="Times New Roman"/>
        </w:rPr>
      </w:pPr>
      <w:r w:rsidRPr="001D05E2">
        <w:rPr>
          <w:rFonts w:ascii="Times New Roman" w:hAnsi="Times New Roman" w:cs="Times New Roman"/>
        </w:rPr>
        <w:t>The approach to estimating methane attributable to landfilled boiler ash at panel plants was the same as described earlier for lumber mills. The amounts of landfilled ash were estimated from fuel consumption reported in EIA MECS reports</w:t>
      </w:r>
      <w:r w:rsidRPr="001D05E2">
        <w:rPr>
          <w:rFonts w:ascii="Times New Roman" w:hAnsi="Times New Roman" w:cs="Times New Roman"/>
        </w:rPr>
        <w:fldChar w:fldCharType="begin"/>
      </w:r>
      <w:r w:rsidR="00CA0CAA">
        <w:rPr>
          <w:rFonts w:ascii="Times New Roman" w:hAnsi="Times New Roman" w:cs="Times New Roman"/>
        </w:rPr>
        <w:instrText xml:space="preserve"> ADDIN ZOTERO_ITEM CSL_CITATION {"citationID":"SqLXW19W","properties":{"formattedCitation":"\\super 15\\nosupersub{}","plainCitation":"15","noteIndex":0},"citationItems":[{"id":39,"uris":["http://zotero.org/users/18184231/items/49KIPWYG"],"itemData":{"id":39,"type":"webpage","title":"Manufacturing Energy Consumption Survey (MECS)","URL":"https://www.eia.gov/consumption/manufacturing/","author":[{"family":"United States Energy Information Administration (EIA)","given":""}],"accessed":{"date-parts":[["2025",9,23]]}}}],"schema":"https://github.com/citation-style-language/schema/raw/master/csl-citation.json"} </w:instrText>
      </w:r>
      <w:r w:rsidRPr="001D05E2">
        <w:rPr>
          <w:rFonts w:ascii="Times New Roman" w:hAnsi="Times New Roman" w:cs="Times New Roman"/>
        </w:rPr>
        <w:fldChar w:fldCharType="separate"/>
      </w:r>
      <w:r w:rsidR="00CA0CAA" w:rsidRPr="00CA0CAA">
        <w:rPr>
          <w:rFonts w:ascii="Times New Roman" w:hAnsi="Times New Roman" w:cs="Times New Roman"/>
          <w:kern w:val="0"/>
          <w:vertAlign w:val="superscript"/>
        </w:rPr>
        <w:t>15</w:t>
      </w:r>
      <w:r w:rsidRPr="001D05E2">
        <w:rPr>
          <w:rFonts w:ascii="Times New Roman" w:hAnsi="Times New Roman" w:cs="Times New Roman"/>
        </w:rPr>
        <w:fldChar w:fldCharType="end"/>
      </w:r>
      <w:r w:rsidRPr="001D05E2">
        <w:rPr>
          <w:rFonts w:ascii="Times New Roman" w:hAnsi="Times New Roman" w:cs="Times New Roman"/>
        </w:rPr>
        <w:t>. Ash generation rate was estimated to average about 2.39 kg dry ash per m</w:t>
      </w:r>
      <w:r w:rsidRPr="001D05E2">
        <w:rPr>
          <w:rFonts w:ascii="Times New Roman" w:hAnsi="Times New Roman" w:cs="Times New Roman"/>
          <w:vertAlign w:val="superscript"/>
        </w:rPr>
        <w:t>3</w:t>
      </w:r>
      <w:r w:rsidRPr="001D05E2">
        <w:rPr>
          <w:rFonts w:ascii="Times New Roman" w:hAnsi="Times New Roman" w:cs="Times New Roman"/>
        </w:rPr>
        <w:t xml:space="preserve"> of panel (considering all years with EIA MECS data). Because of limited data and little evidence that there was a trend over time, this value was used for all years. This factor was multiplied by the production of panels, downloaded from FAOSTAT, every year from 1960 to 2020 </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{"citationID":"a38gs2fV","properties":{"formattedCitation":"\\super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sidRPr="001D05E2">
        <w:rPr>
          <w:rFonts w:ascii="Times New Roman" w:hAnsi="Times New Roman" w:cs="Times New Roman"/>
        </w:rPr>
        <w:fldChar w:fldCharType="end"/>
      </w:r>
      <w:r w:rsidRPr="001D05E2">
        <w:rPr>
          <w:rFonts w:ascii="Times New Roman" w:hAnsi="Times New Roman" w:cs="Times New Roman"/>
        </w:rPr>
        <w:t xml:space="preserve">. As a result, the year-to-year changes in emissions are entirely reflective of changes in production. The fraction of ash landfilled was assumed to be the same as that for lumber mills, described previously. </w:t>
      </w:r>
    </w:p>
    <w:p w14:paraId="785F57FE"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US EPA’s current default DOC values for boiler ash are based on as-disposed solids content. Therefore, for the calculations in this update, DOC was converted to a dry basis using the same assumptions for solids content as used for lumber mills (i.e., 83% solids). </w:t>
      </w:r>
    </w:p>
    <w:p w14:paraId="7CBF990A" w14:textId="4D9BB1A7"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parameter values used for modeling methane emissions attributable to landfilled ash from panel plants were the same as those used for pulp and paper mills (see Table </w:t>
      </w:r>
      <w:r w:rsidR="001A5FC7">
        <w:rPr>
          <w:rFonts w:ascii="Times New Roman" w:hAnsi="Times New Roman" w:cs="Times New Roman"/>
          <w:iCs/>
        </w:rPr>
        <w:t>S31</w:t>
      </w:r>
      <w:r w:rsidRPr="001D05E2">
        <w:rPr>
          <w:rFonts w:ascii="Times New Roman" w:hAnsi="Times New Roman" w:cs="Times New Roman"/>
          <w:iCs/>
        </w:rPr>
        <w:t xml:space="preserve">). Results are shown in Table </w:t>
      </w:r>
      <w:r w:rsidR="001A5FC7">
        <w:rPr>
          <w:rFonts w:ascii="Times New Roman" w:hAnsi="Times New Roman" w:cs="Times New Roman"/>
          <w:iCs/>
        </w:rPr>
        <w:t>S46</w:t>
      </w:r>
      <w:r w:rsidRPr="001D05E2">
        <w:rPr>
          <w:rFonts w:ascii="Times New Roman" w:hAnsi="Times New Roman" w:cs="Times New Roman"/>
          <w:iCs/>
        </w:rPr>
        <w:t xml:space="preserve">. The emissions are much lower than those attributable to ash disposal at pulp and paper mills and lumber mills because the amounts of ash </w:t>
      </w:r>
      <w:proofErr w:type="gramStart"/>
      <w:r w:rsidRPr="001D05E2">
        <w:rPr>
          <w:rFonts w:ascii="Times New Roman" w:hAnsi="Times New Roman" w:cs="Times New Roman"/>
          <w:iCs/>
        </w:rPr>
        <w:t>disposed</w:t>
      </w:r>
      <w:proofErr w:type="gramEnd"/>
      <w:r w:rsidRPr="001D05E2">
        <w:rPr>
          <w:rFonts w:ascii="Times New Roman" w:hAnsi="Times New Roman" w:cs="Times New Roman"/>
          <w:iCs/>
        </w:rPr>
        <w:t xml:space="preserve"> are much lower.</w:t>
      </w:r>
    </w:p>
    <w:p w14:paraId="5D5F18E1" w14:textId="496A9AB5" w:rsidR="001D05E2" w:rsidRPr="001D05E2" w:rsidRDefault="001D05E2" w:rsidP="001D05E2">
      <w:pPr>
        <w:jc w:val="center"/>
        <w:rPr>
          <w:rFonts w:ascii="Times New Roman" w:hAnsi="Times New Roman" w:cs="Times New Roman"/>
          <w:iCs/>
        </w:rPr>
      </w:pPr>
      <w:r w:rsidRPr="001A5FC7">
        <w:rPr>
          <w:rFonts w:ascii="Times New Roman" w:hAnsi="Times New Roman" w:cs="Times New Roman"/>
          <w:b/>
          <w:bCs/>
          <w:iCs/>
        </w:rPr>
        <w:t xml:space="preserve">Table </w:t>
      </w:r>
      <w:r w:rsidR="001A5FC7" w:rsidRPr="001A5FC7">
        <w:rPr>
          <w:rFonts w:ascii="Times New Roman" w:hAnsi="Times New Roman" w:cs="Times New Roman"/>
          <w:b/>
          <w:bCs/>
          <w:iCs/>
        </w:rPr>
        <w:t>S46</w:t>
      </w:r>
      <w:r w:rsidRPr="001A5FC7">
        <w:rPr>
          <w:rFonts w:ascii="Times New Roman" w:hAnsi="Times New Roman" w:cs="Times New Roman"/>
          <w:b/>
          <w:bCs/>
          <w:iCs/>
        </w:rPr>
        <w:t>.</w:t>
      </w:r>
      <w:r w:rsidRPr="001D05E2">
        <w:rPr>
          <w:rFonts w:ascii="Times New Roman" w:hAnsi="Times New Roman" w:cs="Times New Roman"/>
          <w:iCs/>
        </w:rPr>
        <w:t xml:space="preserve"> Methane Emissions Attributable to Landfilled Boiler Ash from Panel Plants</w:t>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794"/>
        <w:gridCol w:w="3076"/>
        <w:gridCol w:w="2520"/>
        <w:gridCol w:w="2430"/>
      </w:tblGrid>
      <w:tr w:rsidR="001D05E2" w:rsidRPr="001D05E2" w14:paraId="6D565B70" w14:textId="77777777" w:rsidTr="00360B83">
        <w:trPr>
          <w:trHeight w:val="368"/>
          <w:jc w:val="center"/>
        </w:trPr>
        <w:tc>
          <w:tcPr>
            <w:tcW w:w="794" w:type="dxa"/>
            <w:shd w:val="clear" w:color="auto" w:fill="D9D9D9" w:themeFill="background1" w:themeFillShade="D9"/>
            <w:noWrap/>
            <w:vAlign w:val="center"/>
          </w:tcPr>
          <w:p w14:paraId="244A6082"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3076" w:type="dxa"/>
            <w:shd w:val="clear" w:color="auto" w:fill="D9D9D9" w:themeFill="background1" w:themeFillShade="D9"/>
            <w:vAlign w:val="center"/>
          </w:tcPr>
          <w:p w14:paraId="54651CDD"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w:t>
            </w:r>
          </w:p>
        </w:tc>
        <w:tc>
          <w:tcPr>
            <w:tcW w:w="2520" w:type="dxa"/>
            <w:shd w:val="clear" w:color="auto" w:fill="D9D9D9" w:themeFill="background1" w:themeFillShade="D9"/>
            <w:vAlign w:val="center"/>
          </w:tcPr>
          <w:p w14:paraId="4611289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1990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c>
          <w:tcPr>
            <w:tcW w:w="2430" w:type="dxa"/>
            <w:shd w:val="clear" w:color="auto" w:fill="D9D9D9" w:themeFill="background1" w:themeFillShade="D9"/>
            <w:vAlign w:val="center"/>
          </w:tcPr>
          <w:p w14:paraId="1B50298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2005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r>
      <w:tr w:rsidR="001D05E2" w:rsidRPr="001D05E2" w14:paraId="2B2A8B7E" w14:textId="77777777" w:rsidTr="00360B83">
        <w:trPr>
          <w:trHeight w:val="300"/>
          <w:jc w:val="center"/>
        </w:trPr>
        <w:tc>
          <w:tcPr>
            <w:tcW w:w="794" w:type="dxa"/>
            <w:noWrap/>
            <w:vAlign w:val="center"/>
            <w:hideMark/>
          </w:tcPr>
          <w:p w14:paraId="24FEBC65"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3076" w:type="dxa"/>
            <w:noWrap/>
          </w:tcPr>
          <w:p w14:paraId="5B8E26F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54</w:t>
            </w:r>
          </w:p>
        </w:tc>
        <w:tc>
          <w:tcPr>
            <w:tcW w:w="2520" w:type="dxa"/>
          </w:tcPr>
          <w:p w14:paraId="7779950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2430" w:type="dxa"/>
            <w:vAlign w:val="center"/>
          </w:tcPr>
          <w:p w14:paraId="0E5698A4" w14:textId="77777777" w:rsidR="001D05E2" w:rsidRPr="001D05E2" w:rsidRDefault="001D05E2" w:rsidP="001D05E2">
            <w:pPr>
              <w:jc w:val="center"/>
              <w:rPr>
                <w:rFonts w:ascii="Times New Roman" w:hAnsi="Times New Roman" w:cs="Times New Roman"/>
                <w:iCs/>
              </w:rPr>
            </w:pPr>
          </w:p>
        </w:tc>
      </w:tr>
      <w:tr w:rsidR="001D05E2" w:rsidRPr="001D05E2" w14:paraId="64D53F6F" w14:textId="77777777" w:rsidTr="00360B83">
        <w:trPr>
          <w:trHeight w:val="300"/>
          <w:jc w:val="center"/>
        </w:trPr>
        <w:tc>
          <w:tcPr>
            <w:tcW w:w="794" w:type="dxa"/>
            <w:noWrap/>
            <w:vAlign w:val="center"/>
            <w:hideMark/>
          </w:tcPr>
          <w:p w14:paraId="1A36384B"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3076" w:type="dxa"/>
            <w:noWrap/>
          </w:tcPr>
          <w:p w14:paraId="2D1A4EB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87</w:t>
            </w:r>
          </w:p>
        </w:tc>
        <w:tc>
          <w:tcPr>
            <w:tcW w:w="2520" w:type="dxa"/>
          </w:tcPr>
          <w:p w14:paraId="654AA88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1.62</w:t>
            </w:r>
          </w:p>
        </w:tc>
        <w:tc>
          <w:tcPr>
            <w:tcW w:w="2430" w:type="dxa"/>
          </w:tcPr>
          <w:p w14:paraId="7C305261"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454A4878" w14:textId="77777777" w:rsidTr="00360B83">
        <w:trPr>
          <w:trHeight w:val="315"/>
          <w:jc w:val="center"/>
        </w:trPr>
        <w:tc>
          <w:tcPr>
            <w:tcW w:w="794" w:type="dxa"/>
            <w:tcBorders>
              <w:bottom w:val="single" w:sz="4" w:space="0" w:color="auto"/>
            </w:tcBorders>
            <w:noWrap/>
            <w:vAlign w:val="center"/>
            <w:hideMark/>
          </w:tcPr>
          <w:p w14:paraId="63EF6A40"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3076" w:type="dxa"/>
            <w:tcBorders>
              <w:bottom w:val="single" w:sz="4" w:space="0" w:color="auto"/>
            </w:tcBorders>
            <w:noWrap/>
          </w:tcPr>
          <w:p w14:paraId="72CC0CC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107</w:t>
            </w:r>
          </w:p>
        </w:tc>
        <w:tc>
          <w:tcPr>
            <w:tcW w:w="2520" w:type="dxa"/>
            <w:tcBorders>
              <w:bottom w:val="single" w:sz="4" w:space="0" w:color="auto"/>
            </w:tcBorders>
          </w:tcPr>
          <w:p w14:paraId="19137EAC"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2.00</w:t>
            </w:r>
          </w:p>
        </w:tc>
        <w:tc>
          <w:tcPr>
            <w:tcW w:w="2430" w:type="dxa"/>
            <w:tcBorders>
              <w:bottom w:val="single" w:sz="4" w:space="0" w:color="auto"/>
            </w:tcBorders>
          </w:tcPr>
          <w:p w14:paraId="1BEF458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1.23</w:t>
            </w:r>
          </w:p>
        </w:tc>
      </w:tr>
      <w:tr w:rsidR="001D05E2" w:rsidRPr="001D05E2" w14:paraId="7FA2DA68" w14:textId="77777777" w:rsidTr="00360B83">
        <w:trPr>
          <w:trHeight w:val="315"/>
          <w:jc w:val="center"/>
        </w:trPr>
        <w:tc>
          <w:tcPr>
            <w:tcW w:w="8820" w:type="dxa"/>
            <w:gridSpan w:val="4"/>
            <w:tcBorders>
              <w:bottom w:val="nil"/>
            </w:tcBorders>
            <w:noWrap/>
            <w:vAlign w:val="center"/>
          </w:tcPr>
          <w:p w14:paraId="4DCAFEEE" w14:textId="77777777" w:rsidR="001D05E2" w:rsidRPr="001D05E2" w:rsidRDefault="001D05E2" w:rsidP="001D05E2">
            <w:pPr>
              <w:rPr>
                <w:rFonts w:ascii="Times New Roman" w:hAnsi="Times New Roman" w:cs="Times New Roman"/>
                <w:iCs/>
              </w:rPr>
            </w:pPr>
            <w:proofErr w:type="spellStart"/>
            <w:proofErr w:type="gramStart"/>
            <w:r w:rsidRPr="001D05E2">
              <w:rPr>
                <w:rFonts w:ascii="Times New Roman" w:hAnsi="Times New Roman" w:cs="Times New Roman"/>
                <w:iCs/>
                <w:vertAlign w:val="superscript"/>
              </w:rPr>
              <w:t>a</w:t>
            </w:r>
            <w:proofErr w:type="spellEnd"/>
            <w:r w:rsidRPr="001D05E2">
              <w:rPr>
                <w:rFonts w:ascii="Times New Roman" w:hAnsi="Times New Roman" w:cs="Times New Roman"/>
                <w:iCs/>
              </w:rPr>
              <w:t xml:space="preserve"> Changes</w:t>
            </w:r>
            <w:proofErr w:type="gramEnd"/>
            <w:r w:rsidRPr="001D05E2">
              <w:rPr>
                <w:rFonts w:ascii="Times New Roman" w:hAnsi="Times New Roman" w:cs="Times New Roman"/>
                <w:iCs/>
              </w:rPr>
              <w:t xml:space="preserve"> reflect only changes in production of panels.</w:t>
            </w:r>
          </w:p>
        </w:tc>
      </w:tr>
    </w:tbl>
    <w:p w14:paraId="49962AE6" w14:textId="77777777" w:rsidR="001D05E2" w:rsidRPr="001D05E2" w:rsidRDefault="001D05E2" w:rsidP="001D05E2">
      <w:pPr>
        <w:rPr>
          <w:rFonts w:ascii="Times New Roman" w:hAnsi="Times New Roman" w:cs="Times New Roman"/>
          <w:i/>
          <w:iCs/>
        </w:rPr>
      </w:pPr>
      <w:r w:rsidRPr="001D05E2">
        <w:rPr>
          <w:rFonts w:ascii="Times New Roman" w:hAnsi="Times New Roman" w:cs="Times New Roman"/>
          <w:i/>
          <w:iCs/>
        </w:rPr>
        <w:lastRenderedPageBreak/>
        <w:t>Other Wastes from Panel Plants</w:t>
      </w:r>
    </w:p>
    <w:p w14:paraId="20F89292" w14:textId="6AAC3CBE" w:rsidR="001D05E2" w:rsidRPr="001D05E2" w:rsidRDefault="001D05E2" w:rsidP="001D05E2">
      <w:pPr>
        <w:rPr>
          <w:rFonts w:ascii="Times New Roman" w:hAnsi="Times New Roman" w:cs="Times New Roman"/>
        </w:rPr>
      </w:pPr>
      <w:r w:rsidRPr="001D05E2">
        <w:rPr>
          <w:rFonts w:ascii="Times New Roman" w:hAnsi="Times New Roman" w:cs="Times New Roman"/>
          <w:iCs/>
        </w:rPr>
        <w:t>CORRIM studies</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{"citationID":"bTegN5Pd","properties":{"formattedCitation":"\\super 39\\nosupersub{}","plainCitation":"39","noteIndex":0},"citationItems":[{"id":9,"uris":["http://zotero.org/users/18184231/items/FYPU64N2"],"itemData":{"id":9,"type":"webpage","title":"corrim.org","URL":"https://corrim.org/","author":[{"family":"Consortium for Research on Renewable Industrial Materials (CORRIM)","given":""}],"accessed":{"date-parts":[["2025",10,3]]}}}],"schema":"https://github.com/citation-style-language/schema/raw/master/csl-citation.json"}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39</w:t>
      </w:r>
      <w:r w:rsidRPr="001D05E2">
        <w:rPr>
          <w:rFonts w:ascii="Times New Roman" w:hAnsi="Times New Roman" w:cs="Times New Roman"/>
          <w:iCs/>
        </w:rPr>
        <w:fldChar w:fldCharType="end"/>
      </w:r>
      <w:r w:rsidRPr="001D05E2">
        <w:rPr>
          <w:rFonts w:ascii="Times New Roman" w:hAnsi="Times New Roman" w:cs="Times New Roman"/>
          <w:iCs/>
        </w:rPr>
        <w:t xml:space="preserve"> were used to develop a factor for estimating the amounts of non-ash solid waste landfilled at panel plants. Data taken from LCA reports on plywood from the Pacific Northwest and Southeast US were used </w:t>
      </w:r>
      <w:r w:rsidRPr="001D05E2">
        <w:rPr>
          <w:rFonts w:ascii="Times New Roman" w:hAnsi="Times New Roman" w:cs="Times New Roman"/>
          <w:iCs/>
        </w:rPr>
        <w:fldChar w:fldCharType="begin"/>
      </w:r>
      <w:r w:rsidR="006B64BF">
        <w:rPr>
          <w:rFonts w:ascii="Times New Roman" w:hAnsi="Times New Roman" w:cs="Times New Roman"/>
          <w:iCs/>
        </w:rPr>
        <w:instrText xml:space="preserve"> ADDIN ZOTERO_ITEM CSL_CITATION {"citationID":"GLA1rt3a","properties":{"formattedCitation":"\\super 41,42\\nosupersub{}","plainCitation":"41,42","noteIndex":0},"citationItems":[{"id":34,"uris":["http://zotero.org/users/18184231/items/R95SKN7N"],"itemData":{"id":34,"type":"report","language":"en","publisher":"Consortium for Research on Renewable Industrial Materials (CORRIM)","source":"Zotero","title":"Life Cycle Assessment for the Production of PNW Softwood Plywood","URL":"https://corrim.org/wp-content/uploads/2020/06/CORRIM-AWC-PNW-Plywood.pdf","author":[{"family":"Puettmann","given":"Maureen"},{"family":"Kaestner","given":"Dominik"},{"family":"Taylor","given":"Adam"}],"accessed":{"date-parts":[["2025",9,25]]},"issued":{"date-parts":[["2020"]]}}},{"id":29,"uris":["http://zotero.org/users/18184231/items/CYUF78XX"],"itemData":{"id":29,"type":"report","language":"en","publisher":"Consortium for Research on Renewable Industrial Materials (CORRIM)","source":"Zotero","title":"Life Cycle Assessment for the Production of Southeast Softwood Plywood","author":[{"family":"Puettmann","given":"Maureen"},{"family":"Kaestner","given":"Dominik"},{"family":"Taylor","given":"Adam"}],"issued":{"date-parts":[["2020"]]}}}],"schema":"https://github.com/citation-style-language/schema/raw/master/csl-citation.json"} </w:instrText>
      </w:r>
      <w:r w:rsidRPr="001D05E2">
        <w:rPr>
          <w:rFonts w:ascii="Times New Roman" w:hAnsi="Times New Roman" w:cs="Times New Roman"/>
          <w:iCs/>
        </w:rPr>
        <w:fldChar w:fldCharType="separate"/>
      </w:r>
      <w:r w:rsidR="006B64BF" w:rsidRPr="006B64BF">
        <w:rPr>
          <w:rFonts w:ascii="Times New Roman" w:hAnsi="Times New Roman" w:cs="Times New Roman"/>
          <w:kern w:val="0"/>
          <w:vertAlign w:val="superscript"/>
        </w:rPr>
        <w:t>41,42</w:t>
      </w:r>
      <w:r w:rsidRPr="001D05E2">
        <w:rPr>
          <w:rFonts w:ascii="Times New Roman" w:hAnsi="Times New Roman" w:cs="Times New Roman"/>
          <w:iCs/>
        </w:rPr>
        <w:fldChar w:fldCharType="end"/>
      </w:r>
      <w:r w:rsidRPr="001D05E2">
        <w:rPr>
          <w:rFonts w:ascii="Times New Roman" w:hAnsi="Times New Roman" w:cs="Times New Roman"/>
          <w:iCs/>
        </w:rPr>
        <w:t xml:space="preserve">. The data are limited; therefore, NCASI used a simple average of “solid waste – wood waste” from these two reports. This produced a generation rate of 20 dry kg waste per cubic meter of plywood, which was used for all years. </w:t>
      </w:r>
      <w:r w:rsidRPr="001D05E2">
        <w:rPr>
          <w:rFonts w:ascii="Times New Roman" w:hAnsi="Times New Roman" w:cs="Times New Roman"/>
        </w:rPr>
        <w:t xml:space="preserve">This factor was multiplied by the production of panels, downloaded from FAOSTAT, every year from 1960 to 2020 </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{"citationID":"c9XB3jng","properties":{"formattedCitation":"\\super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20</w:t>
      </w:r>
      <w:r w:rsidRPr="001D05E2">
        <w:rPr>
          <w:rFonts w:ascii="Times New Roman" w:hAnsi="Times New Roman" w:cs="Times New Roman"/>
        </w:rPr>
        <w:fldChar w:fldCharType="end"/>
      </w:r>
      <w:r w:rsidRPr="001D05E2">
        <w:rPr>
          <w:rFonts w:ascii="Times New Roman" w:hAnsi="Times New Roman" w:cs="Times New Roman"/>
        </w:rPr>
        <w:t>. As a result, the year-to-year changes in disposal quantity and emissions are entirely reflective of changes in production.</w:t>
      </w:r>
    </w:p>
    <w:p w14:paraId="7B1BBCC8" w14:textId="72292908" w:rsidR="001D05E2" w:rsidRPr="001D05E2" w:rsidRDefault="001D05E2" w:rsidP="001D05E2">
      <w:pPr>
        <w:rPr>
          <w:rFonts w:ascii="Times New Roman" w:hAnsi="Times New Roman" w:cs="Times New Roman"/>
        </w:rPr>
      </w:pPr>
      <w:r w:rsidRPr="001D05E2">
        <w:rPr>
          <w:rFonts w:ascii="Times New Roman" w:hAnsi="Times New Roman" w:cs="Times New Roman"/>
        </w:rPr>
        <w:t>The DOC values in GHGRP Subpart TT are on a wet weight basis; therefore, the dry weights estimated herein were converted to wet weights using a solids content of 85% based on the fact that the Subpart TT DOC is taken from IPCC</w:t>
      </w:r>
      <w:r w:rsidRPr="001D05E2">
        <w:rPr>
          <w:rFonts w:ascii="Times New Roman" w:hAnsi="Times New Roman" w:cs="Times New Roman"/>
        </w:rPr>
        <w:fldChar w:fldCharType="begin"/>
      </w:r>
      <w:r w:rsidR="00775B85">
        <w:rPr>
          <w:rFonts w:ascii="Times New Roman" w:hAnsi="Times New Roman" w:cs="Times New Roman"/>
        </w:rPr>
        <w:instrText xml:space="preserve"> ADDIN ZOTERO_ITEM CSL_CITATION {"citationID":"f7KkGcLO","properties":{"formattedCitation":"\\super 7\\nosupersub{}","plainCitation":"7","noteIndex":0},"citationItems":[{"id":88,"uris":["http://zotero.org/users/local/T7KBDEDi/items/K7XZUS33","http://zotero.org/users/18184231/items/K7XZUS33"],"itemData":{"id":88,"type":"report","title":"2006 IPCC Guidelines for National Greenhouse Gas Inventories","URL":"https://www.ipcc-nggip.iges.or.jp/public/2006gl/index.html","author":[{"family":"IPCC (Intergovernmental Panel on Climate Change)","given":""}],"accessed":{"date-parts":[["2025",9,25]]},"issued":{"date-parts":[["2006"]]}}}],"schema":"https://github.com/citation-style-language/schema/raw/master/csl-citation.json"} </w:instrText>
      </w:r>
      <w:r w:rsidRPr="001D05E2">
        <w:rPr>
          <w:rFonts w:ascii="Times New Roman" w:hAnsi="Times New Roman" w:cs="Times New Roman"/>
        </w:rPr>
        <w:fldChar w:fldCharType="separate"/>
      </w:r>
      <w:r w:rsidR="002F7F0B" w:rsidRPr="002F7F0B">
        <w:rPr>
          <w:rFonts w:ascii="Times New Roman" w:hAnsi="Times New Roman" w:cs="Times New Roman"/>
          <w:kern w:val="0"/>
          <w:vertAlign w:val="superscript"/>
        </w:rPr>
        <w:t>7</w:t>
      </w:r>
      <w:r w:rsidRPr="001D05E2">
        <w:rPr>
          <w:rFonts w:ascii="Times New Roman" w:hAnsi="Times New Roman" w:cs="Times New Roman"/>
        </w:rPr>
        <w:fldChar w:fldCharType="end"/>
      </w:r>
      <w:r w:rsidRPr="001D05E2">
        <w:rPr>
          <w:rFonts w:ascii="Times New Roman" w:hAnsi="Times New Roman" w:cs="Times New Roman"/>
        </w:rPr>
        <w:t>, in which the associated water content is 15%.</w:t>
      </w:r>
    </w:p>
    <w:p w14:paraId="72264B60" w14:textId="53BDDA11" w:rsidR="001D05E2" w:rsidRPr="001D05E2" w:rsidRDefault="001D05E2" w:rsidP="001D05E2">
      <w:pPr>
        <w:rPr>
          <w:rFonts w:ascii="Times New Roman" w:hAnsi="Times New Roman" w:cs="Times New Roman"/>
        </w:rPr>
      </w:pPr>
      <w:r w:rsidRPr="001D05E2">
        <w:rPr>
          <w:rFonts w:ascii="Times New Roman" w:hAnsi="Times New Roman" w:cs="Times New Roman"/>
        </w:rPr>
        <w:t xml:space="preserve">The GHGRP Subpart TT defaults for non-ash waste from wood and wood products mills are shown in Table </w:t>
      </w:r>
      <w:r w:rsidR="001A5FC7">
        <w:rPr>
          <w:rFonts w:ascii="Times New Roman" w:hAnsi="Times New Roman" w:cs="Times New Roman"/>
        </w:rPr>
        <w:t>S43</w:t>
      </w:r>
      <w:r w:rsidRPr="001D05E2">
        <w:rPr>
          <w:rFonts w:ascii="Times New Roman" w:hAnsi="Times New Roman" w:cs="Times New Roman"/>
        </w:rPr>
        <w:t xml:space="preserve">. Note that the DOC for non-ash </w:t>
      </w:r>
      <w:proofErr w:type="gramStart"/>
      <w:r w:rsidRPr="001D05E2">
        <w:rPr>
          <w:rFonts w:ascii="Times New Roman" w:hAnsi="Times New Roman" w:cs="Times New Roman"/>
        </w:rPr>
        <w:t>wastes</w:t>
      </w:r>
      <w:proofErr w:type="gramEnd"/>
      <w:r w:rsidRPr="001D05E2">
        <w:rPr>
          <w:rFonts w:ascii="Times New Roman" w:hAnsi="Times New Roman" w:cs="Times New Roman"/>
        </w:rPr>
        <w:t xml:space="preserve"> is more than double the corresponding value for miscellaneous </w:t>
      </w:r>
      <w:proofErr w:type="gramStart"/>
      <w:r w:rsidRPr="001D05E2">
        <w:rPr>
          <w:rFonts w:ascii="Times New Roman" w:hAnsi="Times New Roman" w:cs="Times New Roman"/>
        </w:rPr>
        <w:t>wastes</w:t>
      </w:r>
      <w:proofErr w:type="gramEnd"/>
      <w:r w:rsidRPr="001D05E2">
        <w:rPr>
          <w:rFonts w:ascii="Times New Roman" w:hAnsi="Times New Roman" w:cs="Times New Roman"/>
        </w:rPr>
        <w:t xml:space="preserve"> from pulp and paper mills (0.2). </w:t>
      </w:r>
    </w:p>
    <w:p w14:paraId="4226927E" w14:textId="579EECAD" w:rsidR="001D05E2" w:rsidRPr="001D05E2" w:rsidRDefault="001D05E2" w:rsidP="001D05E2">
      <w:pPr>
        <w:rPr>
          <w:rFonts w:ascii="Times New Roman" w:hAnsi="Times New Roman" w:cs="Times New Roman"/>
          <w:iCs/>
        </w:rPr>
      </w:pPr>
      <w:r w:rsidRPr="001D05E2">
        <w:rPr>
          <w:rFonts w:ascii="Times New Roman" w:hAnsi="Times New Roman" w:cs="Times New Roman"/>
          <w:iCs/>
        </w:rPr>
        <w:t xml:space="preserve">The estimated emissions associated with landfilled non-ash waste from panel plants, derived using the GHGRP Subpart TT default DOC for “wood and wood product [wastes] (other than industrial sludges)” are shown in Table </w:t>
      </w:r>
      <w:r w:rsidR="001A5FC7">
        <w:rPr>
          <w:rFonts w:ascii="Times New Roman" w:hAnsi="Times New Roman" w:cs="Times New Roman"/>
          <w:iCs/>
        </w:rPr>
        <w:t>S47</w:t>
      </w:r>
      <w:r w:rsidRPr="001D05E2">
        <w:rPr>
          <w:rFonts w:ascii="Times New Roman" w:hAnsi="Times New Roman" w:cs="Times New Roman"/>
          <w:iCs/>
        </w:rPr>
        <w:t>. As noted earlier, it is likely that these estimates are too high given the nature of the material involved. If the calculations are performed using an assumption that 80% of the carbon is nondegradable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 0.2) instead of the Subpart TT value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 0.5), estimated methane production decreases by 60%. This is approximately equivalent to using the DOC for miscellaneous wastes from pulp and paper mills (0.2) and a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of 0.5. The alternative estimates, using a DOC of 0.43 (Subpart TT default for non-ash waste at wood products mills) and a </w:t>
      </w:r>
      <w:proofErr w:type="spellStart"/>
      <w:r w:rsidRPr="001D05E2">
        <w:rPr>
          <w:rFonts w:ascii="Times New Roman" w:hAnsi="Times New Roman" w:cs="Times New Roman"/>
          <w:iCs/>
        </w:rPr>
        <w:t>DOCf</w:t>
      </w:r>
      <w:proofErr w:type="spellEnd"/>
      <w:r w:rsidRPr="001D05E2">
        <w:rPr>
          <w:rFonts w:ascii="Times New Roman" w:hAnsi="Times New Roman" w:cs="Times New Roman"/>
          <w:iCs/>
        </w:rPr>
        <w:t xml:space="preserve"> of 0.2 are shown in Table </w:t>
      </w:r>
      <w:r w:rsidR="001A5FC7">
        <w:rPr>
          <w:rFonts w:ascii="Times New Roman" w:hAnsi="Times New Roman" w:cs="Times New Roman"/>
          <w:iCs/>
        </w:rPr>
        <w:t>S48</w:t>
      </w:r>
      <w:r w:rsidRPr="001D05E2">
        <w:rPr>
          <w:rFonts w:ascii="Times New Roman" w:hAnsi="Times New Roman" w:cs="Times New Roman"/>
          <w:iCs/>
        </w:rPr>
        <w:t xml:space="preserve">. These values are used as the base case estimates in this profile. These values suggest that non-ash </w:t>
      </w:r>
      <w:proofErr w:type="gramStart"/>
      <w:r w:rsidRPr="001D05E2">
        <w:rPr>
          <w:rFonts w:ascii="Times New Roman" w:hAnsi="Times New Roman" w:cs="Times New Roman"/>
          <w:iCs/>
        </w:rPr>
        <w:t>wastes</w:t>
      </w:r>
      <w:proofErr w:type="gramEnd"/>
      <w:r w:rsidRPr="001D05E2">
        <w:rPr>
          <w:rFonts w:ascii="Times New Roman" w:hAnsi="Times New Roman" w:cs="Times New Roman"/>
          <w:iCs/>
        </w:rPr>
        <w:t xml:space="preserve"> from panel plants (and other mills that are not lumber mills) contribute approximately 90% of emissions from landfilled wastes in the wood products sector.</w:t>
      </w:r>
    </w:p>
    <w:p w14:paraId="5CCEC5E9" w14:textId="33F159D4"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br/>
      </w:r>
      <w:r w:rsidR="001A5FC7" w:rsidRPr="001A5FC7">
        <w:rPr>
          <w:rFonts w:ascii="Times New Roman" w:hAnsi="Times New Roman" w:cs="Times New Roman"/>
          <w:b/>
          <w:bCs/>
          <w:iCs/>
        </w:rPr>
        <w:t>Table S47</w:t>
      </w:r>
      <w:r w:rsidRPr="001D05E2">
        <w:rPr>
          <w:rFonts w:ascii="Times New Roman" w:hAnsi="Times New Roman" w:cs="Times New Roman"/>
          <w:iCs/>
        </w:rPr>
        <w:t>. Methane Emissions Attributable to Landfilled Non-Ash Solid Waste from Panel Plants Using GHGRP Subpart TT Default Parameter Values</w:t>
      </w:r>
      <w:r w:rsidRPr="001D05E2">
        <w:rPr>
          <w:rFonts w:ascii="Times New Roman" w:hAnsi="Times New Roman" w:cs="Times New Roman"/>
          <w:iCs/>
        </w:rPr>
        <w:fldChar w:fldCharType="begin"/>
      </w:r>
      <w:r w:rsidR="002F7F0B">
        <w:rPr>
          <w:rFonts w:ascii="Times New Roman" w:hAnsi="Times New Roman" w:cs="Times New Roman"/>
          <w:iCs/>
        </w:rPr>
        <w:instrText xml:space="preserve"> ADDIN ZOTERO_ITEM CSL_CITATION {"citationID":"3bhlNuCK","properties":{"formattedCitation":"\\super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Pr="001D05E2">
        <w:rPr>
          <w:rFonts w:ascii="Times New Roman" w:hAnsi="Times New Roman" w:cs="Times New Roman"/>
          <w:iCs/>
        </w:rPr>
        <w:fldChar w:fldCharType="separate"/>
      </w:r>
      <w:r w:rsidR="002F7F0B" w:rsidRPr="002F7F0B">
        <w:rPr>
          <w:rFonts w:ascii="Times New Roman" w:hAnsi="Times New Roman" w:cs="Times New Roman"/>
          <w:kern w:val="0"/>
          <w:vertAlign w:val="superscript"/>
        </w:rPr>
        <w:t>10</w:t>
      </w:r>
      <w:r w:rsidRPr="001D05E2">
        <w:rPr>
          <w:rFonts w:ascii="Times New Roman" w:hAnsi="Times New Roman" w:cs="Times New Roman"/>
          <w:iCs/>
        </w:rPr>
        <w:fldChar w:fldCharType="end"/>
      </w:r>
    </w:p>
    <w:tbl>
      <w:tblPr>
        <w:tblStyle w:val="TableGrid3"/>
        <w:tblW w:w="0" w:type="auto"/>
        <w:jc w:val="center"/>
        <w:tblBorders>
          <w:left w:val="none" w:sz="0" w:space="0" w:color="auto"/>
          <w:right w:val="none" w:sz="0" w:space="0" w:color="auto"/>
        </w:tblBorders>
        <w:tblLook w:val="04A0" w:firstRow="1" w:lastRow="0" w:firstColumn="1" w:lastColumn="0" w:noHBand="0" w:noVBand="1"/>
      </w:tblPr>
      <w:tblGrid>
        <w:gridCol w:w="895"/>
        <w:gridCol w:w="2885"/>
        <w:gridCol w:w="2340"/>
        <w:gridCol w:w="2430"/>
      </w:tblGrid>
      <w:tr w:rsidR="001D05E2" w:rsidRPr="001D05E2" w14:paraId="71373F0D" w14:textId="77777777" w:rsidTr="00360B83">
        <w:trPr>
          <w:trHeight w:val="422"/>
          <w:jc w:val="center"/>
        </w:trPr>
        <w:tc>
          <w:tcPr>
            <w:tcW w:w="895" w:type="dxa"/>
            <w:shd w:val="clear" w:color="auto" w:fill="D9D9D9" w:themeFill="background1" w:themeFillShade="D9"/>
            <w:noWrap/>
            <w:vAlign w:val="center"/>
          </w:tcPr>
          <w:p w14:paraId="038B6932"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2885" w:type="dxa"/>
            <w:shd w:val="clear" w:color="auto" w:fill="D9D9D9" w:themeFill="background1" w:themeFillShade="D9"/>
            <w:vAlign w:val="center"/>
          </w:tcPr>
          <w:p w14:paraId="164F45B5"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w:t>
            </w:r>
          </w:p>
        </w:tc>
        <w:tc>
          <w:tcPr>
            <w:tcW w:w="2340" w:type="dxa"/>
            <w:shd w:val="clear" w:color="auto" w:fill="D9D9D9" w:themeFill="background1" w:themeFillShade="D9"/>
            <w:vAlign w:val="center"/>
          </w:tcPr>
          <w:p w14:paraId="7A32007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1990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c>
          <w:tcPr>
            <w:tcW w:w="2430" w:type="dxa"/>
            <w:shd w:val="clear" w:color="auto" w:fill="D9D9D9" w:themeFill="background1" w:themeFillShade="D9"/>
            <w:vAlign w:val="center"/>
          </w:tcPr>
          <w:p w14:paraId="6B492C59"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2005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r>
      <w:tr w:rsidR="001D05E2" w:rsidRPr="001D05E2" w14:paraId="20A597A0" w14:textId="77777777" w:rsidTr="00360B83">
        <w:trPr>
          <w:trHeight w:val="300"/>
          <w:jc w:val="center"/>
        </w:trPr>
        <w:tc>
          <w:tcPr>
            <w:tcW w:w="895" w:type="dxa"/>
            <w:noWrap/>
            <w:vAlign w:val="center"/>
            <w:hideMark/>
          </w:tcPr>
          <w:p w14:paraId="6F7AC523"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2885" w:type="dxa"/>
            <w:noWrap/>
          </w:tcPr>
          <w:p w14:paraId="53E9D3D0"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38,000</w:t>
            </w:r>
          </w:p>
        </w:tc>
        <w:tc>
          <w:tcPr>
            <w:tcW w:w="2340" w:type="dxa"/>
          </w:tcPr>
          <w:p w14:paraId="4C6FB56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2430" w:type="dxa"/>
            <w:vAlign w:val="center"/>
          </w:tcPr>
          <w:p w14:paraId="748EAD91" w14:textId="77777777" w:rsidR="001D05E2" w:rsidRPr="001D05E2" w:rsidRDefault="001D05E2" w:rsidP="001D05E2">
            <w:pPr>
              <w:jc w:val="center"/>
              <w:rPr>
                <w:rFonts w:ascii="Times New Roman" w:hAnsi="Times New Roman" w:cs="Times New Roman"/>
                <w:iCs/>
              </w:rPr>
            </w:pPr>
          </w:p>
        </w:tc>
      </w:tr>
      <w:tr w:rsidR="001D05E2" w:rsidRPr="001D05E2" w14:paraId="7DC9E0DD" w14:textId="77777777" w:rsidTr="00360B83">
        <w:trPr>
          <w:trHeight w:val="300"/>
          <w:jc w:val="center"/>
        </w:trPr>
        <w:tc>
          <w:tcPr>
            <w:tcW w:w="895" w:type="dxa"/>
            <w:noWrap/>
            <w:vAlign w:val="center"/>
            <w:hideMark/>
          </w:tcPr>
          <w:p w14:paraId="0BB6AA06"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2885" w:type="dxa"/>
            <w:noWrap/>
          </w:tcPr>
          <w:p w14:paraId="79A553EF"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66,000</w:t>
            </w:r>
          </w:p>
        </w:tc>
        <w:tc>
          <w:tcPr>
            <w:tcW w:w="2340" w:type="dxa"/>
          </w:tcPr>
          <w:p w14:paraId="5691FB0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1.77</w:t>
            </w:r>
          </w:p>
        </w:tc>
        <w:tc>
          <w:tcPr>
            <w:tcW w:w="2430" w:type="dxa"/>
          </w:tcPr>
          <w:p w14:paraId="3957F11E"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5AC7C443" w14:textId="77777777" w:rsidTr="00360B83">
        <w:trPr>
          <w:trHeight w:val="315"/>
          <w:jc w:val="center"/>
        </w:trPr>
        <w:tc>
          <w:tcPr>
            <w:tcW w:w="895" w:type="dxa"/>
            <w:tcBorders>
              <w:bottom w:val="single" w:sz="4" w:space="0" w:color="auto"/>
            </w:tcBorders>
            <w:noWrap/>
            <w:vAlign w:val="center"/>
            <w:hideMark/>
          </w:tcPr>
          <w:p w14:paraId="44C47DBD"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2885" w:type="dxa"/>
            <w:tcBorders>
              <w:bottom w:val="single" w:sz="4" w:space="0" w:color="auto"/>
            </w:tcBorders>
            <w:noWrap/>
          </w:tcPr>
          <w:p w14:paraId="41189473"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83,000</w:t>
            </w:r>
          </w:p>
        </w:tc>
        <w:tc>
          <w:tcPr>
            <w:tcW w:w="2340" w:type="dxa"/>
            <w:tcBorders>
              <w:bottom w:val="single" w:sz="4" w:space="0" w:color="auto"/>
            </w:tcBorders>
          </w:tcPr>
          <w:p w14:paraId="6703E2F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2.21</w:t>
            </w:r>
          </w:p>
        </w:tc>
        <w:tc>
          <w:tcPr>
            <w:tcW w:w="2430" w:type="dxa"/>
            <w:tcBorders>
              <w:bottom w:val="single" w:sz="4" w:space="0" w:color="auto"/>
            </w:tcBorders>
          </w:tcPr>
          <w:p w14:paraId="1B27A3E8"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1.25</w:t>
            </w:r>
          </w:p>
        </w:tc>
      </w:tr>
      <w:tr w:rsidR="001D05E2" w:rsidRPr="001D05E2" w14:paraId="5650B3D0" w14:textId="77777777" w:rsidTr="00360B83">
        <w:trPr>
          <w:trHeight w:val="315"/>
          <w:jc w:val="center"/>
        </w:trPr>
        <w:tc>
          <w:tcPr>
            <w:tcW w:w="8550" w:type="dxa"/>
            <w:gridSpan w:val="4"/>
            <w:tcBorders>
              <w:bottom w:val="nil"/>
            </w:tcBorders>
            <w:noWrap/>
            <w:vAlign w:val="center"/>
          </w:tcPr>
          <w:p w14:paraId="3CC11508" w14:textId="77777777" w:rsidR="001D05E2" w:rsidRPr="001D05E2" w:rsidRDefault="001D05E2" w:rsidP="001D05E2">
            <w:pPr>
              <w:rPr>
                <w:rFonts w:ascii="Times New Roman" w:hAnsi="Times New Roman" w:cs="Times New Roman"/>
              </w:rPr>
            </w:pPr>
            <w:proofErr w:type="spellStart"/>
            <w:proofErr w:type="gramStart"/>
            <w:r w:rsidRPr="001D05E2">
              <w:rPr>
                <w:rFonts w:ascii="Times New Roman" w:hAnsi="Times New Roman" w:cs="Times New Roman"/>
                <w:iCs/>
                <w:vertAlign w:val="superscript"/>
              </w:rPr>
              <w:t>a</w:t>
            </w:r>
            <w:proofErr w:type="spellEnd"/>
            <w:r w:rsidRPr="001D05E2">
              <w:rPr>
                <w:rFonts w:ascii="Times New Roman" w:hAnsi="Times New Roman" w:cs="Times New Roman"/>
              </w:rPr>
              <w:t xml:space="preserve"> Changes</w:t>
            </w:r>
            <w:proofErr w:type="gramEnd"/>
            <w:r w:rsidRPr="001D05E2">
              <w:rPr>
                <w:rFonts w:ascii="Times New Roman" w:hAnsi="Times New Roman" w:cs="Times New Roman"/>
              </w:rPr>
              <w:t xml:space="preserve"> reflect only changes in panel production.</w:t>
            </w:r>
          </w:p>
        </w:tc>
      </w:tr>
    </w:tbl>
    <w:p w14:paraId="710F1F95" w14:textId="77777777" w:rsidR="001D05E2" w:rsidRPr="001D05E2" w:rsidRDefault="001D05E2" w:rsidP="001D05E2">
      <w:pPr>
        <w:rPr>
          <w:rFonts w:ascii="Times New Roman" w:hAnsi="Times New Roman" w:cs="Times New Roman"/>
          <w:iCs/>
        </w:rPr>
      </w:pPr>
    </w:p>
    <w:p w14:paraId="6C3B7BFB" w14:textId="20B025D6" w:rsidR="001D05E2" w:rsidRPr="001D05E2" w:rsidRDefault="001A5FC7" w:rsidP="001D05E2">
      <w:pPr>
        <w:jc w:val="center"/>
        <w:rPr>
          <w:rFonts w:ascii="Times New Roman" w:hAnsi="Times New Roman" w:cs="Times New Roman"/>
          <w:iCs/>
        </w:rPr>
      </w:pPr>
      <w:r w:rsidRPr="001A5FC7">
        <w:rPr>
          <w:rFonts w:ascii="Times New Roman" w:hAnsi="Times New Roman" w:cs="Times New Roman"/>
          <w:b/>
          <w:bCs/>
          <w:iCs/>
        </w:rPr>
        <w:lastRenderedPageBreak/>
        <w:t>Table S48</w:t>
      </w:r>
      <w:r w:rsidR="001D05E2" w:rsidRPr="001D05E2">
        <w:rPr>
          <w:rFonts w:ascii="Times New Roman" w:hAnsi="Times New Roman" w:cs="Times New Roman"/>
          <w:iCs/>
        </w:rPr>
        <w:t>. Methane Emissions Attributable to Landfilled Non-Ash Solid Waste from Panel Plants – Using GHGRP Subpart TT Default Values</w:t>
      </w:r>
      <w:r w:rsidR="001D05E2" w:rsidRPr="001D05E2">
        <w:rPr>
          <w:rFonts w:ascii="Times New Roman" w:hAnsi="Times New Roman" w:cs="Times New Roman"/>
          <w:iCs/>
        </w:rPr>
        <w:fldChar w:fldCharType="begin"/>
      </w:r>
      <w:r w:rsidR="002F7F0B">
        <w:rPr>
          <w:rFonts w:ascii="Times New Roman" w:hAnsi="Times New Roman" w:cs="Times New Roman"/>
          <w:iCs/>
        </w:rPr>
        <w:instrText xml:space="preserve"> ADDIN ZOTERO_ITEM CSL_CITATION {"citationID":"RQpJgn0M","properties":{"formattedCitation":"\\super 10\\nosupersub{}","plainCitation":"10","noteIndex":0},"citationItems":[{"id":45,"uris":["http://zotero.org/users/18184231/items/WBEVFN4V"],"itemData":{"id":45,"type":"webpage","abstract":"Site provides information on EPA's GHG reported data starting with RY 2010 to the present. The site also provides information on regulatory requirements, applicability, how to register a facility and report data, and how to access the GHG data.","genre":"Other Policies and Guidance","language":"en","title":"Greenhouse Gas Reporting Program (GHGRP)","URL":"https://www.epa.gov/ghgreporting","author":[{"family":"United States Environmental Protection Agency (USEPA)","given":""}],"accessed":{"date-parts":[["2025",9,25]]},"issued":{"date-parts":[["2014",6,10]]}}}],"schema":"https://github.com/citation-style-language/schema/raw/master/csl-citation.json"} </w:instrText>
      </w:r>
      <w:r w:rsidR="001D05E2" w:rsidRPr="001D05E2">
        <w:rPr>
          <w:rFonts w:ascii="Times New Roman" w:hAnsi="Times New Roman" w:cs="Times New Roman"/>
          <w:iCs/>
        </w:rPr>
        <w:fldChar w:fldCharType="separate"/>
      </w:r>
      <w:r w:rsidR="002F7F0B" w:rsidRPr="002F7F0B">
        <w:rPr>
          <w:rFonts w:ascii="Times New Roman" w:hAnsi="Times New Roman" w:cs="Times New Roman"/>
          <w:kern w:val="0"/>
          <w:vertAlign w:val="superscript"/>
        </w:rPr>
        <w:t>10</w:t>
      </w:r>
      <w:r w:rsidR="001D05E2" w:rsidRPr="001D05E2">
        <w:rPr>
          <w:rFonts w:ascii="Times New Roman" w:hAnsi="Times New Roman" w:cs="Times New Roman"/>
          <w:iCs/>
        </w:rPr>
        <w:fldChar w:fldCharType="end"/>
      </w:r>
      <w:r w:rsidR="001D05E2" w:rsidRPr="001D05E2">
        <w:rPr>
          <w:rFonts w:ascii="Times New Roman" w:hAnsi="Times New Roman" w:cs="Times New Roman"/>
          <w:iCs/>
        </w:rPr>
        <w:t xml:space="preserve"> Except for </w:t>
      </w:r>
      <w:proofErr w:type="spellStart"/>
      <w:r w:rsidR="001D05E2" w:rsidRPr="001D05E2">
        <w:rPr>
          <w:rFonts w:ascii="Times New Roman" w:hAnsi="Times New Roman" w:cs="Times New Roman"/>
          <w:iCs/>
        </w:rPr>
        <w:t>DOCf</w:t>
      </w:r>
      <w:proofErr w:type="spellEnd"/>
      <w:r w:rsidR="001D05E2" w:rsidRPr="001D05E2">
        <w:rPr>
          <w:rFonts w:ascii="Times New Roman" w:hAnsi="Times New Roman" w:cs="Times New Roman"/>
          <w:iCs/>
        </w:rPr>
        <w:t xml:space="preserve"> (Using 0.2 Instead of 0.5)</w:t>
      </w:r>
    </w:p>
    <w:tbl>
      <w:tblPr>
        <w:tblStyle w:val="TableGrid3"/>
        <w:tblW w:w="0" w:type="auto"/>
        <w:jc w:val="center"/>
        <w:tblBorders>
          <w:left w:val="none" w:sz="0" w:space="0" w:color="auto"/>
          <w:bottom w:val="none" w:sz="0" w:space="0" w:color="auto"/>
          <w:right w:val="none" w:sz="0" w:space="0" w:color="auto"/>
        </w:tblBorders>
        <w:tblLook w:val="04A0" w:firstRow="1" w:lastRow="0" w:firstColumn="1" w:lastColumn="0" w:noHBand="0" w:noVBand="1"/>
      </w:tblPr>
      <w:tblGrid>
        <w:gridCol w:w="895"/>
        <w:gridCol w:w="2795"/>
        <w:gridCol w:w="2430"/>
        <w:gridCol w:w="2430"/>
      </w:tblGrid>
      <w:tr w:rsidR="001D05E2" w:rsidRPr="001D05E2" w14:paraId="1B3014CA" w14:textId="77777777" w:rsidTr="00360B83">
        <w:trPr>
          <w:trHeight w:val="422"/>
          <w:jc w:val="center"/>
        </w:trPr>
        <w:tc>
          <w:tcPr>
            <w:tcW w:w="895" w:type="dxa"/>
            <w:shd w:val="clear" w:color="auto" w:fill="D9D9D9" w:themeFill="background1" w:themeFillShade="D9"/>
            <w:noWrap/>
            <w:vAlign w:val="center"/>
          </w:tcPr>
          <w:p w14:paraId="411038E8"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Year</w:t>
            </w:r>
          </w:p>
        </w:tc>
        <w:tc>
          <w:tcPr>
            <w:tcW w:w="2795" w:type="dxa"/>
            <w:shd w:val="clear" w:color="auto" w:fill="D9D9D9" w:themeFill="background1" w:themeFillShade="D9"/>
            <w:vAlign w:val="center"/>
          </w:tcPr>
          <w:p w14:paraId="2663E55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Metric Tons Methane Emitted</w:t>
            </w:r>
          </w:p>
        </w:tc>
        <w:tc>
          <w:tcPr>
            <w:tcW w:w="2430" w:type="dxa"/>
            <w:shd w:val="clear" w:color="auto" w:fill="D9D9D9" w:themeFill="background1" w:themeFillShade="D9"/>
            <w:vAlign w:val="center"/>
          </w:tcPr>
          <w:p w14:paraId="6161F1E7"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1990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c>
          <w:tcPr>
            <w:tcW w:w="2430" w:type="dxa"/>
            <w:shd w:val="clear" w:color="auto" w:fill="D9D9D9" w:themeFill="background1" w:themeFillShade="D9"/>
            <w:vAlign w:val="center"/>
          </w:tcPr>
          <w:p w14:paraId="058A06B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iCs/>
              </w:rPr>
              <w:t xml:space="preserve">Fraction of 2005 </w:t>
            </w:r>
            <w:proofErr w:type="spellStart"/>
            <w:r w:rsidRPr="001D05E2">
              <w:rPr>
                <w:rFonts w:ascii="Times New Roman" w:hAnsi="Times New Roman" w:cs="Times New Roman"/>
                <w:iCs/>
              </w:rPr>
              <w:t>Value</w:t>
            </w:r>
            <w:r w:rsidRPr="001D05E2">
              <w:rPr>
                <w:rFonts w:ascii="Times New Roman" w:hAnsi="Times New Roman" w:cs="Times New Roman"/>
                <w:iCs/>
                <w:vertAlign w:val="superscript"/>
              </w:rPr>
              <w:t>a</w:t>
            </w:r>
            <w:proofErr w:type="spellEnd"/>
          </w:p>
        </w:tc>
      </w:tr>
      <w:tr w:rsidR="001D05E2" w:rsidRPr="001D05E2" w14:paraId="6B10A334" w14:textId="77777777" w:rsidTr="00360B83">
        <w:trPr>
          <w:trHeight w:val="300"/>
          <w:jc w:val="center"/>
        </w:trPr>
        <w:tc>
          <w:tcPr>
            <w:tcW w:w="895" w:type="dxa"/>
            <w:noWrap/>
            <w:vAlign w:val="center"/>
            <w:hideMark/>
          </w:tcPr>
          <w:p w14:paraId="1E9A445B"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1990</w:t>
            </w:r>
          </w:p>
        </w:tc>
        <w:tc>
          <w:tcPr>
            <w:tcW w:w="2795" w:type="dxa"/>
            <w:noWrap/>
          </w:tcPr>
          <w:p w14:paraId="1F3D08A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15,100</w:t>
            </w:r>
          </w:p>
        </w:tc>
        <w:tc>
          <w:tcPr>
            <w:tcW w:w="2430" w:type="dxa"/>
          </w:tcPr>
          <w:p w14:paraId="03821EAE"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c>
          <w:tcPr>
            <w:tcW w:w="2430" w:type="dxa"/>
          </w:tcPr>
          <w:p w14:paraId="31DFA02D" w14:textId="77777777" w:rsidR="001D05E2" w:rsidRPr="001D05E2" w:rsidRDefault="001D05E2" w:rsidP="001D05E2">
            <w:pPr>
              <w:jc w:val="center"/>
              <w:rPr>
                <w:rFonts w:ascii="Times New Roman" w:hAnsi="Times New Roman" w:cs="Times New Roman"/>
                <w:iCs/>
              </w:rPr>
            </w:pPr>
          </w:p>
        </w:tc>
      </w:tr>
      <w:tr w:rsidR="001D05E2" w:rsidRPr="001D05E2" w14:paraId="68C275E1" w14:textId="77777777" w:rsidTr="00360B83">
        <w:trPr>
          <w:trHeight w:val="300"/>
          <w:jc w:val="center"/>
        </w:trPr>
        <w:tc>
          <w:tcPr>
            <w:tcW w:w="895" w:type="dxa"/>
            <w:noWrap/>
            <w:vAlign w:val="center"/>
            <w:hideMark/>
          </w:tcPr>
          <w:p w14:paraId="7851FF51"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2005</w:t>
            </w:r>
          </w:p>
        </w:tc>
        <w:tc>
          <w:tcPr>
            <w:tcW w:w="2795" w:type="dxa"/>
            <w:noWrap/>
          </w:tcPr>
          <w:p w14:paraId="7CBCC952"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26,600</w:t>
            </w:r>
          </w:p>
        </w:tc>
        <w:tc>
          <w:tcPr>
            <w:tcW w:w="2430" w:type="dxa"/>
          </w:tcPr>
          <w:p w14:paraId="71845B94"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1.77</w:t>
            </w:r>
          </w:p>
        </w:tc>
        <w:tc>
          <w:tcPr>
            <w:tcW w:w="2430" w:type="dxa"/>
          </w:tcPr>
          <w:p w14:paraId="7DBA224A"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1.00</w:t>
            </w:r>
          </w:p>
        </w:tc>
      </w:tr>
      <w:tr w:rsidR="001D05E2" w:rsidRPr="001D05E2" w14:paraId="379076C2" w14:textId="77777777" w:rsidTr="00360B83">
        <w:trPr>
          <w:trHeight w:val="315"/>
          <w:jc w:val="center"/>
        </w:trPr>
        <w:tc>
          <w:tcPr>
            <w:tcW w:w="895" w:type="dxa"/>
            <w:noWrap/>
            <w:vAlign w:val="center"/>
            <w:hideMark/>
          </w:tcPr>
          <w:p w14:paraId="07312277" w14:textId="77777777" w:rsidR="001D05E2" w:rsidRPr="001D05E2" w:rsidRDefault="001D05E2" w:rsidP="001D05E2">
            <w:pPr>
              <w:rPr>
                <w:rFonts w:ascii="Times New Roman" w:hAnsi="Times New Roman" w:cs="Times New Roman"/>
                <w:iCs/>
              </w:rPr>
            </w:pPr>
            <w:r w:rsidRPr="001D05E2">
              <w:rPr>
                <w:rFonts w:ascii="Times New Roman" w:hAnsi="Times New Roman" w:cs="Times New Roman"/>
                <w:iCs/>
              </w:rPr>
              <w:t>2020</w:t>
            </w:r>
          </w:p>
        </w:tc>
        <w:tc>
          <w:tcPr>
            <w:tcW w:w="2795" w:type="dxa"/>
            <w:noWrap/>
          </w:tcPr>
          <w:p w14:paraId="0303EE0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33,200</w:t>
            </w:r>
          </w:p>
        </w:tc>
        <w:tc>
          <w:tcPr>
            <w:tcW w:w="2430" w:type="dxa"/>
          </w:tcPr>
          <w:p w14:paraId="48CF17E6"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2.21</w:t>
            </w:r>
          </w:p>
        </w:tc>
        <w:tc>
          <w:tcPr>
            <w:tcW w:w="2430" w:type="dxa"/>
          </w:tcPr>
          <w:p w14:paraId="4BD4A37B" w14:textId="77777777" w:rsidR="001D05E2" w:rsidRPr="001D05E2" w:rsidRDefault="001D05E2" w:rsidP="001D05E2">
            <w:pPr>
              <w:jc w:val="center"/>
              <w:rPr>
                <w:rFonts w:ascii="Times New Roman" w:hAnsi="Times New Roman" w:cs="Times New Roman"/>
                <w:iCs/>
              </w:rPr>
            </w:pPr>
            <w:r w:rsidRPr="001D05E2">
              <w:rPr>
                <w:rFonts w:ascii="Times New Roman" w:hAnsi="Times New Roman" w:cs="Times New Roman"/>
              </w:rPr>
              <w:t>1.25</w:t>
            </w:r>
          </w:p>
        </w:tc>
      </w:tr>
      <w:tr w:rsidR="001D05E2" w:rsidRPr="001D05E2" w14:paraId="013A35E2" w14:textId="77777777" w:rsidTr="00360B83">
        <w:trPr>
          <w:trHeight w:val="315"/>
          <w:jc w:val="center"/>
        </w:trPr>
        <w:tc>
          <w:tcPr>
            <w:tcW w:w="8550" w:type="dxa"/>
            <w:gridSpan w:val="4"/>
            <w:noWrap/>
            <w:vAlign w:val="center"/>
          </w:tcPr>
          <w:p w14:paraId="3C28B87C" w14:textId="77777777" w:rsidR="001D05E2" w:rsidRPr="001D05E2" w:rsidRDefault="001D05E2" w:rsidP="001D05E2">
            <w:pPr>
              <w:rPr>
                <w:rFonts w:ascii="Times New Roman" w:hAnsi="Times New Roman" w:cs="Times New Roman"/>
              </w:rPr>
            </w:pPr>
            <w:proofErr w:type="spellStart"/>
            <w:proofErr w:type="gramStart"/>
            <w:r w:rsidRPr="001D05E2">
              <w:rPr>
                <w:rFonts w:ascii="Times New Roman" w:hAnsi="Times New Roman" w:cs="Times New Roman"/>
                <w:iCs/>
                <w:vertAlign w:val="superscript"/>
              </w:rPr>
              <w:t>a</w:t>
            </w:r>
            <w:proofErr w:type="spellEnd"/>
            <w:r w:rsidRPr="001D05E2">
              <w:rPr>
                <w:rFonts w:ascii="Times New Roman" w:hAnsi="Times New Roman" w:cs="Times New Roman"/>
              </w:rPr>
              <w:t xml:space="preserve"> Changes</w:t>
            </w:r>
            <w:proofErr w:type="gramEnd"/>
            <w:r w:rsidRPr="001D05E2">
              <w:rPr>
                <w:rFonts w:ascii="Times New Roman" w:hAnsi="Times New Roman" w:cs="Times New Roman"/>
              </w:rPr>
              <w:t xml:space="preserve"> reflect only changes in panel production.</w:t>
            </w:r>
          </w:p>
        </w:tc>
      </w:tr>
    </w:tbl>
    <w:p w14:paraId="3131C17F" w14:textId="77777777" w:rsidR="001D05E2" w:rsidRPr="001D05E2" w:rsidRDefault="001D05E2" w:rsidP="001D05E2">
      <w:pPr>
        <w:rPr>
          <w:rFonts w:ascii="Times New Roman" w:hAnsi="Times New Roman" w:cs="Times New Roman"/>
        </w:rPr>
      </w:pPr>
    </w:p>
    <w:p w14:paraId="2AEB38EB" w14:textId="104CA062" w:rsidR="001D05E2" w:rsidRPr="001D05E2" w:rsidRDefault="001D05E2" w:rsidP="001D05E2">
      <w:pPr>
        <w:spacing w:line="276" w:lineRule="auto"/>
        <w:rPr>
          <w:rFonts w:ascii="Times New Roman" w:hAnsi="Times New Roman" w:cs="Times New Roman"/>
        </w:rPr>
      </w:pPr>
    </w:p>
    <w:p w14:paraId="5027F70B" w14:textId="66B193C9" w:rsidR="001D05E2" w:rsidRPr="002D10B0" w:rsidRDefault="001D05E2" w:rsidP="00590ED8">
      <w:pPr>
        <w:pStyle w:val="Heading1"/>
        <w:rPr>
          <w:rFonts w:ascii="Times New Roman" w:hAnsi="Times New Roman" w:cs="Times New Roman"/>
          <w:b/>
          <w:bCs/>
          <w:color w:val="auto"/>
          <w:sz w:val="24"/>
          <w:szCs w:val="24"/>
        </w:rPr>
      </w:pPr>
      <w:bookmarkStart w:id="73" w:name="_Toc165549657"/>
      <w:bookmarkStart w:id="74" w:name="_Toc174876794"/>
      <w:bookmarkStart w:id="75" w:name="_Toc215829621"/>
      <w:r w:rsidRPr="002D10B0">
        <w:rPr>
          <w:rFonts w:ascii="Times New Roman" w:hAnsi="Times New Roman" w:cs="Times New Roman"/>
          <w:b/>
          <w:bCs/>
          <w:color w:val="auto"/>
          <w:sz w:val="24"/>
          <w:szCs w:val="24"/>
        </w:rPr>
        <w:t>CALCULATING TRANSPORT-RELATED EMISSIONS</w:t>
      </w:r>
      <w:bookmarkEnd w:id="75"/>
    </w:p>
    <w:p w14:paraId="283D4687" w14:textId="77777777" w:rsidR="001D05E2" w:rsidRPr="002D10B0" w:rsidRDefault="001D05E2" w:rsidP="00590ED8">
      <w:pPr>
        <w:pStyle w:val="Heading2"/>
        <w:rPr>
          <w:rFonts w:ascii="Times New Roman" w:hAnsi="Times New Roman" w:cs="Times New Roman"/>
          <w:b/>
          <w:bCs/>
          <w:color w:val="auto"/>
          <w:sz w:val="24"/>
          <w:szCs w:val="24"/>
        </w:rPr>
      </w:pPr>
      <w:bookmarkStart w:id="76" w:name="_Toc215829622"/>
      <w:r w:rsidRPr="002D10B0">
        <w:rPr>
          <w:rFonts w:ascii="Times New Roman" w:hAnsi="Times New Roman" w:cs="Times New Roman"/>
          <w:b/>
          <w:bCs/>
          <w:color w:val="auto"/>
          <w:sz w:val="24"/>
          <w:szCs w:val="24"/>
        </w:rPr>
        <w:t>Using Data from the Commodity Flow Survey</w:t>
      </w:r>
      <w:bookmarkEnd w:id="76"/>
    </w:p>
    <w:p w14:paraId="51C7613D" w14:textId="4E11BE9D" w:rsidR="001D05E2" w:rsidRPr="001D05E2" w:rsidRDefault="001D05E2" w:rsidP="001D05E2">
      <w:pPr>
        <w:rPr>
          <w:rFonts w:ascii="Times New Roman" w:hAnsi="Times New Roman" w:cs="Times New Roman"/>
          <w:bCs/>
        </w:rPr>
      </w:pPr>
      <w:r w:rsidRPr="001D05E2">
        <w:rPr>
          <w:rFonts w:ascii="Times New Roman" w:hAnsi="Times New Roman" w:cs="Times New Roman"/>
          <w:bCs/>
        </w:rPr>
        <w:t>Every 5 years (ending in 2 or 7) a congressionally mandated survey, called the Commodity Flow Survey (CFS), is distributed under the auspices of the US Department of Transportation and the US Department of Commerce.</w:t>
      </w:r>
      <w:r w:rsidRPr="001D05E2">
        <w:rPr>
          <w:rFonts w:ascii="Times New Roman" w:hAnsi="Times New Roman" w:cs="Times New Roman"/>
          <w:bCs/>
        </w:rPr>
        <w:fldChar w:fldCharType="begin"/>
      </w:r>
      <w:r w:rsidR="00092B8E">
        <w:rPr>
          <w:rFonts w:ascii="Times New Roman" w:hAnsi="Times New Roman" w:cs="Times New Roman"/>
          <w:bCs/>
        </w:rPr>
        <w:instrText xml:space="preserve"> ADDIN ZOTERO_ITEM CSL_CITATION {"citationID":"i4J3Lhdb","properties":{"formattedCitation":"\\super 43\\nosupersub{}","plainCitation":"43","noteIndex":0},"citationItems":[{"id":32,"uris":["http://zotero.org/users/local/T7KBDEDi/items/J3GU457X","http://zotero.org/users/18184231/items/J3GU457X"],"itemData":{"id":32,"type":"webpage","abstract":"Stats displayed in columns and rows with title, ID, notes, sources and release date. Many tables are in downloadable XLS, CVS and PDF file formats.","container-title":"Census.gov","language":"en","note":"section: Government","title":"Commodity Flow Survey Tables","URL":"https://www.census.gov/programs-surveys/cfs/data/tables.html","author":[{"family":"United States Census Bureau","given":""}],"accessed":{"date-parts":[["2025",9,25]]},"issued":{"date-parts":[["2025"]]}}}],"schema":"https://github.com/citation-style-language/schema/raw/master/csl-citation.json"}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43</w:t>
      </w:r>
      <w:r w:rsidRPr="001D05E2">
        <w:rPr>
          <w:rFonts w:ascii="Times New Roman" w:hAnsi="Times New Roman" w:cs="Times New Roman"/>
          <w:bCs/>
        </w:rPr>
        <w:fldChar w:fldCharType="end"/>
      </w:r>
      <w:r w:rsidRPr="001D05E2">
        <w:rPr>
          <w:rFonts w:ascii="Times New Roman" w:hAnsi="Times New Roman" w:cs="Times New Roman"/>
          <w:bCs/>
        </w:rPr>
        <w:t xml:space="preserve"> The survey collects data on commodity shipments from a sample of establishments in specific industries (identified by NAICS code). The results of the survey can be used to develop sample-based estimates of, for instance, total ton-miles of wheat shipped in the US. </w:t>
      </w:r>
      <w:r w:rsidR="00B64CF6" w:rsidRPr="00D9603D">
        <w:rPr>
          <w:rFonts w:ascii="Times New Roman" w:eastAsia="Times New Roman" w:hAnsi="Times New Roman" w:cs="Times New Roman"/>
          <w:bCs/>
          <w:iCs/>
          <w:kern w:val="0"/>
          <w14:ligatures w14:val="none"/>
        </w:rPr>
        <w:t>(Note:</w:t>
      </w:r>
      <w:r w:rsidR="00B64CF6" w:rsidRPr="00D9603D">
        <w:rPr>
          <w:rFonts w:ascii="Segoe UI" w:eastAsia="Times New Roman" w:hAnsi="Segoe UI" w:cs="Segoe UI"/>
          <w:kern w:val="0"/>
          <w:sz w:val="18"/>
          <w:szCs w:val="18"/>
          <w14:ligatures w14:val="none"/>
        </w:rPr>
        <w:t xml:space="preserve"> </w:t>
      </w:r>
      <w:r w:rsidR="00B64CF6" w:rsidRPr="00D9603D">
        <w:rPr>
          <w:rFonts w:ascii="Times New Roman" w:eastAsia="Times New Roman" w:hAnsi="Times New Roman" w:cs="Times New Roman"/>
          <w:bCs/>
          <w:iCs/>
          <w:kern w:val="0"/>
          <w14:ligatures w14:val="none"/>
        </w:rPr>
        <w:t xml:space="preserve">For 1990, SGTC </w:t>
      </w:r>
      <w:proofErr w:type="gramStart"/>
      <w:r w:rsidR="00B64CF6" w:rsidRPr="00D9603D">
        <w:rPr>
          <w:rFonts w:ascii="Times New Roman" w:eastAsia="Times New Roman" w:hAnsi="Times New Roman" w:cs="Times New Roman"/>
          <w:bCs/>
          <w:iCs/>
          <w:kern w:val="0"/>
          <w14:ligatures w14:val="none"/>
        </w:rPr>
        <w:t>ton</w:t>
      </w:r>
      <w:proofErr w:type="gramEnd"/>
      <w:r w:rsidR="00B64CF6" w:rsidRPr="00D9603D">
        <w:rPr>
          <w:rFonts w:ascii="Times New Roman" w:eastAsia="Times New Roman" w:hAnsi="Times New Roman" w:cs="Times New Roman"/>
          <w:bCs/>
          <w:iCs/>
          <w:kern w:val="0"/>
          <w14:ligatures w14:val="none"/>
        </w:rPr>
        <w:t xml:space="preserve">-miles reported in the 1992 survey were incorrect. The correct values are shown in the subsequent CFS report.) </w:t>
      </w:r>
      <w:r w:rsidRPr="001D05E2">
        <w:rPr>
          <w:rFonts w:ascii="Times New Roman" w:hAnsi="Times New Roman" w:cs="Times New Roman"/>
          <w:bCs/>
        </w:rPr>
        <w:t xml:space="preserve">The commodities included in the survey are identified by SCTG codes. The two-digit SCTG codes are shown in Table </w:t>
      </w:r>
      <w:r w:rsidR="001A5FC7">
        <w:rPr>
          <w:rFonts w:ascii="Times New Roman" w:hAnsi="Times New Roman" w:cs="Times New Roman"/>
          <w:bCs/>
        </w:rPr>
        <w:t>S49</w:t>
      </w:r>
      <w:r w:rsidRPr="001D05E2">
        <w:rPr>
          <w:rFonts w:ascii="Times New Roman" w:hAnsi="Times New Roman" w:cs="Times New Roman"/>
          <w:bCs/>
        </w:rPr>
        <w:t xml:space="preserve">. </w:t>
      </w:r>
    </w:p>
    <w:p w14:paraId="68EA43D7" w14:textId="6AFD94E4" w:rsidR="001D05E2" w:rsidRPr="001D05E2" w:rsidRDefault="001D05E2" w:rsidP="001D05E2">
      <w:pPr>
        <w:jc w:val="center"/>
        <w:rPr>
          <w:rFonts w:ascii="Times New Roman" w:hAnsi="Times New Roman" w:cs="Times New Roman"/>
          <w:bCs/>
        </w:rPr>
      </w:pPr>
      <w:r w:rsidRPr="001A5FC7">
        <w:rPr>
          <w:rFonts w:ascii="Times New Roman" w:hAnsi="Times New Roman" w:cs="Times New Roman"/>
          <w:b/>
        </w:rPr>
        <w:t xml:space="preserve">Table </w:t>
      </w:r>
      <w:r w:rsidR="001A5FC7" w:rsidRPr="001A5FC7">
        <w:rPr>
          <w:rFonts w:ascii="Times New Roman" w:hAnsi="Times New Roman" w:cs="Times New Roman"/>
          <w:b/>
        </w:rPr>
        <w:t>S49</w:t>
      </w:r>
      <w:r w:rsidRPr="001D05E2">
        <w:rPr>
          <w:rFonts w:ascii="Times New Roman" w:hAnsi="Times New Roman" w:cs="Times New Roman"/>
          <w:bCs/>
        </w:rPr>
        <w:t xml:space="preserve">. Two-Digit SCTG Commodity Code List </w:t>
      </w:r>
      <w:r w:rsidRPr="001D05E2">
        <w:rPr>
          <w:rFonts w:ascii="Times New Roman" w:hAnsi="Times New Roman" w:cs="Times New Roman"/>
          <w:bCs/>
        </w:rPr>
        <w:fldChar w:fldCharType="begin"/>
      </w:r>
      <w:r w:rsidR="006B64BF">
        <w:rPr>
          <w:rFonts w:ascii="Times New Roman" w:hAnsi="Times New Roman" w:cs="Times New Roman"/>
          <w:bCs/>
        </w:rPr>
        <w:instrText xml:space="preserve"> ADDIN ZOTERO_ITEM CSL_CITATION {"citationID":"YjPZkqbn","properties":{"formattedCitation":"\\super 44\\nosupersub{}","plainCitation":"44","noteIndex":0},"citationItems":[{"id":168,"uris":["http://zotero.org/users/18184231/items/IX336EVI"],"itemData":{"id":168,"type":"webpage","title":"SCTG Commodity Code List","URL":"https://bhs.econ.census.gov/bhsphpext/brdsearch/scs_code.html","author":[{"family":"United States Census Bureau","given":""}],"accessed":{"date-parts":[["2025",12,3]]}}}],"schema":"https://github.com/citation-style-language/schema/raw/master/csl-citation.json"}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44</w:t>
      </w:r>
      <w:r w:rsidRPr="001D05E2">
        <w:rPr>
          <w:rFonts w:ascii="Times New Roman" w:hAnsi="Times New Roman" w:cs="Times New Roman"/>
          <w:bCs/>
        </w:rPr>
        <w:fldChar w:fldCharType="end"/>
      </w:r>
    </w:p>
    <w:tbl>
      <w:tblPr>
        <w:tblW w:w="9360" w:type="dxa"/>
        <w:tblBorders>
          <w:top w:val="single" w:sz="4" w:space="0" w:color="auto"/>
          <w:bottom w:val="single" w:sz="4" w:space="0" w:color="auto"/>
          <w:insideH w:val="single" w:sz="4" w:space="0" w:color="auto"/>
          <w:insideV w:val="single" w:sz="4" w:space="0" w:color="auto"/>
        </w:tblBorders>
        <w:tblCellMar>
          <w:top w:w="58" w:type="dxa"/>
          <w:bottom w:w="58" w:type="dxa"/>
        </w:tblCellMar>
        <w:tblLook w:val="04A0" w:firstRow="1" w:lastRow="0" w:firstColumn="1" w:lastColumn="0" w:noHBand="0" w:noVBand="1"/>
      </w:tblPr>
      <w:tblGrid>
        <w:gridCol w:w="990"/>
        <w:gridCol w:w="8370"/>
      </w:tblGrid>
      <w:tr w:rsidR="001D05E2" w:rsidRPr="001D05E2" w14:paraId="73719F2F" w14:textId="77777777" w:rsidTr="001A5FC7">
        <w:trPr>
          <w:trHeight w:val="20"/>
          <w:tblHeader/>
        </w:trPr>
        <w:tc>
          <w:tcPr>
            <w:tcW w:w="990" w:type="dxa"/>
            <w:shd w:val="clear" w:color="auto" w:fill="D9D9D9" w:themeFill="background1" w:themeFillShade="D9"/>
            <w:noWrap/>
            <w:vAlign w:val="center"/>
            <w:hideMark/>
          </w:tcPr>
          <w:p w14:paraId="7E39716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SCTG</w:t>
            </w:r>
          </w:p>
          <w:p w14:paraId="7CC0AEF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2-Digit Code</w:t>
            </w:r>
          </w:p>
        </w:tc>
        <w:tc>
          <w:tcPr>
            <w:tcW w:w="8370" w:type="dxa"/>
            <w:shd w:val="clear" w:color="auto" w:fill="D9D9D9" w:themeFill="background1" w:themeFillShade="D9"/>
            <w:noWrap/>
            <w:vAlign w:val="center"/>
            <w:hideMark/>
          </w:tcPr>
          <w:p w14:paraId="07055A9B"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Commodity Description</w:t>
            </w:r>
          </w:p>
        </w:tc>
      </w:tr>
      <w:tr w:rsidR="001D05E2" w:rsidRPr="001D05E2" w14:paraId="6088A0A5" w14:textId="77777777" w:rsidTr="001A5FC7">
        <w:trPr>
          <w:trHeight w:val="20"/>
        </w:trPr>
        <w:tc>
          <w:tcPr>
            <w:tcW w:w="990" w:type="dxa"/>
            <w:noWrap/>
            <w:vAlign w:val="center"/>
            <w:hideMark/>
          </w:tcPr>
          <w:p w14:paraId="68F4B4B9"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01</w:t>
            </w:r>
          </w:p>
        </w:tc>
        <w:tc>
          <w:tcPr>
            <w:tcW w:w="8370" w:type="dxa"/>
            <w:noWrap/>
            <w:vAlign w:val="center"/>
            <w:hideMark/>
          </w:tcPr>
          <w:p w14:paraId="0EC617B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Live Animals and Fish</w:t>
            </w:r>
          </w:p>
        </w:tc>
      </w:tr>
      <w:tr w:rsidR="001D05E2" w:rsidRPr="001D05E2" w14:paraId="27C7A061" w14:textId="77777777" w:rsidTr="001A5FC7">
        <w:trPr>
          <w:trHeight w:val="20"/>
        </w:trPr>
        <w:tc>
          <w:tcPr>
            <w:tcW w:w="990" w:type="dxa"/>
            <w:noWrap/>
            <w:vAlign w:val="center"/>
            <w:hideMark/>
          </w:tcPr>
          <w:p w14:paraId="7487B99F"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02</w:t>
            </w:r>
          </w:p>
        </w:tc>
        <w:tc>
          <w:tcPr>
            <w:tcW w:w="8370" w:type="dxa"/>
            <w:noWrap/>
            <w:vAlign w:val="center"/>
            <w:hideMark/>
          </w:tcPr>
          <w:p w14:paraId="15E9073E"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Cereal Grains (including seed)</w:t>
            </w:r>
          </w:p>
        </w:tc>
      </w:tr>
      <w:tr w:rsidR="001D05E2" w:rsidRPr="001D05E2" w14:paraId="701CA7DC" w14:textId="77777777" w:rsidTr="001A5FC7">
        <w:trPr>
          <w:trHeight w:val="20"/>
        </w:trPr>
        <w:tc>
          <w:tcPr>
            <w:tcW w:w="990" w:type="dxa"/>
            <w:noWrap/>
            <w:vAlign w:val="center"/>
            <w:hideMark/>
          </w:tcPr>
          <w:p w14:paraId="30606E53"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03</w:t>
            </w:r>
          </w:p>
        </w:tc>
        <w:tc>
          <w:tcPr>
            <w:tcW w:w="8370" w:type="dxa"/>
            <w:noWrap/>
            <w:vAlign w:val="center"/>
            <w:hideMark/>
          </w:tcPr>
          <w:p w14:paraId="7E752BC2"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Agricultural Products Except for Animal Feed, Cereal Grains, and Forage Products</w:t>
            </w:r>
          </w:p>
        </w:tc>
      </w:tr>
      <w:tr w:rsidR="001D05E2" w:rsidRPr="001D05E2" w14:paraId="5BEC794E" w14:textId="77777777" w:rsidTr="001A5FC7">
        <w:trPr>
          <w:trHeight w:val="20"/>
        </w:trPr>
        <w:tc>
          <w:tcPr>
            <w:tcW w:w="990" w:type="dxa"/>
            <w:noWrap/>
            <w:vAlign w:val="center"/>
            <w:hideMark/>
          </w:tcPr>
          <w:p w14:paraId="1660A2D4"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04</w:t>
            </w:r>
          </w:p>
        </w:tc>
        <w:tc>
          <w:tcPr>
            <w:tcW w:w="8370" w:type="dxa"/>
            <w:noWrap/>
            <w:vAlign w:val="center"/>
            <w:hideMark/>
          </w:tcPr>
          <w:p w14:paraId="145354E4"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Animal Feed, Eggs, Honey, and Other Products of Animal Origin</w:t>
            </w:r>
          </w:p>
        </w:tc>
      </w:tr>
      <w:tr w:rsidR="001D05E2" w:rsidRPr="001D05E2" w14:paraId="7166455F" w14:textId="77777777" w:rsidTr="001A5FC7">
        <w:trPr>
          <w:trHeight w:val="20"/>
        </w:trPr>
        <w:tc>
          <w:tcPr>
            <w:tcW w:w="990" w:type="dxa"/>
            <w:noWrap/>
            <w:vAlign w:val="center"/>
            <w:hideMark/>
          </w:tcPr>
          <w:p w14:paraId="19F6944F"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05</w:t>
            </w:r>
          </w:p>
        </w:tc>
        <w:tc>
          <w:tcPr>
            <w:tcW w:w="8370" w:type="dxa"/>
            <w:noWrap/>
            <w:vAlign w:val="center"/>
            <w:hideMark/>
          </w:tcPr>
          <w:p w14:paraId="23A44E8D"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Meat, Poultry, Fish, Seafood, and Their Preparations</w:t>
            </w:r>
          </w:p>
        </w:tc>
      </w:tr>
      <w:tr w:rsidR="001D05E2" w:rsidRPr="001D05E2" w14:paraId="0A36311A" w14:textId="77777777" w:rsidTr="001A5FC7">
        <w:trPr>
          <w:trHeight w:val="20"/>
        </w:trPr>
        <w:tc>
          <w:tcPr>
            <w:tcW w:w="990" w:type="dxa"/>
            <w:noWrap/>
            <w:vAlign w:val="center"/>
            <w:hideMark/>
          </w:tcPr>
          <w:p w14:paraId="7B8038A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06</w:t>
            </w:r>
          </w:p>
        </w:tc>
        <w:tc>
          <w:tcPr>
            <w:tcW w:w="8370" w:type="dxa"/>
            <w:noWrap/>
            <w:vAlign w:val="center"/>
            <w:hideMark/>
          </w:tcPr>
          <w:p w14:paraId="010A7BA6"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Milled Grain Products and Preparations, and Bakery Products</w:t>
            </w:r>
          </w:p>
        </w:tc>
      </w:tr>
      <w:tr w:rsidR="001D05E2" w:rsidRPr="001D05E2" w14:paraId="4FA015D7" w14:textId="77777777" w:rsidTr="001A5FC7">
        <w:trPr>
          <w:trHeight w:val="20"/>
        </w:trPr>
        <w:tc>
          <w:tcPr>
            <w:tcW w:w="990" w:type="dxa"/>
            <w:noWrap/>
            <w:vAlign w:val="center"/>
            <w:hideMark/>
          </w:tcPr>
          <w:p w14:paraId="5C0662D9"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07</w:t>
            </w:r>
          </w:p>
        </w:tc>
        <w:tc>
          <w:tcPr>
            <w:tcW w:w="8370" w:type="dxa"/>
            <w:noWrap/>
            <w:vAlign w:val="center"/>
            <w:hideMark/>
          </w:tcPr>
          <w:p w14:paraId="7C0B113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Other Prepared Foodstuffs, Fats and Oils</w:t>
            </w:r>
          </w:p>
        </w:tc>
      </w:tr>
      <w:tr w:rsidR="001D05E2" w:rsidRPr="001D05E2" w14:paraId="17403492" w14:textId="77777777" w:rsidTr="001A5FC7">
        <w:trPr>
          <w:trHeight w:val="20"/>
        </w:trPr>
        <w:tc>
          <w:tcPr>
            <w:tcW w:w="990" w:type="dxa"/>
            <w:noWrap/>
            <w:vAlign w:val="center"/>
            <w:hideMark/>
          </w:tcPr>
          <w:p w14:paraId="4B72AF0C"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08</w:t>
            </w:r>
          </w:p>
        </w:tc>
        <w:tc>
          <w:tcPr>
            <w:tcW w:w="8370" w:type="dxa"/>
            <w:noWrap/>
            <w:vAlign w:val="center"/>
            <w:hideMark/>
          </w:tcPr>
          <w:p w14:paraId="09B2465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Alcoholic Beverages and Denatured Alcohol</w:t>
            </w:r>
          </w:p>
        </w:tc>
      </w:tr>
      <w:tr w:rsidR="001D05E2" w:rsidRPr="001D05E2" w14:paraId="4FABBFE8" w14:textId="77777777" w:rsidTr="001A5FC7">
        <w:trPr>
          <w:trHeight w:val="20"/>
        </w:trPr>
        <w:tc>
          <w:tcPr>
            <w:tcW w:w="990" w:type="dxa"/>
            <w:noWrap/>
            <w:vAlign w:val="center"/>
            <w:hideMark/>
          </w:tcPr>
          <w:p w14:paraId="152D7FC9"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09</w:t>
            </w:r>
          </w:p>
        </w:tc>
        <w:tc>
          <w:tcPr>
            <w:tcW w:w="8370" w:type="dxa"/>
            <w:noWrap/>
            <w:vAlign w:val="center"/>
            <w:hideMark/>
          </w:tcPr>
          <w:p w14:paraId="0D8C051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Tobacco Products</w:t>
            </w:r>
          </w:p>
        </w:tc>
      </w:tr>
      <w:tr w:rsidR="001D05E2" w:rsidRPr="001D05E2" w14:paraId="396CD122" w14:textId="77777777" w:rsidTr="001A5FC7">
        <w:trPr>
          <w:trHeight w:val="20"/>
        </w:trPr>
        <w:tc>
          <w:tcPr>
            <w:tcW w:w="990" w:type="dxa"/>
            <w:noWrap/>
            <w:vAlign w:val="center"/>
            <w:hideMark/>
          </w:tcPr>
          <w:p w14:paraId="0AEE19DA"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lastRenderedPageBreak/>
              <w:t>10</w:t>
            </w:r>
          </w:p>
        </w:tc>
        <w:tc>
          <w:tcPr>
            <w:tcW w:w="8370" w:type="dxa"/>
            <w:noWrap/>
            <w:vAlign w:val="center"/>
            <w:hideMark/>
          </w:tcPr>
          <w:p w14:paraId="6B62694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Monumental or Building Stone</w:t>
            </w:r>
          </w:p>
        </w:tc>
      </w:tr>
      <w:tr w:rsidR="001D05E2" w:rsidRPr="001D05E2" w14:paraId="28B06BB9" w14:textId="77777777" w:rsidTr="001A5FC7">
        <w:trPr>
          <w:trHeight w:val="20"/>
        </w:trPr>
        <w:tc>
          <w:tcPr>
            <w:tcW w:w="990" w:type="dxa"/>
            <w:noWrap/>
            <w:vAlign w:val="center"/>
            <w:hideMark/>
          </w:tcPr>
          <w:p w14:paraId="1E9FDC32"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11</w:t>
            </w:r>
          </w:p>
        </w:tc>
        <w:tc>
          <w:tcPr>
            <w:tcW w:w="8370" w:type="dxa"/>
            <w:noWrap/>
            <w:vAlign w:val="center"/>
            <w:hideMark/>
          </w:tcPr>
          <w:p w14:paraId="75CF31A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Natural Sands</w:t>
            </w:r>
          </w:p>
        </w:tc>
      </w:tr>
      <w:tr w:rsidR="001D05E2" w:rsidRPr="001D05E2" w14:paraId="61DF8700" w14:textId="77777777" w:rsidTr="001A5FC7">
        <w:trPr>
          <w:trHeight w:val="20"/>
        </w:trPr>
        <w:tc>
          <w:tcPr>
            <w:tcW w:w="990" w:type="dxa"/>
            <w:noWrap/>
            <w:vAlign w:val="center"/>
            <w:hideMark/>
          </w:tcPr>
          <w:p w14:paraId="13215786"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12</w:t>
            </w:r>
          </w:p>
        </w:tc>
        <w:tc>
          <w:tcPr>
            <w:tcW w:w="8370" w:type="dxa"/>
            <w:noWrap/>
            <w:vAlign w:val="center"/>
            <w:hideMark/>
          </w:tcPr>
          <w:p w14:paraId="012775D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Gravel and Crushed Stone Except Dolomite and Slate</w:t>
            </w:r>
          </w:p>
        </w:tc>
      </w:tr>
      <w:tr w:rsidR="001D05E2" w:rsidRPr="001D05E2" w14:paraId="178AA173" w14:textId="77777777" w:rsidTr="001A5FC7">
        <w:trPr>
          <w:trHeight w:val="20"/>
        </w:trPr>
        <w:tc>
          <w:tcPr>
            <w:tcW w:w="990" w:type="dxa"/>
            <w:noWrap/>
            <w:vAlign w:val="center"/>
            <w:hideMark/>
          </w:tcPr>
          <w:p w14:paraId="574AEE0E"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13</w:t>
            </w:r>
          </w:p>
        </w:tc>
        <w:tc>
          <w:tcPr>
            <w:tcW w:w="8370" w:type="dxa"/>
            <w:noWrap/>
            <w:vAlign w:val="center"/>
            <w:hideMark/>
          </w:tcPr>
          <w:p w14:paraId="709B795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Other Nonmetallic Minerals Not Elsewhere Classified</w:t>
            </w:r>
          </w:p>
        </w:tc>
      </w:tr>
      <w:tr w:rsidR="001D05E2" w:rsidRPr="001D05E2" w14:paraId="7C6AFAE2" w14:textId="77777777" w:rsidTr="001A5FC7">
        <w:trPr>
          <w:trHeight w:val="20"/>
        </w:trPr>
        <w:tc>
          <w:tcPr>
            <w:tcW w:w="990" w:type="dxa"/>
            <w:noWrap/>
            <w:vAlign w:val="center"/>
            <w:hideMark/>
          </w:tcPr>
          <w:p w14:paraId="3C607E16"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14</w:t>
            </w:r>
          </w:p>
        </w:tc>
        <w:tc>
          <w:tcPr>
            <w:tcW w:w="8370" w:type="dxa"/>
            <w:noWrap/>
            <w:vAlign w:val="center"/>
            <w:hideMark/>
          </w:tcPr>
          <w:p w14:paraId="5CD1EC8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Metallic Ores and Concentrates</w:t>
            </w:r>
          </w:p>
        </w:tc>
      </w:tr>
      <w:tr w:rsidR="001D05E2" w:rsidRPr="001D05E2" w14:paraId="7665DCA7" w14:textId="77777777" w:rsidTr="001A5FC7">
        <w:trPr>
          <w:trHeight w:val="20"/>
        </w:trPr>
        <w:tc>
          <w:tcPr>
            <w:tcW w:w="990" w:type="dxa"/>
            <w:noWrap/>
            <w:vAlign w:val="center"/>
            <w:hideMark/>
          </w:tcPr>
          <w:p w14:paraId="2F27B12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15</w:t>
            </w:r>
          </w:p>
        </w:tc>
        <w:tc>
          <w:tcPr>
            <w:tcW w:w="8370" w:type="dxa"/>
            <w:noWrap/>
            <w:vAlign w:val="center"/>
            <w:hideMark/>
          </w:tcPr>
          <w:p w14:paraId="20C310BD"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Coal</w:t>
            </w:r>
          </w:p>
        </w:tc>
      </w:tr>
      <w:tr w:rsidR="001D05E2" w:rsidRPr="001D05E2" w14:paraId="7740E3CB" w14:textId="77777777" w:rsidTr="001A5FC7">
        <w:trPr>
          <w:trHeight w:val="20"/>
        </w:trPr>
        <w:tc>
          <w:tcPr>
            <w:tcW w:w="990" w:type="dxa"/>
            <w:noWrap/>
            <w:vAlign w:val="center"/>
            <w:hideMark/>
          </w:tcPr>
          <w:p w14:paraId="3CCEE323"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16</w:t>
            </w:r>
          </w:p>
        </w:tc>
        <w:tc>
          <w:tcPr>
            <w:tcW w:w="8370" w:type="dxa"/>
            <w:noWrap/>
            <w:vAlign w:val="center"/>
            <w:hideMark/>
          </w:tcPr>
          <w:p w14:paraId="67EC81EA"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Crude Petroleum</w:t>
            </w:r>
          </w:p>
        </w:tc>
      </w:tr>
      <w:tr w:rsidR="001D05E2" w:rsidRPr="001D05E2" w14:paraId="78A16656" w14:textId="77777777" w:rsidTr="001A5FC7">
        <w:trPr>
          <w:trHeight w:val="20"/>
        </w:trPr>
        <w:tc>
          <w:tcPr>
            <w:tcW w:w="990" w:type="dxa"/>
            <w:noWrap/>
            <w:vAlign w:val="center"/>
            <w:hideMark/>
          </w:tcPr>
          <w:p w14:paraId="0F6FD14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17</w:t>
            </w:r>
          </w:p>
        </w:tc>
        <w:tc>
          <w:tcPr>
            <w:tcW w:w="8370" w:type="dxa"/>
            <w:noWrap/>
            <w:vAlign w:val="center"/>
            <w:hideMark/>
          </w:tcPr>
          <w:p w14:paraId="4FBBF48B"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Gasoline, Aviation Turbine Fuel, and Ethanol, Including Kerosene, and Fuel Alcohols</w:t>
            </w:r>
          </w:p>
        </w:tc>
      </w:tr>
      <w:tr w:rsidR="001D05E2" w:rsidRPr="001D05E2" w14:paraId="0F238D4B" w14:textId="77777777" w:rsidTr="001A5FC7">
        <w:trPr>
          <w:trHeight w:val="20"/>
        </w:trPr>
        <w:tc>
          <w:tcPr>
            <w:tcW w:w="990" w:type="dxa"/>
            <w:noWrap/>
            <w:vAlign w:val="center"/>
            <w:hideMark/>
          </w:tcPr>
          <w:p w14:paraId="62DFFC62"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18</w:t>
            </w:r>
          </w:p>
        </w:tc>
        <w:tc>
          <w:tcPr>
            <w:tcW w:w="8370" w:type="dxa"/>
            <w:noWrap/>
            <w:vAlign w:val="center"/>
            <w:hideMark/>
          </w:tcPr>
          <w:p w14:paraId="45E22147"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Fuel Oils Including Diesel, Bunker C, and Biodiesel</w:t>
            </w:r>
          </w:p>
        </w:tc>
      </w:tr>
      <w:tr w:rsidR="001D05E2" w:rsidRPr="001D05E2" w14:paraId="3A6D3341" w14:textId="77777777" w:rsidTr="001A5FC7">
        <w:trPr>
          <w:trHeight w:val="20"/>
        </w:trPr>
        <w:tc>
          <w:tcPr>
            <w:tcW w:w="990" w:type="dxa"/>
            <w:noWrap/>
            <w:vAlign w:val="center"/>
            <w:hideMark/>
          </w:tcPr>
          <w:p w14:paraId="61F02A52"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19</w:t>
            </w:r>
          </w:p>
        </w:tc>
        <w:tc>
          <w:tcPr>
            <w:tcW w:w="8370" w:type="dxa"/>
            <w:noWrap/>
            <w:vAlign w:val="center"/>
            <w:hideMark/>
          </w:tcPr>
          <w:p w14:paraId="55946ED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Other Coal and Petroleum Products, Not Elsewhere Classified</w:t>
            </w:r>
          </w:p>
        </w:tc>
      </w:tr>
      <w:tr w:rsidR="001D05E2" w:rsidRPr="001D05E2" w14:paraId="7F468886" w14:textId="77777777" w:rsidTr="001A5FC7">
        <w:trPr>
          <w:trHeight w:val="20"/>
        </w:trPr>
        <w:tc>
          <w:tcPr>
            <w:tcW w:w="990" w:type="dxa"/>
            <w:noWrap/>
            <w:vAlign w:val="center"/>
            <w:hideMark/>
          </w:tcPr>
          <w:p w14:paraId="0A5415D7"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20</w:t>
            </w:r>
          </w:p>
        </w:tc>
        <w:tc>
          <w:tcPr>
            <w:tcW w:w="8370" w:type="dxa"/>
            <w:noWrap/>
            <w:vAlign w:val="center"/>
            <w:hideMark/>
          </w:tcPr>
          <w:p w14:paraId="56D688AF"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Basic Chemicals</w:t>
            </w:r>
          </w:p>
        </w:tc>
      </w:tr>
      <w:tr w:rsidR="001D05E2" w:rsidRPr="001D05E2" w14:paraId="54842806" w14:textId="77777777" w:rsidTr="001A5FC7">
        <w:trPr>
          <w:trHeight w:val="20"/>
        </w:trPr>
        <w:tc>
          <w:tcPr>
            <w:tcW w:w="990" w:type="dxa"/>
            <w:noWrap/>
            <w:vAlign w:val="center"/>
            <w:hideMark/>
          </w:tcPr>
          <w:p w14:paraId="4FF06C8C"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21</w:t>
            </w:r>
          </w:p>
        </w:tc>
        <w:tc>
          <w:tcPr>
            <w:tcW w:w="8370" w:type="dxa"/>
            <w:noWrap/>
            <w:vAlign w:val="center"/>
            <w:hideMark/>
          </w:tcPr>
          <w:p w14:paraId="5581180A"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Pharmaceutical Products</w:t>
            </w:r>
          </w:p>
        </w:tc>
      </w:tr>
      <w:tr w:rsidR="001D05E2" w:rsidRPr="001D05E2" w14:paraId="1DDD6826" w14:textId="77777777" w:rsidTr="001A5FC7">
        <w:trPr>
          <w:trHeight w:val="20"/>
        </w:trPr>
        <w:tc>
          <w:tcPr>
            <w:tcW w:w="990" w:type="dxa"/>
            <w:noWrap/>
            <w:vAlign w:val="center"/>
            <w:hideMark/>
          </w:tcPr>
          <w:p w14:paraId="6D0059B3"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22</w:t>
            </w:r>
          </w:p>
        </w:tc>
        <w:tc>
          <w:tcPr>
            <w:tcW w:w="8370" w:type="dxa"/>
            <w:noWrap/>
            <w:vAlign w:val="center"/>
            <w:hideMark/>
          </w:tcPr>
          <w:p w14:paraId="417E1AF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Fertilizers</w:t>
            </w:r>
          </w:p>
        </w:tc>
      </w:tr>
      <w:tr w:rsidR="001D05E2" w:rsidRPr="001D05E2" w14:paraId="78C69BF5" w14:textId="77777777" w:rsidTr="001A5FC7">
        <w:trPr>
          <w:trHeight w:val="20"/>
        </w:trPr>
        <w:tc>
          <w:tcPr>
            <w:tcW w:w="990" w:type="dxa"/>
            <w:noWrap/>
            <w:vAlign w:val="center"/>
            <w:hideMark/>
          </w:tcPr>
          <w:p w14:paraId="51F13B4B"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23</w:t>
            </w:r>
          </w:p>
        </w:tc>
        <w:tc>
          <w:tcPr>
            <w:tcW w:w="8370" w:type="dxa"/>
            <w:noWrap/>
            <w:vAlign w:val="center"/>
            <w:hideMark/>
          </w:tcPr>
          <w:p w14:paraId="2E7C7CA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Other Chemical Products and Preparations</w:t>
            </w:r>
          </w:p>
        </w:tc>
      </w:tr>
      <w:tr w:rsidR="001D05E2" w:rsidRPr="001D05E2" w14:paraId="4889801C" w14:textId="77777777" w:rsidTr="001A5FC7">
        <w:trPr>
          <w:trHeight w:val="20"/>
        </w:trPr>
        <w:tc>
          <w:tcPr>
            <w:tcW w:w="990" w:type="dxa"/>
            <w:noWrap/>
            <w:vAlign w:val="center"/>
            <w:hideMark/>
          </w:tcPr>
          <w:p w14:paraId="7659F3EC"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24</w:t>
            </w:r>
          </w:p>
        </w:tc>
        <w:tc>
          <w:tcPr>
            <w:tcW w:w="8370" w:type="dxa"/>
            <w:noWrap/>
            <w:vAlign w:val="center"/>
            <w:hideMark/>
          </w:tcPr>
          <w:p w14:paraId="73EF908E"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Plastics and Rubber</w:t>
            </w:r>
          </w:p>
        </w:tc>
      </w:tr>
      <w:tr w:rsidR="001D05E2" w:rsidRPr="001D05E2" w14:paraId="57BDF849" w14:textId="77777777" w:rsidTr="001A5FC7">
        <w:trPr>
          <w:trHeight w:val="20"/>
        </w:trPr>
        <w:tc>
          <w:tcPr>
            <w:tcW w:w="990" w:type="dxa"/>
            <w:noWrap/>
            <w:vAlign w:val="center"/>
            <w:hideMark/>
          </w:tcPr>
          <w:p w14:paraId="5E049AFF"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25</w:t>
            </w:r>
          </w:p>
        </w:tc>
        <w:tc>
          <w:tcPr>
            <w:tcW w:w="8370" w:type="dxa"/>
            <w:noWrap/>
            <w:vAlign w:val="center"/>
            <w:hideMark/>
          </w:tcPr>
          <w:p w14:paraId="71BB06E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 xml:space="preserve">Logs and Other Wood in the Rough </w:t>
            </w:r>
          </w:p>
          <w:p w14:paraId="2F046C5D"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w:t>
            </w:r>
            <w:r w:rsidRPr="001D05E2">
              <w:rPr>
                <w:rFonts w:ascii="Times New Roman" w:hAnsi="Times New Roman" w:cs="Times New Roman"/>
                <w:bCs/>
                <w:u w:val="single"/>
              </w:rPr>
              <w:t>Note that the CFS does not include shipments from the forest to mills by companies classified as forestry and logging companies</w:t>
            </w:r>
            <w:r w:rsidRPr="001D05E2">
              <w:rPr>
                <w:rFonts w:ascii="Times New Roman" w:hAnsi="Times New Roman" w:cs="Times New Roman"/>
                <w:bCs/>
              </w:rPr>
              <w:t>)</w:t>
            </w:r>
          </w:p>
        </w:tc>
      </w:tr>
      <w:tr w:rsidR="001D05E2" w:rsidRPr="001D05E2" w14:paraId="591893A2" w14:textId="77777777" w:rsidTr="001A5FC7">
        <w:trPr>
          <w:trHeight w:val="20"/>
        </w:trPr>
        <w:tc>
          <w:tcPr>
            <w:tcW w:w="990" w:type="dxa"/>
            <w:noWrap/>
            <w:vAlign w:val="center"/>
            <w:hideMark/>
          </w:tcPr>
          <w:p w14:paraId="2DEAF3D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26</w:t>
            </w:r>
          </w:p>
        </w:tc>
        <w:tc>
          <w:tcPr>
            <w:tcW w:w="8370" w:type="dxa"/>
            <w:noWrap/>
            <w:vAlign w:val="center"/>
            <w:hideMark/>
          </w:tcPr>
          <w:p w14:paraId="299876F6"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Wood Products</w:t>
            </w:r>
          </w:p>
        </w:tc>
      </w:tr>
      <w:tr w:rsidR="001D05E2" w:rsidRPr="001D05E2" w14:paraId="79A5F960" w14:textId="77777777" w:rsidTr="001A5FC7">
        <w:trPr>
          <w:trHeight w:val="20"/>
        </w:trPr>
        <w:tc>
          <w:tcPr>
            <w:tcW w:w="990" w:type="dxa"/>
            <w:noWrap/>
            <w:vAlign w:val="center"/>
            <w:hideMark/>
          </w:tcPr>
          <w:p w14:paraId="1EE486A5"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27</w:t>
            </w:r>
          </w:p>
        </w:tc>
        <w:tc>
          <w:tcPr>
            <w:tcW w:w="8370" w:type="dxa"/>
            <w:noWrap/>
            <w:vAlign w:val="center"/>
            <w:hideMark/>
          </w:tcPr>
          <w:p w14:paraId="400E24C9"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Pulp, Newsprint, Paper, and Paperboard</w:t>
            </w:r>
          </w:p>
        </w:tc>
      </w:tr>
      <w:tr w:rsidR="001D05E2" w:rsidRPr="001D05E2" w14:paraId="004FA700" w14:textId="77777777" w:rsidTr="001A5FC7">
        <w:trPr>
          <w:trHeight w:val="20"/>
        </w:trPr>
        <w:tc>
          <w:tcPr>
            <w:tcW w:w="990" w:type="dxa"/>
            <w:noWrap/>
            <w:vAlign w:val="center"/>
            <w:hideMark/>
          </w:tcPr>
          <w:p w14:paraId="6F5CC737"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28</w:t>
            </w:r>
          </w:p>
        </w:tc>
        <w:tc>
          <w:tcPr>
            <w:tcW w:w="8370" w:type="dxa"/>
            <w:noWrap/>
            <w:vAlign w:val="center"/>
            <w:hideMark/>
          </w:tcPr>
          <w:p w14:paraId="5553862F"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 xml:space="preserve">Paper or Paperboard Articles </w:t>
            </w:r>
          </w:p>
        </w:tc>
      </w:tr>
      <w:tr w:rsidR="001D05E2" w:rsidRPr="001D05E2" w14:paraId="0543EEE5" w14:textId="77777777" w:rsidTr="001A5FC7">
        <w:trPr>
          <w:trHeight w:val="20"/>
        </w:trPr>
        <w:tc>
          <w:tcPr>
            <w:tcW w:w="990" w:type="dxa"/>
            <w:noWrap/>
            <w:vAlign w:val="center"/>
            <w:hideMark/>
          </w:tcPr>
          <w:p w14:paraId="0AC64A06"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29</w:t>
            </w:r>
          </w:p>
        </w:tc>
        <w:tc>
          <w:tcPr>
            <w:tcW w:w="8370" w:type="dxa"/>
            <w:noWrap/>
            <w:vAlign w:val="center"/>
            <w:hideMark/>
          </w:tcPr>
          <w:p w14:paraId="7412834C"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Printed Products</w:t>
            </w:r>
          </w:p>
        </w:tc>
      </w:tr>
      <w:tr w:rsidR="001D05E2" w:rsidRPr="001D05E2" w14:paraId="5C46B378" w14:textId="77777777" w:rsidTr="001A5FC7">
        <w:trPr>
          <w:trHeight w:val="20"/>
        </w:trPr>
        <w:tc>
          <w:tcPr>
            <w:tcW w:w="990" w:type="dxa"/>
            <w:noWrap/>
            <w:vAlign w:val="center"/>
            <w:hideMark/>
          </w:tcPr>
          <w:p w14:paraId="1A3067F0"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30</w:t>
            </w:r>
          </w:p>
        </w:tc>
        <w:tc>
          <w:tcPr>
            <w:tcW w:w="8370" w:type="dxa"/>
            <w:noWrap/>
            <w:vAlign w:val="center"/>
            <w:hideMark/>
          </w:tcPr>
          <w:p w14:paraId="4E102420"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Textiles, Leather, and Articles of Textiles or Leather</w:t>
            </w:r>
          </w:p>
        </w:tc>
      </w:tr>
      <w:tr w:rsidR="001D05E2" w:rsidRPr="001D05E2" w14:paraId="4DAFC2B4" w14:textId="77777777" w:rsidTr="001A5FC7">
        <w:trPr>
          <w:trHeight w:val="20"/>
        </w:trPr>
        <w:tc>
          <w:tcPr>
            <w:tcW w:w="990" w:type="dxa"/>
            <w:noWrap/>
            <w:vAlign w:val="center"/>
            <w:hideMark/>
          </w:tcPr>
          <w:p w14:paraId="1F5FE640"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31</w:t>
            </w:r>
          </w:p>
        </w:tc>
        <w:tc>
          <w:tcPr>
            <w:tcW w:w="8370" w:type="dxa"/>
            <w:noWrap/>
            <w:vAlign w:val="center"/>
            <w:hideMark/>
          </w:tcPr>
          <w:p w14:paraId="3D10EF0E"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Nonmetallic Mineral Products</w:t>
            </w:r>
          </w:p>
        </w:tc>
      </w:tr>
      <w:tr w:rsidR="001D05E2" w:rsidRPr="001D05E2" w14:paraId="5DC2C8A9" w14:textId="77777777" w:rsidTr="001A5FC7">
        <w:trPr>
          <w:trHeight w:val="20"/>
        </w:trPr>
        <w:tc>
          <w:tcPr>
            <w:tcW w:w="990" w:type="dxa"/>
            <w:noWrap/>
            <w:vAlign w:val="center"/>
            <w:hideMark/>
          </w:tcPr>
          <w:p w14:paraId="6ACD4C54"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32</w:t>
            </w:r>
          </w:p>
        </w:tc>
        <w:tc>
          <w:tcPr>
            <w:tcW w:w="8370" w:type="dxa"/>
            <w:noWrap/>
            <w:vAlign w:val="center"/>
            <w:hideMark/>
          </w:tcPr>
          <w:p w14:paraId="60F623A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Base Metal in Primary or Semifinished Forms and in Finished Basic Shapes</w:t>
            </w:r>
          </w:p>
        </w:tc>
      </w:tr>
      <w:tr w:rsidR="001D05E2" w:rsidRPr="001D05E2" w14:paraId="1D0B4628" w14:textId="77777777" w:rsidTr="001A5FC7">
        <w:trPr>
          <w:trHeight w:val="20"/>
        </w:trPr>
        <w:tc>
          <w:tcPr>
            <w:tcW w:w="990" w:type="dxa"/>
            <w:noWrap/>
            <w:vAlign w:val="center"/>
            <w:hideMark/>
          </w:tcPr>
          <w:p w14:paraId="1498D310"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33</w:t>
            </w:r>
          </w:p>
        </w:tc>
        <w:tc>
          <w:tcPr>
            <w:tcW w:w="8370" w:type="dxa"/>
            <w:noWrap/>
            <w:vAlign w:val="center"/>
            <w:hideMark/>
          </w:tcPr>
          <w:p w14:paraId="45E5D43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Articles of Base Metal</w:t>
            </w:r>
          </w:p>
        </w:tc>
      </w:tr>
      <w:tr w:rsidR="001D05E2" w:rsidRPr="001D05E2" w14:paraId="22A3D944" w14:textId="77777777" w:rsidTr="001A5FC7">
        <w:trPr>
          <w:trHeight w:val="20"/>
        </w:trPr>
        <w:tc>
          <w:tcPr>
            <w:tcW w:w="990" w:type="dxa"/>
            <w:noWrap/>
            <w:vAlign w:val="center"/>
            <w:hideMark/>
          </w:tcPr>
          <w:p w14:paraId="548F2FE4"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lastRenderedPageBreak/>
              <w:t>34</w:t>
            </w:r>
          </w:p>
        </w:tc>
        <w:tc>
          <w:tcPr>
            <w:tcW w:w="8370" w:type="dxa"/>
            <w:noWrap/>
            <w:vAlign w:val="center"/>
            <w:hideMark/>
          </w:tcPr>
          <w:p w14:paraId="142D22FC"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Machinery</w:t>
            </w:r>
          </w:p>
        </w:tc>
      </w:tr>
      <w:tr w:rsidR="001D05E2" w:rsidRPr="001D05E2" w14:paraId="79697705" w14:textId="77777777" w:rsidTr="001A5FC7">
        <w:trPr>
          <w:trHeight w:val="20"/>
        </w:trPr>
        <w:tc>
          <w:tcPr>
            <w:tcW w:w="990" w:type="dxa"/>
            <w:noWrap/>
            <w:vAlign w:val="center"/>
            <w:hideMark/>
          </w:tcPr>
          <w:p w14:paraId="02D2D6A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35</w:t>
            </w:r>
          </w:p>
        </w:tc>
        <w:tc>
          <w:tcPr>
            <w:tcW w:w="8370" w:type="dxa"/>
            <w:noWrap/>
            <w:vAlign w:val="center"/>
            <w:hideMark/>
          </w:tcPr>
          <w:p w14:paraId="6D80988E"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Electronic and Other Electrical Equipment and Components, and Office Equipment</w:t>
            </w:r>
          </w:p>
        </w:tc>
      </w:tr>
      <w:tr w:rsidR="001D05E2" w:rsidRPr="001D05E2" w14:paraId="176A2905" w14:textId="77777777" w:rsidTr="001A5FC7">
        <w:trPr>
          <w:trHeight w:val="20"/>
        </w:trPr>
        <w:tc>
          <w:tcPr>
            <w:tcW w:w="990" w:type="dxa"/>
            <w:noWrap/>
            <w:vAlign w:val="center"/>
            <w:hideMark/>
          </w:tcPr>
          <w:p w14:paraId="5E080043"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36</w:t>
            </w:r>
          </w:p>
        </w:tc>
        <w:tc>
          <w:tcPr>
            <w:tcW w:w="8370" w:type="dxa"/>
            <w:noWrap/>
            <w:vAlign w:val="center"/>
            <w:hideMark/>
          </w:tcPr>
          <w:p w14:paraId="73FEF782"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Motorized and Other Vehicles (including parts)</w:t>
            </w:r>
          </w:p>
        </w:tc>
      </w:tr>
      <w:tr w:rsidR="001D05E2" w:rsidRPr="001D05E2" w14:paraId="7C142773" w14:textId="77777777" w:rsidTr="001A5FC7">
        <w:trPr>
          <w:trHeight w:val="20"/>
        </w:trPr>
        <w:tc>
          <w:tcPr>
            <w:tcW w:w="990" w:type="dxa"/>
            <w:noWrap/>
            <w:vAlign w:val="center"/>
            <w:hideMark/>
          </w:tcPr>
          <w:p w14:paraId="5EB462C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37</w:t>
            </w:r>
          </w:p>
        </w:tc>
        <w:tc>
          <w:tcPr>
            <w:tcW w:w="8370" w:type="dxa"/>
            <w:noWrap/>
            <w:vAlign w:val="center"/>
            <w:hideMark/>
          </w:tcPr>
          <w:p w14:paraId="493E74D0"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Transportation Equipment, N.E.C.</w:t>
            </w:r>
          </w:p>
        </w:tc>
      </w:tr>
      <w:tr w:rsidR="001D05E2" w:rsidRPr="001D05E2" w14:paraId="210F5D58" w14:textId="77777777" w:rsidTr="001A5FC7">
        <w:trPr>
          <w:trHeight w:val="20"/>
        </w:trPr>
        <w:tc>
          <w:tcPr>
            <w:tcW w:w="990" w:type="dxa"/>
            <w:noWrap/>
            <w:vAlign w:val="center"/>
            <w:hideMark/>
          </w:tcPr>
          <w:p w14:paraId="2C3A6974"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38</w:t>
            </w:r>
          </w:p>
        </w:tc>
        <w:tc>
          <w:tcPr>
            <w:tcW w:w="8370" w:type="dxa"/>
            <w:noWrap/>
            <w:vAlign w:val="center"/>
            <w:hideMark/>
          </w:tcPr>
          <w:p w14:paraId="57EC5896"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Precision Instruments and Apparatus</w:t>
            </w:r>
          </w:p>
        </w:tc>
      </w:tr>
      <w:tr w:rsidR="001D05E2" w:rsidRPr="001D05E2" w14:paraId="22725121" w14:textId="77777777" w:rsidTr="001A5FC7">
        <w:trPr>
          <w:trHeight w:val="20"/>
        </w:trPr>
        <w:tc>
          <w:tcPr>
            <w:tcW w:w="990" w:type="dxa"/>
            <w:noWrap/>
            <w:vAlign w:val="center"/>
            <w:hideMark/>
          </w:tcPr>
          <w:p w14:paraId="657CAD31"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39</w:t>
            </w:r>
          </w:p>
        </w:tc>
        <w:tc>
          <w:tcPr>
            <w:tcW w:w="8370" w:type="dxa"/>
            <w:noWrap/>
            <w:vAlign w:val="center"/>
            <w:hideMark/>
          </w:tcPr>
          <w:p w14:paraId="7B0D21CA"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Furniture, Mattresses and Mattress Supports, Lamps, Lighting Fittings, and Illuminated Signs</w:t>
            </w:r>
          </w:p>
          <w:p w14:paraId="41D63F4A"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39019 Other household or office furniture, not elsewhere classified, including kitchen cabinets (except desk top furniture, which is classified by its material; and TV and stereo cabinets, see 35820)</w:t>
            </w:r>
          </w:p>
          <w:p w14:paraId="5346CBEE"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39021 Medical, surgical, dental, or veterinary furniture</w:t>
            </w:r>
          </w:p>
          <w:p w14:paraId="5E0A3F54"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39029 Other Furniture, not elsewhere classified</w:t>
            </w:r>
          </w:p>
          <w:p w14:paraId="4A2C5980" w14:textId="77777777" w:rsidR="001D05E2" w:rsidRPr="001D05E2" w:rsidRDefault="001D05E2" w:rsidP="001D05E2">
            <w:pPr>
              <w:spacing w:after="0"/>
              <w:rPr>
                <w:rFonts w:ascii="Times New Roman" w:hAnsi="Times New Roman" w:cs="Times New Roman"/>
                <w:bCs/>
              </w:rPr>
            </w:pPr>
          </w:p>
        </w:tc>
      </w:tr>
      <w:tr w:rsidR="001D05E2" w:rsidRPr="001D05E2" w14:paraId="2CD088AC" w14:textId="77777777" w:rsidTr="001A5FC7">
        <w:trPr>
          <w:trHeight w:val="20"/>
        </w:trPr>
        <w:tc>
          <w:tcPr>
            <w:tcW w:w="990" w:type="dxa"/>
            <w:noWrap/>
            <w:vAlign w:val="center"/>
            <w:hideMark/>
          </w:tcPr>
          <w:p w14:paraId="169F195C"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40</w:t>
            </w:r>
          </w:p>
        </w:tc>
        <w:tc>
          <w:tcPr>
            <w:tcW w:w="8370" w:type="dxa"/>
            <w:noWrap/>
            <w:vAlign w:val="center"/>
            <w:hideMark/>
          </w:tcPr>
          <w:p w14:paraId="709CA500"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Miscellaneous Manufactured Products</w:t>
            </w:r>
          </w:p>
          <w:p w14:paraId="4472F540"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40920 Prefabricated buildings including tool or garden sheds</w:t>
            </w:r>
          </w:p>
          <w:p w14:paraId="093762A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40999 Other miscellaneous manufactured products, not elsewhere classified</w:t>
            </w:r>
          </w:p>
        </w:tc>
      </w:tr>
      <w:tr w:rsidR="001D05E2" w:rsidRPr="001D05E2" w14:paraId="0B947C23" w14:textId="77777777" w:rsidTr="001A5FC7">
        <w:trPr>
          <w:trHeight w:val="20"/>
        </w:trPr>
        <w:tc>
          <w:tcPr>
            <w:tcW w:w="990" w:type="dxa"/>
            <w:noWrap/>
            <w:vAlign w:val="center"/>
            <w:hideMark/>
          </w:tcPr>
          <w:p w14:paraId="5717E674"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41</w:t>
            </w:r>
          </w:p>
        </w:tc>
        <w:tc>
          <w:tcPr>
            <w:tcW w:w="8370" w:type="dxa"/>
            <w:noWrap/>
            <w:vAlign w:val="center"/>
            <w:hideMark/>
          </w:tcPr>
          <w:p w14:paraId="4AF0E447"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Waste and Scrap</w:t>
            </w:r>
          </w:p>
          <w:p w14:paraId="16726677"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41210 Sawdust and wood waste and scrap</w:t>
            </w:r>
          </w:p>
          <w:p w14:paraId="3DD1A192"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41220 Waste and scrap of paper or paperboard</w:t>
            </w:r>
          </w:p>
          <w:p w14:paraId="2E303CAD"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41299 Other nonmetallic waste and scrap, not elsewhere classified</w:t>
            </w:r>
          </w:p>
        </w:tc>
      </w:tr>
      <w:tr w:rsidR="001D05E2" w:rsidRPr="001D05E2" w14:paraId="69034C01" w14:textId="77777777" w:rsidTr="001A5FC7">
        <w:trPr>
          <w:trHeight w:val="20"/>
        </w:trPr>
        <w:tc>
          <w:tcPr>
            <w:tcW w:w="990" w:type="dxa"/>
            <w:noWrap/>
            <w:vAlign w:val="center"/>
            <w:hideMark/>
          </w:tcPr>
          <w:p w14:paraId="5A6B0289"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43</w:t>
            </w:r>
          </w:p>
        </w:tc>
        <w:tc>
          <w:tcPr>
            <w:tcW w:w="8370" w:type="dxa"/>
            <w:noWrap/>
            <w:vAlign w:val="center"/>
            <w:hideMark/>
          </w:tcPr>
          <w:p w14:paraId="564D27F8" w14:textId="77777777" w:rsidR="001D05E2" w:rsidRPr="001D05E2" w:rsidRDefault="001D05E2" w:rsidP="001D05E2">
            <w:pPr>
              <w:spacing w:after="0"/>
              <w:rPr>
                <w:rFonts w:ascii="Times New Roman" w:hAnsi="Times New Roman" w:cs="Times New Roman"/>
                <w:bCs/>
              </w:rPr>
            </w:pPr>
            <w:r w:rsidRPr="001D05E2">
              <w:rPr>
                <w:rFonts w:ascii="Times New Roman" w:hAnsi="Times New Roman" w:cs="Times New Roman"/>
                <w:bCs/>
              </w:rPr>
              <w:t>Mixed Freight</w:t>
            </w:r>
          </w:p>
        </w:tc>
      </w:tr>
    </w:tbl>
    <w:p w14:paraId="3E87A651" w14:textId="77777777" w:rsidR="001D05E2" w:rsidRPr="001D05E2" w:rsidRDefault="001D05E2" w:rsidP="001D05E2">
      <w:pPr>
        <w:rPr>
          <w:rFonts w:ascii="Times New Roman" w:hAnsi="Times New Roman" w:cs="Times New Roman"/>
          <w:bCs/>
        </w:rPr>
      </w:pPr>
    </w:p>
    <w:p w14:paraId="7504571A" w14:textId="2CA9F190"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The CFS is distributed to a sample of facilities representing industries considered “in scope.” The in-scope industries for the 2017 survey, identified by NAICS code, are shown in Table </w:t>
      </w:r>
      <w:r w:rsidR="001A5FC7">
        <w:rPr>
          <w:rFonts w:ascii="Times New Roman" w:hAnsi="Times New Roman" w:cs="Times New Roman"/>
          <w:bCs/>
        </w:rPr>
        <w:t>S50</w:t>
      </w:r>
      <w:r w:rsidRPr="001D05E2">
        <w:rPr>
          <w:rFonts w:ascii="Times New Roman" w:hAnsi="Times New Roman" w:cs="Times New Roman"/>
          <w:bCs/>
        </w:rPr>
        <w:t xml:space="preserve">. </w:t>
      </w:r>
    </w:p>
    <w:p w14:paraId="66C179E3" w14:textId="77777777" w:rsidR="00F0494D" w:rsidRDefault="00F0494D" w:rsidP="001D05E2">
      <w:pPr>
        <w:jc w:val="center"/>
        <w:rPr>
          <w:rFonts w:ascii="Times New Roman" w:hAnsi="Times New Roman" w:cs="Times New Roman"/>
          <w:b/>
        </w:rPr>
      </w:pPr>
    </w:p>
    <w:p w14:paraId="3ED100A9" w14:textId="77777777" w:rsidR="00F0494D" w:rsidRDefault="00F0494D" w:rsidP="001D05E2">
      <w:pPr>
        <w:jc w:val="center"/>
        <w:rPr>
          <w:rFonts w:ascii="Times New Roman" w:hAnsi="Times New Roman" w:cs="Times New Roman"/>
          <w:b/>
        </w:rPr>
      </w:pPr>
    </w:p>
    <w:p w14:paraId="3EB30B63" w14:textId="77777777" w:rsidR="00F0494D" w:rsidRDefault="00F0494D" w:rsidP="001D05E2">
      <w:pPr>
        <w:jc w:val="center"/>
        <w:rPr>
          <w:rFonts w:ascii="Times New Roman" w:hAnsi="Times New Roman" w:cs="Times New Roman"/>
          <w:b/>
        </w:rPr>
      </w:pPr>
    </w:p>
    <w:p w14:paraId="2EDB6707" w14:textId="77777777" w:rsidR="00F0494D" w:rsidRDefault="00F0494D" w:rsidP="001D05E2">
      <w:pPr>
        <w:jc w:val="center"/>
        <w:rPr>
          <w:rFonts w:ascii="Times New Roman" w:hAnsi="Times New Roman" w:cs="Times New Roman"/>
          <w:b/>
        </w:rPr>
      </w:pPr>
    </w:p>
    <w:p w14:paraId="1A48148E" w14:textId="77777777" w:rsidR="00F0494D" w:rsidRDefault="00F0494D" w:rsidP="001D05E2">
      <w:pPr>
        <w:jc w:val="center"/>
        <w:rPr>
          <w:rFonts w:ascii="Times New Roman" w:hAnsi="Times New Roman" w:cs="Times New Roman"/>
          <w:b/>
        </w:rPr>
      </w:pPr>
    </w:p>
    <w:p w14:paraId="4B88A67F" w14:textId="77777777" w:rsidR="00F0494D" w:rsidRDefault="00F0494D" w:rsidP="001D05E2">
      <w:pPr>
        <w:jc w:val="center"/>
        <w:rPr>
          <w:rFonts w:ascii="Times New Roman" w:hAnsi="Times New Roman" w:cs="Times New Roman"/>
          <w:b/>
        </w:rPr>
      </w:pPr>
    </w:p>
    <w:p w14:paraId="428E6CF1" w14:textId="5A495D2E" w:rsidR="001D05E2" w:rsidRPr="001D05E2" w:rsidRDefault="001D05E2" w:rsidP="001D05E2">
      <w:pPr>
        <w:jc w:val="center"/>
        <w:rPr>
          <w:rFonts w:ascii="Times New Roman" w:hAnsi="Times New Roman" w:cs="Times New Roman"/>
          <w:bCs/>
        </w:rPr>
      </w:pPr>
      <w:r w:rsidRPr="001A5FC7">
        <w:rPr>
          <w:rFonts w:ascii="Times New Roman" w:hAnsi="Times New Roman" w:cs="Times New Roman"/>
          <w:b/>
        </w:rPr>
        <w:t xml:space="preserve">Table </w:t>
      </w:r>
      <w:r w:rsidR="001A5FC7" w:rsidRPr="001A5FC7">
        <w:rPr>
          <w:rFonts w:ascii="Times New Roman" w:hAnsi="Times New Roman" w:cs="Times New Roman"/>
          <w:b/>
        </w:rPr>
        <w:t>S50</w:t>
      </w:r>
      <w:r w:rsidRPr="001D05E2">
        <w:rPr>
          <w:rFonts w:ascii="Times New Roman" w:hAnsi="Times New Roman" w:cs="Times New Roman"/>
          <w:bCs/>
        </w:rPr>
        <w:t xml:space="preserve">. In-Scope Industries for the 2017 CFS (See Table 2 in 2017 Commodity Flow Survey Report </w:t>
      </w:r>
      <w:r w:rsidRPr="001D05E2">
        <w:rPr>
          <w:rFonts w:ascii="Times New Roman" w:hAnsi="Times New Roman" w:cs="Times New Roman"/>
          <w:bCs/>
        </w:rPr>
        <w:fldChar w:fldCharType="begin"/>
      </w:r>
      <w:r w:rsidR="006B64BF">
        <w:rPr>
          <w:rFonts w:ascii="Times New Roman" w:hAnsi="Times New Roman" w:cs="Times New Roman"/>
          <w:bCs/>
        </w:rPr>
        <w:instrText xml:space="preserve"> ADDIN ZOTERO_ITEM CSL_CITATION {"citationID":"PUGzIQyA","properties":{"formattedCitation":"\\super 45\\nosupersub{}","plainCitation":"45","noteIndex":0},"citationItems":[{"id":171,"uris":["http://zotero.org/users/18184231/items/ZP47EC3C"],"itemData":{"id":171,"type":"report","language":"en","number":"EC17TCF-US","source":"Zotero","title":"United States 2017 Economic Census: Transportation","URL":"https://www.census.gov/content/dam/Census/library/publications/2017/econ/ec17tcf-us.pdf","author":[{"family":"United States Department of Transportation","given":""}],"issued":{"date-parts":[["2020"]]}}}],"schema":"https://github.com/citation-style-language/schema/raw/master/csl-citation.json"}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45</w:t>
      </w:r>
      <w:r w:rsidRPr="001D05E2">
        <w:rPr>
          <w:rFonts w:ascii="Times New Roman" w:hAnsi="Times New Roman" w:cs="Times New Roman"/>
          <w:bCs/>
        </w:rPr>
        <w:fldChar w:fldCharType="end"/>
      </w:r>
      <w:r w:rsidRPr="001D05E2">
        <w:rPr>
          <w:rFonts w:ascii="Times New Roman" w:hAnsi="Times New Roman" w:cs="Times New Roman"/>
          <w:bCs/>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60"/>
        <w:gridCol w:w="6685"/>
      </w:tblGrid>
      <w:tr w:rsidR="001D05E2" w:rsidRPr="001D05E2" w14:paraId="64E309AA" w14:textId="77777777" w:rsidTr="00360B83">
        <w:trPr>
          <w:trHeight w:hRule="exact" w:val="302"/>
          <w:tblHeader/>
          <w:jc w:val="center"/>
        </w:trPr>
        <w:tc>
          <w:tcPr>
            <w:tcW w:w="960" w:type="dxa"/>
            <w:shd w:val="clear" w:color="auto" w:fill="D9D9D9" w:themeFill="background1" w:themeFillShade="D9"/>
            <w:noWrap/>
            <w:hideMark/>
          </w:tcPr>
          <w:p w14:paraId="6CF633FD"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NAICS Code</w:t>
            </w:r>
          </w:p>
        </w:tc>
        <w:tc>
          <w:tcPr>
            <w:tcW w:w="6685" w:type="dxa"/>
            <w:shd w:val="clear" w:color="auto" w:fill="D9D9D9" w:themeFill="background1" w:themeFillShade="D9"/>
            <w:noWrap/>
            <w:hideMark/>
          </w:tcPr>
          <w:p w14:paraId="3C3553F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Industry</w:t>
            </w:r>
          </w:p>
        </w:tc>
      </w:tr>
      <w:tr w:rsidR="001D05E2" w:rsidRPr="001D05E2" w14:paraId="26C9B051" w14:textId="77777777" w:rsidTr="00360B83">
        <w:trPr>
          <w:trHeight w:hRule="exact" w:val="302"/>
          <w:jc w:val="center"/>
        </w:trPr>
        <w:tc>
          <w:tcPr>
            <w:tcW w:w="960" w:type="dxa"/>
            <w:noWrap/>
            <w:hideMark/>
          </w:tcPr>
          <w:p w14:paraId="74F69DE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212</w:t>
            </w:r>
          </w:p>
        </w:tc>
        <w:tc>
          <w:tcPr>
            <w:tcW w:w="6685" w:type="dxa"/>
            <w:noWrap/>
            <w:hideMark/>
          </w:tcPr>
          <w:p w14:paraId="34150E1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Mining (except oil and gas)</w:t>
            </w:r>
          </w:p>
        </w:tc>
      </w:tr>
      <w:tr w:rsidR="001D05E2" w:rsidRPr="001D05E2" w14:paraId="665E7535" w14:textId="77777777" w:rsidTr="00360B83">
        <w:trPr>
          <w:trHeight w:hRule="exact" w:val="302"/>
          <w:jc w:val="center"/>
        </w:trPr>
        <w:tc>
          <w:tcPr>
            <w:tcW w:w="960" w:type="dxa"/>
            <w:noWrap/>
            <w:hideMark/>
          </w:tcPr>
          <w:p w14:paraId="227DDCD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311</w:t>
            </w:r>
          </w:p>
        </w:tc>
        <w:tc>
          <w:tcPr>
            <w:tcW w:w="6685" w:type="dxa"/>
            <w:noWrap/>
            <w:hideMark/>
          </w:tcPr>
          <w:p w14:paraId="518E97B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Food manufacturing</w:t>
            </w:r>
          </w:p>
        </w:tc>
      </w:tr>
      <w:tr w:rsidR="001D05E2" w:rsidRPr="001D05E2" w14:paraId="5EEB5072" w14:textId="77777777" w:rsidTr="00360B83">
        <w:trPr>
          <w:trHeight w:hRule="exact" w:val="302"/>
          <w:jc w:val="center"/>
        </w:trPr>
        <w:tc>
          <w:tcPr>
            <w:tcW w:w="960" w:type="dxa"/>
            <w:noWrap/>
            <w:hideMark/>
          </w:tcPr>
          <w:p w14:paraId="50C3618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312</w:t>
            </w:r>
          </w:p>
        </w:tc>
        <w:tc>
          <w:tcPr>
            <w:tcW w:w="6685" w:type="dxa"/>
            <w:noWrap/>
            <w:hideMark/>
          </w:tcPr>
          <w:p w14:paraId="7281216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Beverage and tobacco product manufacturing</w:t>
            </w:r>
          </w:p>
        </w:tc>
      </w:tr>
      <w:tr w:rsidR="001D05E2" w:rsidRPr="001D05E2" w14:paraId="2EE0305C" w14:textId="77777777" w:rsidTr="00360B83">
        <w:trPr>
          <w:trHeight w:hRule="exact" w:val="302"/>
          <w:jc w:val="center"/>
        </w:trPr>
        <w:tc>
          <w:tcPr>
            <w:tcW w:w="960" w:type="dxa"/>
            <w:noWrap/>
            <w:hideMark/>
          </w:tcPr>
          <w:p w14:paraId="047A122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313</w:t>
            </w:r>
          </w:p>
        </w:tc>
        <w:tc>
          <w:tcPr>
            <w:tcW w:w="6685" w:type="dxa"/>
            <w:noWrap/>
            <w:hideMark/>
          </w:tcPr>
          <w:p w14:paraId="5A1691B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Textile mills</w:t>
            </w:r>
          </w:p>
        </w:tc>
      </w:tr>
      <w:tr w:rsidR="001D05E2" w:rsidRPr="001D05E2" w14:paraId="5D98DC9A" w14:textId="77777777" w:rsidTr="00360B83">
        <w:trPr>
          <w:trHeight w:hRule="exact" w:val="302"/>
          <w:jc w:val="center"/>
        </w:trPr>
        <w:tc>
          <w:tcPr>
            <w:tcW w:w="960" w:type="dxa"/>
            <w:noWrap/>
            <w:hideMark/>
          </w:tcPr>
          <w:p w14:paraId="69ABF2F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314</w:t>
            </w:r>
          </w:p>
        </w:tc>
        <w:tc>
          <w:tcPr>
            <w:tcW w:w="6685" w:type="dxa"/>
            <w:noWrap/>
            <w:hideMark/>
          </w:tcPr>
          <w:p w14:paraId="0494DAC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Textile product mills</w:t>
            </w:r>
          </w:p>
        </w:tc>
      </w:tr>
      <w:tr w:rsidR="001D05E2" w:rsidRPr="001D05E2" w14:paraId="462E595B" w14:textId="77777777" w:rsidTr="00360B83">
        <w:trPr>
          <w:trHeight w:hRule="exact" w:val="302"/>
          <w:jc w:val="center"/>
        </w:trPr>
        <w:tc>
          <w:tcPr>
            <w:tcW w:w="960" w:type="dxa"/>
            <w:noWrap/>
            <w:hideMark/>
          </w:tcPr>
          <w:p w14:paraId="4C53EC8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315</w:t>
            </w:r>
          </w:p>
        </w:tc>
        <w:tc>
          <w:tcPr>
            <w:tcW w:w="6685" w:type="dxa"/>
            <w:noWrap/>
            <w:hideMark/>
          </w:tcPr>
          <w:p w14:paraId="4AA5655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Apparel manufacturing</w:t>
            </w:r>
          </w:p>
        </w:tc>
      </w:tr>
      <w:tr w:rsidR="001D05E2" w:rsidRPr="001D05E2" w14:paraId="5E6786C5" w14:textId="77777777" w:rsidTr="00360B83">
        <w:trPr>
          <w:trHeight w:hRule="exact" w:val="302"/>
          <w:jc w:val="center"/>
        </w:trPr>
        <w:tc>
          <w:tcPr>
            <w:tcW w:w="960" w:type="dxa"/>
            <w:noWrap/>
            <w:hideMark/>
          </w:tcPr>
          <w:p w14:paraId="7B26D73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lastRenderedPageBreak/>
              <w:t>316</w:t>
            </w:r>
          </w:p>
        </w:tc>
        <w:tc>
          <w:tcPr>
            <w:tcW w:w="6685" w:type="dxa"/>
            <w:noWrap/>
            <w:hideMark/>
          </w:tcPr>
          <w:p w14:paraId="1C1B4D0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Leather and allied product manufacturing</w:t>
            </w:r>
          </w:p>
        </w:tc>
      </w:tr>
      <w:tr w:rsidR="001D05E2" w:rsidRPr="001D05E2" w14:paraId="0A6E0D7F" w14:textId="77777777" w:rsidTr="00360B83">
        <w:trPr>
          <w:trHeight w:hRule="exact" w:val="302"/>
          <w:jc w:val="center"/>
        </w:trPr>
        <w:tc>
          <w:tcPr>
            <w:tcW w:w="960" w:type="dxa"/>
            <w:noWrap/>
            <w:hideMark/>
          </w:tcPr>
          <w:p w14:paraId="44AA235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321</w:t>
            </w:r>
          </w:p>
        </w:tc>
        <w:tc>
          <w:tcPr>
            <w:tcW w:w="6685" w:type="dxa"/>
            <w:noWrap/>
            <w:hideMark/>
          </w:tcPr>
          <w:p w14:paraId="4E1B5A8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Wood product manufacturing</w:t>
            </w:r>
          </w:p>
        </w:tc>
      </w:tr>
      <w:tr w:rsidR="001D05E2" w:rsidRPr="001D05E2" w14:paraId="325D51E0" w14:textId="77777777" w:rsidTr="00360B83">
        <w:trPr>
          <w:trHeight w:hRule="exact" w:val="302"/>
          <w:jc w:val="center"/>
        </w:trPr>
        <w:tc>
          <w:tcPr>
            <w:tcW w:w="960" w:type="dxa"/>
            <w:noWrap/>
            <w:hideMark/>
          </w:tcPr>
          <w:p w14:paraId="3B088A0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322</w:t>
            </w:r>
          </w:p>
        </w:tc>
        <w:tc>
          <w:tcPr>
            <w:tcW w:w="6685" w:type="dxa"/>
            <w:noWrap/>
            <w:hideMark/>
          </w:tcPr>
          <w:p w14:paraId="51A497B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Paper manufacturing</w:t>
            </w:r>
          </w:p>
        </w:tc>
      </w:tr>
      <w:tr w:rsidR="001D05E2" w:rsidRPr="001D05E2" w14:paraId="3BC7F598" w14:textId="77777777" w:rsidTr="00360B83">
        <w:trPr>
          <w:trHeight w:hRule="exact" w:val="302"/>
          <w:jc w:val="center"/>
        </w:trPr>
        <w:tc>
          <w:tcPr>
            <w:tcW w:w="960" w:type="dxa"/>
            <w:noWrap/>
            <w:hideMark/>
          </w:tcPr>
          <w:p w14:paraId="411AC4A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323</w:t>
            </w:r>
          </w:p>
        </w:tc>
        <w:tc>
          <w:tcPr>
            <w:tcW w:w="6685" w:type="dxa"/>
            <w:noWrap/>
            <w:hideMark/>
          </w:tcPr>
          <w:p w14:paraId="3AF7496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Printing and related support activities</w:t>
            </w:r>
          </w:p>
        </w:tc>
      </w:tr>
      <w:tr w:rsidR="001D05E2" w:rsidRPr="001D05E2" w14:paraId="761E4D57" w14:textId="77777777" w:rsidTr="00360B83">
        <w:trPr>
          <w:trHeight w:hRule="exact" w:val="302"/>
          <w:jc w:val="center"/>
        </w:trPr>
        <w:tc>
          <w:tcPr>
            <w:tcW w:w="960" w:type="dxa"/>
            <w:noWrap/>
            <w:hideMark/>
          </w:tcPr>
          <w:p w14:paraId="0125A7C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324</w:t>
            </w:r>
          </w:p>
        </w:tc>
        <w:tc>
          <w:tcPr>
            <w:tcW w:w="6685" w:type="dxa"/>
            <w:noWrap/>
            <w:hideMark/>
          </w:tcPr>
          <w:p w14:paraId="1CA1614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Petroleum and coal products manufacturing</w:t>
            </w:r>
          </w:p>
        </w:tc>
      </w:tr>
      <w:tr w:rsidR="001D05E2" w:rsidRPr="001D05E2" w14:paraId="22FDCBEF" w14:textId="77777777" w:rsidTr="00360B83">
        <w:trPr>
          <w:trHeight w:hRule="exact" w:val="302"/>
          <w:jc w:val="center"/>
        </w:trPr>
        <w:tc>
          <w:tcPr>
            <w:tcW w:w="960" w:type="dxa"/>
            <w:noWrap/>
            <w:hideMark/>
          </w:tcPr>
          <w:p w14:paraId="0389F8C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325</w:t>
            </w:r>
          </w:p>
        </w:tc>
        <w:tc>
          <w:tcPr>
            <w:tcW w:w="6685" w:type="dxa"/>
            <w:noWrap/>
            <w:hideMark/>
          </w:tcPr>
          <w:p w14:paraId="5F1AD22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Chemical manufacturing</w:t>
            </w:r>
          </w:p>
        </w:tc>
      </w:tr>
      <w:tr w:rsidR="001D05E2" w:rsidRPr="001D05E2" w14:paraId="37DF1A51" w14:textId="77777777" w:rsidTr="00360B83">
        <w:trPr>
          <w:trHeight w:hRule="exact" w:val="302"/>
          <w:jc w:val="center"/>
        </w:trPr>
        <w:tc>
          <w:tcPr>
            <w:tcW w:w="960" w:type="dxa"/>
            <w:noWrap/>
            <w:hideMark/>
          </w:tcPr>
          <w:p w14:paraId="7D85638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326</w:t>
            </w:r>
          </w:p>
        </w:tc>
        <w:tc>
          <w:tcPr>
            <w:tcW w:w="6685" w:type="dxa"/>
            <w:noWrap/>
            <w:hideMark/>
          </w:tcPr>
          <w:p w14:paraId="0147BB0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Plastics and rubber products manufacturing</w:t>
            </w:r>
          </w:p>
        </w:tc>
      </w:tr>
      <w:tr w:rsidR="001D05E2" w:rsidRPr="001D05E2" w14:paraId="57F9FD45" w14:textId="77777777" w:rsidTr="00360B83">
        <w:trPr>
          <w:trHeight w:hRule="exact" w:val="302"/>
          <w:jc w:val="center"/>
        </w:trPr>
        <w:tc>
          <w:tcPr>
            <w:tcW w:w="960" w:type="dxa"/>
            <w:noWrap/>
            <w:hideMark/>
          </w:tcPr>
          <w:p w14:paraId="05016B4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327</w:t>
            </w:r>
          </w:p>
        </w:tc>
        <w:tc>
          <w:tcPr>
            <w:tcW w:w="6685" w:type="dxa"/>
            <w:noWrap/>
            <w:hideMark/>
          </w:tcPr>
          <w:p w14:paraId="227E07B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Nonmetallic mineral product manufacturing</w:t>
            </w:r>
          </w:p>
        </w:tc>
      </w:tr>
      <w:tr w:rsidR="001D05E2" w:rsidRPr="001D05E2" w14:paraId="6A92C45F" w14:textId="77777777" w:rsidTr="00360B83">
        <w:trPr>
          <w:trHeight w:hRule="exact" w:val="302"/>
          <w:jc w:val="center"/>
        </w:trPr>
        <w:tc>
          <w:tcPr>
            <w:tcW w:w="960" w:type="dxa"/>
            <w:noWrap/>
            <w:hideMark/>
          </w:tcPr>
          <w:p w14:paraId="2C76367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331</w:t>
            </w:r>
          </w:p>
        </w:tc>
        <w:tc>
          <w:tcPr>
            <w:tcW w:w="6685" w:type="dxa"/>
            <w:noWrap/>
            <w:hideMark/>
          </w:tcPr>
          <w:p w14:paraId="4E13D9A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Primary metal manufacturing</w:t>
            </w:r>
          </w:p>
        </w:tc>
      </w:tr>
      <w:tr w:rsidR="001D05E2" w:rsidRPr="001D05E2" w14:paraId="0599E425" w14:textId="77777777" w:rsidTr="00360B83">
        <w:trPr>
          <w:trHeight w:hRule="exact" w:val="302"/>
          <w:jc w:val="center"/>
        </w:trPr>
        <w:tc>
          <w:tcPr>
            <w:tcW w:w="960" w:type="dxa"/>
            <w:noWrap/>
            <w:hideMark/>
          </w:tcPr>
          <w:p w14:paraId="1B845A6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332</w:t>
            </w:r>
          </w:p>
        </w:tc>
        <w:tc>
          <w:tcPr>
            <w:tcW w:w="6685" w:type="dxa"/>
            <w:noWrap/>
            <w:hideMark/>
          </w:tcPr>
          <w:p w14:paraId="3F8C54B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Fabricated metal product manufacturing</w:t>
            </w:r>
          </w:p>
        </w:tc>
      </w:tr>
      <w:tr w:rsidR="001D05E2" w:rsidRPr="001D05E2" w14:paraId="6616D060" w14:textId="77777777" w:rsidTr="00360B83">
        <w:trPr>
          <w:trHeight w:hRule="exact" w:val="302"/>
          <w:jc w:val="center"/>
        </w:trPr>
        <w:tc>
          <w:tcPr>
            <w:tcW w:w="960" w:type="dxa"/>
            <w:noWrap/>
            <w:hideMark/>
          </w:tcPr>
          <w:p w14:paraId="7BD20AB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333</w:t>
            </w:r>
          </w:p>
        </w:tc>
        <w:tc>
          <w:tcPr>
            <w:tcW w:w="6685" w:type="dxa"/>
            <w:noWrap/>
            <w:hideMark/>
          </w:tcPr>
          <w:p w14:paraId="43F3412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Machinery manufacturing</w:t>
            </w:r>
          </w:p>
        </w:tc>
      </w:tr>
      <w:tr w:rsidR="001D05E2" w:rsidRPr="001D05E2" w14:paraId="7B37DFF6" w14:textId="77777777" w:rsidTr="00360B83">
        <w:trPr>
          <w:trHeight w:hRule="exact" w:val="302"/>
          <w:jc w:val="center"/>
        </w:trPr>
        <w:tc>
          <w:tcPr>
            <w:tcW w:w="960" w:type="dxa"/>
            <w:noWrap/>
            <w:hideMark/>
          </w:tcPr>
          <w:p w14:paraId="1444EBF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334</w:t>
            </w:r>
          </w:p>
        </w:tc>
        <w:tc>
          <w:tcPr>
            <w:tcW w:w="6685" w:type="dxa"/>
            <w:noWrap/>
            <w:hideMark/>
          </w:tcPr>
          <w:p w14:paraId="331D043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Computer and electronic product manufacturing</w:t>
            </w:r>
          </w:p>
        </w:tc>
      </w:tr>
      <w:tr w:rsidR="001D05E2" w:rsidRPr="001D05E2" w14:paraId="315BBA48" w14:textId="77777777" w:rsidTr="00360B83">
        <w:trPr>
          <w:trHeight w:hRule="exact" w:val="302"/>
          <w:jc w:val="center"/>
        </w:trPr>
        <w:tc>
          <w:tcPr>
            <w:tcW w:w="960" w:type="dxa"/>
            <w:noWrap/>
            <w:hideMark/>
          </w:tcPr>
          <w:p w14:paraId="2997D7B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335</w:t>
            </w:r>
          </w:p>
        </w:tc>
        <w:tc>
          <w:tcPr>
            <w:tcW w:w="6685" w:type="dxa"/>
            <w:noWrap/>
            <w:hideMark/>
          </w:tcPr>
          <w:p w14:paraId="413BE20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Electrical equipment, </w:t>
            </w:r>
            <w:proofErr w:type="gramStart"/>
            <w:r w:rsidRPr="001D05E2">
              <w:rPr>
                <w:rFonts w:ascii="Times New Roman" w:hAnsi="Times New Roman" w:cs="Times New Roman"/>
                <w:bCs/>
              </w:rPr>
              <w:t>appliance</w:t>
            </w:r>
            <w:proofErr w:type="gramEnd"/>
            <w:r w:rsidRPr="001D05E2">
              <w:rPr>
                <w:rFonts w:ascii="Times New Roman" w:hAnsi="Times New Roman" w:cs="Times New Roman"/>
                <w:bCs/>
              </w:rPr>
              <w:t>, and component manufacturing</w:t>
            </w:r>
          </w:p>
        </w:tc>
      </w:tr>
      <w:tr w:rsidR="001D05E2" w:rsidRPr="001D05E2" w14:paraId="449C1494" w14:textId="77777777" w:rsidTr="00360B83">
        <w:trPr>
          <w:trHeight w:hRule="exact" w:val="302"/>
          <w:jc w:val="center"/>
        </w:trPr>
        <w:tc>
          <w:tcPr>
            <w:tcW w:w="960" w:type="dxa"/>
            <w:noWrap/>
            <w:hideMark/>
          </w:tcPr>
          <w:p w14:paraId="2706206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336</w:t>
            </w:r>
          </w:p>
        </w:tc>
        <w:tc>
          <w:tcPr>
            <w:tcW w:w="6685" w:type="dxa"/>
            <w:noWrap/>
            <w:hideMark/>
          </w:tcPr>
          <w:p w14:paraId="31166E8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Transportation equipment manufacturing</w:t>
            </w:r>
          </w:p>
        </w:tc>
      </w:tr>
      <w:tr w:rsidR="001D05E2" w:rsidRPr="001D05E2" w14:paraId="0D09F107" w14:textId="77777777" w:rsidTr="00360B83">
        <w:trPr>
          <w:trHeight w:hRule="exact" w:val="302"/>
          <w:jc w:val="center"/>
        </w:trPr>
        <w:tc>
          <w:tcPr>
            <w:tcW w:w="960" w:type="dxa"/>
            <w:noWrap/>
            <w:hideMark/>
          </w:tcPr>
          <w:p w14:paraId="32CE472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337</w:t>
            </w:r>
          </w:p>
        </w:tc>
        <w:tc>
          <w:tcPr>
            <w:tcW w:w="6685" w:type="dxa"/>
            <w:noWrap/>
            <w:hideMark/>
          </w:tcPr>
          <w:p w14:paraId="2E8DB29D"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Furniture and related product manufacturing</w:t>
            </w:r>
          </w:p>
        </w:tc>
      </w:tr>
      <w:tr w:rsidR="001D05E2" w:rsidRPr="001D05E2" w14:paraId="74A65C05" w14:textId="77777777" w:rsidTr="00360B83">
        <w:trPr>
          <w:trHeight w:hRule="exact" w:val="302"/>
          <w:jc w:val="center"/>
        </w:trPr>
        <w:tc>
          <w:tcPr>
            <w:tcW w:w="960" w:type="dxa"/>
            <w:noWrap/>
            <w:hideMark/>
          </w:tcPr>
          <w:p w14:paraId="517051A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339</w:t>
            </w:r>
          </w:p>
        </w:tc>
        <w:tc>
          <w:tcPr>
            <w:tcW w:w="6685" w:type="dxa"/>
            <w:noWrap/>
            <w:hideMark/>
          </w:tcPr>
          <w:p w14:paraId="5CF9C27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Miscellaneous manufacturing</w:t>
            </w:r>
          </w:p>
        </w:tc>
      </w:tr>
      <w:tr w:rsidR="001D05E2" w:rsidRPr="001D05E2" w14:paraId="6212E293" w14:textId="77777777" w:rsidTr="00360B83">
        <w:trPr>
          <w:trHeight w:hRule="exact" w:val="302"/>
          <w:jc w:val="center"/>
        </w:trPr>
        <w:tc>
          <w:tcPr>
            <w:tcW w:w="960" w:type="dxa"/>
            <w:noWrap/>
            <w:hideMark/>
          </w:tcPr>
          <w:p w14:paraId="2D25114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4231</w:t>
            </w:r>
          </w:p>
        </w:tc>
        <w:tc>
          <w:tcPr>
            <w:tcW w:w="6685" w:type="dxa"/>
            <w:noWrap/>
            <w:hideMark/>
          </w:tcPr>
          <w:p w14:paraId="02145BD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Motor vehicle and parts merchant wholesalers</w:t>
            </w:r>
          </w:p>
        </w:tc>
      </w:tr>
      <w:tr w:rsidR="001D05E2" w:rsidRPr="001D05E2" w14:paraId="3F983B12" w14:textId="77777777" w:rsidTr="00360B83">
        <w:trPr>
          <w:trHeight w:hRule="exact" w:val="302"/>
          <w:jc w:val="center"/>
        </w:trPr>
        <w:tc>
          <w:tcPr>
            <w:tcW w:w="960" w:type="dxa"/>
            <w:noWrap/>
            <w:hideMark/>
          </w:tcPr>
          <w:p w14:paraId="098AFB1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4232</w:t>
            </w:r>
          </w:p>
        </w:tc>
        <w:tc>
          <w:tcPr>
            <w:tcW w:w="6685" w:type="dxa"/>
            <w:noWrap/>
            <w:hideMark/>
          </w:tcPr>
          <w:p w14:paraId="33CFA27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Furniture and home furnishing merchant wholesalers</w:t>
            </w:r>
          </w:p>
        </w:tc>
      </w:tr>
      <w:tr w:rsidR="001D05E2" w:rsidRPr="001D05E2" w14:paraId="27C1D5E0" w14:textId="77777777" w:rsidTr="00360B83">
        <w:trPr>
          <w:trHeight w:hRule="exact" w:val="298"/>
          <w:jc w:val="center"/>
        </w:trPr>
        <w:tc>
          <w:tcPr>
            <w:tcW w:w="960" w:type="dxa"/>
            <w:noWrap/>
            <w:hideMark/>
          </w:tcPr>
          <w:p w14:paraId="4E1EEFD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4233</w:t>
            </w:r>
          </w:p>
        </w:tc>
        <w:tc>
          <w:tcPr>
            <w:tcW w:w="6685" w:type="dxa"/>
            <w:noWrap/>
            <w:hideMark/>
          </w:tcPr>
          <w:p w14:paraId="13E3DDD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Lumber and other construction materials merchant wholesalers</w:t>
            </w:r>
          </w:p>
        </w:tc>
      </w:tr>
      <w:tr w:rsidR="001D05E2" w:rsidRPr="001D05E2" w14:paraId="600FAA36" w14:textId="77777777" w:rsidTr="00360B83">
        <w:trPr>
          <w:trHeight w:hRule="exact" w:val="302"/>
          <w:jc w:val="center"/>
        </w:trPr>
        <w:tc>
          <w:tcPr>
            <w:tcW w:w="960" w:type="dxa"/>
            <w:noWrap/>
            <w:hideMark/>
          </w:tcPr>
          <w:p w14:paraId="5236AD4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4234</w:t>
            </w:r>
          </w:p>
        </w:tc>
        <w:tc>
          <w:tcPr>
            <w:tcW w:w="6685" w:type="dxa"/>
            <w:noWrap/>
            <w:hideMark/>
          </w:tcPr>
          <w:p w14:paraId="16A2011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Commercial equipment merchant wholesalers</w:t>
            </w:r>
          </w:p>
        </w:tc>
      </w:tr>
      <w:tr w:rsidR="001D05E2" w:rsidRPr="001D05E2" w14:paraId="2F777790" w14:textId="77777777" w:rsidTr="00360B83">
        <w:trPr>
          <w:trHeight w:hRule="exact" w:val="302"/>
          <w:jc w:val="center"/>
        </w:trPr>
        <w:tc>
          <w:tcPr>
            <w:tcW w:w="960" w:type="dxa"/>
            <w:noWrap/>
            <w:hideMark/>
          </w:tcPr>
          <w:p w14:paraId="5401CCE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4235</w:t>
            </w:r>
          </w:p>
        </w:tc>
        <w:tc>
          <w:tcPr>
            <w:tcW w:w="6685" w:type="dxa"/>
            <w:noWrap/>
            <w:hideMark/>
          </w:tcPr>
          <w:p w14:paraId="641FB53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Metal and mineral (except petroleum) merchant wholesalers</w:t>
            </w:r>
          </w:p>
        </w:tc>
      </w:tr>
      <w:tr w:rsidR="001D05E2" w:rsidRPr="001D05E2" w14:paraId="390FE083" w14:textId="77777777" w:rsidTr="00360B83">
        <w:trPr>
          <w:trHeight w:hRule="exact" w:val="302"/>
          <w:jc w:val="center"/>
        </w:trPr>
        <w:tc>
          <w:tcPr>
            <w:tcW w:w="960" w:type="dxa"/>
            <w:noWrap/>
            <w:hideMark/>
          </w:tcPr>
          <w:p w14:paraId="1532A9D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4236</w:t>
            </w:r>
          </w:p>
        </w:tc>
        <w:tc>
          <w:tcPr>
            <w:tcW w:w="6685" w:type="dxa"/>
            <w:noWrap/>
            <w:hideMark/>
          </w:tcPr>
          <w:p w14:paraId="53A9EDAD"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Electrical and electronic goods merchant wholesalers</w:t>
            </w:r>
          </w:p>
        </w:tc>
      </w:tr>
      <w:tr w:rsidR="001D05E2" w:rsidRPr="001D05E2" w14:paraId="1C958C45" w14:textId="77777777" w:rsidTr="00360B83">
        <w:trPr>
          <w:trHeight w:hRule="exact" w:val="302"/>
          <w:jc w:val="center"/>
        </w:trPr>
        <w:tc>
          <w:tcPr>
            <w:tcW w:w="960" w:type="dxa"/>
            <w:noWrap/>
            <w:hideMark/>
          </w:tcPr>
          <w:p w14:paraId="3124D33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4237</w:t>
            </w:r>
          </w:p>
        </w:tc>
        <w:tc>
          <w:tcPr>
            <w:tcW w:w="6685" w:type="dxa"/>
            <w:noWrap/>
            <w:hideMark/>
          </w:tcPr>
          <w:p w14:paraId="6CC6AAD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Hardware and plumbing merchant wholesalers</w:t>
            </w:r>
          </w:p>
        </w:tc>
      </w:tr>
      <w:tr w:rsidR="001D05E2" w:rsidRPr="001D05E2" w14:paraId="52B98C06" w14:textId="77777777" w:rsidTr="00360B83">
        <w:trPr>
          <w:trHeight w:hRule="exact" w:val="302"/>
          <w:jc w:val="center"/>
        </w:trPr>
        <w:tc>
          <w:tcPr>
            <w:tcW w:w="960" w:type="dxa"/>
            <w:noWrap/>
            <w:hideMark/>
          </w:tcPr>
          <w:p w14:paraId="3032FE8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4238</w:t>
            </w:r>
          </w:p>
        </w:tc>
        <w:tc>
          <w:tcPr>
            <w:tcW w:w="6685" w:type="dxa"/>
            <w:noWrap/>
            <w:hideMark/>
          </w:tcPr>
          <w:p w14:paraId="2F5B0AC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Machinery, equipment, and supplies merchant wholesalers</w:t>
            </w:r>
          </w:p>
        </w:tc>
      </w:tr>
      <w:tr w:rsidR="001D05E2" w:rsidRPr="001D05E2" w14:paraId="5B1719BF" w14:textId="77777777" w:rsidTr="00360B83">
        <w:trPr>
          <w:trHeight w:hRule="exact" w:val="302"/>
          <w:jc w:val="center"/>
        </w:trPr>
        <w:tc>
          <w:tcPr>
            <w:tcW w:w="960" w:type="dxa"/>
            <w:noWrap/>
            <w:hideMark/>
          </w:tcPr>
          <w:p w14:paraId="333D953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4239</w:t>
            </w:r>
          </w:p>
        </w:tc>
        <w:tc>
          <w:tcPr>
            <w:tcW w:w="6685" w:type="dxa"/>
            <w:noWrap/>
            <w:hideMark/>
          </w:tcPr>
          <w:p w14:paraId="5C91A94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Miscellaneous durable goods merchant wholesalers</w:t>
            </w:r>
          </w:p>
        </w:tc>
      </w:tr>
      <w:tr w:rsidR="001D05E2" w:rsidRPr="001D05E2" w14:paraId="20054926" w14:textId="77777777" w:rsidTr="00360B83">
        <w:trPr>
          <w:trHeight w:hRule="exact" w:val="302"/>
          <w:jc w:val="center"/>
        </w:trPr>
        <w:tc>
          <w:tcPr>
            <w:tcW w:w="960" w:type="dxa"/>
            <w:noWrap/>
            <w:hideMark/>
          </w:tcPr>
          <w:p w14:paraId="2043AD4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4241</w:t>
            </w:r>
          </w:p>
        </w:tc>
        <w:tc>
          <w:tcPr>
            <w:tcW w:w="6685" w:type="dxa"/>
            <w:noWrap/>
            <w:hideMark/>
          </w:tcPr>
          <w:p w14:paraId="5F5A233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Paper and paper product merchant wholesalers</w:t>
            </w:r>
          </w:p>
        </w:tc>
      </w:tr>
      <w:tr w:rsidR="001D05E2" w:rsidRPr="001D05E2" w14:paraId="53256BF7" w14:textId="77777777" w:rsidTr="00360B83">
        <w:trPr>
          <w:trHeight w:hRule="exact" w:val="302"/>
          <w:jc w:val="center"/>
        </w:trPr>
        <w:tc>
          <w:tcPr>
            <w:tcW w:w="960" w:type="dxa"/>
            <w:noWrap/>
            <w:hideMark/>
          </w:tcPr>
          <w:p w14:paraId="05D406A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4242</w:t>
            </w:r>
          </w:p>
        </w:tc>
        <w:tc>
          <w:tcPr>
            <w:tcW w:w="6685" w:type="dxa"/>
            <w:noWrap/>
            <w:hideMark/>
          </w:tcPr>
          <w:p w14:paraId="32110CD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Drugs and druggists' sundries merchant wholesalers</w:t>
            </w:r>
          </w:p>
        </w:tc>
      </w:tr>
      <w:tr w:rsidR="001D05E2" w:rsidRPr="001D05E2" w14:paraId="16EDC734" w14:textId="77777777" w:rsidTr="00360B83">
        <w:trPr>
          <w:trHeight w:hRule="exact" w:val="302"/>
          <w:jc w:val="center"/>
        </w:trPr>
        <w:tc>
          <w:tcPr>
            <w:tcW w:w="960" w:type="dxa"/>
            <w:noWrap/>
            <w:hideMark/>
          </w:tcPr>
          <w:p w14:paraId="5DABCBD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4243</w:t>
            </w:r>
          </w:p>
        </w:tc>
        <w:tc>
          <w:tcPr>
            <w:tcW w:w="6685" w:type="dxa"/>
            <w:noWrap/>
            <w:hideMark/>
          </w:tcPr>
          <w:p w14:paraId="22B8645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Apparel, piece goods, and notions merchant wholesalers</w:t>
            </w:r>
          </w:p>
        </w:tc>
      </w:tr>
      <w:tr w:rsidR="001D05E2" w:rsidRPr="001D05E2" w14:paraId="228E1116" w14:textId="77777777" w:rsidTr="00360B83">
        <w:trPr>
          <w:trHeight w:hRule="exact" w:val="302"/>
          <w:jc w:val="center"/>
        </w:trPr>
        <w:tc>
          <w:tcPr>
            <w:tcW w:w="960" w:type="dxa"/>
            <w:noWrap/>
            <w:hideMark/>
          </w:tcPr>
          <w:p w14:paraId="3AFFE3D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4244</w:t>
            </w:r>
          </w:p>
        </w:tc>
        <w:tc>
          <w:tcPr>
            <w:tcW w:w="6685" w:type="dxa"/>
            <w:noWrap/>
            <w:hideMark/>
          </w:tcPr>
          <w:p w14:paraId="05D39F2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Grocery and related product merchant wholesalers</w:t>
            </w:r>
          </w:p>
        </w:tc>
      </w:tr>
      <w:tr w:rsidR="001D05E2" w:rsidRPr="001D05E2" w14:paraId="64F0AB00" w14:textId="77777777" w:rsidTr="00360B83">
        <w:trPr>
          <w:trHeight w:hRule="exact" w:val="302"/>
          <w:jc w:val="center"/>
        </w:trPr>
        <w:tc>
          <w:tcPr>
            <w:tcW w:w="960" w:type="dxa"/>
            <w:noWrap/>
            <w:hideMark/>
          </w:tcPr>
          <w:p w14:paraId="3F32320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4245</w:t>
            </w:r>
          </w:p>
        </w:tc>
        <w:tc>
          <w:tcPr>
            <w:tcW w:w="6685" w:type="dxa"/>
            <w:noWrap/>
            <w:hideMark/>
          </w:tcPr>
          <w:p w14:paraId="03B57FB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Farm product raw material merchant wholesalers</w:t>
            </w:r>
          </w:p>
        </w:tc>
      </w:tr>
      <w:tr w:rsidR="001D05E2" w:rsidRPr="001D05E2" w14:paraId="56969740" w14:textId="77777777" w:rsidTr="00360B83">
        <w:trPr>
          <w:trHeight w:hRule="exact" w:val="302"/>
          <w:jc w:val="center"/>
        </w:trPr>
        <w:tc>
          <w:tcPr>
            <w:tcW w:w="960" w:type="dxa"/>
            <w:noWrap/>
            <w:hideMark/>
          </w:tcPr>
          <w:p w14:paraId="7FDD08F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4246</w:t>
            </w:r>
          </w:p>
        </w:tc>
        <w:tc>
          <w:tcPr>
            <w:tcW w:w="6685" w:type="dxa"/>
            <w:noWrap/>
            <w:hideMark/>
          </w:tcPr>
          <w:p w14:paraId="5DAD25F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Chemical and allied products merchant wholesalers</w:t>
            </w:r>
          </w:p>
        </w:tc>
      </w:tr>
      <w:tr w:rsidR="001D05E2" w:rsidRPr="001D05E2" w14:paraId="0DFCB923" w14:textId="77777777" w:rsidTr="00360B83">
        <w:trPr>
          <w:trHeight w:hRule="exact" w:val="302"/>
          <w:jc w:val="center"/>
        </w:trPr>
        <w:tc>
          <w:tcPr>
            <w:tcW w:w="960" w:type="dxa"/>
            <w:noWrap/>
            <w:hideMark/>
          </w:tcPr>
          <w:p w14:paraId="6A354B4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4247</w:t>
            </w:r>
          </w:p>
        </w:tc>
        <w:tc>
          <w:tcPr>
            <w:tcW w:w="6685" w:type="dxa"/>
            <w:noWrap/>
            <w:hideMark/>
          </w:tcPr>
          <w:p w14:paraId="1995417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Petroleum and petroleum products merchant wholesalers</w:t>
            </w:r>
          </w:p>
        </w:tc>
      </w:tr>
      <w:tr w:rsidR="001D05E2" w:rsidRPr="001D05E2" w14:paraId="46D16A54" w14:textId="77777777" w:rsidTr="00360B83">
        <w:trPr>
          <w:trHeight w:hRule="exact" w:val="302"/>
          <w:jc w:val="center"/>
        </w:trPr>
        <w:tc>
          <w:tcPr>
            <w:tcW w:w="960" w:type="dxa"/>
            <w:noWrap/>
            <w:hideMark/>
          </w:tcPr>
          <w:p w14:paraId="33573DD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4248</w:t>
            </w:r>
          </w:p>
        </w:tc>
        <w:tc>
          <w:tcPr>
            <w:tcW w:w="6685" w:type="dxa"/>
            <w:noWrap/>
            <w:hideMark/>
          </w:tcPr>
          <w:p w14:paraId="34EB6D6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Beer, wine, and distilled alcoholic beverage merchant wholesalers</w:t>
            </w:r>
          </w:p>
        </w:tc>
      </w:tr>
      <w:tr w:rsidR="001D05E2" w:rsidRPr="001D05E2" w14:paraId="62C42730" w14:textId="77777777" w:rsidTr="00360B83">
        <w:trPr>
          <w:trHeight w:hRule="exact" w:val="302"/>
          <w:jc w:val="center"/>
        </w:trPr>
        <w:tc>
          <w:tcPr>
            <w:tcW w:w="960" w:type="dxa"/>
            <w:noWrap/>
            <w:hideMark/>
          </w:tcPr>
          <w:p w14:paraId="6AE8E4C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4249</w:t>
            </w:r>
          </w:p>
        </w:tc>
        <w:tc>
          <w:tcPr>
            <w:tcW w:w="6685" w:type="dxa"/>
            <w:noWrap/>
            <w:hideMark/>
          </w:tcPr>
          <w:p w14:paraId="039E162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Miscellaneous nondurable goods merchant wholesalers</w:t>
            </w:r>
          </w:p>
        </w:tc>
      </w:tr>
      <w:tr w:rsidR="001D05E2" w:rsidRPr="001D05E2" w14:paraId="10D82964" w14:textId="77777777" w:rsidTr="00360B83">
        <w:trPr>
          <w:trHeight w:hRule="exact" w:val="302"/>
          <w:jc w:val="center"/>
        </w:trPr>
        <w:tc>
          <w:tcPr>
            <w:tcW w:w="960" w:type="dxa"/>
            <w:noWrap/>
            <w:hideMark/>
          </w:tcPr>
          <w:p w14:paraId="1A203A8D"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4541</w:t>
            </w:r>
          </w:p>
        </w:tc>
        <w:tc>
          <w:tcPr>
            <w:tcW w:w="6685" w:type="dxa"/>
            <w:noWrap/>
            <w:hideMark/>
          </w:tcPr>
          <w:p w14:paraId="6172EC1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Electronic shopping and mail-order houses</w:t>
            </w:r>
          </w:p>
        </w:tc>
      </w:tr>
      <w:tr w:rsidR="001D05E2" w:rsidRPr="001D05E2" w14:paraId="3F113E67" w14:textId="77777777" w:rsidTr="00360B83">
        <w:trPr>
          <w:trHeight w:hRule="exact" w:val="302"/>
          <w:jc w:val="center"/>
        </w:trPr>
        <w:tc>
          <w:tcPr>
            <w:tcW w:w="960" w:type="dxa"/>
            <w:noWrap/>
            <w:hideMark/>
          </w:tcPr>
          <w:p w14:paraId="4FB89E8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45431</w:t>
            </w:r>
          </w:p>
        </w:tc>
        <w:tc>
          <w:tcPr>
            <w:tcW w:w="6685" w:type="dxa"/>
            <w:noWrap/>
            <w:hideMark/>
          </w:tcPr>
          <w:p w14:paraId="78A723B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Fuel dealers</w:t>
            </w:r>
          </w:p>
        </w:tc>
      </w:tr>
      <w:tr w:rsidR="001D05E2" w:rsidRPr="001D05E2" w14:paraId="5CBD6371" w14:textId="77777777" w:rsidTr="00360B83">
        <w:trPr>
          <w:trHeight w:hRule="exact" w:val="302"/>
          <w:jc w:val="center"/>
        </w:trPr>
        <w:tc>
          <w:tcPr>
            <w:tcW w:w="960" w:type="dxa"/>
            <w:noWrap/>
            <w:hideMark/>
          </w:tcPr>
          <w:p w14:paraId="1393CE1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4841</w:t>
            </w:r>
          </w:p>
        </w:tc>
        <w:tc>
          <w:tcPr>
            <w:tcW w:w="6685" w:type="dxa"/>
            <w:noWrap/>
            <w:hideMark/>
          </w:tcPr>
          <w:p w14:paraId="2854EAB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General freight trucking</w:t>
            </w:r>
          </w:p>
        </w:tc>
      </w:tr>
      <w:tr w:rsidR="001D05E2" w:rsidRPr="001D05E2" w14:paraId="23DF1E9B" w14:textId="77777777" w:rsidTr="00360B83">
        <w:trPr>
          <w:trHeight w:hRule="exact" w:val="302"/>
          <w:jc w:val="center"/>
        </w:trPr>
        <w:tc>
          <w:tcPr>
            <w:tcW w:w="960" w:type="dxa"/>
            <w:noWrap/>
            <w:hideMark/>
          </w:tcPr>
          <w:p w14:paraId="689CD4A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4842</w:t>
            </w:r>
          </w:p>
        </w:tc>
        <w:tc>
          <w:tcPr>
            <w:tcW w:w="6685" w:type="dxa"/>
            <w:noWrap/>
            <w:hideMark/>
          </w:tcPr>
          <w:p w14:paraId="63969BAD"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Specialized freight trucking</w:t>
            </w:r>
          </w:p>
        </w:tc>
      </w:tr>
      <w:tr w:rsidR="001D05E2" w:rsidRPr="001D05E2" w14:paraId="7B03702A" w14:textId="77777777" w:rsidTr="00360B83">
        <w:trPr>
          <w:trHeight w:hRule="exact" w:val="302"/>
          <w:jc w:val="center"/>
        </w:trPr>
        <w:tc>
          <w:tcPr>
            <w:tcW w:w="960" w:type="dxa"/>
            <w:noWrap/>
            <w:hideMark/>
          </w:tcPr>
          <w:p w14:paraId="41A5E33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4931</w:t>
            </w:r>
          </w:p>
        </w:tc>
        <w:tc>
          <w:tcPr>
            <w:tcW w:w="6685" w:type="dxa"/>
            <w:noWrap/>
            <w:hideMark/>
          </w:tcPr>
          <w:p w14:paraId="140ABD0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Warehousing and storage</w:t>
            </w:r>
          </w:p>
        </w:tc>
      </w:tr>
      <w:tr w:rsidR="001D05E2" w:rsidRPr="001D05E2" w14:paraId="2956388E" w14:textId="77777777" w:rsidTr="00360B83">
        <w:trPr>
          <w:trHeight w:hRule="exact" w:val="302"/>
          <w:jc w:val="center"/>
        </w:trPr>
        <w:tc>
          <w:tcPr>
            <w:tcW w:w="960" w:type="dxa"/>
            <w:noWrap/>
            <w:hideMark/>
          </w:tcPr>
          <w:p w14:paraId="4DF2F04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5111</w:t>
            </w:r>
          </w:p>
        </w:tc>
        <w:tc>
          <w:tcPr>
            <w:tcW w:w="6685" w:type="dxa"/>
            <w:noWrap/>
            <w:hideMark/>
          </w:tcPr>
          <w:p w14:paraId="7BF962F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Newspaper, periodical, book, and directory publishers</w:t>
            </w:r>
          </w:p>
        </w:tc>
      </w:tr>
      <w:tr w:rsidR="001D05E2" w:rsidRPr="001D05E2" w14:paraId="1E76FADC" w14:textId="77777777" w:rsidTr="00360B83">
        <w:trPr>
          <w:trHeight w:hRule="exact" w:val="302"/>
          <w:jc w:val="center"/>
        </w:trPr>
        <w:tc>
          <w:tcPr>
            <w:tcW w:w="960" w:type="dxa"/>
            <w:noWrap/>
            <w:hideMark/>
          </w:tcPr>
          <w:p w14:paraId="6BC47A9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51223</w:t>
            </w:r>
          </w:p>
        </w:tc>
        <w:tc>
          <w:tcPr>
            <w:tcW w:w="6685" w:type="dxa"/>
            <w:noWrap/>
            <w:hideMark/>
          </w:tcPr>
          <w:p w14:paraId="6BA11A3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Music publishers</w:t>
            </w:r>
          </w:p>
        </w:tc>
      </w:tr>
      <w:tr w:rsidR="001D05E2" w:rsidRPr="001D05E2" w14:paraId="1BC5A3B7" w14:textId="77777777" w:rsidTr="00360B83">
        <w:trPr>
          <w:trHeight w:hRule="exact" w:val="302"/>
          <w:jc w:val="center"/>
        </w:trPr>
        <w:tc>
          <w:tcPr>
            <w:tcW w:w="960" w:type="dxa"/>
            <w:noWrap/>
            <w:hideMark/>
          </w:tcPr>
          <w:p w14:paraId="558285C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lastRenderedPageBreak/>
              <w:t>551114</w:t>
            </w:r>
          </w:p>
        </w:tc>
        <w:tc>
          <w:tcPr>
            <w:tcW w:w="6685" w:type="dxa"/>
            <w:noWrap/>
            <w:hideMark/>
          </w:tcPr>
          <w:p w14:paraId="0B53753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Corporate, subsidiary, and regional managing offices</w:t>
            </w:r>
          </w:p>
        </w:tc>
      </w:tr>
    </w:tbl>
    <w:p w14:paraId="0826754E" w14:textId="77777777" w:rsidR="001D05E2" w:rsidRPr="001D05E2" w:rsidRDefault="001D05E2" w:rsidP="001D05E2">
      <w:pPr>
        <w:rPr>
          <w:rFonts w:ascii="Times New Roman" w:hAnsi="Times New Roman" w:cs="Times New Roman"/>
          <w:bCs/>
        </w:rPr>
      </w:pPr>
    </w:p>
    <w:p w14:paraId="466EF24C" w14:textId="77777777" w:rsidR="001D05E2" w:rsidRPr="00F0494D" w:rsidRDefault="001D05E2" w:rsidP="00590ED8">
      <w:pPr>
        <w:pStyle w:val="Heading2"/>
        <w:rPr>
          <w:rFonts w:ascii="Times New Roman" w:hAnsi="Times New Roman" w:cs="Times New Roman"/>
          <w:b/>
          <w:bCs/>
          <w:color w:val="auto"/>
          <w:sz w:val="24"/>
          <w:szCs w:val="24"/>
        </w:rPr>
      </w:pPr>
      <w:bookmarkStart w:id="77" w:name="_Toc174876830"/>
      <w:bookmarkStart w:id="78" w:name="_Toc215829623"/>
      <w:r w:rsidRPr="00F0494D">
        <w:rPr>
          <w:rFonts w:ascii="Times New Roman" w:hAnsi="Times New Roman" w:cs="Times New Roman"/>
          <w:b/>
          <w:bCs/>
          <w:color w:val="auto"/>
          <w:sz w:val="24"/>
          <w:szCs w:val="24"/>
        </w:rPr>
        <w:t>Transport Emissions from Roundwood Shipments</w:t>
      </w:r>
      <w:bookmarkEnd w:id="77"/>
      <w:bookmarkEnd w:id="78"/>
    </w:p>
    <w:p w14:paraId="295239F5" w14:textId="788C7932" w:rsidR="001D05E2" w:rsidRPr="001D05E2" w:rsidRDefault="001D05E2" w:rsidP="001D05E2">
      <w:pPr>
        <w:rPr>
          <w:rFonts w:ascii="Times New Roman" w:hAnsi="Times New Roman" w:cs="Times New Roman"/>
          <w:bCs/>
        </w:rPr>
      </w:pPr>
      <w:r w:rsidRPr="001D05E2">
        <w:rPr>
          <w:rFonts w:ascii="Times New Roman" w:hAnsi="Times New Roman" w:cs="Times New Roman"/>
          <w:bCs/>
        </w:rPr>
        <w:t>Since 2002, the in-scope NAICS code lists for the CFS have not included NAICS code 113, forestry and logging. Therefore, the data on shipments of logs and other wood in the rough (SCTG 25) do not include wood shipments from the forest to mills by companies classified as forestry and logging companies. This is why quantities of SCTG 25 shipments reported in the CFS</w:t>
      </w:r>
      <w:r w:rsidRPr="001D05E2">
        <w:rPr>
          <w:rFonts w:ascii="Times New Roman" w:hAnsi="Times New Roman" w:cs="Times New Roman"/>
          <w:bCs/>
        </w:rPr>
        <w:fldChar w:fldCharType="begin"/>
      </w:r>
      <w:r w:rsidR="00092B8E">
        <w:rPr>
          <w:rFonts w:ascii="Times New Roman" w:hAnsi="Times New Roman" w:cs="Times New Roman"/>
          <w:bCs/>
        </w:rPr>
        <w:instrText xml:space="preserve"> ADDIN ZOTERO_ITEM CSL_CITATION {"citationID":"BlImwyn2","properties":{"formattedCitation":"\\super 43\\nosupersub{}","plainCitation":"43","noteIndex":0},"citationItems":[{"id":32,"uris":["http://zotero.org/users/local/T7KBDEDi/items/J3GU457X","http://zotero.org/users/18184231/items/J3GU457X"],"itemData":{"id":32,"type":"webpage","abstract":"Stats displayed in columns and rows with title, ID, notes, sources and release date. Many tables are in downloadable XLS, CVS and PDF file formats.","container-title":"Census.gov","language":"en","note":"section: Government","title":"Commodity Flow Survey Tables","URL":"https://www.census.gov/programs-surveys/cfs/data/tables.html","author":[{"family":"United States Census Bureau","given":""}],"accessed":{"date-parts":[["2025",9,25]]},"issued":{"date-parts":[["2025"]]}}}],"schema":"https://github.com/citation-style-language/schema/raw/master/csl-citation.json"}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43</w:t>
      </w:r>
      <w:r w:rsidRPr="001D05E2">
        <w:rPr>
          <w:rFonts w:ascii="Times New Roman" w:hAnsi="Times New Roman" w:cs="Times New Roman"/>
          <w:bCs/>
        </w:rPr>
        <w:fldChar w:fldCharType="end"/>
      </w:r>
      <w:r w:rsidRPr="001D05E2">
        <w:rPr>
          <w:rFonts w:ascii="Times New Roman" w:hAnsi="Times New Roman" w:cs="Times New Roman"/>
          <w:bCs/>
        </w:rPr>
        <w:t xml:space="preserve"> (approximately 23.3 million metric tons) are much less than total roundwood production in the US of over 250 million metric tons (calculated from 15.9 billion cubic feet of roundwood harvested reported for 2017 by Howard and Liang 2019</w:t>
      </w:r>
      <w:r w:rsidRPr="001D05E2">
        <w:rPr>
          <w:rFonts w:ascii="Times New Roman" w:hAnsi="Times New Roman" w:cs="Times New Roman"/>
          <w:bCs/>
        </w:rPr>
        <w:fldChar w:fldCharType="begin"/>
      </w:r>
      <w:r w:rsidR="006B64BF">
        <w:rPr>
          <w:rFonts w:ascii="Times New Roman" w:hAnsi="Times New Roman" w:cs="Times New Roman"/>
          <w:bCs/>
        </w:rPr>
        <w:instrText xml:space="preserve"> ADDIN ZOTERO_ITEM CSL_CITATION {"citationID":"34YRsMvC","properties":{"formattedCitation":"\\super 23\\nosupersub{}","plainCitation":"23","noteIndex":0},"citationItems":[{"id":19,"uris":["http://zotero.org/users/18184231/items/Q6G52DXU"],"itemData":{"id":19,"type":"dataset","abstract":"This report presents current and historical annual data on the production, trade, consumption, and prices of timber products in the United States. The report also focuses on national statistics but includes some data for individual states and regions and for Canada. The data were collected from industry trade associations and government agencies. They are intended for use by forest land managers, forest industries, trade associations, forestry schools, renewable resource organizations, individuals in the major timber producing and consuming countries of the world, and the general public. A major use of the data is tracking industry production and consumption trends over time. One of the major shifts that has occurred in the woodusing industry since the great recession of 2008–2010 is that both production and consumption of roundwood per capita increased. Because of increased paper recycling and increased processing efficiency, the consumption per capita in roundwood equivalent decreased from 83 ft3 in 1986 to 49 ft3 in 2008. But during the most recent time period, the increase in production per capita was caused by the U.S. economic recovery, which positively impacted wood markets. In the 1960s and 1970s, consumption averaged 65 ft3 per capita before increasing and peaking in 1986 to 83 ft3 per capita. Since 2004, consumption per capita has continued to steadily decrease, falling to 42 ft3 in 2009 before increasing to 52.4 ft3 in 2017. Per capita consumption in 2017 was 52.4 ft3, which was the eighth consecutive year of increases. Since 1999, paper consumption fell from 57 to 32 million tons in 2017. Since 1999, newsprint capacity declined from 7.4 to 1.5 million tons in 2017 and printing and writing paper fell from 29.5 to 15.9 million tons of capacity in 2017. Another shift occurring during the past several years is increased emphasis on wood energy use, which has shown wide fluctuations during the last decade and into 2017. One exception to this trend is pellet production and trade, which has continued to grow for the last 5 years. Another shift occurring is the potential for increased production of new products such as cross-laminated timber with the establishment of multiple manufacturing facilities in the Pacific Northwest.","DOI":"10.2737/RDS-2018-0035","language":"en","publisher":"Forest Service Research Data Archive","source":"DOI.org (Crossref)","title":"U.S. timber production, trade, consumption, and price statistics, 1965-2017","URL":"https://www.fs.usda.gov/rds/archive/Catalog/RDS-2018-0035","author":[{"family":"Howard","given":"James L."},{"family":"Liang","given":"Shaobo"}],"accessed":{"date-parts":[["2025",9,25]]},"issued":{"date-parts":[["2019"]]}}}],"schema":"https://github.com/citation-style-language/schema/raw/master/csl-citation.json"}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23</w:t>
      </w:r>
      <w:r w:rsidRPr="001D05E2">
        <w:rPr>
          <w:rFonts w:ascii="Times New Roman" w:hAnsi="Times New Roman" w:cs="Times New Roman"/>
          <w:bCs/>
        </w:rPr>
        <w:fldChar w:fldCharType="end"/>
      </w:r>
      <w:r w:rsidRPr="001D05E2">
        <w:rPr>
          <w:rFonts w:ascii="Times New Roman" w:hAnsi="Times New Roman" w:cs="Times New Roman"/>
          <w:bCs/>
        </w:rPr>
        <w:t>). As a result, various sources of information have been used to estimate emissions from roundwood shipments. The data sources and resulting factors are described in the Methods section of the paper.</w:t>
      </w:r>
    </w:p>
    <w:p w14:paraId="52863881" w14:textId="77777777" w:rsidR="001D05E2" w:rsidRPr="002D10B0" w:rsidRDefault="001D05E2" w:rsidP="00590ED8">
      <w:pPr>
        <w:pStyle w:val="Heading2"/>
        <w:rPr>
          <w:rFonts w:ascii="Times New Roman" w:hAnsi="Times New Roman" w:cs="Times New Roman"/>
          <w:b/>
          <w:bCs/>
          <w:color w:val="auto"/>
          <w:sz w:val="24"/>
          <w:szCs w:val="24"/>
        </w:rPr>
      </w:pPr>
      <w:bookmarkStart w:id="79" w:name="_Toc174876831"/>
      <w:bookmarkStart w:id="80" w:name="_Toc215829624"/>
      <w:r w:rsidRPr="002D10B0">
        <w:rPr>
          <w:rFonts w:ascii="Times New Roman" w:hAnsi="Times New Roman" w:cs="Times New Roman"/>
          <w:b/>
          <w:bCs/>
          <w:color w:val="auto"/>
          <w:sz w:val="24"/>
          <w:szCs w:val="24"/>
        </w:rPr>
        <w:t>Transport Emissions from Wood Product Shipments</w:t>
      </w:r>
      <w:bookmarkEnd w:id="79"/>
      <w:bookmarkEnd w:id="80"/>
      <w:r w:rsidRPr="002D10B0">
        <w:rPr>
          <w:rFonts w:ascii="Times New Roman" w:hAnsi="Times New Roman" w:cs="Times New Roman"/>
          <w:b/>
          <w:bCs/>
          <w:color w:val="auto"/>
          <w:sz w:val="24"/>
          <w:szCs w:val="24"/>
        </w:rPr>
        <w:t xml:space="preserve"> </w:t>
      </w:r>
    </w:p>
    <w:p w14:paraId="0232982A" w14:textId="77777777"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The CFS provides estimates of shipments of a given commodity from all in-scope industries. In the case of wood products, this means that multiple shipments will often be reported for the same piece of wood. For instance, if a lumber mill (NAICS in-scope code 321) ships lumber (SCTG code 26212) to a door manufacturer, the shipment of lumber is reported. When the door manufacturer (also NAICS code 321) ships the door (SCTG code 26401) to a garden shed company, that shipment is reported. When the garden shed company (also NAICS in-scope code 321) ships the shed (SCTG code 40920) to a retailer, that shipment is recorded. In this process, shipments involving a portion of the original wood have been reported four times. </w:t>
      </w:r>
    </w:p>
    <w:p w14:paraId="6A043AED" w14:textId="77777777"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It should also be noted that the shipments of some wood products in SCTG 26 include non-wood materials, for instance the glass panes in windows (SCTG 26401), that are not part of the forest industry value chain. On the other hand, SCTG 26 does not include some wood products (e.g., wood furniture). Imports and exports can also influence the interpretation of CFS data. While the shipments associated with moving products into the US are not included, subsequent shipments within the US (e.g., lumber produced in the US from imported logs) are included. While transport of exports to other countries is included, transport of US products within foreign countries is not included. </w:t>
      </w:r>
    </w:p>
    <w:p w14:paraId="3F5594BB" w14:textId="6F46C23B"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The CFS reports total shipments of wood products (SCTG 26) originating from all in-scope NAICS codes of 293 million metric tons in 2017. Looking only at wood products shipments from NAICS code 321 (wood products manufacturing, including secondary products like flooring, windows, doors, premanufactured wood structures), CFS reports that shipments equaled about 187 million metric tons. This constituted 64% of all shipments of wood products. An additional 28% of the total wood product shipments were from durable goods merchant wholesalers (NAICS 423). These values can be compared to 2017 US production of primary </w:t>
      </w:r>
      <w:r w:rsidRPr="001D05E2">
        <w:rPr>
          <w:rFonts w:ascii="Times New Roman" w:hAnsi="Times New Roman" w:cs="Times New Roman"/>
          <w:bCs/>
        </w:rPr>
        <w:lastRenderedPageBreak/>
        <w:t xml:space="preserve">wood products (i.e., lumber, panels, engineered wood products) by NAICS 321 in the range of 65 to 80 million metric tons (66 million metric tons calculated from Table 8b in Howard and Liang 2019 </w:t>
      </w:r>
      <w:r w:rsidRPr="001D05E2">
        <w:rPr>
          <w:rFonts w:ascii="Times New Roman" w:hAnsi="Times New Roman" w:cs="Times New Roman"/>
          <w:bCs/>
        </w:rPr>
        <w:fldChar w:fldCharType="begin"/>
      </w:r>
      <w:r w:rsidR="006B64BF">
        <w:rPr>
          <w:rFonts w:ascii="Times New Roman" w:hAnsi="Times New Roman" w:cs="Times New Roman"/>
          <w:bCs/>
        </w:rPr>
        <w:instrText xml:space="preserve"> ADDIN ZOTERO_ITEM CSL_CITATION {"citationID":"6PxAPd11","properties":{"formattedCitation":"\\super 23\\nosupersub{}","plainCitation":"23","noteIndex":0},"citationItems":[{"id":19,"uris":["http://zotero.org/users/18184231/items/Q6G52DXU"],"itemData":{"id":19,"type":"dataset","abstract":"This report presents current and historical annual data on the production, trade, consumption, and prices of timber products in the United States. The report also focuses on national statistics but includes some data for individual states and regions and for Canada. The data were collected from industry trade associations and government agencies. They are intended for use by forest land managers, forest industries, trade associations, forestry schools, renewable resource organizations, individuals in the major timber producing and consuming countries of the world, and the general public. A major use of the data is tracking industry production and consumption trends over time. One of the major shifts that has occurred in the woodusing industry since the great recession of 2008–2010 is that both production and consumption of roundwood per capita increased. Because of increased paper recycling and increased processing efficiency, the consumption per capita in roundwood equivalent decreased from 83 ft3 in 1986 to 49 ft3 in 2008. But during the most recent time period, the increase in production per capita was caused by the U.S. economic recovery, which positively impacted wood markets. In the 1960s and 1970s, consumption averaged 65 ft3 per capita before increasing and peaking in 1986 to 83 ft3 per capita. Since 2004, consumption per capita has continued to steadily decrease, falling to 42 ft3 in 2009 before increasing to 52.4 ft3 in 2017. Per capita consumption in 2017 was 52.4 ft3, which was the eighth consecutive year of increases. Since 1999, paper consumption fell from 57 to 32 million tons in 2017. Since 1999, newsprint capacity declined from 7.4 to 1.5 million tons in 2017 and printing and writing paper fell from 29.5 to 15.9 million tons of capacity in 2017. Another shift occurring during the past several years is increased emphasis on wood energy use, which has shown wide fluctuations during the last decade and into 2017. One exception to this trend is pellet production and trade, which has continued to grow for the last 5 years. Another shift occurring is the potential for increased production of new products such as cross-laminated timber with the establishment of multiple manufacturing facilities in the Pacific Northwest.","DOI":"10.2737/RDS-2018-0035","language":"en","publisher":"Forest Service Research Data Archive","source":"DOI.org (Crossref)","title":"U.S. timber production, trade, consumption, and price statistics, 1965-2017","URL":"https://www.fs.usda.gov/rds/archive/Catalog/RDS-2018-0035","author":[{"family":"Howard","given":"James L."},{"family":"Liang","given":"Shaobo"}],"accessed":{"date-parts":[["2025",9,25]]},"issued":{"date-parts":[["2019"]]}}}],"schema":"https://github.com/citation-style-language/schema/raw/master/csl-citation.json"}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23</w:t>
      </w:r>
      <w:r w:rsidRPr="001D05E2">
        <w:rPr>
          <w:rFonts w:ascii="Times New Roman" w:hAnsi="Times New Roman" w:cs="Times New Roman"/>
          <w:bCs/>
        </w:rPr>
        <w:fldChar w:fldCharType="end"/>
      </w:r>
      <w:r w:rsidRPr="001D05E2">
        <w:rPr>
          <w:rFonts w:ascii="Times New Roman" w:hAnsi="Times New Roman" w:cs="Times New Roman"/>
          <w:bCs/>
        </w:rPr>
        <w:t>, adding lumber, plywood, veneer, panels, and other industrial products and 78 million metric tons estimated from FAOSTAT data</w:t>
      </w:r>
      <w:r w:rsidRPr="001D05E2">
        <w:rPr>
          <w:rFonts w:ascii="Times New Roman" w:hAnsi="Times New Roman" w:cs="Times New Roman"/>
          <w:bCs/>
        </w:rPr>
        <w:fldChar w:fldCharType="begin"/>
      </w:r>
      <w:r w:rsidR="006B64BF">
        <w:rPr>
          <w:rFonts w:ascii="Times New Roman" w:hAnsi="Times New Roman" w:cs="Times New Roman"/>
          <w:bCs/>
        </w:rPr>
        <w:instrText xml:space="preserve"> ADDIN ZOTERO_ITEM CSL_CITATION {"citationID":"p3iEuxEM","properties":{"formattedCitation":"\\super 46\\nosupersub{}","plainCitation":"46","noteIndex":0},"citationItems":[{"id":43,"uris":["http://zotero.org/users/18184231/items/XRA3NZRH"],"itemData":{"id":43,"type":"book","abstract":"Forest products conversion factors provides ratios of raw material input to the output of wood-based forest products for 37 countries of the world. Analysts, policymakers, forest practitioners and forest-based manufacturers often have a need for this information for understanding the drivers of efficiency, feasibility and economics of the sector. In addition, conversion factors are often needed to convert from one unit of measure to another. The publication also includes explanations on the units of measure, the drivers of the ratios, as well as information on physical properties of wood-based forest products. Finally, where reported factors were unavailable, factors from other sources are given.","ISBN":"978-92-5-132247-5","language":"English","publisher":"FAO, ITTO and United Nations ;","source":"openknowledge.fao.org","title":"Forest product conversion factors","URL":"https://openknowledge.fao.org/handle/20.500.14283/ca7952en","author":[{"family":"United Nations Food and Agriculture Organization (FAO)","given":"ITTO and United Nations"}],"accessed":{"date-parts":[["2025",9,25]]},"issued":{"date-parts":[["2020"]]}}}],"schema":"https://github.com/citation-style-language/schema/raw/master/csl-citation.json"}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46</w:t>
      </w:r>
      <w:r w:rsidRPr="001D05E2">
        <w:rPr>
          <w:rFonts w:ascii="Times New Roman" w:hAnsi="Times New Roman" w:cs="Times New Roman"/>
          <w:bCs/>
        </w:rPr>
        <w:fldChar w:fldCharType="end"/>
      </w:r>
      <w:r w:rsidRPr="001D05E2">
        <w:rPr>
          <w:rFonts w:ascii="Times New Roman" w:hAnsi="Times New Roman" w:cs="Times New Roman"/>
          <w:bCs/>
        </w:rPr>
        <w:t>). Total shipments from wood products mills (NAICS 321) reported in the CFS are, therefore, 2.3 to 2.9 times total US production. Most of this can be attributed to the sequential shipments.</w:t>
      </w:r>
    </w:p>
    <w:p w14:paraId="11CD6F8A" w14:textId="1F8BC220"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The inclusion of sequential shipments of the same piece of wood helps capture the movement of wood along the value chain and may, therefore, provide a reasonable basis for estimating transport-related value chain emissions. On the other hand, as noted earlier, total shipments include the weight of non-wood components in some products while excluding other wood-based products. The relative importance of these two factors, and others that might affect wood products data in the CFS, is difficult to assess. The data extracted from the CFS for wood products is shown in Table </w:t>
      </w:r>
      <w:r w:rsidR="001A5FC7">
        <w:rPr>
          <w:rFonts w:ascii="Times New Roman" w:hAnsi="Times New Roman" w:cs="Times New Roman"/>
          <w:bCs/>
        </w:rPr>
        <w:t>S51</w:t>
      </w:r>
      <w:r w:rsidRPr="001D05E2">
        <w:rPr>
          <w:rFonts w:ascii="Times New Roman" w:hAnsi="Times New Roman" w:cs="Times New Roman"/>
          <w:bCs/>
        </w:rPr>
        <w:t>.</w:t>
      </w:r>
    </w:p>
    <w:p w14:paraId="113CBECD" w14:textId="58BF0431" w:rsidR="001D05E2" w:rsidRPr="001D05E2" w:rsidRDefault="001D05E2" w:rsidP="001D05E2">
      <w:pPr>
        <w:jc w:val="center"/>
        <w:rPr>
          <w:rFonts w:ascii="Times New Roman" w:hAnsi="Times New Roman" w:cs="Times New Roman"/>
          <w:bCs/>
        </w:rPr>
      </w:pPr>
      <w:r w:rsidRPr="001A5FC7">
        <w:rPr>
          <w:rFonts w:ascii="Times New Roman" w:hAnsi="Times New Roman" w:cs="Times New Roman"/>
          <w:b/>
        </w:rPr>
        <w:t xml:space="preserve">Table </w:t>
      </w:r>
      <w:r w:rsidR="001A5FC7" w:rsidRPr="001A5FC7">
        <w:rPr>
          <w:rFonts w:ascii="Times New Roman" w:hAnsi="Times New Roman" w:cs="Times New Roman"/>
          <w:b/>
        </w:rPr>
        <w:t>S51</w:t>
      </w:r>
      <w:r w:rsidRPr="001D05E2">
        <w:rPr>
          <w:rFonts w:ascii="Times New Roman" w:hAnsi="Times New Roman" w:cs="Times New Roman"/>
          <w:bCs/>
        </w:rPr>
        <w:t>. Shipping Data from the 2017 Commodity Flow Survey for Wood Products</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4860"/>
        <w:gridCol w:w="1260"/>
        <w:gridCol w:w="1260"/>
        <w:gridCol w:w="1260"/>
      </w:tblGrid>
      <w:tr w:rsidR="001D05E2" w:rsidRPr="001D05E2" w14:paraId="06953E3A" w14:textId="77777777" w:rsidTr="00360B83">
        <w:trPr>
          <w:trHeight w:val="494"/>
          <w:jc w:val="center"/>
        </w:trPr>
        <w:tc>
          <w:tcPr>
            <w:tcW w:w="4860" w:type="dxa"/>
            <w:shd w:val="clear" w:color="auto" w:fill="D9D9D9" w:themeFill="background1" w:themeFillShade="D9"/>
            <w:noWrap/>
            <w:hideMark/>
          </w:tcPr>
          <w:p w14:paraId="627084C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Commodity &gt;&gt;&gt;&gt;</w:t>
            </w:r>
          </w:p>
        </w:tc>
        <w:tc>
          <w:tcPr>
            <w:tcW w:w="3780" w:type="dxa"/>
            <w:gridSpan w:val="3"/>
            <w:shd w:val="clear" w:color="auto" w:fill="D9D9D9" w:themeFill="background1" w:themeFillShade="D9"/>
            <w:hideMark/>
          </w:tcPr>
          <w:p w14:paraId="11A1C87E"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Wood Products</w:t>
            </w:r>
            <w:r w:rsidRPr="001D05E2">
              <w:rPr>
                <w:rFonts w:ascii="Times New Roman" w:hAnsi="Times New Roman" w:cs="Times New Roman"/>
                <w:bCs/>
              </w:rPr>
              <w:br/>
              <w:t>SCTG 26</w:t>
            </w:r>
          </w:p>
        </w:tc>
      </w:tr>
      <w:tr w:rsidR="001D05E2" w:rsidRPr="001D05E2" w14:paraId="2477C581" w14:textId="77777777" w:rsidTr="00360B83">
        <w:trPr>
          <w:cantSplit/>
          <w:trHeight w:val="962"/>
          <w:jc w:val="center"/>
        </w:trPr>
        <w:tc>
          <w:tcPr>
            <w:tcW w:w="4860" w:type="dxa"/>
            <w:shd w:val="clear" w:color="auto" w:fill="D9D9D9" w:themeFill="background1" w:themeFillShade="D9"/>
            <w:noWrap/>
            <w:hideMark/>
          </w:tcPr>
          <w:p w14:paraId="2680F03E" w14:textId="77777777" w:rsidR="001D05E2" w:rsidRPr="001D05E2" w:rsidRDefault="001D05E2" w:rsidP="001D05E2">
            <w:pPr>
              <w:spacing w:line="278" w:lineRule="auto"/>
              <w:rPr>
                <w:rFonts w:ascii="Times New Roman" w:hAnsi="Times New Roman" w:cs="Times New Roman"/>
                <w:bCs/>
              </w:rPr>
            </w:pPr>
          </w:p>
          <w:p w14:paraId="3B8D44B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NAICS code</w:t>
            </w:r>
          </w:p>
        </w:tc>
        <w:tc>
          <w:tcPr>
            <w:tcW w:w="1260" w:type="dxa"/>
            <w:shd w:val="clear" w:color="auto" w:fill="D9D9D9" w:themeFill="background1" w:themeFillShade="D9"/>
            <w:hideMark/>
          </w:tcPr>
          <w:p w14:paraId="3591807D"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Metric tons (1000s)</w:t>
            </w:r>
          </w:p>
        </w:tc>
        <w:tc>
          <w:tcPr>
            <w:tcW w:w="1260" w:type="dxa"/>
            <w:shd w:val="clear" w:color="auto" w:fill="D9D9D9" w:themeFill="background1" w:themeFillShade="D9"/>
            <w:hideMark/>
          </w:tcPr>
          <w:p w14:paraId="29FAFFBF"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Metric ton-km (millions)</w:t>
            </w:r>
          </w:p>
        </w:tc>
        <w:tc>
          <w:tcPr>
            <w:tcW w:w="1260" w:type="dxa"/>
            <w:shd w:val="clear" w:color="auto" w:fill="D9D9D9" w:themeFill="background1" w:themeFillShade="D9"/>
            <w:hideMark/>
          </w:tcPr>
          <w:p w14:paraId="1D320F0A"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Average km per shipment</w:t>
            </w:r>
          </w:p>
        </w:tc>
      </w:tr>
      <w:tr w:rsidR="001D05E2" w:rsidRPr="001D05E2" w14:paraId="0084CEBB" w14:textId="77777777" w:rsidTr="00360B83">
        <w:trPr>
          <w:trHeight w:val="360"/>
          <w:jc w:val="center"/>
        </w:trPr>
        <w:tc>
          <w:tcPr>
            <w:tcW w:w="4860" w:type="dxa"/>
            <w:noWrap/>
            <w:hideMark/>
          </w:tcPr>
          <w:p w14:paraId="21E0BBA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321 Wood product manufacturing</w:t>
            </w:r>
          </w:p>
        </w:tc>
        <w:tc>
          <w:tcPr>
            <w:tcW w:w="1260" w:type="dxa"/>
            <w:noWrap/>
          </w:tcPr>
          <w:p w14:paraId="458BF50C"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186,574</w:t>
            </w:r>
          </w:p>
        </w:tc>
        <w:tc>
          <w:tcPr>
            <w:tcW w:w="1260" w:type="dxa"/>
            <w:noWrap/>
          </w:tcPr>
          <w:p w14:paraId="25449F1C"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98,496</w:t>
            </w:r>
          </w:p>
        </w:tc>
        <w:tc>
          <w:tcPr>
            <w:tcW w:w="1260" w:type="dxa"/>
            <w:noWrap/>
          </w:tcPr>
          <w:p w14:paraId="5498AF2A"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605</w:t>
            </w:r>
          </w:p>
        </w:tc>
      </w:tr>
      <w:tr w:rsidR="001D05E2" w:rsidRPr="001D05E2" w14:paraId="4DD3B3C7" w14:textId="77777777" w:rsidTr="00360B83">
        <w:trPr>
          <w:trHeight w:val="360"/>
          <w:jc w:val="center"/>
        </w:trPr>
        <w:tc>
          <w:tcPr>
            <w:tcW w:w="4860" w:type="dxa"/>
            <w:noWrap/>
            <w:hideMark/>
          </w:tcPr>
          <w:p w14:paraId="01FB81B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322 Paper manufacturing</w:t>
            </w:r>
          </w:p>
        </w:tc>
        <w:tc>
          <w:tcPr>
            <w:tcW w:w="1260" w:type="dxa"/>
            <w:noWrap/>
          </w:tcPr>
          <w:p w14:paraId="28AB787C"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744</w:t>
            </w:r>
          </w:p>
        </w:tc>
        <w:tc>
          <w:tcPr>
            <w:tcW w:w="1260" w:type="dxa"/>
            <w:noWrap/>
          </w:tcPr>
          <w:p w14:paraId="553A04D2"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404</w:t>
            </w:r>
          </w:p>
        </w:tc>
        <w:tc>
          <w:tcPr>
            <w:tcW w:w="1260" w:type="dxa"/>
            <w:noWrap/>
          </w:tcPr>
          <w:p w14:paraId="2DD7E0B1"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267</w:t>
            </w:r>
          </w:p>
        </w:tc>
      </w:tr>
      <w:tr w:rsidR="001D05E2" w:rsidRPr="001D05E2" w14:paraId="7E0E26C4" w14:textId="77777777" w:rsidTr="00360B83">
        <w:trPr>
          <w:trHeight w:val="360"/>
          <w:jc w:val="center"/>
        </w:trPr>
        <w:tc>
          <w:tcPr>
            <w:tcW w:w="4860" w:type="dxa"/>
            <w:noWrap/>
            <w:hideMark/>
          </w:tcPr>
          <w:p w14:paraId="4DA4AC1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323 Printing and related support</w:t>
            </w:r>
          </w:p>
        </w:tc>
        <w:tc>
          <w:tcPr>
            <w:tcW w:w="1260" w:type="dxa"/>
            <w:noWrap/>
          </w:tcPr>
          <w:p w14:paraId="416ABD2E"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w:t>
            </w:r>
            <w:r w:rsidRPr="001D05E2">
              <w:rPr>
                <w:rFonts w:ascii="Times New Roman" w:hAnsi="Times New Roman" w:cs="Times New Roman"/>
                <w:bCs/>
                <w:vertAlign w:val="superscript"/>
              </w:rPr>
              <w:t>d</w:t>
            </w:r>
          </w:p>
        </w:tc>
        <w:tc>
          <w:tcPr>
            <w:tcW w:w="1260" w:type="dxa"/>
            <w:noWrap/>
          </w:tcPr>
          <w:p w14:paraId="36E86AD9"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w:t>
            </w:r>
            <w:r w:rsidRPr="001D05E2">
              <w:rPr>
                <w:rFonts w:ascii="Times New Roman" w:hAnsi="Times New Roman" w:cs="Times New Roman"/>
                <w:bCs/>
                <w:vertAlign w:val="superscript"/>
              </w:rPr>
              <w:t>d</w:t>
            </w:r>
          </w:p>
        </w:tc>
        <w:tc>
          <w:tcPr>
            <w:tcW w:w="1260" w:type="dxa"/>
            <w:noWrap/>
          </w:tcPr>
          <w:p w14:paraId="0D57D835"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1,067</w:t>
            </w:r>
          </w:p>
        </w:tc>
      </w:tr>
      <w:tr w:rsidR="001D05E2" w:rsidRPr="001D05E2" w14:paraId="436D51A1" w14:textId="77777777" w:rsidTr="00360B83">
        <w:trPr>
          <w:trHeight w:val="360"/>
          <w:jc w:val="center"/>
        </w:trPr>
        <w:tc>
          <w:tcPr>
            <w:tcW w:w="4860" w:type="dxa"/>
            <w:noWrap/>
            <w:hideMark/>
          </w:tcPr>
          <w:p w14:paraId="7FF2324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 Merchant wholesalers, durable goods</w:t>
            </w:r>
          </w:p>
        </w:tc>
        <w:tc>
          <w:tcPr>
            <w:tcW w:w="1260" w:type="dxa"/>
            <w:noWrap/>
          </w:tcPr>
          <w:p w14:paraId="097F980D"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83,288</w:t>
            </w:r>
          </w:p>
        </w:tc>
        <w:tc>
          <w:tcPr>
            <w:tcW w:w="1260" w:type="dxa"/>
            <w:noWrap/>
          </w:tcPr>
          <w:p w14:paraId="7EF8DE7F"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23,133</w:t>
            </w:r>
          </w:p>
        </w:tc>
        <w:tc>
          <w:tcPr>
            <w:tcW w:w="1260" w:type="dxa"/>
            <w:noWrap/>
          </w:tcPr>
          <w:p w14:paraId="2C7C9BAF"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238</w:t>
            </w:r>
          </w:p>
        </w:tc>
      </w:tr>
      <w:tr w:rsidR="001D05E2" w:rsidRPr="001D05E2" w14:paraId="12775E19" w14:textId="77777777" w:rsidTr="00360B83">
        <w:trPr>
          <w:trHeight w:val="360"/>
          <w:jc w:val="center"/>
        </w:trPr>
        <w:tc>
          <w:tcPr>
            <w:tcW w:w="4860" w:type="dxa"/>
            <w:noWrap/>
            <w:hideMark/>
          </w:tcPr>
          <w:p w14:paraId="53E16B2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 Merchant wholesalers, nondurable goods</w:t>
            </w:r>
          </w:p>
        </w:tc>
        <w:tc>
          <w:tcPr>
            <w:tcW w:w="1260" w:type="dxa"/>
            <w:noWrap/>
          </w:tcPr>
          <w:p w14:paraId="09D86C98"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w:t>
            </w:r>
            <w:r w:rsidRPr="001D05E2">
              <w:rPr>
                <w:rFonts w:ascii="Times New Roman" w:hAnsi="Times New Roman" w:cs="Times New Roman"/>
                <w:bCs/>
                <w:vertAlign w:val="superscript"/>
              </w:rPr>
              <w:t>d</w:t>
            </w:r>
          </w:p>
        </w:tc>
        <w:tc>
          <w:tcPr>
            <w:tcW w:w="1260" w:type="dxa"/>
            <w:noWrap/>
          </w:tcPr>
          <w:p w14:paraId="4ECACA40"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w:t>
            </w:r>
            <w:r w:rsidRPr="001D05E2">
              <w:rPr>
                <w:rFonts w:ascii="Times New Roman" w:hAnsi="Times New Roman" w:cs="Times New Roman"/>
                <w:bCs/>
                <w:vertAlign w:val="superscript"/>
              </w:rPr>
              <w:t>d</w:t>
            </w:r>
          </w:p>
        </w:tc>
        <w:tc>
          <w:tcPr>
            <w:tcW w:w="1260" w:type="dxa"/>
            <w:noWrap/>
          </w:tcPr>
          <w:p w14:paraId="54BDDA95"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349</w:t>
            </w:r>
          </w:p>
        </w:tc>
      </w:tr>
      <w:tr w:rsidR="001D05E2" w:rsidRPr="001D05E2" w14:paraId="40ED64F0" w14:textId="77777777" w:rsidTr="00360B83">
        <w:trPr>
          <w:trHeight w:val="360"/>
          <w:jc w:val="center"/>
        </w:trPr>
        <w:tc>
          <w:tcPr>
            <w:tcW w:w="4860" w:type="dxa"/>
            <w:noWrap/>
          </w:tcPr>
          <w:p w14:paraId="0861A20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Other</w:t>
            </w:r>
          </w:p>
        </w:tc>
        <w:tc>
          <w:tcPr>
            <w:tcW w:w="1260" w:type="dxa"/>
            <w:noWrap/>
          </w:tcPr>
          <w:p w14:paraId="2490A754"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22,821</w:t>
            </w:r>
          </w:p>
        </w:tc>
        <w:tc>
          <w:tcPr>
            <w:tcW w:w="1260" w:type="dxa"/>
            <w:noWrap/>
          </w:tcPr>
          <w:p w14:paraId="5C700660"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7,547</w:t>
            </w:r>
          </w:p>
        </w:tc>
        <w:tc>
          <w:tcPr>
            <w:tcW w:w="1260" w:type="dxa"/>
            <w:noWrap/>
          </w:tcPr>
          <w:p w14:paraId="50B167F1" w14:textId="77777777" w:rsidR="001D05E2" w:rsidRPr="001D05E2" w:rsidRDefault="001D05E2" w:rsidP="001D05E2">
            <w:pPr>
              <w:spacing w:line="278" w:lineRule="auto"/>
              <w:jc w:val="center"/>
              <w:rPr>
                <w:rFonts w:ascii="Times New Roman" w:hAnsi="Times New Roman" w:cs="Times New Roman"/>
                <w:bCs/>
              </w:rPr>
            </w:pPr>
          </w:p>
        </w:tc>
      </w:tr>
      <w:tr w:rsidR="001D05E2" w:rsidRPr="001D05E2" w14:paraId="1D34C84B" w14:textId="77777777" w:rsidTr="00360B83">
        <w:trPr>
          <w:trHeight w:val="360"/>
          <w:jc w:val="center"/>
        </w:trPr>
        <w:tc>
          <w:tcPr>
            <w:tcW w:w="4860" w:type="dxa"/>
            <w:noWrap/>
          </w:tcPr>
          <w:p w14:paraId="6E46239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Total</w:t>
            </w:r>
          </w:p>
        </w:tc>
        <w:tc>
          <w:tcPr>
            <w:tcW w:w="1260" w:type="dxa"/>
            <w:noWrap/>
          </w:tcPr>
          <w:p w14:paraId="13D0B1AD"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293,426</w:t>
            </w:r>
          </w:p>
        </w:tc>
        <w:tc>
          <w:tcPr>
            <w:tcW w:w="1260" w:type="dxa"/>
            <w:noWrap/>
          </w:tcPr>
          <w:p w14:paraId="483CEE86"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129,580</w:t>
            </w:r>
          </w:p>
        </w:tc>
        <w:tc>
          <w:tcPr>
            <w:tcW w:w="1260" w:type="dxa"/>
            <w:noWrap/>
          </w:tcPr>
          <w:p w14:paraId="649758C1"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563</w:t>
            </w:r>
          </w:p>
        </w:tc>
      </w:tr>
      <w:tr w:rsidR="001D05E2" w:rsidRPr="001D05E2" w14:paraId="237BEA5E" w14:textId="77777777" w:rsidTr="00360B83">
        <w:trPr>
          <w:trHeight w:val="360"/>
          <w:jc w:val="center"/>
        </w:trPr>
        <w:tc>
          <w:tcPr>
            <w:tcW w:w="8640" w:type="dxa"/>
            <w:gridSpan w:val="4"/>
            <w:tcBorders>
              <w:bottom w:val="single" w:sz="4" w:space="0" w:color="auto"/>
            </w:tcBorders>
            <w:noWrap/>
          </w:tcPr>
          <w:p w14:paraId="0CF4B97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vertAlign w:val="superscript"/>
              </w:rPr>
              <w:t>d</w:t>
            </w:r>
            <w:r w:rsidRPr="001D05E2">
              <w:rPr>
                <w:rFonts w:ascii="Times New Roman" w:hAnsi="Times New Roman" w:cs="Times New Roman"/>
                <w:bCs/>
              </w:rPr>
              <w:t xml:space="preserve"> Assumed to be zero.</w:t>
            </w:r>
          </w:p>
        </w:tc>
      </w:tr>
    </w:tbl>
    <w:p w14:paraId="63DACD58" w14:textId="77777777" w:rsidR="001D05E2" w:rsidRPr="001D05E2" w:rsidRDefault="001D05E2" w:rsidP="001D05E2">
      <w:pPr>
        <w:rPr>
          <w:rFonts w:ascii="Times New Roman" w:hAnsi="Times New Roman" w:cs="Times New Roman"/>
          <w:bCs/>
        </w:rPr>
      </w:pPr>
    </w:p>
    <w:p w14:paraId="5C04A7D2" w14:textId="536A1244"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Emissions are calculated by multiplying the metric ton-km values above by emission factors. It was assumed that all transport is by heavy duty truck or rail. The ratio of these two transportation modes was determined from CFS data </w:t>
      </w:r>
      <w:r w:rsidRPr="001D05E2">
        <w:rPr>
          <w:rFonts w:ascii="Times New Roman" w:hAnsi="Times New Roman" w:cs="Times New Roman"/>
          <w:bCs/>
        </w:rPr>
        <w:fldChar w:fldCharType="begin"/>
      </w:r>
      <w:r w:rsidR="00092B8E">
        <w:rPr>
          <w:rFonts w:ascii="Times New Roman" w:hAnsi="Times New Roman" w:cs="Times New Roman"/>
          <w:bCs/>
        </w:rPr>
        <w:instrText xml:space="preserve"> ADDIN ZOTERO_ITEM CSL_CITATION {"citationID":"Q6jzW4ZM","properties":{"formattedCitation":"\\super 43\\nosupersub{}","plainCitation":"43","noteIndex":0},"citationItems":[{"id":32,"uris":["http://zotero.org/users/local/T7KBDEDi/items/J3GU457X","http://zotero.org/users/18184231/items/J3GU457X"],"itemData":{"id":32,"type":"webpage","abstract":"Stats displayed in columns and rows with title, ID, notes, sources and release date. Many tables are in downloadable XLS, CVS and PDF file formats.","container-title":"Census.gov","language":"en","note":"section: Government","title":"Commodity Flow Survey Tables","URL":"https://www.census.gov/programs-surveys/cfs/data/tables.html","author":[{"family":"United States Census Bureau","given":""}],"accessed":{"date-parts":[["2025",9,25]]},"issued":{"date-parts":[["2025"]]}}}],"schema":"https://github.com/citation-style-language/schema/raw/master/csl-citation.json"}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43</w:t>
      </w:r>
      <w:r w:rsidRPr="001D05E2">
        <w:rPr>
          <w:rFonts w:ascii="Times New Roman" w:hAnsi="Times New Roman" w:cs="Times New Roman"/>
          <w:bCs/>
        </w:rPr>
        <w:fldChar w:fldCharType="end"/>
      </w:r>
      <w:r w:rsidRPr="001D05E2">
        <w:rPr>
          <w:rFonts w:ascii="Times New Roman" w:hAnsi="Times New Roman" w:cs="Times New Roman"/>
          <w:bCs/>
        </w:rPr>
        <w:t xml:space="preserve">. The emission factors used for heavy-duty trucks are shown in Table </w:t>
      </w:r>
      <w:r w:rsidR="001A5FC7">
        <w:rPr>
          <w:rFonts w:ascii="Times New Roman" w:hAnsi="Times New Roman" w:cs="Times New Roman"/>
          <w:bCs/>
        </w:rPr>
        <w:t>S52</w:t>
      </w:r>
      <w:r w:rsidRPr="001D05E2">
        <w:rPr>
          <w:rFonts w:ascii="Times New Roman" w:hAnsi="Times New Roman" w:cs="Times New Roman"/>
          <w:bCs/>
        </w:rPr>
        <w:t xml:space="preserve">. </w:t>
      </w:r>
    </w:p>
    <w:p w14:paraId="297A20BD" w14:textId="787695B9"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Emission factors for rail were obtained from the US Department of Transportation based on reported fuel efficiencies 332, 414, and 487 short ton-miles per gallon of fuel consumed in 1990, </w:t>
      </w:r>
      <w:r w:rsidRPr="001D05E2">
        <w:rPr>
          <w:rFonts w:ascii="Times New Roman" w:hAnsi="Times New Roman" w:cs="Times New Roman"/>
          <w:bCs/>
        </w:rPr>
        <w:lastRenderedPageBreak/>
        <w:t xml:space="preserve">2005, and 2020, respectively </w:t>
      </w:r>
      <w:r w:rsidRPr="001D05E2">
        <w:rPr>
          <w:rFonts w:ascii="Times New Roman" w:hAnsi="Times New Roman" w:cs="Times New Roman"/>
          <w:bCs/>
        </w:rPr>
        <w:fldChar w:fldCharType="begin"/>
      </w:r>
      <w:r w:rsidR="006B64BF">
        <w:rPr>
          <w:rFonts w:ascii="Times New Roman" w:hAnsi="Times New Roman" w:cs="Times New Roman"/>
          <w:bCs/>
        </w:rPr>
        <w:instrText xml:space="preserve"> ADDIN ZOTERO_ITEM CSL_CITATION {"citationID":"UPdSTWhZ","properties":{"formattedCitation":"\\super 47\\nosupersub{}","plainCitation":"47","noteIndex":0},"citationItems":[{"id":30,"uris":["http://zotero.org/users/18184231/items/B66LFCE3"],"itemData":{"id":30,"type":"webpage","abstract":"Compiled and published by the U.S. Department of Transportation's Bureau of Transportation Statistics (BTS), National Transportation Statistics presents information on the U.S. transportation system, including its physical components, safety record, economic performance, energy use, and environmental impacts.","container-title":"Class I Rail Freight Fuel Consumption and Travel","language":"en","license":"Creative Commons Public Domain Dedication and Certification","title":"Class I Rail Freight Fuel Consumption and Travel","URL":"https://www.bts.gov/content/class-i-rail-freight-fuel-consumption-and-travel","author":[{"literal":"United States Department of Transportation (US DOT)"}],"accessed":{"date-parts":[["2025",9,25]]},"issued":{"date-parts":[["2025"]]}}}],"schema":"https://github.com/citation-style-language/schema/raw/master/csl-citation.json"}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47</w:t>
      </w:r>
      <w:r w:rsidRPr="001D05E2">
        <w:rPr>
          <w:rFonts w:ascii="Times New Roman" w:hAnsi="Times New Roman" w:cs="Times New Roman"/>
          <w:bCs/>
        </w:rPr>
        <w:fldChar w:fldCharType="end"/>
      </w:r>
      <w:r w:rsidRPr="001D05E2">
        <w:rPr>
          <w:rFonts w:ascii="Times New Roman" w:hAnsi="Times New Roman" w:cs="Times New Roman"/>
          <w:bCs/>
        </w:rPr>
        <w:t xml:space="preserve"> . Using emission factors for diesel fuel (see Table </w:t>
      </w:r>
      <w:r w:rsidR="00D4391E">
        <w:rPr>
          <w:rFonts w:ascii="Times New Roman" w:hAnsi="Times New Roman" w:cs="Times New Roman"/>
          <w:bCs/>
        </w:rPr>
        <w:t>S52</w:t>
      </w:r>
      <w:r w:rsidRPr="001D05E2">
        <w:rPr>
          <w:rFonts w:ascii="Times New Roman" w:hAnsi="Times New Roman" w:cs="Times New Roman"/>
          <w:bCs/>
        </w:rPr>
        <w:t>), these values can be converted to emission factors of 0.0211, 0.0169, and 0.0144 kg CO</w:t>
      </w:r>
      <w:r w:rsidRPr="001D05E2">
        <w:rPr>
          <w:rFonts w:ascii="Times New Roman" w:hAnsi="Times New Roman" w:cs="Times New Roman"/>
          <w:bCs/>
          <w:vertAlign w:val="subscript"/>
        </w:rPr>
        <w:t>2</w:t>
      </w:r>
      <w:r w:rsidRPr="001D05E2">
        <w:rPr>
          <w:rFonts w:ascii="Times New Roman" w:hAnsi="Times New Roman" w:cs="Times New Roman"/>
          <w:bCs/>
        </w:rPr>
        <w:t xml:space="preserve"> per metric ton-</w:t>
      </w:r>
      <w:proofErr w:type="gramStart"/>
      <w:r w:rsidRPr="001D05E2">
        <w:rPr>
          <w:rFonts w:ascii="Times New Roman" w:hAnsi="Times New Roman" w:cs="Times New Roman"/>
          <w:bCs/>
        </w:rPr>
        <w:t>km</w:t>
      </w:r>
      <w:proofErr w:type="gramEnd"/>
      <w:r w:rsidRPr="001D05E2">
        <w:rPr>
          <w:rFonts w:ascii="Times New Roman" w:hAnsi="Times New Roman" w:cs="Times New Roman"/>
          <w:bCs/>
        </w:rPr>
        <w:t>, respectively. Assuming that all transport of products was by truck or rail, these factors for trucking and rail transport were weighted (based on metric ton-</w:t>
      </w:r>
      <w:proofErr w:type="gramStart"/>
      <w:r w:rsidRPr="001D05E2">
        <w:rPr>
          <w:rFonts w:ascii="Times New Roman" w:hAnsi="Times New Roman" w:cs="Times New Roman"/>
          <w:bCs/>
        </w:rPr>
        <w:t>km</w:t>
      </w:r>
      <w:proofErr w:type="gramEnd"/>
      <w:r w:rsidRPr="001D05E2">
        <w:rPr>
          <w:rFonts w:ascii="Times New Roman" w:hAnsi="Times New Roman" w:cs="Times New Roman"/>
          <w:bCs/>
        </w:rPr>
        <w:t xml:space="preserve"> for each mode of transport (US Census Bureau 2023)) to derive an overall emission factor for each commodity. The weighted factors are shown in Table </w:t>
      </w:r>
      <w:r w:rsidR="00D4391E">
        <w:rPr>
          <w:rFonts w:ascii="Times New Roman" w:hAnsi="Times New Roman" w:cs="Times New Roman"/>
          <w:bCs/>
        </w:rPr>
        <w:t>S53.</w:t>
      </w:r>
      <w:r w:rsidRPr="001D05E2">
        <w:rPr>
          <w:rFonts w:ascii="Times New Roman" w:hAnsi="Times New Roman" w:cs="Times New Roman"/>
          <w:bCs/>
        </w:rPr>
        <w:t xml:space="preserve"> </w:t>
      </w:r>
    </w:p>
    <w:p w14:paraId="4D46AE9A" w14:textId="480F3AA3" w:rsidR="001D05E2" w:rsidRPr="001D05E2" w:rsidRDefault="001D05E2" w:rsidP="001D05E2">
      <w:pPr>
        <w:spacing w:line="276" w:lineRule="auto"/>
        <w:jc w:val="center"/>
        <w:rPr>
          <w:rFonts w:ascii="Times New Roman" w:eastAsia="Times New Roman" w:hAnsi="Times New Roman" w:cs="Times New Roman"/>
          <w:bCs/>
          <w:iCs/>
          <w:kern w:val="0"/>
          <w14:ligatures w14:val="none"/>
        </w:rPr>
      </w:pPr>
      <w:r w:rsidRPr="001D05E2">
        <w:rPr>
          <w:rFonts w:ascii="Times New Roman" w:eastAsia="Times New Roman" w:hAnsi="Times New Roman" w:cs="Times New Roman"/>
          <w:b/>
          <w:bCs/>
          <w:iCs/>
          <w:kern w:val="0"/>
          <w14:ligatures w14:val="none"/>
        </w:rPr>
        <w:t xml:space="preserve">Table </w:t>
      </w:r>
      <w:r w:rsidR="001A5FC7">
        <w:rPr>
          <w:rFonts w:ascii="Times New Roman" w:eastAsia="Times New Roman" w:hAnsi="Times New Roman" w:cs="Times New Roman"/>
          <w:b/>
          <w:bCs/>
          <w:iCs/>
          <w:kern w:val="0"/>
          <w14:ligatures w14:val="none"/>
        </w:rPr>
        <w:t>S52</w:t>
      </w:r>
      <w:r w:rsidRPr="001D05E2">
        <w:rPr>
          <w:rFonts w:ascii="Times New Roman" w:eastAsia="Times New Roman" w:hAnsi="Times New Roman" w:cs="Times New Roman"/>
          <w:b/>
          <w:bCs/>
          <w:iCs/>
          <w:kern w:val="0"/>
          <w14:ligatures w14:val="none"/>
        </w:rPr>
        <w:t>.</w:t>
      </w:r>
      <w:r w:rsidRPr="001D05E2">
        <w:rPr>
          <w:rFonts w:ascii="Times New Roman" w:eastAsia="Times New Roman" w:hAnsi="Times New Roman" w:cs="Times New Roman"/>
          <w:bCs/>
          <w:iCs/>
          <w:kern w:val="0"/>
          <w14:ligatures w14:val="none"/>
        </w:rPr>
        <w:t xml:space="preserve"> Assumptions and Values Used to Calculate Heavy Duty Truck Emissions</w:t>
      </w:r>
    </w:p>
    <w:tbl>
      <w:tblPr>
        <w:tblStyle w:val="TableGrid12"/>
        <w:tblW w:w="0" w:type="auto"/>
        <w:tblBorders>
          <w:left w:val="none" w:sz="0" w:space="0" w:color="auto"/>
          <w:right w:val="none" w:sz="0" w:space="0" w:color="auto"/>
        </w:tblBorders>
        <w:tblLook w:val="04A0" w:firstRow="1" w:lastRow="0" w:firstColumn="1" w:lastColumn="0" w:noHBand="0" w:noVBand="1"/>
      </w:tblPr>
      <w:tblGrid>
        <w:gridCol w:w="2970"/>
        <w:gridCol w:w="3150"/>
        <w:gridCol w:w="3240"/>
      </w:tblGrid>
      <w:tr w:rsidR="001D05E2" w:rsidRPr="001A5FC7" w14:paraId="2EB9170B" w14:textId="77777777" w:rsidTr="00360B83">
        <w:tc>
          <w:tcPr>
            <w:tcW w:w="2970" w:type="dxa"/>
            <w:shd w:val="clear" w:color="auto" w:fill="D9D9D9"/>
          </w:tcPr>
          <w:p w14:paraId="2BA52FC6"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Variable</w:t>
            </w:r>
          </w:p>
        </w:tc>
        <w:tc>
          <w:tcPr>
            <w:tcW w:w="3150" w:type="dxa"/>
            <w:shd w:val="clear" w:color="auto" w:fill="D9D9D9"/>
          </w:tcPr>
          <w:p w14:paraId="7B2692FF"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Value</w:t>
            </w:r>
          </w:p>
        </w:tc>
        <w:tc>
          <w:tcPr>
            <w:tcW w:w="3240" w:type="dxa"/>
            <w:shd w:val="clear" w:color="auto" w:fill="D9D9D9"/>
          </w:tcPr>
          <w:p w14:paraId="11E23933"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Source</w:t>
            </w:r>
          </w:p>
        </w:tc>
      </w:tr>
      <w:tr w:rsidR="001D05E2" w:rsidRPr="001A5FC7" w14:paraId="10D7B20B" w14:textId="77777777" w:rsidTr="00360B83">
        <w:tc>
          <w:tcPr>
            <w:tcW w:w="2970" w:type="dxa"/>
          </w:tcPr>
          <w:p w14:paraId="0DB5DFB5"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Roundwood transported (includes firewood)</w:t>
            </w:r>
          </w:p>
        </w:tc>
        <w:tc>
          <w:tcPr>
            <w:tcW w:w="3150" w:type="dxa"/>
          </w:tcPr>
          <w:p w14:paraId="1553ED03"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1990, 445 million metric tons</w:t>
            </w:r>
          </w:p>
          <w:p w14:paraId="4FB83FCA"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2005, 408 million metric tons</w:t>
            </w:r>
          </w:p>
          <w:p w14:paraId="6A740EF5"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2020, 376 million metric tons</w:t>
            </w:r>
          </w:p>
        </w:tc>
        <w:tc>
          <w:tcPr>
            <w:tcW w:w="3240" w:type="dxa"/>
          </w:tcPr>
          <w:p w14:paraId="016EC066" w14:textId="0B4EC2C6"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FAOSTAT 2023</w:t>
            </w:r>
            <w:r w:rsidRPr="001A5FC7">
              <w:rPr>
                <w:rFonts w:ascii="Times New Roman" w:hAnsi="Times New Roman" w:cs="Times New Roman"/>
                <w:iCs/>
              </w:rPr>
              <w:fldChar w:fldCharType="begin"/>
            </w:r>
            <w:r w:rsidR="006B64BF" w:rsidRPr="001A5FC7">
              <w:rPr>
                <w:rFonts w:ascii="Times New Roman" w:hAnsi="Times New Roman" w:cs="Times New Roman"/>
                <w:iCs/>
                <w:sz w:val="24"/>
                <w:szCs w:val="24"/>
              </w:rPr>
              <w:instrText xml:space="preserve"> ADDIN ZOTERO_ITEM CSL_CITATION {"citationID":"N0G3yV3J","properties":{"formattedCitation":"\\super 46\\nosupersub{}","plainCitation":"46","noteIndex":0},"citationItems":[{"id":43,"uris":["http://zotero.org/users/18184231/items/XRA3NZRH"],"itemData":{"id":43,"type":"book","abstract":"Forest products conversion factors provides ratios of raw material input to the output of wood-based forest products for 37 countries of the world. Analysts, policymakers, forest practitioners and forest-based manufacturers often have a need for this information for understanding the drivers of efficiency, feasibility and economics of the sector. In addition, conversion factors are often needed to convert from one unit of measure to another. The publication also includes explanations on the units of measure, the drivers of the ratios, as well as information on physical properties of wood-based forest products. Finally, where reported factors were unavailable, factors from other sources are given.","ISBN":"978-92-5-132247-5","language":"English","publisher":"FAO, ITTO and United Nations ;","source":"openknowledge.fao.org","title":"Forest product conversion factors","URL":"https://openknowledge.fao.org/handle/20.500.14283/ca7952en","author":[{"family":"United Nations Food and Agriculture Organization (FAO)","given":"ITTO and United Nations"}],"accessed":{"date-parts":[["2025",9,25]]},"issued":{"date-parts":[["2020"]]}}}],"schema":"https://github.com/citation-style-language/schema/raw/master/csl-citation.json"} </w:instrText>
            </w:r>
            <w:r w:rsidRPr="001A5FC7">
              <w:rPr>
                <w:rFonts w:ascii="Times New Roman" w:hAnsi="Times New Roman" w:cs="Times New Roman"/>
                <w:iCs/>
              </w:rPr>
              <w:fldChar w:fldCharType="separate"/>
            </w:r>
            <w:r w:rsidR="006B64BF" w:rsidRPr="001A5FC7">
              <w:rPr>
                <w:rFonts w:ascii="Times New Roman" w:hAnsi="Times New Roman" w:cs="Times New Roman"/>
                <w:kern w:val="0"/>
                <w:sz w:val="24"/>
                <w:szCs w:val="24"/>
                <w:vertAlign w:val="superscript"/>
              </w:rPr>
              <w:t>46</w:t>
            </w:r>
            <w:r w:rsidRPr="001A5FC7">
              <w:rPr>
                <w:rFonts w:ascii="Times New Roman" w:hAnsi="Times New Roman" w:cs="Times New Roman"/>
                <w:iCs/>
              </w:rPr>
              <w:fldChar w:fldCharType="end"/>
            </w:r>
            <w:r w:rsidRPr="001A5FC7">
              <w:rPr>
                <w:rFonts w:ascii="Times New Roman" w:hAnsi="Times New Roman" w:cs="Times New Roman"/>
                <w:iCs/>
                <w:sz w:val="24"/>
                <w:szCs w:val="24"/>
              </w:rPr>
              <w:t>, converted from cubic meters using a factor of 0.87 metric ton per cubic meter (from FAO 2020, Table 2.3.1, average of conifer and non-conifer)</w:t>
            </w:r>
          </w:p>
        </w:tc>
      </w:tr>
      <w:tr w:rsidR="001D05E2" w:rsidRPr="001A5FC7" w14:paraId="41941839" w14:textId="77777777" w:rsidTr="00360B83">
        <w:tc>
          <w:tcPr>
            <w:tcW w:w="2970" w:type="dxa"/>
          </w:tcPr>
          <w:p w14:paraId="3DD6112F"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Haul mode</w:t>
            </w:r>
          </w:p>
        </w:tc>
        <w:tc>
          <w:tcPr>
            <w:tcW w:w="3150" w:type="dxa"/>
          </w:tcPr>
          <w:p w14:paraId="585E1E76"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Diesel truck</w:t>
            </w:r>
          </w:p>
        </w:tc>
        <w:tc>
          <w:tcPr>
            <w:tcW w:w="3240" w:type="dxa"/>
          </w:tcPr>
          <w:p w14:paraId="2DC38A0E"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Assumed</w:t>
            </w:r>
          </w:p>
        </w:tc>
      </w:tr>
      <w:tr w:rsidR="001D05E2" w:rsidRPr="001A5FC7" w14:paraId="2E69C36C" w14:textId="77777777" w:rsidTr="00360B83">
        <w:tc>
          <w:tcPr>
            <w:tcW w:w="2970" w:type="dxa"/>
          </w:tcPr>
          <w:p w14:paraId="69721414"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Haul distance</w:t>
            </w:r>
          </w:p>
        </w:tc>
        <w:tc>
          <w:tcPr>
            <w:tcW w:w="3150" w:type="dxa"/>
          </w:tcPr>
          <w:p w14:paraId="58792725"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100 km one-way (round trip emissions assumed to be 1.75 times one-way emissions to account for empty return to the forest)</w:t>
            </w:r>
          </w:p>
        </w:tc>
        <w:tc>
          <w:tcPr>
            <w:tcW w:w="3240" w:type="dxa"/>
          </w:tcPr>
          <w:p w14:paraId="3ADF9527" w14:textId="464B4C75"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rPr>
              <w:fldChar w:fldCharType="begin"/>
            </w:r>
            <w:r w:rsidR="006B64BF" w:rsidRPr="001A5FC7">
              <w:rPr>
                <w:rFonts w:ascii="Times New Roman" w:hAnsi="Times New Roman" w:cs="Times New Roman"/>
                <w:iCs/>
                <w:sz w:val="24"/>
                <w:szCs w:val="24"/>
              </w:rPr>
              <w:instrText xml:space="preserve"> ADDIN ZOTERO_ITEM CSL_CITATION {"citationID":"OKOMqNjE","properties":{"formattedCitation":"\\super 25,26,48\\uc0\\u8211{}53\\nosupersub{}","plainCitation":"25,26,48–53","noteIndex":0},"citationItems":[{"id":74,"uris":["http://zotero.org/users/18184231/items/IS97IWV7"],"itemData":{"id":74,"type":"article-journal","abstract":"A Life-Cycle Assessment of Forest Resources of the Pacific Northwest, USA*","DOI":"10.13073/FPJ-D-17-00011","language":"en","note":"section: Forest Products Journal","source":"fpj.kglmeridian.com","title":"A Life-Cycle Assessment of Forest Resources of the Pacific Northwest, USA*","URL":"https://fpj.kglmeridian.com/view/journals/fpro/67/5-6/article-p316.xml","author":[{"family":"Oneil","given":"Elaine"},{"family":"Puettmann","given":"Maureen E."}],"accessed":{"date-parts":[["2025",9,25]]},"issued":{"date-parts":[["2017",1,1]]}}},{"id":35,"uris":["http://zotero.org/users/18184231/items/X47EGAWD"],"itemData":{"id":35,"type":"report","language":"en","publisher":"Consortium for Research on Renewable Industrial Materials (CORRIM)","source":"Zotero","title":"Life cycle assessment for the production of southeastern softwood lumber","author":[{"family":"Milota","given":"Mike"},{"family":"Science","given":"Wood"},{"family":"Hall","given":"Richardson"}],"issued":{"date-parts":[["2020"]]}}},{"id":36,"uris":["http://zotero.org/users/18184231/items/QYGPNRTL"],"itemData":{"id":36,"type":"report","language":"en","publisher":"Consortium for Research on Renewable Industrial Materials (CORRIM)","source":"Zotero","title":"Life Cycle assessment for the production of Pacific Northwest softwood lumber","URL":"https://corrim.org/wp-content/uploads/2020/06/CORRIM-AWC-PNW-Lumber.pdf","author":[{"family":"Milota","given":"Mike"},{"family":"Science","given":"Wood"},{"family":"Hall","given":"Richardson"}],"accessed":{"date-parts":[["2025",9,25]]},"issued":{"date-parts":[["2020"]]}}},{"id":72,"uris":["http://zotero.org/users/18184231/items/Q7CA72GG"],"itemData":{"id":72,"type":"report","language":"en","publisher":"Consortium for Research on Renewable Industrial Materials (CORRIM)","source":"Zotero","title":"Life Cycle Assessment for the Production of Oriented Strandboard Production","URL":"https://corrim.org/wp-content/uploads/2020/12/CORRIM-AWC-OSB-Final.pdf","author":[{"family":"Puettmann","given":"Maureen"},{"family":"Kaestner","given":"Dominik"},{"family":"Taylor","given":"Adam"}],"issued":{"date-parts":[["2020"]]}}},{"id":92,"uris":["http://zotero.org/users/18184231/items/6KRT8AFZ"],"itemData":{"id":92,"type":"article-journal","language":"en","source":"Zotero","title":"Life-Cycle Inventory of Hardwood Lumber Manufacturing in the Northeast and North Central United States","author":[{"family":"Bergman","given":"Richard D"},{"family":"Bowe","given":"Scott A"}]}},{"id":4,"uris":["http://zotero.org/users/18184231/items/5387FDAI"],"itemData":{"id":4,"type":"article-journal","abstract":"Logging businesses play an important role in implementing forest management plans and delivering the raw material needed by forest products mills. Understanding the characteristics of the logging workforce can help forest managers make better decisions related to harvesting operations. We surveyed logging business owners across Virginia’s three physiographic regions (Mountains, Piedmont, and Coastal Plain). Overall, logging businesses reported an average production rate of 761.37 t/business/week, but this varied substantially by region, with the highest production rates in the Coastal Plain (1403.55 t/business/week), followed by the Piedmont (824.69 t/business/week) and the Mountains (245.42 t/business/week). Many operations in the Mountains rely primarily on manual felling (66.6% of respondents) and these operations often have lower production rates. Across all regions, 81.7% of reported production came from operations that primarily utilized rubber-tired feller-bunchers for felling. Logging businesses were sorted based on reported production capacity and then divided into three groups (high, medium, and low production) based on total reported production. Across all regions, the majority of reported production was produced by the high production logging businesses. This was highest in the Piedmont, where the high production businesses accounted for 74.8% of total reported production.","container-title":"Forests","DOI":"10.3390/f8120468","journalAbbreviation":"Forests","page":"468","source":"ResearchGate","title":"Characteristics of Logging Businesses across Virginia’s Diverse Physiographic Regions","volume":"8","author":[{"family":"Barrett","given":"Scott"},{"family":"Bolding","given":"Chad"},{"family":"Munsell","given":"John"}],"issued":{"date-parts":[["2017",11,28]]}}},{"id":44,"uris":["http://zotero.org/users/18184231/items/4VRKZA7J"],"itemData":{"id":44,"type":"article-journal","abstract":"Surveys of logging business owners and managers have been conducted at five-year intervals in Georgia since 1987 and in South Carolina beginning in 2012. The surveys have documented trends in logging businesses and how they respond to changing timber markets. The response rate to the 2017 survey was approximately 20 percent in both states. Eighty-six percent of Georgia and 78 percent of South Carolina logging businesses used feller-buncher/grapple-skidder systems, and 11 percent and 20 percent of businesses owned chippers in Georgia and South Carolina, respectively. Average weekly production in Georgia increased by 95 percent in 1987–2017, but increases in recent years have been modest. The long-term trend in both states is toward fewer, larger businesses. The percentage of annual timber volume harvested by high production logging businesses (&gt; 2,500 tons wk⁻¹) increased from 32 percent in Georgia in 1997 to 63 percent in Georgia and 52 percent in South Carolina in 2017, while the number of logging businesses declined by 34 percent in Georgia and 50 percent in South Carolina. Median owner/manager age was 53 and 57 years in Georgia and South Carolina, respectively, and approximately one-third of respondents were over 60 years of age. Mill quota and trucking/insurance were the most commonly cited challenges facing logging business owners in 2017.","container-title":"Forest Science","DOI":"10.1093/forsci/fxy020","journalAbbreviation":"Forest Science","source":"ResearchGate","title":"The Evolution of Logging Businesses in Georgia 1987–2017 and South Carolina 2012–2017","volume":"64","author":[{"family":"Conrad","given":"Joseph"},{"family":"Greene","given":"W"},{"family":"Hiesl","given":"Patrick"}],"issued":{"date-parts":[["2018",6,23]]}}},{"id":50,"uris":["http://zotero.org/users/18184231/items/W2K2LK89"],"itemData":{"id":50,"type":"article-journal","abstract":"Timber transportation is one of the greatest challenges facing the US South’s wood supply chain. Difficulties hiring qualified drivers and rising insurance premiums are among the challenges facing log truck owners. A survey of southern logging business owners was conducted during the summer of 2021 to document timber transportation practices, log truck liability insurance premiums and claims, and implementation rates for safety practices and technologies. Three hundred ninety logging business owners were invited to participate and 86 (22%) provided usable data. Logging business fleets consisted of an average of 7.6 trucks that delivered 3.6 loads of timber per day. Contract haulers delivered an average of 36% of the timber harvested. Ninety-two percent of respondents experienced log truck liability insurance premium increases between 2018 and 2021. Liability premiums ranged from less than \\5,000 to over \\30,000 (USD) truck−1 yr−1. Most logging businesses required daily pre-trip inspections, regular safety meetings, and annual driver reviews. Approximately 55% of companies used road-facing dash cameras and GPS tracking. Providing continuing education to existing drivers, training and recruiting new drivers, and increasing the use of technologies such as dash cameras could improve safety and prevent future insurance premium increases.","container-title":"International Journal of Forest Engineering","DOI":"10.1080/14942119.2022.2124704","ISSN":"1494-2119","issue":"2","note":"publisher: Taylor &amp; Francis\n_eprint: https://doi.org/10.1080/14942119.2022.2124704","page":"204-215","source":"Taylor and Francis+NEJM","title":"Log truck insurance premiums, claims, and safety practices among logging businesses in the US South","volume":"34","author":[{"family":"Conrad","given":"Joseph L."}],"issued":{"date-parts":[["2023",5,4]]}}}],"schema":"https://github.com/citation-style-language/schema/raw/master/csl-citation.json"} </w:instrText>
            </w:r>
            <w:r w:rsidRPr="001A5FC7">
              <w:rPr>
                <w:rFonts w:ascii="Times New Roman" w:hAnsi="Times New Roman" w:cs="Times New Roman"/>
                <w:iCs/>
              </w:rPr>
              <w:fldChar w:fldCharType="separate"/>
            </w:r>
            <w:r w:rsidR="006B64BF" w:rsidRPr="001A5FC7">
              <w:rPr>
                <w:rFonts w:ascii="Times New Roman" w:hAnsi="Times New Roman" w:cs="Times New Roman"/>
                <w:kern w:val="0"/>
                <w:sz w:val="24"/>
                <w:szCs w:val="24"/>
                <w:vertAlign w:val="superscript"/>
              </w:rPr>
              <w:t>25,26,48–53</w:t>
            </w:r>
            <w:r w:rsidRPr="001A5FC7">
              <w:rPr>
                <w:rFonts w:ascii="Times New Roman" w:hAnsi="Times New Roman" w:cs="Times New Roman"/>
                <w:iCs/>
              </w:rPr>
              <w:fldChar w:fldCharType="end"/>
            </w:r>
          </w:p>
        </w:tc>
      </w:tr>
      <w:tr w:rsidR="001D05E2" w:rsidRPr="001A5FC7" w14:paraId="47306494" w14:textId="77777777" w:rsidTr="00360B83">
        <w:tc>
          <w:tcPr>
            <w:tcW w:w="2970" w:type="dxa"/>
          </w:tcPr>
          <w:p w14:paraId="2A7AE04D"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Fuel economy</w:t>
            </w:r>
          </w:p>
        </w:tc>
        <w:tc>
          <w:tcPr>
            <w:tcW w:w="3150" w:type="dxa"/>
          </w:tcPr>
          <w:p w14:paraId="46FBAA30"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2.56 km/l (6.2 mpg) in 2020. Lower to 2.4 km/l for 2005 and 1990</w:t>
            </w:r>
          </w:p>
        </w:tc>
        <w:tc>
          <w:tcPr>
            <w:tcW w:w="3240" w:type="dxa"/>
          </w:tcPr>
          <w:p w14:paraId="3FBCC077" w14:textId="756FD1D0"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Davis and Boundy 2022</w:t>
            </w:r>
            <w:r w:rsidRPr="001A5FC7">
              <w:rPr>
                <w:rFonts w:ascii="Times New Roman" w:hAnsi="Times New Roman" w:cs="Times New Roman"/>
                <w:iCs/>
              </w:rPr>
              <w:fldChar w:fldCharType="begin"/>
            </w:r>
            <w:r w:rsidR="006B64BF" w:rsidRPr="001A5FC7">
              <w:rPr>
                <w:rFonts w:ascii="Times New Roman" w:hAnsi="Times New Roman" w:cs="Times New Roman"/>
                <w:iCs/>
                <w:sz w:val="24"/>
                <w:szCs w:val="24"/>
              </w:rPr>
              <w:instrText xml:space="preserve"> ADDIN ZOTERO_ITEM CSL_CITATION {"citationID":"P5z0ShxX","properties":{"formattedCitation":"\\super 54\\nosupersub{}","plainCitation":"54","noteIndex":0},"citationItems":[{"id":18,"uris":["http://zotero.org/users/18184231/items/GKTU7YTY"],"itemData":{"id":18,"type":"article-journal","language":"en","source":"Zotero","title":"Transportation Energy Data Book: Edition 40","author":[{"family":"Davis","given":"Stacy C"},{"family":"Boundy","given":"Robert G"}],"issued":{"date-parts":[["2022"]]}}}],"schema":"https://github.com/citation-style-language/schema/raw/master/csl-citation.json"} </w:instrText>
            </w:r>
            <w:r w:rsidRPr="001A5FC7">
              <w:rPr>
                <w:rFonts w:ascii="Times New Roman" w:hAnsi="Times New Roman" w:cs="Times New Roman"/>
                <w:iCs/>
              </w:rPr>
              <w:fldChar w:fldCharType="separate"/>
            </w:r>
            <w:r w:rsidR="006B64BF" w:rsidRPr="001A5FC7">
              <w:rPr>
                <w:rFonts w:ascii="Times New Roman" w:hAnsi="Times New Roman" w:cs="Times New Roman"/>
                <w:kern w:val="0"/>
                <w:sz w:val="24"/>
                <w:szCs w:val="24"/>
                <w:vertAlign w:val="superscript"/>
              </w:rPr>
              <w:t>54</w:t>
            </w:r>
            <w:r w:rsidRPr="001A5FC7">
              <w:rPr>
                <w:rFonts w:ascii="Times New Roman" w:hAnsi="Times New Roman" w:cs="Times New Roman"/>
                <w:iCs/>
              </w:rPr>
              <w:fldChar w:fldCharType="end"/>
            </w:r>
            <w:r w:rsidRPr="001A5FC7">
              <w:rPr>
                <w:rFonts w:ascii="Times New Roman" w:hAnsi="Times New Roman" w:cs="Times New Roman"/>
                <w:iCs/>
                <w:sz w:val="24"/>
                <w:szCs w:val="24"/>
              </w:rPr>
              <w:t xml:space="preserve">, Table 2.16, converted using 129,000 Btu per gallon diesel </w:t>
            </w:r>
          </w:p>
        </w:tc>
      </w:tr>
      <w:tr w:rsidR="001D05E2" w:rsidRPr="001A5FC7" w14:paraId="36D972BC" w14:textId="77777777" w:rsidTr="00360B83">
        <w:tc>
          <w:tcPr>
            <w:tcW w:w="2970" w:type="dxa"/>
          </w:tcPr>
          <w:p w14:paraId="268F6952"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Average load</w:t>
            </w:r>
          </w:p>
        </w:tc>
        <w:tc>
          <w:tcPr>
            <w:tcW w:w="3150" w:type="dxa"/>
          </w:tcPr>
          <w:p w14:paraId="66C82350"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20 metric tons (22 short tons)</w:t>
            </w:r>
          </w:p>
        </w:tc>
        <w:tc>
          <w:tcPr>
            <w:tcW w:w="3240" w:type="dxa"/>
          </w:tcPr>
          <w:p w14:paraId="26FF9A91" w14:textId="6800D7FF"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rPr>
              <w:fldChar w:fldCharType="begin"/>
            </w:r>
            <w:r w:rsidR="006B64BF" w:rsidRPr="001A5FC7">
              <w:rPr>
                <w:rFonts w:ascii="Times New Roman" w:hAnsi="Times New Roman" w:cs="Times New Roman"/>
                <w:iCs/>
                <w:sz w:val="24"/>
                <w:szCs w:val="24"/>
              </w:rPr>
              <w:instrText xml:space="preserve"> ADDIN ZOTERO_ITEM CSL_CITATION {"citationID":"K3aswXiU","properties":{"formattedCitation":"\\super 51,52,55,56\\nosupersub{}","plainCitation":"51,52,55,56","noteIndex":0},"citationItems":[{"id":4,"uris":["http://zotero.org/users/18184231/items/5387FDAI"],"itemData":{"id":4,"type":"article-journal","abstract":"Logging businesses play an important role in implementing forest management plans and delivering the raw material needed by forest products mills. Understanding the characteristics of the logging workforce can help forest managers make better decisions related to harvesting operations. We surveyed logging business owners across Virginia’s three physiographic regions (Mountains, Piedmont, and Coastal Plain). Overall, logging businesses reported an average production rate of 761.37 t/business/week, but this varied substantially by region, with the highest production rates in the Coastal Plain (1403.55 t/business/week), followed by the Piedmont (824.69 t/business/week) and the Mountains (245.42 t/business/week). Many operations in the Mountains rely primarily on manual felling (66.6% of respondents) and these operations often have lower production rates. Across all regions, 81.7% of reported production came from operations that primarily utilized rubber-tired feller-bunchers for felling. Logging businesses were sorted based on reported production capacity and then divided into three groups (high, medium, and low production) based on total reported production. Across all regions, the majority of reported production was produced by the high production logging businesses. This was highest in the Piedmont, where the high production businesses accounted for 74.8% of total reported production.","container-title":"Forests","DOI":"10.3390/f8120468","journalAbbreviation":"Forests","page":"468","source":"ResearchGate","title":"Characteristics of Logging Businesses across Virginia’s Diverse Physiographic Regions","volume":"8","author":[{"family":"Barrett","given":"Scott"},{"family":"Bolding","given":"Chad"},{"family":"Munsell","given":"John"}],"issued":{"date-parts":[["2017",11,28]]}}},{"id":44,"uris":["http://zotero.org/users/18184231/items/4VRKZA7J"],"itemData":{"id":44,"type":"article-journal","abstract":"Surveys of logging business owners and managers have been conducted at five-year intervals in Georgia since 1987 and in South Carolina beginning in 2012. The surveys have documented trends in logging businesses and how they respond to changing timber markets. The response rate to the 2017 survey was approximately 20 percent in both states. Eighty-six percent of Georgia and 78 percent of South Carolina logging businesses used feller-buncher/grapple-skidder systems, and 11 percent and 20 percent of businesses owned chippers in Georgia and South Carolina, respectively. Average weekly production in Georgia increased by 95 percent in 1987–2017, but increases in recent years have been modest. The long-term trend in both states is toward fewer, larger businesses. The percentage of annual timber volume harvested by high production logging businesses (&gt; 2,500 tons wk⁻¹) increased from 32 percent in Georgia in 1997 to 63 percent in Georgia and 52 percent in South Carolina in 2017, while the number of logging businesses declined by 34 percent in Georgia and 50 percent in South Carolina. Median owner/manager age was 53 and 57 years in Georgia and South Carolina, respectively, and approximately one-third of respondents were over 60 years of age. Mill quota and trucking/insurance were the most commonly cited challenges facing logging business owners in 2017.","container-title":"Forest Science","DOI":"10.1093/forsci/fxy020","journalAbbreviation":"Forest Science","source":"ResearchGate","title":"The Evolution of Logging Businesses in Georgia 1987–2017 and South Carolina 2012–2017","volume":"64","author":[{"family":"Conrad","given":"Joseph"},{"family":"Greene","given":"W"},{"family":"Hiesl","given":"Patrick"}],"issued":{"date-parts":[["2018",6,23]]}}},{"id":31,"uris":["http://zotero.org/users/18184231/items/27NCN9LW"],"itemData":{"id":31,"type":"webpage","abstract":"Legal loaded weight for truckers is 80,000 pounds, inclusive of tractor, trailer and product, but there is plenty of nuance to these weight requirements.","language":"en-us","title":"What is the legal weight shippers are permitted to load cargo?","URL":"https://www.inteklogistics.com/blog/what-is-legal-weight-shippers-can-load-53-trailers","author":[{"family":"LaGore","given":"Rick"}],"accessed":{"date-parts":[["2025",9,25]]},"issued":{"date-parts":[["2025"]]}}},{"id":2,"uris":["http://zotero.org/users/18184231/items/EP3RUDAQ"],"itemData":{"id":2,"type":"article-journal","abstract":"Timber transportation is an essential and often unprofitable segment of the wood supply chain. This study evaluated the profitability of individual timber deliveries for log truck owners in the US South. Origin and destination data were collected from 909 deliveries from 257 harvest sites. Travel time and distance were estimated using ArcGIS and GPS tracking. Monte Carlo Simulation was used to calculate 1000 unique combinations of payload, harvest site turn-time, mill turn-time, and percent-loaded km, yielding a dataset of 909,000 deliveries. Hauling costs and revenues for each delivery were estimated using published estimates. Driver wages were estimated in two ways: an hourly wage of $30.60 (USD) and 30% of the gross revenue from the load being delivered. Logistic regression was used to evaluate the relationship between six dependent variables and profitability. Only 14% of deliveries were profitable when the driver was paid an hourly wage versus 42% when the driver was paid 30% of gross revenue. Deliveries with one-way haul distances between 49 and 113 km (31–70 mi) were least likely to be profitable. Many deliveries could be profitable if logging businesses and mills reduced turn-times to under 20 min at mills and 30 min at harvest sites.","container-title":"Forests","DOI":"10.3390/f12040437","ISSN":"1999-4907","issue":"4","language":"en","license":"http://creativecommons.org/licenses/by/3.0/","page":"437","source":"www.mdpi.com","title":"Evaluating Profitability of Individual Timber Deliveries in the US South","volume":"12","author":[{"family":"Conrad","given":"Joseph L."}],"issued":{"date-parts":[["2021",4]]}}}],"schema":"https://github.com/citation-style-language/schema/raw/master/csl-citation.json"} </w:instrText>
            </w:r>
            <w:r w:rsidRPr="001A5FC7">
              <w:rPr>
                <w:rFonts w:ascii="Times New Roman" w:hAnsi="Times New Roman" w:cs="Times New Roman"/>
                <w:iCs/>
              </w:rPr>
              <w:fldChar w:fldCharType="separate"/>
            </w:r>
            <w:r w:rsidR="006B64BF" w:rsidRPr="001A5FC7">
              <w:rPr>
                <w:rFonts w:ascii="Times New Roman" w:hAnsi="Times New Roman" w:cs="Times New Roman"/>
                <w:kern w:val="0"/>
                <w:sz w:val="24"/>
                <w:szCs w:val="24"/>
                <w:vertAlign w:val="superscript"/>
              </w:rPr>
              <w:t>51,52,55,56</w:t>
            </w:r>
            <w:r w:rsidRPr="001A5FC7">
              <w:rPr>
                <w:rFonts w:ascii="Times New Roman" w:hAnsi="Times New Roman" w:cs="Times New Roman"/>
                <w:iCs/>
              </w:rPr>
              <w:fldChar w:fldCharType="end"/>
            </w:r>
            <w:r w:rsidRPr="001A5FC7">
              <w:rPr>
                <w:rFonts w:ascii="Times New Roman" w:hAnsi="Times New Roman" w:cs="Times New Roman"/>
                <w:iCs/>
                <w:sz w:val="24"/>
                <w:szCs w:val="24"/>
              </w:rPr>
              <w:t xml:space="preserve"> </w:t>
            </w:r>
          </w:p>
        </w:tc>
      </w:tr>
      <w:tr w:rsidR="001D05E2" w:rsidRPr="001A5FC7" w14:paraId="09AC230D" w14:textId="77777777" w:rsidTr="00360B83">
        <w:tc>
          <w:tcPr>
            <w:tcW w:w="2970" w:type="dxa"/>
          </w:tcPr>
          <w:p w14:paraId="4F1369C4"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Diesel emission factor</w:t>
            </w:r>
          </w:p>
        </w:tc>
        <w:tc>
          <w:tcPr>
            <w:tcW w:w="3150" w:type="dxa"/>
          </w:tcPr>
          <w:p w14:paraId="36CD6B61"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2.7 kg CO</w:t>
            </w:r>
            <w:r w:rsidRPr="001A5FC7">
              <w:rPr>
                <w:rFonts w:ascii="Times New Roman" w:hAnsi="Times New Roman" w:cs="Times New Roman"/>
                <w:iCs/>
                <w:sz w:val="24"/>
                <w:szCs w:val="24"/>
                <w:vertAlign w:val="subscript"/>
              </w:rPr>
              <w:t>2</w:t>
            </w:r>
            <w:r w:rsidRPr="001A5FC7">
              <w:rPr>
                <w:rFonts w:ascii="Times New Roman" w:hAnsi="Times New Roman" w:cs="Times New Roman"/>
                <w:iCs/>
                <w:sz w:val="24"/>
                <w:szCs w:val="24"/>
              </w:rPr>
              <w:t>/liter (10.21 kg CO</w:t>
            </w:r>
            <w:r w:rsidRPr="001A5FC7">
              <w:rPr>
                <w:rFonts w:ascii="Times New Roman" w:hAnsi="Times New Roman" w:cs="Times New Roman"/>
                <w:iCs/>
                <w:sz w:val="24"/>
                <w:szCs w:val="24"/>
                <w:vertAlign w:val="subscript"/>
              </w:rPr>
              <w:t>2</w:t>
            </w:r>
            <w:r w:rsidRPr="001A5FC7">
              <w:rPr>
                <w:rFonts w:ascii="Times New Roman" w:hAnsi="Times New Roman" w:cs="Times New Roman"/>
                <w:iCs/>
                <w:sz w:val="24"/>
                <w:szCs w:val="24"/>
              </w:rPr>
              <w:t xml:space="preserve"> per gallon)</w:t>
            </w:r>
          </w:p>
        </w:tc>
        <w:tc>
          <w:tcPr>
            <w:tcW w:w="3240" w:type="dxa"/>
          </w:tcPr>
          <w:p w14:paraId="019D46A7" w14:textId="38229E42"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USEPA 2014</w:t>
            </w:r>
            <w:r w:rsidRPr="001A5FC7">
              <w:rPr>
                <w:rFonts w:ascii="Times New Roman" w:hAnsi="Times New Roman" w:cs="Times New Roman"/>
                <w:iCs/>
              </w:rPr>
              <w:fldChar w:fldCharType="begin"/>
            </w:r>
            <w:r w:rsidR="006B64BF" w:rsidRPr="001A5FC7">
              <w:rPr>
                <w:rFonts w:ascii="Times New Roman" w:hAnsi="Times New Roman" w:cs="Times New Roman"/>
                <w:iCs/>
                <w:sz w:val="24"/>
                <w:szCs w:val="24"/>
              </w:rPr>
              <w:instrText xml:space="preserve"> ADDIN ZOTERO_ITEM CSL_CITATION {"citationID":"4PXUi5k3","properties":{"formattedCitation":"\\super 57\\nosupersub{}","plainCitation":"57","noteIndex":0},"citationItems":[{"id":67,"uris":["http://zotero.org/users/18184231/items/USTIF8UT"],"itemData":{"id":67,"type":"webpage","language":"en","title":"Emission Factors for Greenhouse Gas Inventories","author":[{"family":"United States Environmental Protection Agency (EPA)","given":""}],"issued":{"date-parts":[["2014"]]}}}],"schema":"https://github.com/citation-style-language/schema/raw/master/csl-citation.json"} </w:instrText>
            </w:r>
            <w:r w:rsidRPr="001A5FC7">
              <w:rPr>
                <w:rFonts w:ascii="Times New Roman" w:hAnsi="Times New Roman" w:cs="Times New Roman"/>
                <w:iCs/>
              </w:rPr>
              <w:fldChar w:fldCharType="separate"/>
            </w:r>
            <w:r w:rsidR="006B64BF" w:rsidRPr="001A5FC7">
              <w:rPr>
                <w:rFonts w:ascii="Times New Roman" w:hAnsi="Times New Roman" w:cs="Times New Roman"/>
                <w:kern w:val="0"/>
                <w:sz w:val="24"/>
                <w:szCs w:val="24"/>
                <w:vertAlign w:val="superscript"/>
              </w:rPr>
              <w:t>57</w:t>
            </w:r>
            <w:r w:rsidRPr="001A5FC7">
              <w:rPr>
                <w:rFonts w:ascii="Times New Roman" w:hAnsi="Times New Roman" w:cs="Times New Roman"/>
                <w:iCs/>
              </w:rPr>
              <w:fldChar w:fldCharType="end"/>
            </w:r>
            <w:r w:rsidRPr="001A5FC7">
              <w:rPr>
                <w:rFonts w:ascii="Times New Roman" w:hAnsi="Times New Roman" w:cs="Times New Roman"/>
                <w:iCs/>
                <w:sz w:val="24"/>
                <w:szCs w:val="24"/>
              </w:rPr>
              <w:t>, CO</w:t>
            </w:r>
            <w:r w:rsidRPr="001A5FC7">
              <w:rPr>
                <w:rFonts w:ascii="Times New Roman" w:hAnsi="Times New Roman" w:cs="Times New Roman"/>
                <w:iCs/>
                <w:sz w:val="24"/>
                <w:szCs w:val="24"/>
                <w:vertAlign w:val="subscript"/>
              </w:rPr>
              <w:t xml:space="preserve">2 </w:t>
            </w:r>
            <w:r w:rsidRPr="001A5FC7">
              <w:rPr>
                <w:rFonts w:ascii="Times New Roman" w:hAnsi="Times New Roman" w:cs="Times New Roman"/>
                <w:iCs/>
                <w:sz w:val="24"/>
                <w:szCs w:val="24"/>
              </w:rPr>
              <w:t>only, does not include upstream emissions associated with fuel production</w:t>
            </w:r>
          </w:p>
        </w:tc>
      </w:tr>
      <w:tr w:rsidR="001D05E2" w:rsidRPr="001A5FC7" w14:paraId="35A740FE" w14:textId="77777777" w:rsidTr="00360B83">
        <w:tc>
          <w:tcPr>
            <w:tcW w:w="2970" w:type="dxa"/>
          </w:tcPr>
          <w:p w14:paraId="2BC96DE9"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Emissions per km</w:t>
            </w:r>
          </w:p>
        </w:tc>
        <w:tc>
          <w:tcPr>
            <w:tcW w:w="3150" w:type="dxa"/>
          </w:tcPr>
          <w:p w14:paraId="698A4DDC"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1.02 kg CO</w:t>
            </w:r>
            <w:r w:rsidRPr="001A5FC7">
              <w:rPr>
                <w:rFonts w:ascii="Times New Roman" w:hAnsi="Times New Roman" w:cs="Times New Roman"/>
                <w:iCs/>
                <w:sz w:val="24"/>
                <w:szCs w:val="24"/>
                <w:vertAlign w:val="subscript"/>
              </w:rPr>
              <w:t>2</w:t>
            </w:r>
            <w:r w:rsidRPr="001A5FC7">
              <w:rPr>
                <w:rFonts w:ascii="Times New Roman" w:hAnsi="Times New Roman" w:cs="Times New Roman"/>
                <w:iCs/>
                <w:sz w:val="24"/>
                <w:szCs w:val="24"/>
              </w:rPr>
              <w:t>/km in 2020, 1.12 kg CO</w:t>
            </w:r>
            <w:r w:rsidRPr="001A5FC7">
              <w:rPr>
                <w:rFonts w:ascii="Times New Roman" w:hAnsi="Times New Roman" w:cs="Times New Roman"/>
                <w:iCs/>
                <w:sz w:val="24"/>
                <w:szCs w:val="24"/>
                <w:vertAlign w:val="subscript"/>
              </w:rPr>
              <w:t>2</w:t>
            </w:r>
            <w:r w:rsidRPr="001A5FC7">
              <w:rPr>
                <w:rFonts w:ascii="Times New Roman" w:hAnsi="Times New Roman" w:cs="Times New Roman"/>
                <w:iCs/>
                <w:sz w:val="24"/>
                <w:szCs w:val="24"/>
              </w:rPr>
              <w:t>/km in 2005 and 1990</w:t>
            </w:r>
          </w:p>
        </w:tc>
        <w:tc>
          <w:tcPr>
            <w:tcW w:w="3240" w:type="dxa"/>
          </w:tcPr>
          <w:p w14:paraId="79D9DAAE"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Calculated</w:t>
            </w:r>
          </w:p>
        </w:tc>
      </w:tr>
      <w:tr w:rsidR="001D05E2" w:rsidRPr="001A5FC7" w14:paraId="0605BD36" w14:textId="77777777" w:rsidTr="00360B83">
        <w:tc>
          <w:tcPr>
            <w:tcW w:w="2970" w:type="dxa"/>
          </w:tcPr>
          <w:p w14:paraId="6C752CCF"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Emissions per metric ton-km based on 20 metric ton load and one-way haul distance</w:t>
            </w:r>
          </w:p>
        </w:tc>
        <w:tc>
          <w:tcPr>
            <w:tcW w:w="3150" w:type="dxa"/>
          </w:tcPr>
          <w:p w14:paraId="6644E78D"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0.0512, 0.0562 and 0.0560 kg CO</w:t>
            </w:r>
            <w:r w:rsidRPr="001A5FC7">
              <w:rPr>
                <w:rFonts w:ascii="Times New Roman" w:hAnsi="Times New Roman" w:cs="Times New Roman"/>
                <w:iCs/>
                <w:sz w:val="24"/>
                <w:szCs w:val="24"/>
                <w:vertAlign w:val="subscript"/>
              </w:rPr>
              <w:t>2</w:t>
            </w:r>
            <w:r w:rsidRPr="001A5FC7">
              <w:rPr>
                <w:rFonts w:ascii="Times New Roman" w:hAnsi="Times New Roman" w:cs="Times New Roman"/>
                <w:iCs/>
                <w:sz w:val="24"/>
                <w:szCs w:val="24"/>
              </w:rPr>
              <w:t xml:space="preserve"> per metric ton-km for 1990, 2005, and 2020 respectively</w:t>
            </w:r>
          </w:p>
        </w:tc>
        <w:tc>
          <w:tcPr>
            <w:tcW w:w="3240" w:type="dxa"/>
          </w:tcPr>
          <w:p w14:paraId="7C73EADB" w14:textId="77777777" w:rsidR="001D05E2" w:rsidRPr="001A5FC7" w:rsidRDefault="001D05E2" w:rsidP="001D05E2">
            <w:pPr>
              <w:spacing w:line="276" w:lineRule="auto"/>
              <w:rPr>
                <w:rFonts w:ascii="Times New Roman" w:hAnsi="Times New Roman" w:cs="Times New Roman"/>
                <w:iCs/>
                <w:sz w:val="24"/>
                <w:szCs w:val="24"/>
              </w:rPr>
            </w:pPr>
            <w:r w:rsidRPr="001A5FC7">
              <w:rPr>
                <w:rFonts w:ascii="Times New Roman" w:hAnsi="Times New Roman" w:cs="Times New Roman"/>
                <w:iCs/>
                <w:sz w:val="24"/>
                <w:szCs w:val="24"/>
              </w:rPr>
              <w:t xml:space="preserve">Calculated </w:t>
            </w:r>
          </w:p>
        </w:tc>
      </w:tr>
    </w:tbl>
    <w:p w14:paraId="25387897" w14:textId="77777777" w:rsidR="001D05E2" w:rsidRDefault="001D05E2" w:rsidP="001D05E2">
      <w:pPr>
        <w:spacing w:line="276" w:lineRule="auto"/>
        <w:rPr>
          <w:rFonts w:ascii="Times New Roman" w:eastAsia="Times New Roman" w:hAnsi="Times New Roman" w:cs="Times New Roman"/>
          <w:bCs/>
          <w:iCs/>
          <w:kern w:val="0"/>
          <w14:ligatures w14:val="none"/>
        </w:rPr>
      </w:pPr>
    </w:p>
    <w:p w14:paraId="192AB4CB" w14:textId="77777777" w:rsidR="00D4391E" w:rsidRDefault="00D4391E" w:rsidP="001D05E2">
      <w:pPr>
        <w:spacing w:line="276" w:lineRule="auto"/>
        <w:rPr>
          <w:rFonts w:ascii="Times New Roman" w:eastAsia="Times New Roman" w:hAnsi="Times New Roman" w:cs="Times New Roman"/>
          <w:bCs/>
          <w:iCs/>
          <w:kern w:val="0"/>
          <w14:ligatures w14:val="none"/>
        </w:rPr>
      </w:pPr>
    </w:p>
    <w:p w14:paraId="027706A3" w14:textId="32C5B5D3" w:rsidR="001D05E2" w:rsidRPr="001D05E2" w:rsidRDefault="001D05E2" w:rsidP="001D05E2">
      <w:pPr>
        <w:jc w:val="center"/>
        <w:rPr>
          <w:rFonts w:ascii="Times New Roman" w:hAnsi="Times New Roman" w:cs="Times New Roman"/>
          <w:bCs/>
        </w:rPr>
      </w:pPr>
      <w:r w:rsidRPr="001D05E2">
        <w:rPr>
          <w:rFonts w:ascii="Times New Roman" w:hAnsi="Times New Roman" w:cs="Times New Roman"/>
          <w:b/>
        </w:rPr>
        <w:t xml:space="preserve">Table </w:t>
      </w:r>
      <w:r w:rsidR="00D4391E">
        <w:rPr>
          <w:rFonts w:ascii="Times New Roman" w:hAnsi="Times New Roman" w:cs="Times New Roman"/>
          <w:b/>
        </w:rPr>
        <w:t>S53</w:t>
      </w:r>
      <w:r w:rsidRPr="001D05E2">
        <w:rPr>
          <w:rFonts w:ascii="Times New Roman" w:hAnsi="Times New Roman" w:cs="Times New Roman"/>
          <w:b/>
        </w:rPr>
        <w:t>.</w:t>
      </w:r>
      <w:r w:rsidRPr="001D05E2">
        <w:rPr>
          <w:rFonts w:ascii="Times New Roman" w:hAnsi="Times New Roman" w:cs="Times New Roman"/>
          <w:bCs/>
        </w:rPr>
        <w:t xml:space="preserve"> Emission Factors for a Mix of Truck and Rail Transport for Forest Products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765"/>
        <w:gridCol w:w="1440"/>
        <w:gridCol w:w="1530"/>
        <w:gridCol w:w="1615"/>
      </w:tblGrid>
      <w:tr w:rsidR="001D05E2" w:rsidRPr="001D05E2" w14:paraId="439B35E8" w14:textId="77777777" w:rsidTr="00360B83">
        <w:tc>
          <w:tcPr>
            <w:tcW w:w="4765" w:type="dxa"/>
            <w:vMerge w:val="restart"/>
            <w:shd w:val="clear" w:color="auto" w:fill="D9D9D9" w:themeFill="background1" w:themeFillShade="D9"/>
            <w:vAlign w:val="bottom"/>
          </w:tcPr>
          <w:p w14:paraId="2B463D2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SCTG Commodity Code – Description</w:t>
            </w:r>
          </w:p>
        </w:tc>
        <w:tc>
          <w:tcPr>
            <w:tcW w:w="4585" w:type="dxa"/>
            <w:gridSpan w:val="3"/>
            <w:shd w:val="clear" w:color="auto" w:fill="D9D9D9" w:themeFill="background1" w:themeFillShade="D9"/>
          </w:tcPr>
          <w:p w14:paraId="40A50C3D"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Emission Factor for a Mix of Truck and Rail Transport</w:t>
            </w:r>
          </w:p>
          <w:p w14:paraId="16D34F70"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(kg CO</w:t>
            </w:r>
            <w:r w:rsidRPr="001D05E2">
              <w:rPr>
                <w:rFonts w:ascii="Times New Roman" w:hAnsi="Times New Roman" w:cs="Times New Roman"/>
                <w:bCs/>
                <w:vertAlign w:val="subscript"/>
              </w:rPr>
              <w:t>2</w:t>
            </w:r>
            <w:r w:rsidRPr="001D05E2">
              <w:rPr>
                <w:rFonts w:ascii="Times New Roman" w:hAnsi="Times New Roman" w:cs="Times New Roman"/>
                <w:bCs/>
              </w:rPr>
              <w:t xml:space="preserve"> per metric ton-km)</w:t>
            </w:r>
          </w:p>
        </w:tc>
      </w:tr>
      <w:tr w:rsidR="001D05E2" w:rsidRPr="001D05E2" w14:paraId="1728FC78" w14:textId="77777777" w:rsidTr="00360B83">
        <w:tc>
          <w:tcPr>
            <w:tcW w:w="4765" w:type="dxa"/>
            <w:vMerge/>
          </w:tcPr>
          <w:p w14:paraId="346FE44B" w14:textId="77777777" w:rsidR="001D05E2" w:rsidRPr="001D05E2" w:rsidRDefault="001D05E2" w:rsidP="001D05E2">
            <w:pPr>
              <w:spacing w:line="278" w:lineRule="auto"/>
              <w:rPr>
                <w:rFonts w:ascii="Times New Roman" w:hAnsi="Times New Roman" w:cs="Times New Roman"/>
                <w:bCs/>
              </w:rPr>
            </w:pPr>
          </w:p>
        </w:tc>
        <w:tc>
          <w:tcPr>
            <w:tcW w:w="1440" w:type="dxa"/>
            <w:shd w:val="clear" w:color="auto" w:fill="D9D9D9" w:themeFill="background1" w:themeFillShade="D9"/>
          </w:tcPr>
          <w:p w14:paraId="4395D10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1990</w:t>
            </w:r>
          </w:p>
        </w:tc>
        <w:tc>
          <w:tcPr>
            <w:tcW w:w="1530" w:type="dxa"/>
            <w:shd w:val="clear" w:color="auto" w:fill="D9D9D9" w:themeFill="background1" w:themeFillShade="D9"/>
          </w:tcPr>
          <w:p w14:paraId="658029AB"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2005</w:t>
            </w:r>
          </w:p>
        </w:tc>
        <w:tc>
          <w:tcPr>
            <w:tcW w:w="1615" w:type="dxa"/>
            <w:shd w:val="clear" w:color="auto" w:fill="D9D9D9" w:themeFill="background1" w:themeFillShade="D9"/>
          </w:tcPr>
          <w:p w14:paraId="00CB6D33"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2020</w:t>
            </w:r>
          </w:p>
        </w:tc>
      </w:tr>
      <w:tr w:rsidR="001D05E2" w:rsidRPr="001D05E2" w14:paraId="6E52329E" w14:textId="77777777" w:rsidTr="00360B83">
        <w:tc>
          <w:tcPr>
            <w:tcW w:w="4765" w:type="dxa"/>
          </w:tcPr>
          <w:p w14:paraId="1A6A514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SCTG 26 – Wood products</w:t>
            </w:r>
          </w:p>
        </w:tc>
        <w:tc>
          <w:tcPr>
            <w:tcW w:w="1440" w:type="dxa"/>
          </w:tcPr>
          <w:p w14:paraId="7BBBD86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0.0515</w:t>
            </w:r>
          </w:p>
        </w:tc>
        <w:tc>
          <w:tcPr>
            <w:tcW w:w="1530" w:type="dxa"/>
          </w:tcPr>
          <w:p w14:paraId="706AE3CA"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0.0511</w:t>
            </w:r>
          </w:p>
        </w:tc>
        <w:tc>
          <w:tcPr>
            <w:tcW w:w="1615" w:type="dxa"/>
          </w:tcPr>
          <w:p w14:paraId="4FB1AD4D"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0.0464</w:t>
            </w:r>
          </w:p>
        </w:tc>
      </w:tr>
      <w:tr w:rsidR="001D05E2" w:rsidRPr="001D05E2" w14:paraId="19CC16B3" w14:textId="77777777" w:rsidTr="00360B83">
        <w:tc>
          <w:tcPr>
            <w:tcW w:w="4765" w:type="dxa"/>
          </w:tcPr>
          <w:p w14:paraId="626CDAD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SCTG 27 – Pulp, newsprint, paper, and paperboard</w:t>
            </w:r>
          </w:p>
        </w:tc>
        <w:tc>
          <w:tcPr>
            <w:tcW w:w="1440" w:type="dxa"/>
          </w:tcPr>
          <w:p w14:paraId="05139B3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0.0501</w:t>
            </w:r>
          </w:p>
        </w:tc>
        <w:tc>
          <w:tcPr>
            <w:tcW w:w="1530" w:type="dxa"/>
          </w:tcPr>
          <w:p w14:paraId="5C360FD4"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0.0495</w:t>
            </w:r>
          </w:p>
        </w:tc>
        <w:tc>
          <w:tcPr>
            <w:tcW w:w="1615" w:type="dxa"/>
          </w:tcPr>
          <w:p w14:paraId="210A0E1C"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0.0449</w:t>
            </w:r>
          </w:p>
        </w:tc>
      </w:tr>
      <w:tr w:rsidR="001D05E2" w:rsidRPr="001D05E2" w14:paraId="550A2EE9" w14:textId="77777777" w:rsidTr="00360B83">
        <w:tc>
          <w:tcPr>
            <w:tcW w:w="4765" w:type="dxa"/>
          </w:tcPr>
          <w:p w14:paraId="458F924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SCTG 28 – Paper or paperboard articles</w:t>
            </w:r>
          </w:p>
        </w:tc>
        <w:tc>
          <w:tcPr>
            <w:tcW w:w="1440" w:type="dxa"/>
          </w:tcPr>
          <w:p w14:paraId="2FEC02B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0.0546</w:t>
            </w:r>
          </w:p>
        </w:tc>
        <w:tc>
          <w:tcPr>
            <w:tcW w:w="1530" w:type="dxa"/>
          </w:tcPr>
          <w:p w14:paraId="0C31EF0B"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0.0546</w:t>
            </w:r>
          </w:p>
        </w:tc>
        <w:tc>
          <w:tcPr>
            <w:tcW w:w="1615" w:type="dxa"/>
          </w:tcPr>
          <w:p w14:paraId="72AC3F6D"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0.0497</w:t>
            </w:r>
          </w:p>
        </w:tc>
      </w:tr>
      <w:tr w:rsidR="001D05E2" w:rsidRPr="001D05E2" w14:paraId="7737E6CD" w14:textId="77777777" w:rsidTr="00360B83">
        <w:tc>
          <w:tcPr>
            <w:tcW w:w="4765" w:type="dxa"/>
          </w:tcPr>
          <w:p w14:paraId="02B6734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SCTG 29 – Printed products</w:t>
            </w:r>
          </w:p>
        </w:tc>
        <w:tc>
          <w:tcPr>
            <w:tcW w:w="1440" w:type="dxa"/>
          </w:tcPr>
          <w:p w14:paraId="2C71C52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0.0560</w:t>
            </w:r>
          </w:p>
        </w:tc>
        <w:tc>
          <w:tcPr>
            <w:tcW w:w="1530" w:type="dxa"/>
          </w:tcPr>
          <w:p w14:paraId="23A48EBC"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0.0562</w:t>
            </w:r>
          </w:p>
        </w:tc>
        <w:tc>
          <w:tcPr>
            <w:tcW w:w="1615" w:type="dxa"/>
          </w:tcPr>
          <w:p w14:paraId="7B04838E" w14:textId="77777777" w:rsidR="001D05E2" w:rsidRPr="001D05E2" w:rsidRDefault="001D05E2" w:rsidP="001D05E2">
            <w:pPr>
              <w:spacing w:line="278" w:lineRule="auto"/>
              <w:jc w:val="center"/>
              <w:rPr>
                <w:rFonts w:ascii="Times New Roman" w:hAnsi="Times New Roman" w:cs="Times New Roman"/>
                <w:bCs/>
              </w:rPr>
            </w:pPr>
            <w:r w:rsidRPr="001D05E2">
              <w:rPr>
                <w:rFonts w:ascii="Times New Roman" w:hAnsi="Times New Roman" w:cs="Times New Roman"/>
                <w:bCs/>
              </w:rPr>
              <w:t>0.0512</w:t>
            </w:r>
          </w:p>
        </w:tc>
      </w:tr>
    </w:tbl>
    <w:p w14:paraId="369E4F5E" w14:textId="77777777" w:rsidR="001D05E2" w:rsidRPr="001D05E2" w:rsidRDefault="001D05E2" w:rsidP="001D05E2">
      <w:pPr>
        <w:rPr>
          <w:rFonts w:ascii="Times New Roman" w:hAnsi="Times New Roman" w:cs="Times New Roman"/>
          <w:bCs/>
        </w:rPr>
      </w:pPr>
    </w:p>
    <w:p w14:paraId="72579D97" w14:textId="62F2E6F8" w:rsidR="001D05E2" w:rsidRPr="001D05E2" w:rsidRDefault="001D05E2" w:rsidP="001D05E2">
      <w:pPr>
        <w:rPr>
          <w:rFonts w:ascii="Times New Roman" w:hAnsi="Times New Roman" w:cs="Times New Roman"/>
          <w:bCs/>
          <w:color w:val="EE0000"/>
        </w:rPr>
      </w:pPr>
      <w:r w:rsidRPr="001D05E2">
        <w:rPr>
          <w:rFonts w:ascii="Times New Roman" w:hAnsi="Times New Roman" w:cs="Times New Roman"/>
          <w:bCs/>
        </w:rPr>
        <w:t>Emissions associated w</w:t>
      </w:r>
      <w:r w:rsidR="006B6922">
        <w:rPr>
          <w:rFonts w:ascii="Times New Roman" w:hAnsi="Times New Roman" w:cs="Times New Roman"/>
          <w:bCs/>
        </w:rPr>
        <w:t>i</w:t>
      </w:r>
      <w:r w:rsidRPr="001D05E2">
        <w:rPr>
          <w:rFonts w:ascii="Times New Roman" w:hAnsi="Times New Roman" w:cs="Times New Roman"/>
          <w:bCs/>
        </w:rPr>
        <w:t>th transporting pellets were estimated separately as described in the Methods Section of the Paper.</w:t>
      </w:r>
    </w:p>
    <w:p w14:paraId="26459EE5" w14:textId="77777777" w:rsidR="001D05E2" w:rsidRPr="002D10B0" w:rsidRDefault="001D05E2" w:rsidP="00590ED8">
      <w:pPr>
        <w:pStyle w:val="Heading2"/>
        <w:rPr>
          <w:rFonts w:ascii="Times New Roman" w:hAnsi="Times New Roman" w:cs="Times New Roman"/>
          <w:b/>
          <w:bCs/>
          <w:color w:val="auto"/>
          <w:sz w:val="24"/>
          <w:szCs w:val="24"/>
        </w:rPr>
      </w:pPr>
      <w:bookmarkStart w:id="81" w:name="_Toc174876832"/>
      <w:bookmarkStart w:id="82" w:name="_Toc215829625"/>
      <w:r w:rsidRPr="002D10B0">
        <w:rPr>
          <w:rFonts w:ascii="Times New Roman" w:hAnsi="Times New Roman" w:cs="Times New Roman"/>
          <w:b/>
          <w:bCs/>
          <w:color w:val="auto"/>
          <w:sz w:val="24"/>
          <w:szCs w:val="24"/>
        </w:rPr>
        <w:t>Transport Emissions from Paper Product Shipments</w:t>
      </w:r>
      <w:bookmarkEnd w:id="81"/>
      <w:bookmarkEnd w:id="82"/>
    </w:p>
    <w:p w14:paraId="57ED868A" w14:textId="2FA5E0D6"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AF&amp;PA reports that in 2017 the US industry produced 71.9 million metric tons of paper and paperboard (including newsprint) and 8.3 million metric tons of market pulp </w:t>
      </w:r>
      <w:r w:rsidRPr="001D05E2">
        <w:rPr>
          <w:rFonts w:ascii="Times New Roman" w:hAnsi="Times New Roman" w:cs="Times New Roman"/>
          <w:bCs/>
        </w:rPr>
        <w:fldChar w:fldCharType="begin"/>
      </w:r>
      <w:r w:rsidR="00092B8E">
        <w:rPr>
          <w:rFonts w:ascii="Times New Roman" w:hAnsi="Times New Roman" w:cs="Times New Roman"/>
          <w:bCs/>
        </w:rPr>
        <w:instrText xml:space="preserve"> ADDIN ZOTERO_ITEM CSL_CITATION {"citationID":"zU624qkU","properties":{"formattedCitation":"\\super 19\\nosupersub{}","plainCitation":"19","noteIndex":0},"citationItems":[{"id":41,"uris":["http://zotero.org/users/local/T7KBDEDi/items/GHF986PY","http://zotero.org/users/18184231/items/GHF986PY"],"itemData":{"id":41,"type":"report","publisher":"AF&amp;PA (American Forest and Paper Association), Washington D.C","title":"2020 Statistics, Paper, Paperboard &amp; Pulp","author":[{"family":"American Forest and Paper Association (AF&amp;PA)","given":""}],"issued":{"date-parts":[["2021"]]}}}],"schema":"https://github.com/citation-style-language/schema/raw/master/csl-citation.json"}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19</w:t>
      </w:r>
      <w:r w:rsidRPr="001D05E2">
        <w:rPr>
          <w:rFonts w:ascii="Times New Roman" w:hAnsi="Times New Roman" w:cs="Times New Roman"/>
          <w:bCs/>
        </w:rPr>
        <w:fldChar w:fldCharType="end"/>
      </w:r>
      <w:r w:rsidRPr="001D05E2">
        <w:rPr>
          <w:rFonts w:ascii="Times New Roman" w:hAnsi="Times New Roman" w:cs="Times New Roman"/>
          <w:bCs/>
        </w:rPr>
        <w:t>. US mills, therefore, shipped 80.2 million metric tons of primary product in 2017. By comparison, the CFS indicates that, in 2017, shipments of pulp, newsprint, paper, and paperboard (SCTG 27) equaled 126 million metric tons</w:t>
      </w:r>
      <w:r w:rsidRPr="001D05E2">
        <w:rPr>
          <w:rFonts w:ascii="Times New Roman" w:hAnsi="Times New Roman" w:cs="Times New Roman"/>
          <w:bCs/>
        </w:rPr>
        <w:fldChar w:fldCharType="begin"/>
      </w:r>
      <w:r w:rsidR="00092B8E">
        <w:rPr>
          <w:rFonts w:ascii="Times New Roman" w:hAnsi="Times New Roman" w:cs="Times New Roman"/>
          <w:bCs/>
        </w:rPr>
        <w:instrText xml:space="preserve"> ADDIN ZOTERO_ITEM CSL_CITATION {"citationID":"OhZyTR6u","properties":{"formattedCitation":"\\super 43\\nosupersub{}","plainCitation":"43","noteIndex":0},"citationItems":[{"id":32,"uris":["http://zotero.org/users/local/T7KBDEDi/items/J3GU457X","http://zotero.org/users/18184231/items/J3GU457X"],"itemData":{"id":32,"type":"webpage","abstract":"Stats displayed in columns and rows with title, ID, notes, sources and release date. Many tables are in downloadable XLS, CVS and PDF file formats.","container-title":"Census.gov","language":"en","note":"section: Government","title":"Commodity Flow Survey Tables","URL":"https://www.census.gov/programs-surveys/cfs/data/tables.html","author":[{"family":"United States Census Bureau","given":""}],"accessed":{"date-parts":[["2025",9,25]]},"issued":{"date-parts":[["2025"]]}}}],"schema":"https://github.com/citation-style-language/schema/raw/master/csl-citation.json"} </w:instrText>
      </w:r>
      <w:r w:rsidRPr="001D05E2">
        <w:rPr>
          <w:rFonts w:ascii="Times New Roman" w:hAnsi="Times New Roman" w:cs="Times New Roman"/>
          <w:bCs/>
        </w:rPr>
        <w:fldChar w:fldCharType="separate"/>
      </w:r>
      <w:r w:rsidR="006B64BF" w:rsidRPr="006B64BF">
        <w:rPr>
          <w:rFonts w:ascii="Times New Roman" w:hAnsi="Times New Roman" w:cs="Times New Roman"/>
          <w:kern w:val="0"/>
          <w:vertAlign w:val="superscript"/>
        </w:rPr>
        <w:t>43</w:t>
      </w:r>
      <w:r w:rsidRPr="001D05E2">
        <w:rPr>
          <w:rFonts w:ascii="Times New Roman" w:hAnsi="Times New Roman" w:cs="Times New Roman"/>
          <w:bCs/>
        </w:rPr>
        <w:fldChar w:fldCharType="end"/>
      </w:r>
      <w:r w:rsidRPr="001D05E2">
        <w:rPr>
          <w:rFonts w:ascii="Times New Roman" w:hAnsi="Times New Roman" w:cs="Times New Roman"/>
          <w:bCs/>
        </w:rPr>
        <w:t xml:space="preserve">. Of this, 70% or 88 million metric tons were from NAICS 322, which includes pulp, paper, and paperboard mills as well as a variety of converting operations. An additional 26% of the total shipments of SCTG 27 </w:t>
      </w:r>
      <w:proofErr w:type="gramStart"/>
      <w:r w:rsidRPr="001D05E2">
        <w:rPr>
          <w:rFonts w:ascii="Times New Roman" w:hAnsi="Times New Roman" w:cs="Times New Roman"/>
          <w:bCs/>
        </w:rPr>
        <w:t>was</w:t>
      </w:r>
      <w:proofErr w:type="gramEnd"/>
      <w:r w:rsidRPr="001D05E2">
        <w:rPr>
          <w:rFonts w:ascii="Times New Roman" w:hAnsi="Times New Roman" w:cs="Times New Roman"/>
          <w:bCs/>
        </w:rPr>
        <w:t xml:space="preserve"> from merchant wholesalers of durable and nondurable goods. The shipments of pulp, newsprint, paper, and paperboard (SCTG 27) from NAICS 322 (88 million metric tons) are much closer to the annual production (80.2 million metric tons) than is the case for wood products, discussed earlier.</w:t>
      </w:r>
    </w:p>
    <w:p w14:paraId="4E4F43AF" w14:textId="77777777" w:rsidR="001D05E2" w:rsidRPr="001D05E2" w:rsidRDefault="001D05E2" w:rsidP="001D05E2">
      <w:pPr>
        <w:rPr>
          <w:rFonts w:ascii="Times New Roman" w:hAnsi="Times New Roman" w:cs="Times New Roman"/>
          <w:bCs/>
        </w:rPr>
      </w:pPr>
      <w:r w:rsidRPr="001D05E2">
        <w:rPr>
          <w:rFonts w:ascii="Times New Roman" w:hAnsi="Times New Roman" w:cs="Times New Roman"/>
          <w:bCs/>
        </w:rPr>
        <w:t>As noted previously for wood products, one must be aware of the potential for the data to be impacted by (1) non-paper components of some items in SCTG 27 and (2) imports and exports.</w:t>
      </w:r>
    </w:p>
    <w:p w14:paraId="51E46B76" w14:textId="77777777"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These shipments of paper products (SCTG 27) are separate from the 74 million metric tons of shipments of “paper or paperboard articles” (SCTG 28), 67% of which were from paper and paperboard mills (i.e., NAICS 322) and 25% from merchant wholesalers. In addition, shipments of SCTG 28, printed products (which </w:t>
      </w:r>
      <w:proofErr w:type="gramStart"/>
      <w:r w:rsidRPr="001D05E2">
        <w:rPr>
          <w:rFonts w:ascii="Times New Roman" w:hAnsi="Times New Roman" w:cs="Times New Roman"/>
          <w:bCs/>
        </w:rPr>
        <w:t>includes</w:t>
      </w:r>
      <w:proofErr w:type="gramEnd"/>
      <w:r w:rsidRPr="001D05E2">
        <w:rPr>
          <w:rFonts w:ascii="Times New Roman" w:hAnsi="Times New Roman" w:cs="Times New Roman"/>
          <w:bCs/>
        </w:rPr>
        <w:t xml:space="preserve"> products printed on non-paper substrates) amounted to an additional 25 million metric tons in 2017.</w:t>
      </w:r>
    </w:p>
    <w:p w14:paraId="43AC2692" w14:textId="6752EDEE" w:rsidR="001D05E2" w:rsidRPr="001D05E2" w:rsidRDefault="001D05E2" w:rsidP="001D05E2">
      <w:pPr>
        <w:rPr>
          <w:rFonts w:ascii="Times New Roman" w:hAnsi="Times New Roman" w:cs="Times New Roman"/>
          <w:bCs/>
        </w:rPr>
      </w:pPr>
      <w:r w:rsidRPr="001D05E2">
        <w:rPr>
          <w:rFonts w:ascii="Times New Roman" w:hAnsi="Times New Roman" w:cs="Times New Roman"/>
          <w:bCs/>
        </w:rPr>
        <w:t xml:space="preserve">The data extracted from the CFS for paper and related </w:t>
      </w:r>
      <w:proofErr w:type="gramStart"/>
      <w:r w:rsidRPr="001D05E2">
        <w:rPr>
          <w:rFonts w:ascii="Times New Roman" w:hAnsi="Times New Roman" w:cs="Times New Roman"/>
          <w:bCs/>
        </w:rPr>
        <w:t>products,</w:t>
      </w:r>
      <w:proofErr w:type="gramEnd"/>
      <w:r w:rsidRPr="001D05E2">
        <w:rPr>
          <w:rFonts w:ascii="Times New Roman" w:hAnsi="Times New Roman" w:cs="Times New Roman"/>
          <w:bCs/>
        </w:rPr>
        <w:t xml:space="preserve"> are shown in Table </w:t>
      </w:r>
      <w:r w:rsidR="00D4391E">
        <w:rPr>
          <w:rFonts w:ascii="Times New Roman" w:hAnsi="Times New Roman" w:cs="Times New Roman"/>
          <w:bCs/>
        </w:rPr>
        <w:t>S54</w:t>
      </w:r>
      <w:r w:rsidRPr="001D05E2">
        <w:rPr>
          <w:rFonts w:ascii="Times New Roman" w:hAnsi="Times New Roman" w:cs="Times New Roman"/>
          <w:bCs/>
        </w:rPr>
        <w:t>.</w:t>
      </w:r>
      <w:r w:rsidR="006B6922">
        <w:rPr>
          <w:rFonts w:ascii="Times New Roman" w:hAnsi="Times New Roman" w:cs="Times New Roman"/>
          <w:bCs/>
        </w:rPr>
        <w:t xml:space="preserve"> </w:t>
      </w:r>
      <w:r w:rsidRPr="001D05E2">
        <w:rPr>
          <w:rFonts w:ascii="Times New Roman" w:hAnsi="Times New Roman" w:cs="Times New Roman"/>
          <w:bCs/>
        </w:rPr>
        <w:t xml:space="preserve">Emissions were calculated by multiplying these values by the appropriate emission factor in Table </w:t>
      </w:r>
      <w:r w:rsidR="00D4391E">
        <w:rPr>
          <w:rFonts w:ascii="Times New Roman" w:hAnsi="Times New Roman" w:cs="Times New Roman"/>
          <w:bCs/>
        </w:rPr>
        <w:t>S53</w:t>
      </w:r>
      <w:r w:rsidRPr="001D05E2">
        <w:rPr>
          <w:rFonts w:ascii="Times New Roman" w:hAnsi="Times New Roman" w:cs="Times New Roman"/>
          <w:bCs/>
        </w:rPr>
        <w:t>.</w:t>
      </w:r>
    </w:p>
    <w:p w14:paraId="3E508282" w14:textId="77777777" w:rsidR="001D05E2" w:rsidRPr="001D05E2" w:rsidRDefault="001D05E2" w:rsidP="001D05E2">
      <w:pPr>
        <w:rPr>
          <w:rFonts w:ascii="Times New Roman" w:hAnsi="Times New Roman" w:cs="Times New Roman"/>
          <w:bCs/>
        </w:rPr>
      </w:pPr>
    </w:p>
    <w:p w14:paraId="31AB9C67" w14:textId="77777777" w:rsidR="001D05E2" w:rsidRPr="001D05E2" w:rsidRDefault="001D05E2" w:rsidP="001D05E2">
      <w:pPr>
        <w:rPr>
          <w:rFonts w:ascii="Times New Roman" w:hAnsi="Times New Roman" w:cs="Times New Roman"/>
          <w:bCs/>
        </w:rPr>
        <w:sectPr w:rsidR="001D05E2" w:rsidRPr="001D05E2" w:rsidSect="006B6922">
          <w:headerReference w:type="default" r:id="rId40"/>
          <w:pgSz w:w="12240" w:h="15840"/>
          <w:pgMar w:top="1440" w:right="1440" w:bottom="1440" w:left="1440" w:header="720" w:footer="720" w:gutter="0"/>
          <w:pgNumType w:start="1"/>
          <w:cols w:space="720"/>
          <w:docGrid w:linePitch="360"/>
        </w:sectPr>
      </w:pPr>
    </w:p>
    <w:p w14:paraId="1F9BF9D4" w14:textId="35126134" w:rsidR="001D05E2" w:rsidRPr="001D05E2" w:rsidRDefault="001D05E2" w:rsidP="001D05E2">
      <w:pPr>
        <w:jc w:val="center"/>
        <w:rPr>
          <w:rFonts w:ascii="Times New Roman" w:hAnsi="Times New Roman" w:cs="Times New Roman"/>
          <w:bCs/>
        </w:rPr>
      </w:pPr>
      <w:r w:rsidRPr="00D4391E">
        <w:rPr>
          <w:rFonts w:ascii="Times New Roman" w:hAnsi="Times New Roman" w:cs="Times New Roman"/>
          <w:b/>
        </w:rPr>
        <w:lastRenderedPageBreak/>
        <w:t xml:space="preserve">Table </w:t>
      </w:r>
      <w:r w:rsidR="00D4391E" w:rsidRPr="00D4391E">
        <w:rPr>
          <w:rFonts w:ascii="Times New Roman" w:hAnsi="Times New Roman" w:cs="Times New Roman"/>
          <w:b/>
        </w:rPr>
        <w:t>S54</w:t>
      </w:r>
      <w:r w:rsidRPr="00D4391E">
        <w:rPr>
          <w:rFonts w:ascii="Times New Roman" w:hAnsi="Times New Roman" w:cs="Times New Roman"/>
          <w:b/>
        </w:rPr>
        <w:t>.</w:t>
      </w:r>
      <w:r w:rsidRPr="001D05E2">
        <w:rPr>
          <w:rFonts w:ascii="Times New Roman" w:hAnsi="Times New Roman" w:cs="Times New Roman"/>
          <w:bCs/>
        </w:rPr>
        <w:t xml:space="preserve"> Shipping Data from the 2017 Commodity Flow Survey for Paper Products</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060"/>
        <w:gridCol w:w="1090"/>
        <w:gridCol w:w="1090"/>
        <w:gridCol w:w="1090"/>
        <w:gridCol w:w="1090"/>
        <w:gridCol w:w="1090"/>
        <w:gridCol w:w="1090"/>
        <w:gridCol w:w="1090"/>
        <w:gridCol w:w="1090"/>
        <w:gridCol w:w="1090"/>
      </w:tblGrid>
      <w:tr w:rsidR="001D05E2" w:rsidRPr="001D05E2" w14:paraId="5E146C66" w14:textId="77777777" w:rsidTr="00360B83">
        <w:trPr>
          <w:trHeight w:val="959"/>
        </w:trPr>
        <w:tc>
          <w:tcPr>
            <w:tcW w:w="3060" w:type="dxa"/>
            <w:shd w:val="clear" w:color="auto" w:fill="D9D9D9" w:themeFill="background1" w:themeFillShade="D9"/>
            <w:noWrap/>
            <w:hideMark/>
          </w:tcPr>
          <w:p w14:paraId="3DCC0EC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Commodity &gt;&gt;&gt;&gt;</w:t>
            </w:r>
          </w:p>
        </w:tc>
        <w:tc>
          <w:tcPr>
            <w:tcW w:w="3270" w:type="dxa"/>
            <w:gridSpan w:val="3"/>
            <w:shd w:val="clear" w:color="auto" w:fill="D9D9D9" w:themeFill="background1" w:themeFillShade="D9"/>
            <w:hideMark/>
          </w:tcPr>
          <w:p w14:paraId="585F130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Pulp, Newsprint, Paper, and Paperboard SCTG 27</w:t>
            </w:r>
          </w:p>
        </w:tc>
        <w:tc>
          <w:tcPr>
            <w:tcW w:w="3270" w:type="dxa"/>
            <w:gridSpan w:val="3"/>
            <w:shd w:val="clear" w:color="auto" w:fill="D9D9D9" w:themeFill="background1" w:themeFillShade="D9"/>
            <w:hideMark/>
          </w:tcPr>
          <w:p w14:paraId="5269B24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Paper or Paperboard Articles</w:t>
            </w:r>
            <w:r w:rsidRPr="001D05E2">
              <w:rPr>
                <w:rFonts w:ascii="Times New Roman" w:hAnsi="Times New Roman" w:cs="Times New Roman"/>
                <w:bCs/>
              </w:rPr>
              <w:br/>
              <w:t>SCTG 28</w:t>
            </w:r>
          </w:p>
        </w:tc>
        <w:tc>
          <w:tcPr>
            <w:tcW w:w="3270" w:type="dxa"/>
            <w:gridSpan w:val="3"/>
            <w:shd w:val="clear" w:color="auto" w:fill="D9D9D9" w:themeFill="background1" w:themeFillShade="D9"/>
            <w:hideMark/>
          </w:tcPr>
          <w:p w14:paraId="3BE8691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Printed Products</w:t>
            </w:r>
            <w:r w:rsidRPr="001D05E2">
              <w:rPr>
                <w:rFonts w:ascii="Times New Roman" w:hAnsi="Times New Roman" w:cs="Times New Roman"/>
                <w:bCs/>
              </w:rPr>
              <w:br/>
              <w:t>SCTG 29</w:t>
            </w:r>
          </w:p>
        </w:tc>
      </w:tr>
      <w:tr w:rsidR="001D05E2" w:rsidRPr="001D05E2" w14:paraId="60670A24" w14:textId="77777777" w:rsidTr="00360B83">
        <w:trPr>
          <w:cantSplit/>
          <w:trHeight w:val="1637"/>
        </w:trPr>
        <w:tc>
          <w:tcPr>
            <w:tcW w:w="3060" w:type="dxa"/>
            <w:shd w:val="clear" w:color="auto" w:fill="D9D9D9" w:themeFill="background1" w:themeFillShade="D9"/>
            <w:noWrap/>
            <w:hideMark/>
          </w:tcPr>
          <w:p w14:paraId="508F651D" w14:textId="77777777" w:rsidR="001D05E2" w:rsidRPr="001D05E2" w:rsidRDefault="001D05E2" w:rsidP="001D05E2">
            <w:pPr>
              <w:spacing w:line="278" w:lineRule="auto"/>
              <w:rPr>
                <w:rFonts w:ascii="Times New Roman" w:hAnsi="Times New Roman" w:cs="Times New Roman"/>
                <w:bCs/>
              </w:rPr>
            </w:pPr>
          </w:p>
          <w:p w14:paraId="2826DE2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NAICS code</w:t>
            </w:r>
          </w:p>
        </w:tc>
        <w:tc>
          <w:tcPr>
            <w:tcW w:w="1090" w:type="dxa"/>
            <w:shd w:val="clear" w:color="auto" w:fill="D9D9D9" w:themeFill="background1" w:themeFillShade="D9"/>
            <w:textDirection w:val="btLr"/>
            <w:hideMark/>
          </w:tcPr>
          <w:p w14:paraId="7624749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Metric tons (1000s)</w:t>
            </w:r>
          </w:p>
        </w:tc>
        <w:tc>
          <w:tcPr>
            <w:tcW w:w="1090" w:type="dxa"/>
            <w:shd w:val="clear" w:color="auto" w:fill="D9D9D9" w:themeFill="background1" w:themeFillShade="D9"/>
            <w:textDirection w:val="btLr"/>
            <w:hideMark/>
          </w:tcPr>
          <w:p w14:paraId="6F99FEE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Metric ton-km (millions)</w:t>
            </w:r>
          </w:p>
        </w:tc>
        <w:tc>
          <w:tcPr>
            <w:tcW w:w="1090" w:type="dxa"/>
            <w:shd w:val="clear" w:color="auto" w:fill="D9D9D9" w:themeFill="background1" w:themeFillShade="D9"/>
            <w:textDirection w:val="btLr"/>
            <w:hideMark/>
          </w:tcPr>
          <w:p w14:paraId="01D4BE5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Average km per shipment</w:t>
            </w:r>
          </w:p>
        </w:tc>
        <w:tc>
          <w:tcPr>
            <w:tcW w:w="1090" w:type="dxa"/>
            <w:shd w:val="clear" w:color="auto" w:fill="D9D9D9" w:themeFill="background1" w:themeFillShade="D9"/>
            <w:textDirection w:val="btLr"/>
            <w:hideMark/>
          </w:tcPr>
          <w:p w14:paraId="59978C3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Metric tons (1000s)</w:t>
            </w:r>
          </w:p>
        </w:tc>
        <w:tc>
          <w:tcPr>
            <w:tcW w:w="1090" w:type="dxa"/>
            <w:shd w:val="clear" w:color="auto" w:fill="D9D9D9" w:themeFill="background1" w:themeFillShade="D9"/>
            <w:textDirection w:val="btLr"/>
            <w:hideMark/>
          </w:tcPr>
          <w:p w14:paraId="25E9F33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Metric ton-km (millions)</w:t>
            </w:r>
          </w:p>
        </w:tc>
        <w:tc>
          <w:tcPr>
            <w:tcW w:w="1090" w:type="dxa"/>
            <w:shd w:val="clear" w:color="auto" w:fill="D9D9D9" w:themeFill="background1" w:themeFillShade="D9"/>
            <w:textDirection w:val="btLr"/>
            <w:hideMark/>
          </w:tcPr>
          <w:p w14:paraId="1B2382E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Average km per shipment</w:t>
            </w:r>
          </w:p>
        </w:tc>
        <w:tc>
          <w:tcPr>
            <w:tcW w:w="1090" w:type="dxa"/>
            <w:shd w:val="clear" w:color="auto" w:fill="D9D9D9" w:themeFill="background1" w:themeFillShade="D9"/>
            <w:textDirection w:val="btLr"/>
            <w:hideMark/>
          </w:tcPr>
          <w:p w14:paraId="3C61CB8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Metric tons (1000s)</w:t>
            </w:r>
          </w:p>
        </w:tc>
        <w:tc>
          <w:tcPr>
            <w:tcW w:w="1090" w:type="dxa"/>
            <w:shd w:val="clear" w:color="auto" w:fill="D9D9D9" w:themeFill="background1" w:themeFillShade="D9"/>
            <w:textDirection w:val="btLr"/>
            <w:hideMark/>
          </w:tcPr>
          <w:p w14:paraId="0ECA04A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Metric ton-km (millions)</w:t>
            </w:r>
          </w:p>
        </w:tc>
        <w:tc>
          <w:tcPr>
            <w:tcW w:w="1090" w:type="dxa"/>
            <w:shd w:val="clear" w:color="auto" w:fill="D9D9D9" w:themeFill="background1" w:themeFillShade="D9"/>
            <w:textDirection w:val="btLr"/>
            <w:hideMark/>
          </w:tcPr>
          <w:p w14:paraId="7721A29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Average km per shipment</w:t>
            </w:r>
          </w:p>
        </w:tc>
      </w:tr>
      <w:tr w:rsidR="001D05E2" w:rsidRPr="001D05E2" w14:paraId="33BA23FE" w14:textId="77777777" w:rsidTr="00360B83">
        <w:trPr>
          <w:trHeight w:val="720"/>
        </w:trPr>
        <w:tc>
          <w:tcPr>
            <w:tcW w:w="3060" w:type="dxa"/>
            <w:noWrap/>
            <w:hideMark/>
          </w:tcPr>
          <w:p w14:paraId="6BFCE30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321 Wood product manufacturing</w:t>
            </w:r>
          </w:p>
        </w:tc>
        <w:tc>
          <w:tcPr>
            <w:tcW w:w="1090" w:type="dxa"/>
            <w:noWrap/>
          </w:tcPr>
          <w:p w14:paraId="5F9DE56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113 </w:t>
            </w:r>
          </w:p>
        </w:tc>
        <w:tc>
          <w:tcPr>
            <w:tcW w:w="1090" w:type="dxa"/>
            <w:noWrap/>
          </w:tcPr>
          <w:p w14:paraId="4777397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155 </w:t>
            </w:r>
          </w:p>
        </w:tc>
        <w:tc>
          <w:tcPr>
            <w:tcW w:w="1090" w:type="dxa"/>
            <w:noWrap/>
          </w:tcPr>
          <w:p w14:paraId="43E4BD9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650</w:t>
            </w:r>
          </w:p>
        </w:tc>
        <w:tc>
          <w:tcPr>
            <w:tcW w:w="1090" w:type="dxa"/>
            <w:noWrap/>
          </w:tcPr>
          <w:p w14:paraId="394ADDA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52</w:t>
            </w:r>
          </w:p>
        </w:tc>
        <w:tc>
          <w:tcPr>
            <w:tcW w:w="1090" w:type="dxa"/>
            <w:noWrap/>
          </w:tcPr>
          <w:p w14:paraId="0826B45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77</w:t>
            </w:r>
            <w:r w:rsidRPr="001D05E2">
              <w:rPr>
                <w:rFonts w:ascii="Times New Roman" w:hAnsi="Times New Roman" w:cs="Times New Roman"/>
                <w:bCs/>
                <w:vertAlign w:val="superscript"/>
              </w:rPr>
              <w:t>b</w:t>
            </w:r>
            <w:r w:rsidRPr="001D05E2">
              <w:rPr>
                <w:rFonts w:ascii="Times New Roman" w:hAnsi="Times New Roman" w:cs="Times New Roman"/>
                <w:bCs/>
              </w:rPr>
              <w:t xml:space="preserve"> </w:t>
            </w:r>
          </w:p>
        </w:tc>
        <w:tc>
          <w:tcPr>
            <w:tcW w:w="1090" w:type="dxa"/>
            <w:noWrap/>
          </w:tcPr>
          <w:p w14:paraId="4FE1A242"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196</w:t>
            </w:r>
          </w:p>
        </w:tc>
        <w:tc>
          <w:tcPr>
            <w:tcW w:w="1090" w:type="dxa"/>
            <w:noWrap/>
          </w:tcPr>
          <w:p w14:paraId="1E1A955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52</w:t>
            </w:r>
            <w:r w:rsidRPr="001D05E2">
              <w:rPr>
                <w:rFonts w:ascii="Times New Roman" w:hAnsi="Times New Roman" w:cs="Times New Roman"/>
                <w:bCs/>
                <w:vertAlign w:val="superscript"/>
              </w:rPr>
              <w:t>c</w:t>
            </w:r>
            <w:r w:rsidRPr="001D05E2">
              <w:rPr>
                <w:rFonts w:ascii="Times New Roman" w:hAnsi="Times New Roman" w:cs="Times New Roman"/>
                <w:bCs/>
              </w:rPr>
              <w:t xml:space="preserve"> </w:t>
            </w:r>
          </w:p>
        </w:tc>
        <w:tc>
          <w:tcPr>
            <w:tcW w:w="1090" w:type="dxa"/>
            <w:noWrap/>
          </w:tcPr>
          <w:p w14:paraId="7CE022DD"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77</w:t>
            </w:r>
            <w:r w:rsidRPr="001D05E2">
              <w:rPr>
                <w:rFonts w:ascii="Times New Roman" w:hAnsi="Times New Roman" w:cs="Times New Roman"/>
                <w:bCs/>
                <w:vertAlign w:val="superscript"/>
              </w:rPr>
              <w:t>b</w:t>
            </w:r>
            <w:r w:rsidRPr="001D05E2">
              <w:rPr>
                <w:rFonts w:ascii="Times New Roman" w:hAnsi="Times New Roman" w:cs="Times New Roman"/>
                <w:bCs/>
              </w:rPr>
              <w:t xml:space="preserve"> </w:t>
            </w:r>
          </w:p>
        </w:tc>
        <w:tc>
          <w:tcPr>
            <w:tcW w:w="1090" w:type="dxa"/>
            <w:noWrap/>
          </w:tcPr>
          <w:p w14:paraId="3DA6669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1,873</w:t>
            </w:r>
          </w:p>
        </w:tc>
      </w:tr>
      <w:tr w:rsidR="001D05E2" w:rsidRPr="001D05E2" w14:paraId="03DA2AB7" w14:textId="77777777" w:rsidTr="00360B83">
        <w:trPr>
          <w:trHeight w:val="720"/>
        </w:trPr>
        <w:tc>
          <w:tcPr>
            <w:tcW w:w="3060" w:type="dxa"/>
            <w:noWrap/>
            <w:hideMark/>
          </w:tcPr>
          <w:p w14:paraId="0703942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322 Paper manufacturing</w:t>
            </w:r>
          </w:p>
        </w:tc>
        <w:tc>
          <w:tcPr>
            <w:tcW w:w="1090" w:type="dxa"/>
            <w:noWrap/>
          </w:tcPr>
          <w:p w14:paraId="2F575D9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88,253 </w:t>
            </w:r>
          </w:p>
        </w:tc>
        <w:tc>
          <w:tcPr>
            <w:tcW w:w="1090" w:type="dxa"/>
            <w:noWrap/>
          </w:tcPr>
          <w:p w14:paraId="45ADE68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88,175 </w:t>
            </w:r>
          </w:p>
        </w:tc>
        <w:tc>
          <w:tcPr>
            <w:tcW w:w="1090" w:type="dxa"/>
            <w:noWrap/>
          </w:tcPr>
          <w:p w14:paraId="3B72D61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814</w:t>
            </w:r>
          </w:p>
        </w:tc>
        <w:tc>
          <w:tcPr>
            <w:tcW w:w="1090" w:type="dxa"/>
            <w:noWrap/>
          </w:tcPr>
          <w:p w14:paraId="3F8BF78A"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49,179 </w:t>
            </w:r>
          </w:p>
        </w:tc>
        <w:tc>
          <w:tcPr>
            <w:tcW w:w="1090" w:type="dxa"/>
            <w:noWrap/>
          </w:tcPr>
          <w:p w14:paraId="77A4320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25,637 </w:t>
            </w:r>
          </w:p>
        </w:tc>
        <w:tc>
          <w:tcPr>
            <w:tcW w:w="1090" w:type="dxa"/>
            <w:noWrap/>
          </w:tcPr>
          <w:p w14:paraId="7120795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695</w:t>
            </w:r>
          </w:p>
        </w:tc>
        <w:tc>
          <w:tcPr>
            <w:tcW w:w="1090" w:type="dxa"/>
            <w:noWrap/>
          </w:tcPr>
          <w:p w14:paraId="05DC7C1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943 </w:t>
            </w:r>
          </w:p>
        </w:tc>
        <w:tc>
          <w:tcPr>
            <w:tcW w:w="1090" w:type="dxa"/>
            <w:noWrap/>
          </w:tcPr>
          <w:p w14:paraId="769144B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802</w:t>
            </w:r>
          </w:p>
        </w:tc>
        <w:tc>
          <w:tcPr>
            <w:tcW w:w="1090" w:type="dxa"/>
            <w:noWrap/>
          </w:tcPr>
          <w:p w14:paraId="3E05E97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1,220</w:t>
            </w:r>
          </w:p>
        </w:tc>
      </w:tr>
      <w:tr w:rsidR="001D05E2" w:rsidRPr="001D05E2" w14:paraId="21FD0111" w14:textId="77777777" w:rsidTr="00360B83">
        <w:trPr>
          <w:trHeight w:val="720"/>
        </w:trPr>
        <w:tc>
          <w:tcPr>
            <w:tcW w:w="3060" w:type="dxa"/>
            <w:noWrap/>
            <w:hideMark/>
          </w:tcPr>
          <w:p w14:paraId="63A54F9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323 Printing and related support</w:t>
            </w:r>
          </w:p>
        </w:tc>
        <w:tc>
          <w:tcPr>
            <w:tcW w:w="1090" w:type="dxa"/>
            <w:noWrap/>
          </w:tcPr>
          <w:p w14:paraId="57EB855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1,019 </w:t>
            </w:r>
          </w:p>
        </w:tc>
        <w:tc>
          <w:tcPr>
            <w:tcW w:w="1090" w:type="dxa"/>
            <w:noWrap/>
          </w:tcPr>
          <w:p w14:paraId="0168000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774 </w:t>
            </w:r>
          </w:p>
        </w:tc>
        <w:tc>
          <w:tcPr>
            <w:tcW w:w="1090" w:type="dxa"/>
            <w:noWrap/>
          </w:tcPr>
          <w:p w14:paraId="0DD5CBB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951</w:t>
            </w:r>
          </w:p>
        </w:tc>
        <w:tc>
          <w:tcPr>
            <w:tcW w:w="1090" w:type="dxa"/>
            <w:noWrap/>
          </w:tcPr>
          <w:p w14:paraId="5DF4BD5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352 </w:t>
            </w:r>
          </w:p>
        </w:tc>
        <w:tc>
          <w:tcPr>
            <w:tcW w:w="1090" w:type="dxa"/>
            <w:noWrap/>
          </w:tcPr>
          <w:p w14:paraId="110F943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407 </w:t>
            </w:r>
          </w:p>
        </w:tc>
        <w:tc>
          <w:tcPr>
            <w:tcW w:w="1090" w:type="dxa"/>
            <w:noWrap/>
          </w:tcPr>
          <w:p w14:paraId="1DB6FF8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996</w:t>
            </w:r>
          </w:p>
          <w:p w14:paraId="10754180" w14:textId="77777777" w:rsidR="001D05E2" w:rsidRPr="001D05E2" w:rsidRDefault="001D05E2" w:rsidP="001D05E2">
            <w:pPr>
              <w:spacing w:line="278" w:lineRule="auto"/>
              <w:rPr>
                <w:rFonts w:ascii="Times New Roman" w:hAnsi="Times New Roman" w:cs="Times New Roman"/>
                <w:bCs/>
              </w:rPr>
            </w:pPr>
          </w:p>
        </w:tc>
        <w:tc>
          <w:tcPr>
            <w:tcW w:w="1090" w:type="dxa"/>
            <w:noWrap/>
          </w:tcPr>
          <w:p w14:paraId="7D5E771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15,878 </w:t>
            </w:r>
          </w:p>
        </w:tc>
        <w:tc>
          <w:tcPr>
            <w:tcW w:w="1090" w:type="dxa"/>
            <w:noWrap/>
          </w:tcPr>
          <w:p w14:paraId="2C0C3C1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10,976</w:t>
            </w:r>
          </w:p>
        </w:tc>
        <w:tc>
          <w:tcPr>
            <w:tcW w:w="1090" w:type="dxa"/>
            <w:noWrap/>
          </w:tcPr>
          <w:p w14:paraId="6C6962B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1,223</w:t>
            </w:r>
          </w:p>
        </w:tc>
      </w:tr>
      <w:tr w:rsidR="001D05E2" w:rsidRPr="001D05E2" w14:paraId="32714208" w14:textId="77777777" w:rsidTr="00360B83">
        <w:trPr>
          <w:trHeight w:val="720"/>
        </w:trPr>
        <w:tc>
          <w:tcPr>
            <w:tcW w:w="3060" w:type="dxa"/>
            <w:noWrap/>
            <w:hideMark/>
          </w:tcPr>
          <w:p w14:paraId="021EA2F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423 Merchant wholesalers, durable goods</w:t>
            </w:r>
          </w:p>
        </w:tc>
        <w:tc>
          <w:tcPr>
            <w:tcW w:w="1090" w:type="dxa"/>
            <w:noWrap/>
          </w:tcPr>
          <w:p w14:paraId="6C5DF97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16,515 </w:t>
            </w:r>
          </w:p>
        </w:tc>
        <w:tc>
          <w:tcPr>
            <w:tcW w:w="1090" w:type="dxa"/>
            <w:noWrap/>
          </w:tcPr>
          <w:p w14:paraId="6C3895D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5,082</w:t>
            </w:r>
            <w:r w:rsidRPr="001D05E2">
              <w:rPr>
                <w:rFonts w:ascii="Times New Roman" w:hAnsi="Times New Roman" w:cs="Times New Roman"/>
                <w:bCs/>
                <w:vertAlign w:val="superscript"/>
              </w:rPr>
              <w:t>a</w:t>
            </w:r>
            <w:r w:rsidRPr="001D05E2">
              <w:rPr>
                <w:rFonts w:ascii="Times New Roman" w:hAnsi="Times New Roman" w:cs="Times New Roman"/>
                <w:bCs/>
              </w:rPr>
              <w:t xml:space="preserve"> </w:t>
            </w:r>
          </w:p>
        </w:tc>
        <w:tc>
          <w:tcPr>
            <w:tcW w:w="1090" w:type="dxa"/>
            <w:noWrap/>
          </w:tcPr>
          <w:p w14:paraId="51D82AE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378</w:t>
            </w:r>
          </w:p>
        </w:tc>
        <w:tc>
          <w:tcPr>
            <w:tcW w:w="1090" w:type="dxa"/>
            <w:noWrap/>
          </w:tcPr>
          <w:p w14:paraId="6CF2876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7,635 </w:t>
            </w:r>
          </w:p>
        </w:tc>
        <w:tc>
          <w:tcPr>
            <w:tcW w:w="1090" w:type="dxa"/>
            <w:noWrap/>
          </w:tcPr>
          <w:p w14:paraId="2F41700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2,584 </w:t>
            </w:r>
          </w:p>
        </w:tc>
        <w:tc>
          <w:tcPr>
            <w:tcW w:w="1090" w:type="dxa"/>
            <w:noWrap/>
          </w:tcPr>
          <w:p w14:paraId="7C74A9D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781</w:t>
            </w:r>
          </w:p>
        </w:tc>
        <w:tc>
          <w:tcPr>
            <w:tcW w:w="1090" w:type="dxa"/>
            <w:noWrap/>
          </w:tcPr>
          <w:p w14:paraId="22A3A3E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1,583 </w:t>
            </w:r>
          </w:p>
        </w:tc>
        <w:tc>
          <w:tcPr>
            <w:tcW w:w="1090" w:type="dxa"/>
            <w:noWrap/>
          </w:tcPr>
          <w:p w14:paraId="7AD2800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397</w:t>
            </w:r>
          </w:p>
        </w:tc>
        <w:tc>
          <w:tcPr>
            <w:tcW w:w="1090" w:type="dxa"/>
            <w:noWrap/>
          </w:tcPr>
          <w:p w14:paraId="7887249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1,099</w:t>
            </w:r>
          </w:p>
          <w:p w14:paraId="7394E710" w14:textId="77777777" w:rsidR="001D05E2" w:rsidRPr="001D05E2" w:rsidRDefault="001D05E2" w:rsidP="001D05E2">
            <w:pPr>
              <w:spacing w:line="278" w:lineRule="auto"/>
              <w:rPr>
                <w:rFonts w:ascii="Times New Roman" w:hAnsi="Times New Roman" w:cs="Times New Roman"/>
                <w:bCs/>
              </w:rPr>
            </w:pPr>
          </w:p>
        </w:tc>
      </w:tr>
      <w:tr w:rsidR="001D05E2" w:rsidRPr="001D05E2" w14:paraId="333DBB53" w14:textId="77777777" w:rsidTr="00360B83">
        <w:trPr>
          <w:trHeight w:val="720"/>
        </w:trPr>
        <w:tc>
          <w:tcPr>
            <w:tcW w:w="3060" w:type="dxa"/>
            <w:noWrap/>
            <w:hideMark/>
          </w:tcPr>
          <w:p w14:paraId="3DFEF21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424 Merchant wholesalers, nondurable goods</w:t>
            </w:r>
          </w:p>
        </w:tc>
        <w:tc>
          <w:tcPr>
            <w:tcW w:w="1090" w:type="dxa"/>
            <w:noWrap/>
          </w:tcPr>
          <w:p w14:paraId="789942C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16,856 </w:t>
            </w:r>
          </w:p>
        </w:tc>
        <w:tc>
          <w:tcPr>
            <w:tcW w:w="1090" w:type="dxa"/>
            <w:noWrap/>
          </w:tcPr>
          <w:p w14:paraId="2AA2B20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5,082 </w:t>
            </w:r>
          </w:p>
        </w:tc>
        <w:tc>
          <w:tcPr>
            <w:tcW w:w="1090" w:type="dxa"/>
            <w:noWrap/>
          </w:tcPr>
          <w:p w14:paraId="3E941D71"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206</w:t>
            </w:r>
          </w:p>
        </w:tc>
        <w:tc>
          <w:tcPr>
            <w:tcW w:w="1090" w:type="dxa"/>
            <w:noWrap/>
          </w:tcPr>
          <w:p w14:paraId="533A57A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12,888 </w:t>
            </w:r>
          </w:p>
        </w:tc>
        <w:tc>
          <w:tcPr>
            <w:tcW w:w="1090" w:type="dxa"/>
            <w:noWrap/>
          </w:tcPr>
          <w:p w14:paraId="0041BF8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6,846</w:t>
            </w:r>
          </w:p>
          <w:p w14:paraId="755E0678" w14:textId="77777777" w:rsidR="001D05E2" w:rsidRPr="001D05E2" w:rsidRDefault="001D05E2" w:rsidP="001D05E2">
            <w:pPr>
              <w:spacing w:line="278" w:lineRule="auto"/>
              <w:rPr>
                <w:rFonts w:ascii="Times New Roman" w:hAnsi="Times New Roman" w:cs="Times New Roman"/>
                <w:bCs/>
              </w:rPr>
            </w:pPr>
          </w:p>
        </w:tc>
        <w:tc>
          <w:tcPr>
            <w:tcW w:w="1090" w:type="dxa"/>
            <w:noWrap/>
          </w:tcPr>
          <w:p w14:paraId="332B14AB"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1,048</w:t>
            </w:r>
          </w:p>
        </w:tc>
        <w:tc>
          <w:tcPr>
            <w:tcW w:w="1090" w:type="dxa"/>
            <w:noWrap/>
          </w:tcPr>
          <w:p w14:paraId="16C4BBB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 xml:space="preserve"> 2,177 </w:t>
            </w:r>
          </w:p>
        </w:tc>
        <w:tc>
          <w:tcPr>
            <w:tcW w:w="1090" w:type="dxa"/>
            <w:noWrap/>
          </w:tcPr>
          <w:p w14:paraId="14621BE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1,657</w:t>
            </w:r>
          </w:p>
        </w:tc>
        <w:tc>
          <w:tcPr>
            <w:tcW w:w="1090" w:type="dxa"/>
            <w:noWrap/>
          </w:tcPr>
          <w:p w14:paraId="12D5E84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1,041</w:t>
            </w:r>
          </w:p>
        </w:tc>
      </w:tr>
      <w:tr w:rsidR="001D05E2" w:rsidRPr="001D05E2" w14:paraId="00066CD9" w14:textId="77777777" w:rsidTr="00360B83">
        <w:trPr>
          <w:trHeight w:val="720"/>
        </w:trPr>
        <w:tc>
          <w:tcPr>
            <w:tcW w:w="3060" w:type="dxa"/>
            <w:noWrap/>
          </w:tcPr>
          <w:p w14:paraId="6248217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Other</w:t>
            </w:r>
          </w:p>
        </w:tc>
        <w:tc>
          <w:tcPr>
            <w:tcW w:w="1090" w:type="dxa"/>
            <w:noWrap/>
          </w:tcPr>
          <w:p w14:paraId="0438A28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4,155</w:t>
            </w:r>
          </w:p>
        </w:tc>
        <w:tc>
          <w:tcPr>
            <w:tcW w:w="1090" w:type="dxa"/>
            <w:noWrap/>
          </w:tcPr>
          <w:p w14:paraId="0BC0F0A4"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22,457</w:t>
            </w:r>
          </w:p>
        </w:tc>
        <w:tc>
          <w:tcPr>
            <w:tcW w:w="1090" w:type="dxa"/>
            <w:noWrap/>
          </w:tcPr>
          <w:p w14:paraId="03DC68E5" w14:textId="77777777" w:rsidR="001D05E2" w:rsidRPr="001D05E2" w:rsidRDefault="001D05E2" w:rsidP="001D05E2">
            <w:pPr>
              <w:spacing w:line="278" w:lineRule="auto"/>
              <w:rPr>
                <w:rFonts w:ascii="Times New Roman" w:hAnsi="Times New Roman" w:cs="Times New Roman"/>
                <w:bCs/>
              </w:rPr>
            </w:pPr>
          </w:p>
        </w:tc>
        <w:tc>
          <w:tcPr>
            <w:tcW w:w="1090" w:type="dxa"/>
            <w:noWrap/>
          </w:tcPr>
          <w:p w14:paraId="39B0DE33"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3,397</w:t>
            </w:r>
          </w:p>
          <w:p w14:paraId="51492F88" w14:textId="77777777" w:rsidR="001D05E2" w:rsidRPr="001D05E2" w:rsidRDefault="001D05E2" w:rsidP="001D05E2">
            <w:pPr>
              <w:spacing w:line="278" w:lineRule="auto"/>
              <w:rPr>
                <w:rFonts w:ascii="Times New Roman" w:hAnsi="Times New Roman" w:cs="Times New Roman"/>
                <w:bCs/>
              </w:rPr>
            </w:pPr>
          </w:p>
        </w:tc>
        <w:tc>
          <w:tcPr>
            <w:tcW w:w="1090" w:type="dxa"/>
            <w:noWrap/>
          </w:tcPr>
          <w:p w14:paraId="7FB1488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2,852</w:t>
            </w:r>
          </w:p>
        </w:tc>
        <w:tc>
          <w:tcPr>
            <w:tcW w:w="1090" w:type="dxa"/>
            <w:noWrap/>
          </w:tcPr>
          <w:p w14:paraId="4F392263" w14:textId="77777777" w:rsidR="001D05E2" w:rsidRPr="001D05E2" w:rsidRDefault="001D05E2" w:rsidP="001D05E2">
            <w:pPr>
              <w:spacing w:line="278" w:lineRule="auto"/>
              <w:rPr>
                <w:rFonts w:ascii="Times New Roman" w:hAnsi="Times New Roman" w:cs="Times New Roman"/>
                <w:bCs/>
              </w:rPr>
            </w:pPr>
          </w:p>
        </w:tc>
        <w:tc>
          <w:tcPr>
            <w:tcW w:w="1090" w:type="dxa"/>
            <w:noWrap/>
          </w:tcPr>
          <w:p w14:paraId="5DE90FC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4,767</w:t>
            </w:r>
          </w:p>
        </w:tc>
        <w:tc>
          <w:tcPr>
            <w:tcW w:w="1090" w:type="dxa"/>
            <w:noWrap/>
          </w:tcPr>
          <w:p w14:paraId="510FEB29" w14:textId="77777777" w:rsidR="001D05E2" w:rsidRPr="001D05E2" w:rsidRDefault="001D05E2" w:rsidP="001D05E2">
            <w:pPr>
              <w:spacing w:line="278" w:lineRule="auto"/>
              <w:rPr>
                <w:rFonts w:ascii="Times New Roman" w:hAnsi="Times New Roman" w:cs="Times New Roman"/>
                <w:bCs/>
              </w:rPr>
            </w:pPr>
          </w:p>
        </w:tc>
        <w:tc>
          <w:tcPr>
            <w:tcW w:w="1090" w:type="dxa"/>
            <w:noWrap/>
          </w:tcPr>
          <w:p w14:paraId="6ABD6CDE" w14:textId="77777777" w:rsidR="001D05E2" w:rsidRPr="001D05E2" w:rsidRDefault="001D05E2" w:rsidP="001D05E2">
            <w:pPr>
              <w:spacing w:line="278" w:lineRule="auto"/>
              <w:rPr>
                <w:rFonts w:ascii="Times New Roman" w:hAnsi="Times New Roman" w:cs="Times New Roman"/>
                <w:bCs/>
              </w:rPr>
            </w:pPr>
          </w:p>
        </w:tc>
      </w:tr>
      <w:tr w:rsidR="001D05E2" w:rsidRPr="001D05E2" w14:paraId="25C8D9C4" w14:textId="77777777" w:rsidTr="00360B83">
        <w:trPr>
          <w:trHeight w:val="720"/>
        </w:trPr>
        <w:tc>
          <w:tcPr>
            <w:tcW w:w="3060" w:type="dxa"/>
            <w:noWrap/>
          </w:tcPr>
          <w:p w14:paraId="118A7F66"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Total</w:t>
            </w:r>
          </w:p>
        </w:tc>
        <w:tc>
          <w:tcPr>
            <w:tcW w:w="1090" w:type="dxa"/>
            <w:noWrap/>
          </w:tcPr>
          <w:p w14:paraId="0946393C"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126,912</w:t>
            </w:r>
          </w:p>
        </w:tc>
        <w:tc>
          <w:tcPr>
            <w:tcW w:w="1090" w:type="dxa"/>
            <w:noWrap/>
          </w:tcPr>
          <w:p w14:paraId="660E775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121,725</w:t>
            </w:r>
          </w:p>
        </w:tc>
        <w:tc>
          <w:tcPr>
            <w:tcW w:w="1090" w:type="dxa"/>
            <w:noWrap/>
          </w:tcPr>
          <w:p w14:paraId="54067795"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429</w:t>
            </w:r>
          </w:p>
        </w:tc>
        <w:tc>
          <w:tcPr>
            <w:tcW w:w="1090" w:type="dxa"/>
            <w:noWrap/>
          </w:tcPr>
          <w:p w14:paraId="1726715D"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73,504</w:t>
            </w:r>
          </w:p>
        </w:tc>
        <w:tc>
          <w:tcPr>
            <w:tcW w:w="1090" w:type="dxa"/>
            <w:noWrap/>
          </w:tcPr>
          <w:p w14:paraId="38D7B548"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38,405</w:t>
            </w:r>
          </w:p>
        </w:tc>
        <w:tc>
          <w:tcPr>
            <w:tcW w:w="1090" w:type="dxa"/>
            <w:noWrap/>
          </w:tcPr>
          <w:p w14:paraId="46526359"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928</w:t>
            </w:r>
          </w:p>
        </w:tc>
        <w:tc>
          <w:tcPr>
            <w:tcW w:w="1090" w:type="dxa"/>
            <w:noWrap/>
          </w:tcPr>
          <w:p w14:paraId="61BA1F27"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25,400</w:t>
            </w:r>
          </w:p>
        </w:tc>
        <w:tc>
          <w:tcPr>
            <w:tcW w:w="1090" w:type="dxa"/>
            <w:noWrap/>
          </w:tcPr>
          <w:p w14:paraId="3C4A027F"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16,233</w:t>
            </w:r>
          </w:p>
        </w:tc>
        <w:tc>
          <w:tcPr>
            <w:tcW w:w="1090" w:type="dxa"/>
            <w:noWrap/>
          </w:tcPr>
          <w:p w14:paraId="7E4E881E"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rPr>
              <w:t>772</w:t>
            </w:r>
          </w:p>
        </w:tc>
      </w:tr>
      <w:tr w:rsidR="001D05E2" w:rsidRPr="001D05E2" w14:paraId="160B0173" w14:textId="77777777" w:rsidTr="00360B83">
        <w:trPr>
          <w:trHeight w:val="959"/>
        </w:trPr>
        <w:tc>
          <w:tcPr>
            <w:tcW w:w="12870" w:type="dxa"/>
            <w:gridSpan w:val="10"/>
            <w:tcBorders>
              <w:bottom w:val="single" w:sz="4" w:space="0" w:color="auto"/>
            </w:tcBorders>
            <w:noWrap/>
          </w:tcPr>
          <w:p w14:paraId="2556F937" w14:textId="77777777" w:rsidR="001D05E2" w:rsidRPr="001D05E2" w:rsidRDefault="001D05E2" w:rsidP="001D05E2">
            <w:pPr>
              <w:spacing w:line="278" w:lineRule="auto"/>
              <w:rPr>
                <w:rFonts w:ascii="Times New Roman" w:hAnsi="Times New Roman" w:cs="Times New Roman"/>
                <w:bCs/>
              </w:rPr>
            </w:pPr>
            <w:proofErr w:type="gramStart"/>
            <w:r w:rsidRPr="001D05E2">
              <w:rPr>
                <w:rFonts w:ascii="Times New Roman" w:hAnsi="Times New Roman" w:cs="Times New Roman"/>
                <w:bCs/>
                <w:vertAlign w:val="superscript"/>
              </w:rPr>
              <w:t>a</w:t>
            </w:r>
            <w:proofErr w:type="gramEnd"/>
            <w:r w:rsidRPr="001D05E2">
              <w:rPr>
                <w:rFonts w:ascii="Times New Roman" w:hAnsi="Times New Roman" w:cs="Times New Roman"/>
                <w:bCs/>
              </w:rPr>
              <w:t xml:space="preserve"> Assumed to be the same as NAICS code 424.</w:t>
            </w:r>
          </w:p>
          <w:p w14:paraId="14A371A0" w14:textId="77777777" w:rsidR="001D05E2" w:rsidRPr="001D05E2" w:rsidRDefault="001D05E2" w:rsidP="001D05E2">
            <w:pPr>
              <w:spacing w:line="278" w:lineRule="auto"/>
              <w:rPr>
                <w:rFonts w:ascii="Times New Roman" w:hAnsi="Times New Roman" w:cs="Times New Roman"/>
                <w:bCs/>
              </w:rPr>
            </w:pPr>
            <w:r w:rsidRPr="001D05E2">
              <w:rPr>
                <w:rFonts w:ascii="Times New Roman" w:hAnsi="Times New Roman" w:cs="Times New Roman"/>
                <w:bCs/>
                <w:vertAlign w:val="superscript"/>
              </w:rPr>
              <w:t>b</w:t>
            </w:r>
            <w:r w:rsidRPr="001D05E2">
              <w:rPr>
                <w:rFonts w:ascii="Times New Roman" w:hAnsi="Times New Roman" w:cs="Times New Roman"/>
                <w:bCs/>
              </w:rPr>
              <w:t xml:space="preserve"> Assumed one-half of value for SCTG 27.</w:t>
            </w:r>
          </w:p>
          <w:p w14:paraId="5D4AB4E8" w14:textId="77777777" w:rsidR="001D05E2" w:rsidRPr="001D05E2" w:rsidRDefault="001D05E2" w:rsidP="001D05E2">
            <w:pPr>
              <w:rPr>
                <w:rFonts w:ascii="Times New Roman" w:hAnsi="Times New Roman" w:cs="Times New Roman"/>
                <w:bCs/>
              </w:rPr>
            </w:pPr>
            <w:r w:rsidRPr="001D05E2">
              <w:rPr>
                <w:rFonts w:ascii="Times New Roman" w:hAnsi="Times New Roman" w:cs="Times New Roman"/>
                <w:bCs/>
                <w:vertAlign w:val="superscript"/>
              </w:rPr>
              <w:t>c</w:t>
            </w:r>
            <w:r w:rsidRPr="001D05E2">
              <w:rPr>
                <w:rFonts w:ascii="Times New Roman" w:hAnsi="Times New Roman" w:cs="Times New Roman"/>
                <w:bCs/>
              </w:rPr>
              <w:t xml:space="preserve"> Assumed to be the same as paperboard articles SCTG 28.</w:t>
            </w:r>
          </w:p>
        </w:tc>
      </w:tr>
    </w:tbl>
    <w:p w14:paraId="3F435219" w14:textId="77777777" w:rsidR="001D05E2" w:rsidRPr="001D05E2" w:rsidRDefault="001D05E2" w:rsidP="001D05E2">
      <w:pPr>
        <w:rPr>
          <w:rFonts w:ascii="Times New Roman" w:hAnsi="Times New Roman" w:cs="Times New Roman"/>
          <w:bCs/>
        </w:rPr>
        <w:sectPr w:rsidR="001D05E2" w:rsidRPr="001D05E2" w:rsidSect="001D05E2">
          <w:pgSz w:w="15840" w:h="12240" w:orient="landscape"/>
          <w:pgMar w:top="1440" w:right="1440" w:bottom="1440" w:left="1440" w:header="720" w:footer="720" w:gutter="0"/>
          <w:cols w:space="720"/>
          <w:docGrid w:linePitch="360"/>
        </w:sectPr>
      </w:pPr>
    </w:p>
    <w:bookmarkEnd w:id="73"/>
    <w:bookmarkEnd w:id="74"/>
    <w:p w14:paraId="34635B0A" w14:textId="584E5758" w:rsidR="001D05E2" w:rsidRPr="001D05E2" w:rsidRDefault="001D05E2" w:rsidP="001D05E2">
      <w:pPr>
        <w:spacing w:line="276" w:lineRule="auto"/>
        <w:rPr>
          <w:rFonts w:ascii="Times New Roman" w:hAnsi="Times New Roman" w:cs="Times New Roman"/>
          <w:bCs/>
        </w:rPr>
      </w:pPr>
    </w:p>
    <w:p w14:paraId="640F9D56" w14:textId="2FF1FC02" w:rsidR="00B64CF6" w:rsidRPr="002D10B0" w:rsidRDefault="00B64CF6" w:rsidP="00590ED8">
      <w:pPr>
        <w:pStyle w:val="Heading2"/>
        <w:rPr>
          <w:rFonts w:ascii="Times New Roman" w:hAnsi="Times New Roman" w:cs="Times New Roman"/>
          <w:b/>
          <w:bCs/>
          <w:color w:val="auto"/>
          <w:sz w:val="24"/>
          <w:szCs w:val="24"/>
        </w:rPr>
      </w:pPr>
      <w:bookmarkStart w:id="83" w:name="_Toc215829626"/>
      <w:r w:rsidRPr="002D10B0">
        <w:rPr>
          <w:rFonts w:ascii="Times New Roman" w:hAnsi="Times New Roman" w:cs="Times New Roman"/>
          <w:b/>
          <w:bCs/>
          <w:color w:val="auto"/>
          <w:sz w:val="24"/>
          <w:szCs w:val="24"/>
        </w:rPr>
        <w:t>Emissions from Pellet</w:t>
      </w:r>
      <w:r w:rsidR="00092B8E" w:rsidRPr="002D10B0">
        <w:rPr>
          <w:rFonts w:ascii="Times New Roman" w:hAnsi="Times New Roman" w:cs="Times New Roman"/>
          <w:b/>
          <w:bCs/>
          <w:color w:val="auto"/>
          <w:sz w:val="24"/>
          <w:szCs w:val="24"/>
        </w:rPr>
        <w:t xml:space="preserve"> Transport</w:t>
      </w:r>
      <w:bookmarkEnd w:id="83"/>
    </w:p>
    <w:p w14:paraId="2FC3D6F0" w14:textId="34F4CFCD" w:rsidR="00092B8E" w:rsidRDefault="00092B8E" w:rsidP="00092B8E">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Pellet production in 2005 was estimated to be 1 million metric tons (from Figure 1 in Abt et al.</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{"citationID":"FzJEhe1O","properties":{"formattedCitation":"\\super 58\\nosupersub{}","plainCitation":"58","noteIndex":0},"citationItems":[{"id":95,"uris":["http://zotero.org/users/18184231/items/VDGLXTWG"],"itemData":{"id":95,"type":"report","event-place":"Asheville, NC","language":"en","note":"DOI: 10.2737/SRS-GTR-202","number":"SRS-GTR-202","page":"SRS-GTR-202","publisher":"U.S. Department of Agriculture, Forest Service, Southern Research Station","publisher-place":"Asheville, NC","source":"DOI.org (Crossref)","title":"Effect of policies on pellet production and forests in the U.S. South: a technical document supporting the Forest Service update of the 2010 RPA Assessment","title-short":"Effect of policies on pellet production and forests in the U.S. South","URL":"https://www.fs.usda.gov/treesearch/pubs/47281","author":[{"family":"Abt","given":"Karen L."},{"family":"Abt","given":"Robert C."},{"family":"Galik","given":"Christopher S."},{"family":"Skog","given":"Kenneth E."}],"accessed":{"date-parts":[["2025",9,23]]},"issued":{"date-parts":[["2014"]]}}}],"schema":"https://github.com/citation-style-language/schema/raw/master/csl-citation.json"}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58</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while pellet production in 2019 (used to represent 2020) was 8.837 million metric tons </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{"citationID":"kZPQ8ovn","properties":{"formattedCitation":"\\super 59\\nosupersub{}","plainCitation":"59","noteIndex":0},"citationItems":[{"id":94,"uris":["http://zotero.org/users/18184231/items/EQSP3G5U"],"itemData":{"id":94,"type":"article-journal","container-title":"FPL-GTR-289","language":"en","page":"1-31","source":"research.fs.usda.gov","title":"U.S. forest products annual market review and prospects, 2015-2021","volume":"289","author":[{"family":"Alderman","given":"Delton"}],"issued":{"date-parts":[["2022"]]}}}],"schema":"https://github.com/citation-style-language/schema/raw/master/csl-citation.json"}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59</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Pellet production was assumed to be zero in 1990. Approximately 70% of pellets were exported in 2019, primarily to Europe</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{"citationID":"I3uQCyGi","properties":{"formattedCitation":"\\super 59\\nosupersub{}","plainCitation":"59","noteIndex":0},"citationItems":[{"id":94,"uris":["http://zotero.org/users/18184231/items/EQSP3G5U"],"itemData":{"id":94,"type":"article-journal","container-title":"FPL-GTR-289","language":"en","page":"1-31","source":"research.fs.usda.gov","title":"U.S. forest products annual market review and prospects, 2015-2021","volume":"289","author":[{"family":"Alderman","given":"Delton"}],"issued":{"date-parts":[["2022"]]}}}],"schema":"https://github.com/citation-style-language/schema/raw/master/csl-citation.json"}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59</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This was assumed to be true for 1990, 2005, and 2020. Based on this information, all pellets were assumed to be hauled by a combination of truck and rail, and then 70% were assumed to be shipped by ocean bulk carriers to Europe. Over land haul distance was set at 563 km (350 mi), the average haul distance per shipment for wood products (SCTG 26) in the CFS</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{"citationID":"4RcgtEcu","properties":{"formattedCitation":"\\super 43\\nosupersub{}","plainCitation":"43","noteIndex":0},"citationItems":[{"id":32,"uris":["http://zotero.org/users/local/T7KBDEDi/items/J3GU457X","http://zotero.org/users/18184231/items/J3GU457X"],"itemData":{"id":32,"type":"webpage","abstract":"Stats displayed in columns and rows with title, ID, notes, sources and release date. Many tables are in downloadable XLS, CVS and PDF file formats.","container-title":"Census.gov","language":"en","note":"section: Government","title":"Commodity Flow Survey Tables","URL":"https://www.census.gov/programs-surveys/cfs/data/tables.html","author":[{"family":"United States Census Bureau","given":""}],"accessed":{"date-parts":[["2025",9,25]]},"issued":{"date-parts":[["2025"]]}}}],"schema":"https://github.com/citation-style-language/schema/raw/master/csl-citation.json"}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43</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The emission factors used for overland shipments of pellets were calculated using the same information as used for wood products (including the ratio of truck to rail transport). Additional emissions associated with transport by bulk ocean </w:t>
      </w:r>
      <w:proofErr w:type="gramStart"/>
      <w:r w:rsidRPr="00D9603D">
        <w:rPr>
          <w:rFonts w:ascii="Times New Roman" w:eastAsia="Times New Roman" w:hAnsi="Times New Roman" w:cs="Times New Roman"/>
          <w:bCs/>
          <w:iCs/>
          <w:kern w:val="0"/>
          <w14:ligatures w14:val="none"/>
        </w:rPr>
        <w:t>carrier</w:t>
      </w:r>
      <w:proofErr w:type="gramEnd"/>
      <w:r w:rsidRPr="00D9603D">
        <w:rPr>
          <w:rFonts w:ascii="Times New Roman" w:eastAsia="Times New Roman" w:hAnsi="Times New Roman" w:cs="Times New Roman"/>
          <w:bCs/>
          <w:iCs/>
          <w:kern w:val="0"/>
          <w14:ligatures w14:val="none"/>
        </w:rPr>
        <w:t xml:space="preserve"> were calculated for pellets exported to Europe. The distance was assumed to be 6,500 km. The International Marine Organization has published emission factors for bulk ocean freight of 0.0041 kg CO</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 xml:space="preserve"> per metric ton-km (6.9 g CO</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 xml:space="preserve"> per short ton-nautical mile) in 2008 and 0.0066 kg CO</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 xml:space="preserve"> per metric ton-km (11.08 g CO</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 xml:space="preserve"> per short ton-nautical mile) in 2018</w:t>
      </w:r>
      <w:r>
        <w:rPr>
          <w:rFonts w:ascii="Times New Roman" w:eastAsia="Times New Roman" w:hAnsi="Times New Roman" w:cs="Times New Roman"/>
          <w:bCs/>
          <w:iCs/>
          <w:kern w:val="0"/>
          <w14:ligatures w14:val="none"/>
        </w:rPr>
        <w:t xml:space="preserve"> </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{"citationID":"kYyQOdBB","properties":{"formattedCitation":"\\super 60\\nosupersub{}","plainCitation":"60","noteIndex":0},"citationItems":[{"id":86,"uris":["http://zotero.org/users/18184231/items/GDDPLMTW"],"itemData":{"id":86,"type":"report","page":"495","publisher":"International Marine Organization (WMO), 4 Albert Embankment, London SE1 7SR","title":"Fourth IMO GHG Study 2020 - Full report and annexes","URL":"https://wwwcdn.imo.org/localresources/en/OurWork/Environment/Documents/Fourth%20IMO%20GHG%20Study%202020%20-%20Full%20report%20and%20annexes.pdf","author":[{"family":"International Marine Organization (WMO)","given":""}],"accessed":{"date-parts":[["2025",9,25]]},"issued":{"date-parts":[["2020"]]}}}],"schema":"https://github.com/citation-style-language/schema/raw/master/csl-citation.json"}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60</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The 2018 value was used to represent 2020 while the 2008 value was used for 1990 and 2005.</w:t>
      </w:r>
    </w:p>
    <w:p w14:paraId="266D57F1" w14:textId="4A8D880D" w:rsidR="00092B8E" w:rsidRPr="002D10B0" w:rsidRDefault="00092B8E" w:rsidP="00590ED8">
      <w:pPr>
        <w:pStyle w:val="Heading2"/>
        <w:rPr>
          <w:rFonts w:ascii="Times New Roman" w:eastAsia="Times New Roman" w:hAnsi="Times New Roman" w:cs="Times New Roman"/>
          <w:b/>
          <w:bCs/>
          <w:color w:val="auto"/>
          <w:sz w:val="24"/>
          <w:szCs w:val="24"/>
        </w:rPr>
      </w:pPr>
      <w:bookmarkStart w:id="84" w:name="_Toc215829627"/>
      <w:r w:rsidRPr="002D10B0">
        <w:rPr>
          <w:rFonts w:ascii="Times New Roman" w:eastAsia="Times New Roman" w:hAnsi="Times New Roman" w:cs="Times New Roman"/>
          <w:b/>
          <w:bCs/>
          <w:color w:val="auto"/>
          <w:sz w:val="24"/>
          <w:szCs w:val="24"/>
        </w:rPr>
        <w:t>Emissions from Transporting Non-Fiber, Non-Fuel Inputs to Manufacturing</w:t>
      </w:r>
      <w:bookmarkEnd w:id="84"/>
    </w:p>
    <w:p w14:paraId="6BD9A82B" w14:textId="495BDC78" w:rsidR="00092B8E" w:rsidRPr="00D9603D" w:rsidRDefault="00092B8E" w:rsidP="00092B8E">
      <w:pPr>
        <w:spacing w:line="276" w:lineRule="auto"/>
        <w:rPr>
          <w:rFonts w:ascii="Times New Roman" w:eastAsia="Times New Roman" w:hAnsi="Times New Roman" w:cs="Times New Roman"/>
          <w:bCs/>
          <w:iCs/>
          <w:kern w:val="0"/>
          <w14:ligatures w14:val="none"/>
        </w:rPr>
      </w:pPr>
      <w:r>
        <w:rPr>
          <w:rFonts w:ascii="Times New Roman" w:hAnsi="Times New Roman" w:cs="Times New Roman"/>
        </w:rPr>
        <w:t xml:space="preserve">Life cycle studies were used to determine the quantities of non-fiber, non-fuel inputs to manufacturing for major grades of forest products. </w:t>
      </w:r>
      <w:r w:rsidRPr="00D9603D">
        <w:rPr>
          <w:rFonts w:ascii="Times New Roman" w:eastAsia="Times New Roman" w:hAnsi="Times New Roman" w:cs="Times New Roman"/>
          <w:bCs/>
          <w:iCs/>
          <w:kern w:val="0"/>
          <w14:ligatures w14:val="none"/>
        </w:rPr>
        <w:t xml:space="preserve">For containerboard, it was determined that there were 0.053 metric tons of non-fiber, non-fuel inputs per ton of product </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{"citationID":"4caQwIZd","properties":{"formattedCitation":"\\super 61\\nosupersub{}","plainCitation":"61","noteIndex":0},"citationItems":[{"id":79,"uris":["http://zotero.org/users/18184231/items/RNB5R45J"],"itemData":{"id":79,"type":"report","event-place":"Cary, NC","publisher":"NCASI","publisher-place":"Cary, NC","title":"Life Cycle Assessment of US Average Corrugated Product – Final Report. Report prepared for the Corrugated Product Alliance (CPA)","author":[{"family":"NCASI","given":""}],"issued":{"date-parts":[["2017"]]}}}],"schema":"https://github.com/citation-style-language/schema/raw/master/csl-citation.json"}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61</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For uncoated freesheet, coated freesheet, uncoated mechanical paper and coated mechanical paper this value was determined to be 0.277, 0.375, 0.081 and 0.362 metric tons of non-fiber, non-fuel inputs per ton of product, respectively </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{"citationID":"pPAeqTfL","properties":{"formattedCitation":"\\super 62\\nosupersub{}","plainCitation":"62","noteIndex":0},"citationItems":[{"id":80,"uris":["http://zotero.org/users/18184231/items/69RVA8M4"],"itemData":{"id":80,"type":"report","event-place":"Cary, NC","publisher":"NCASI","publisher-place":"Cary, NC","title":"Life Cycle Assessment of North American Printing and Writing Paper Products [Unpublished report]","author":[{"family":"NCASI","given":""}],"issued":{"date-parts":[["2010"]]}}}],"schema":"https://github.com/citation-style-language/schema/raw/master/csl-citation.json"}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62</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For lumber mills, non-fiber, non-fuel inputs were required at a rate of 0.437 kg per cubic meter of product (based on average of</w:t>
      </w:r>
      <w:r>
        <w:rPr>
          <w:rFonts w:ascii="Times New Roman" w:eastAsia="Times New Roman" w:hAnsi="Times New Roman" w:cs="Times New Roman"/>
          <w:bCs/>
          <w:iCs/>
          <w:kern w:val="0"/>
          <w14:ligatures w14:val="none"/>
        </w:rPr>
        <w:t xml:space="preserve"> data in two LCA studies</w:t>
      </w:r>
      <w:r w:rsidRPr="00D9603D">
        <w:rPr>
          <w:rFonts w:ascii="Times New Roman" w:eastAsia="Times New Roman" w:hAnsi="Times New Roman" w:cs="Times New Roman"/>
          <w:bCs/>
          <w:iCs/>
          <w:kern w:val="0"/>
          <w14:ligatures w14:val="none"/>
        </w:rPr>
        <w:t xml:space="preserve"> </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{"citationID":"QhMbxGVp","properties":{"formattedCitation":"\\super 25,26\\nosupersub{}","plainCitation":"25,26","noteIndex":0},"citationItems":[{"id":35,"uris":["http://zotero.org/users/18184231/items/X47EGAWD"],"itemData":{"id":35,"type":"report","language":"en","publisher":"Consortium for Research on Renewable Industrial Materials (CORRIM)","source":"Zotero","title":"Life cycle assessment for the production of southeastern softwood lumber","author":[{"family":"Milota","given":"Mike"},{"family":"Science","given":"Wood"},{"family":"Hall","given":"Richardson"}],"issued":{"date-parts":[["2020"]]}}},{"id":36,"uris":["http://zotero.org/users/18184231/items/QYGPNRTL"],"itemData":{"id":36,"type":"report","language":"en","publisher":"Consortium for Research on Renewable Industrial Materials (CORRIM)","source":"Zotero","title":"Life Cycle assessment for the production of Pacific Northwest softwood lumber","URL":"https://corrim.org/wp-content/uploads/2020/06/CORRIM-AWC-PNW-Lumber.pdf","author":[{"family":"Milota","given":"Mike"},{"family":"Science","given":"Wood"},{"family":"Hall","given":"Richardso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25,26</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while the value for panel plants was calculated to be 18.17 kg per cubic meter product (average of</w:t>
      </w:r>
      <w:r>
        <w:rPr>
          <w:rFonts w:ascii="Times New Roman" w:eastAsia="Times New Roman" w:hAnsi="Times New Roman" w:cs="Times New Roman"/>
          <w:bCs/>
          <w:iCs/>
          <w:kern w:val="0"/>
          <w14:ligatures w14:val="none"/>
        </w:rPr>
        <w:t xml:space="preserve"> three studies </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{"citationID":"r7doRECh","properties":{"formattedCitation":"\\super 42,42,48\\nosupersub{}","plainCitation":"42,42,48","noteIndex":0},"citationItems":[{"id":74,"uris":["http://zotero.org/users/18184231/items/IS97IWV7"],"itemData":{"id":74,"type":"article-journal","abstract":"A Life-Cycle Assessment of Forest Resources of the Pacific Northwest, USA*","DOI":"10.13073/FPJ-D-17-00011","language":"en","note":"section: Forest Products Journal","source":"fpj.kglmeridian.com","title":"A Life-Cycle Assessment of Forest Resources of the Pacific Northwest, USA*","URL":"https://fpj.kglmeridian.com/view/journals/fpro/67/5-6/article-p316.xml","author":[{"family":"Oneil","given":"Elaine"},{"family":"Puettmann","given":"Maureen E."}],"accessed":{"date-parts":[["2025",9,25]]},"issued":{"date-parts":[["2017",1,1]]}}},{"id":29,"uris":["http://zotero.org/users/18184231/items/CYUF78XX"],"itemData":{"id":29,"type":"report","language":"en","publisher":"Consortium for Research on Renewable Industrial Materials (CORRIM)","source":"Zotero","title":"Life Cycle Assessment for the Production of Southeast Softwood Plywood","author":[{"family":"Puettmann","given":"Maureen"},{"family":"Kaestner","given":"Dominik"},{"family":"Taylor","given":"Adam"}],"issued":{"date-parts":[["2020"]]}}},{"id":29,"uris":["http://zotero.org/users/18184231/items/CYUF78XX"],"itemData":{"id":29,"type":"report","language":"en","publisher":"Consortium for Research on Renewable Industrial Materials (CORRIM)","source":"Zotero","title":"Life Cycle Assessment for the Production of Southeast Softwood Plywood","author":[{"family":"Puettmann","given":"Maureen"},{"family":"Kaestner","given":"Dominik"},{"family":"Taylor","given":"Adam"}],"issued":{"date-parts":[["2020"]]}}}],"schema":"https://github.com/citation-style-language/schema/raw/master/csl-citation.json"}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42,42,48</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For wood products other than lumber, the value for panels was used. Conversions were necessary in some cases to derive as-shipped weights. </w:t>
      </w:r>
    </w:p>
    <w:p w14:paraId="181572A2" w14:textId="7D335022" w:rsidR="00092B8E" w:rsidRDefault="00092B8E" w:rsidP="00092B8E">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 xml:space="preserve">To calculate quantities of non-fiber, non-fuel inputs, the grades of pulp, paper, and paperboard were assigned to the appropriate factors and multiplied by the quantities produced in 1990, 2005, and 2020, using statistics from AF&amp;PA </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{"citationID":"uikfwD9q","properties":{"formattedCitation":"\\super 17,19\\nosupersub{}","plainCitation":"17,19","noteIndex":0},"citationItems":[{"id":41,"uris":["http://zotero.org/users/local/T7KBDEDi/items/GHF986PY","http://zotero.org/users/18184231/items/GHF986PY"],"itemData":{"id":41,"type":"report","publisher":"AF&amp;PA (American Forest and Paper Association), Washington D.C","title":"2020 Statistics, Paper, Paperboard &amp; Pulp","author":[{"family":"American Forest and Paper Association (AF&amp;PA)","given":""}],"issued":{"date-parts":[["2021"]]}}},{"id":51,"uris":["http://zotero.org/users/local/T7KBDEDi/items/UGVE2HUQ","http://zotero.org/users/18184231/items/UGVE2HUQ"],"itemData":{"id":51,"type":"report","publisher":"AF&amp;PA (American Forest and Paper Association), Washington D.C","title":"2019 Statistics, Paper, Paperboard &amp; Pulp","author":[{"family":"American Forest and Paper Association (AF&amp;PA)","given":""}],"issued":{"date-parts":[["2020"]]}}}],"schema":"https://github.com/citation-style-language/schema/raw/master/csl-citation.json"}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17,19</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The same approach was used for wood products. All non-lumber products were assigned the factors for panels. Production data were obtained from FAOSTAT</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{"citationID":"gsu5MICN","properties":{"formattedCitation":"\\super 20\\nosupersub{}","plainCitation":"20","noteIndex":0},"citationItems":[{"id":47,"uris":["http://zotero.org/users/18184231/items/PAA3NDPP"],"itemData":{"id":47,"type":"webpage","title":"FAOSTAT","URL":"https://www.fao.org/faostat/en/#home","author":[{"family":"United Nations Food and Agriculture Organization (FAO)","given":""}],"accessed":{"date-parts":[["2025",9,25]]}}}],"schema":"https://github.com/citation-style-language/schema/raw/master/csl-citation.json"}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20</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w:t>
      </w:r>
    </w:p>
    <w:p w14:paraId="214F3E9B" w14:textId="334E9414" w:rsidR="00092B8E" w:rsidRDefault="00092B8E" w:rsidP="00092B8E">
      <w:pPr>
        <w:spacing w:line="276" w:lineRule="auto"/>
        <w:rPr>
          <w:rFonts w:ascii="Times New Roman" w:eastAsia="Times New Roman" w:hAnsi="Times New Roman" w:cs="Times New Roman"/>
          <w:bCs/>
          <w:iCs/>
          <w:kern w:val="0"/>
          <w14:ligatures w14:val="none"/>
        </w:rPr>
      </w:pPr>
      <w:r>
        <w:rPr>
          <w:rFonts w:ascii="Times New Roman" w:eastAsia="Times New Roman" w:hAnsi="Times New Roman" w:cs="Times New Roman"/>
          <w:bCs/>
          <w:iCs/>
          <w:kern w:val="0"/>
          <w14:ligatures w14:val="none"/>
        </w:rPr>
        <w:t>Transport distances were derived from CFS data</w:t>
      </w:r>
      <w:r>
        <w:rPr>
          <w:rFonts w:ascii="Times New Roman" w:eastAsia="Times New Roman" w:hAnsi="Times New Roman" w:cs="Times New Roman"/>
          <w:bCs/>
          <w:iCs/>
          <w:kern w:val="0"/>
          <w14:ligatures w14:val="none"/>
        </w:rPr>
        <w:fldChar w:fldCharType="begin"/>
      </w:r>
      <w:r>
        <w:rPr>
          <w:rFonts w:ascii="Times New Roman" w:eastAsia="Times New Roman" w:hAnsi="Times New Roman" w:cs="Times New Roman"/>
          <w:bCs/>
          <w:iCs/>
          <w:kern w:val="0"/>
          <w14:ligatures w14:val="none"/>
        </w:rPr>
        <w:instrText xml:space="preserve"> ADDIN ZOTERO_ITEM CSL_CITATION {"citationID":"mUgkxBGL","properties":{"formattedCitation":"\\super 43\\nosupersub{}","plainCitation":"43","noteIndex":0},"citationItems":[{"id":32,"uris":["http://zotero.org/users/local/T7KBDEDi/items/J3GU457X","http://zotero.org/users/18184231/items/J3GU457X"],"itemData":{"id":32,"type":"webpage","abstract":"Stats displayed in columns and rows with title, ID, notes, sources and release date. Many tables are in downloadable XLS, CVS and PDF file formats.","container-title":"Census.gov","language":"en","note":"section: Government","title":"Commodity Flow Survey Tables","URL":"https://www.census.gov/programs-surveys/cfs/data/tables.html","author":[{"family":"United States Census Bureau","given":""}],"accessed":{"date-parts":[["2025",9,25]]},"issued":{"date-parts":[["2025"]]}}}],"schema":"https://github.com/citation-style-language/schema/raw/master/csl-citation.json"}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Pr="00092B8E">
        <w:rPr>
          <w:rFonts w:ascii="Times New Roman" w:hAnsi="Times New Roman" w:cs="Times New Roman"/>
          <w:kern w:val="0"/>
          <w:vertAlign w:val="superscript"/>
        </w:rPr>
        <w:t>43</w:t>
      </w:r>
      <w:r>
        <w:rPr>
          <w:rFonts w:ascii="Times New Roman" w:eastAsia="Times New Roman" w:hAnsi="Times New Roman" w:cs="Times New Roman"/>
          <w:bCs/>
          <w:iCs/>
          <w:kern w:val="0"/>
          <w14:ligatures w14:val="none"/>
        </w:rPr>
        <w:fldChar w:fldCharType="end"/>
      </w:r>
      <w:r>
        <w:rPr>
          <w:rFonts w:ascii="Times New Roman" w:eastAsia="Times New Roman" w:hAnsi="Times New Roman" w:cs="Times New Roman"/>
          <w:bCs/>
          <w:iCs/>
          <w:kern w:val="0"/>
          <w14:ligatures w14:val="none"/>
        </w:rPr>
        <w:t xml:space="preserve">. </w:t>
      </w:r>
      <w:r w:rsidRPr="00D9603D">
        <w:rPr>
          <w:rFonts w:ascii="Times New Roman" w:eastAsia="Times New Roman" w:hAnsi="Times New Roman" w:cs="Times New Roman"/>
          <w:bCs/>
          <w:iCs/>
          <w:kern w:val="0"/>
          <w14:ligatures w14:val="none"/>
        </w:rPr>
        <w:t xml:space="preserve">For inputs to the pulp, paper, and paperboard sector, transport distances of non-fiber, non-fuel inputs were assumed to be </w:t>
      </w:r>
      <w:r w:rsidRPr="00D9603D">
        <w:rPr>
          <w:rFonts w:ascii="Times New Roman" w:eastAsia="Times New Roman" w:hAnsi="Times New Roman" w:cs="Times New Roman"/>
          <w:bCs/>
          <w:iCs/>
          <w:kern w:val="0"/>
          <w14:ligatures w14:val="none"/>
        </w:rPr>
        <w:lastRenderedPageBreak/>
        <w:t>represented by an average of commodity codes SCTG 12 (gravel and crushed stone) shipped to all users, SCTG 20 (basic chemicals) shipped to NAICS 322 (paper and paperboard mills,) and SCTG 31 (nonmetallic mineral products) also shipped to NAICS 322 (paper and paperboard mills). In the 2017 CFS, the average of these was 207 km. For wood products, transport distances for non</w:t>
      </w:r>
      <w:r>
        <w:rPr>
          <w:rFonts w:ascii="Times New Roman" w:eastAsia="Times New Roman" w:hAnsi="Times New Roman" w:cs="Times New Roman"/>
          <w:bCs/>
          <w:iCs/>
          <w:kern w:val="0"/>
          <w14:ligatures w14:val="none"/>
        </w:rPr>
        <w:t>-</w:t>
      </w:r>
      <w:r w:rsidRPr="00D9603D">
        <w:rPr>
          <w:rFonts w:ascii="Times New Roman" w:eastAsia="Times New Roman" w:hAnsi="Times New Roman" w:cs="Times New Roman"/>
          <w:bCs/>
          <w:iCs/>
          <w:kern w:val="0"/>
          <w14:ligatures w14:val="none"/>
        </w:rPr>
        <w:t>fiber, non</w:t>
      </w:r>
      <w:r>
        <w:rPr>
          <w:rFonts w:ascii="Times New Roman" w:eastAsia="Times New Roman" w:hAnsi="Times New Roman" w:cs="Times New Roman"/>
          <w:bCs/>
          <w:iCs/>
          <w:kern w:val="0"/>
          <w14:ligatures w14:val="none"/>
        </w:rPr>
        <w:t>-</w:t>
      </w:r>
      <w:r w:rsidRPr="00D9603D">
        <w:rPr>
          <w:rFonts w:ascii="Times New Roman" w:eastAsia="Times New Roman" w:hAnsi="Times New Roman" w:cs="Times New Roman"/>
          <w:bCs/>
          <w:iCs/>
          <w:kern w:val="0"/>
          <w14:ligatures w14:val="none"/>
        </w:rPr>
        <w:t>fuel inputs were represented by SCTG 20 (basic chemicals) shipped to manufacturing facilities (NAICS 31–33). In the 2017 CFS this distance was 365 km.</w:t>
      </w:r>
    </w:p>
    <w:p w14:paraId="413C4046" w14:textId="2B3C5F6F" w:rsidR="005E7D92" w:rsidRPr="002D10B0" w:rsidRDefault="005E7D92" w:rsidP="00590ED8">
      <w:pPr>
        <w:pStyle w:val="Heading1"/>
        <w:rPr>
          <w:rFonts w:ascii="Times New Roman" w:eastAsia="Times New Roman" w:hAnsi="Times New Roman" w:cs="Times New Roman"/>
          <w:b/>
          <w:bCs/>
          <w:color w:val="auto"/>
          <w:sz w:val="24"/>
          <w:szCs w:val="24"/>
        </w:rPr>
      </w:pPr>
      <w:bookmarkStart w:id="85" w:name="_Toc215829628"/>
      <w:proofErr w:type="gramStart"/>
      <w:r w:rsidRPr="002D10B0">
        <w:rPr>
          <w:rFonts w:ascii="Times New Roman" w:eastAsia="Times New Roman" w:hAnsi="Times New Roman" w:cs="Times New Roman"/>
          <w:b/>
          <w:bCs/>
          <w:color w:val="auto"/>
          <w:sz w:val="24"/>
          <w:szCs w:val="24"/>
        </w:rPr>
        <w:t>EMISSIONS</w:t>
      </w:r>
      <w:proofErr w:type="gramEnd"/>
      <w:r w:rsidRPr="002D10B0">
        <w:rPr>
          <w:rFonts w:ascii="Times New Roman" w:eastAsia="Times New Roman" w:hAnsi="Times New Roman" w:cs="Times New Roman"/>
          <w:b/>
          <w:bCs/>
          <w:color w:val="auto"/>
          <w:sz w:val="24"/>
          <w:szCs w:val="24"/>
        </w:rPr>
        <w:t xml:space="preserve"> FROM NON-INDUSTRIAL USE OF WOOD-BASED FUELS</w:t>
      </w:r>
      <w:bookmarkEnd w:id="85"/>
    </w:p>
    <w:p w14:paraId="794F80CE" w14:textId="26446D59" w:rsidR="005E7D92" w:rsidRPr="00D9603D" w:rsidRDefault="005E7D92" w:rsidP="005E7D92">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The amounts of wood energy used in the US up to 2017 are reported by the US Forest Service</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{"citationID":"G5zLMBV7","properties":{"formattedCitation":"\\super 23\\nosupersub{}","plainCitation":"23","noteIndex":0},"citationItems":[{"id":19,"uris":["http://zotero.org/users/18184231/items/Q6G52DXU"],"itemData":{"id":19,"type":"dataset","abstract":"This report presents current and historical annual data on the production, trade, consumption, and prices of timber products in the United States. The report also focuses on national statistics but includes some data for individual states and regions and for Canada. The data were collected from industry trade associations and government agencies. They are intended for use by forest land managers, forest industries, trade associations, forestry schools, renewable resource organizations, individuals in the major timber producing and consuming countries of the world, and the general public. A major use of the data is tracking industry production and consumption trends over time. One of the major shifts that has occurred in the woodusing industry since the great recession of 2008–2010 is that both production and consumption of roundwood per capita increased. Because of increased paper recycling and increased processing efficiency, the consumption per capita in roundwood equivalent decreased from 83 ft3 in 1986 to 49 ft3 in 2008. But during the most recent time period, the increase in production per capita was caused by the U.S. economic recovery, which positively impacted wood markets. In the 1960s and 1970s, consumption averaged 65 ft3 per capita before increasing and peaking in 1986 to 83 ft3 per capita. Since 2004, consumption per capita has continued to steadily decrease, falling to 42 ft3 in 2009 before increasing to 52.4 ft3 in 2017. Per capita consumption in 2017 was 52.4 ft3, which was the eighth consecutive year of increases. Since 1999, paper consumption fell from 57 to 32 million tons in 2017. Since 1999, newsprint capacity declined from 7.4 to 1.5 million tons in 2017 and printing and writing paper fell from 29.5 to 15.9 million tons of capacity in 2017. Another shift occurring during the past several years is increased emphasis on wood energy use, which has shown wide fluctuations during the last decade and into 2017. One exception to this trend is pellet production and trade, which has continued to grow for the last 5 years. Another shift occurring is the potential for increased production of new products such as cross-laminated timber with the establishment of multiple manufacturing facilities in the Pacific Northwest.","DOI":"10.2737/RDS-2018-0035","language":"en","publisher":"Forest Service Research Data Archive","source":"DOI.org (Crossref)","title":"U.S. timber production, trade, consumption, and price statistics, 1965-2017","URL":"https://www.fs.usda.gov/rds/archive/Catalog/RDS-2018-0035","author":[{"family":"Howard","given":"James L."},{"family":"Liang","given":"Shaobo"}],"accessed":{"date-parts":[["2025",9,25]]},"issued":{"date-parts":[["2019"]]}}}],"schema":"https://github.com/citation-style-language/schema/raw/master/csl-citation.json"}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23</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The US Forest Service assigns domestic wood energy consumption to residential, commercial, industrial, and electricity utility sectors. The consumption in the industrial sector is due almost entirely to the use of wood-derived materials for fuel at forest products manufacturing facilities. Emissions from the use of these materials are accounted for elsewhere in this profile and are excluded from the estimates here. </w:t>
      </w:r>
    </w:p>
    <w:p w14:paraId="7A0D51C6" w14:textId="2AF7911F" w:rsidR="005E7D92" w:rsidRPr="00D9603D" w:rsidRDefault="005E7D92" w:rsidP="005E7D92">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In addition to domestic consumption, wood pellet exports have become increasingly important. For this report, pellet export data since 2012 were obtained from the US Department of Agriculture Global Agricultural Trade System (GATS)</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{"citationID":"5I4oTWl4","properties":{"formattedCitation":"\\super 63\\nosupersub{}","plainCitation":"63","noteIndex":0},"citationItems":[{"id":46,"uris":["http://zotero.org/users/18184231/items/NJZ45ABQ"],"itemData":{"id":46,"type":"webpage","title":"FAS - Global Agricultural Trade System (GATS)","URL":"https://apps.fas.usda.gov/gats/default.aspx","author":[{"family":"United States Department of Agriculture (USDA)","given":""}],"accessed":{"date-parts":[["2025",9,25]]}}}],"schema":"https://github.com/citation-style-language/schema/raw/master/csl-citation.json"}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63</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It was assumed that these exports were zero in 1990 and increased linearly until the first GATS data in 2012. The residential sector consumes about one-half of nonindustrial wood energy. Recent growth sectors have been electric utilities and pellet exports. Exported pellets are primarily used to produce electricity in the importing countries. </w:t>
      </w:r>
    </w:p>
    <w:p w14:paraId="6C070B58" w14:textId="5C7B8099" w:rsidR="005E7D92" w:rsidRPr="00D9603D" w:rsidRDefault="005E7D92" w:rsidP="005E7D92">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 xml:space="preserve">European Integrated Pollution Prevention and Control Bureau (IPCC) emission factors </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{"citationID":"PLFdIoG0","properties":{"formattedCitation":"\\super 7\\nosupersub{}","plainCitation":"7","noteIndex":0},"citationItems":[{"id":88,"uris":["http://zotero.org/users/local/T7KBDEDi/items/K7XZUS33","http://zotero.org/users/18184231/items/K7XZUS33"],"itemData":{"id":88,"type":"report","title":"2006 IPCC Guidelines for National Greenhouse Gas Inventories","URL":"https://www.ipcc-nggip.iges.or.jp/public/2006gl/index.html","author":[{"family":"IPCC (Intergovernmental Panel on Climate Change)","given":""}],"accessed":{"date-parts":[["2025",9,25]]},"issued":{"date-parts":[["2006"]]}}}],"schema":"https://github.com/citation-style-language/schema/raw/master/csl-citation.json"}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7</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were used to estimate methane and nitrous oxide emissions from these sectors. For the residential sector, emissions are highly variable depending on combustion conditions. For this report, IPCC’s methane emission factor for noncatalytic wood stoves was used (497 kg CH</w:t>
      </w:r>
      <w:r w:rsidRPr="00D9603D">
        <w:rPr>
          <w:rFonts w:ascii="Times New Roman" w:eastAsia="Times New Roman" w:hAnsi="Times New Roman" w:cs="Times New Roman"/>
          <w:bCs/>
          <w:iCs/>
          <w:kern w:val="0"/>
          <w:vertAlign w:val="subscript"/>
          <w14:ligatures w14:val="none"/>
        </w:rPr>
        <w:t>4</w:t>
      </w:r>
      <w:r w:rsidRPr="00D9603D">
        <w:rPr>
          <w:rFonts w:ascii="Times New Roman" w:eastAsia="Times New Roman" w:hAnsi="Times New Roman" w:cs="Times New Roman"/>
          <w:bCs/>
          <w:iCs/>
          <w:kern w:val="0"/>
          <w14:ligatures w14:val="none"/>
        </w:rPr>
        <w:t>/</w:t>
      </w:r>
      <w:proofErr w:type="spellStart"/>
      <w:r w:rsidRPr="00D9603D">
        <w:rPr>
          <w:rFonts w:ascii="Times New Roman" w:eastAsia="Times New Roman" w:hAnsi="Times New Roman" w:cs="Times New Roman"/>
          <w:bCs/>
          <w:iCs/>
          <w:kern w:val="0"/>
          <w14:ligatures w14:val="none"/>
        </w:rPr>
        <w:t>Tg</w:t>
      </w:r>
      <w:proofErr w:type="spellEnd"/>
      <w:r w:rsidRPr="00D9603D">
        <w:rPr>
          <w:rFonts w:ascii="Times New Roman" w:eastAsia="Times New Roman" w:hAnsi="Times New Roman" w:cs="Times New Roman"/>
          <w:bCs/>
          <w:iCs/>
          <w:kern w:val="0"/>
          <w14:ligatures w14:val="none"/>
        </w:rPr>
        <w:t xml:space="preserve"> energy input). For all other sectors, IPCC uses a value of 11 kg CH</w:t>
      </w:r>
      <w:r w:rsidRPr="00D9603D">
        <w:rPr>
          <w:rFonts w:ascii="Times New Roman" w:eastAsia="Times New Roman" w:hAnsi="Times New Roman" w:cs="Times New Roman"/>
          <w:bCs/>
          <w:iCs/>
          <w:kern w:val="0"/>
          <w:vertAlign w:val="subscript"/>
          <w14:ligatures w14:val="none"/>
        </w:rPr>
        <w:t>4</w:t>
      </w:r>
      <w:r w:rsidRPr="00D9603D">
        <w:rPr>
          <w:rFonts w:ascii="Times New Roman" w:eastAsia="Times New Roman" w:hAnsi="Times New Roman" w:cs="Times New Roman"/>
          <w:bCs/>
          <w:iCs/>
          <w:kern w:val="0"/>
          <w14:ligatures w14:val="none"/>
        </w:rPr>
        <w:t>/</w:t>
      </w:r>
      <w:proofErr w:type="spellStart"/>
      <w:r w:rsidRPr="00D9603D">
        <w:rPr>
          <w:rFonts w:ascii="Times New Roman" w:eastAsia="Times New Roman" w:hAnsi="Times New Roman" w:cs="Times New Roman"/>
          <w:bCs/>
          <w:iCs/>
          <w:kern w:val="0"/>
          <w14:ligatures w14:val="none"/>
        </w:rPr>
        <w:t>Tg</w:t>
      </w:r>
      <w:proofErr w:type="spellEnd"/>
      <w:r w:rsidRPr="00D9603D">
        <w:rPr>
          <w:rFonts w:ascii="Times New Roman" w:eastAsia="Times New Roman" w:hAnsi="Times New Roman" w:cs="Times New Roman"/>
          <w:bCs/>
          <w:iCs/>
          <w:kern w:val="0"/>
          <w14:ligatures w14:val="none"/>
        </w:rPr>
        <w:t xml:space="preserve"> energy input. IPCC has no value for nitrous oxide from residential consumption of wood for energy; therefore, IPCC’s factor for other sectors was used (7 kg N</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O/</w:t>
      </w:r>
      <w:proofErr w:type="spellStart"/>
      <w:r w:rsidRPr="00D9603D">
        <w:rPr>
          <w:rFonts w:ascii="Times New Roman" w:eastAsia="Times New Roman" w:hAnsi="Times New Roman" w:cs="Times New Roman"/>
          <w:bCs/>
          <w:iCs/>
          <w:kern w:val="0"/>
          <w14:ligatures w14:val="none"/>
        </w:rPr>
        <w:t>Tg</w:t>
      </w:r>
      <w:proofErr w:type="spellEnd"/>
      <w:r w:rsidRPr="00D9603D">
        <w:rPr>
          <w:rFonts w:ascii="Times New Roman" w:eastAsia="Times New Roman" w:hAnsi="Times New Roman" w:cs="Times New Roman"/>
          <w:bCs/>
          <w:iCs/>
          <w:kern w:val="0"/>
          <w14:ligatures w14:val="none"/>
        </w:rPr>
        <w:t xml:space="preserve"> energy input). </w:t>
      </w:r>
    </w:p>
    <w:p w14:paraId="468A4478" w14:textId="06EE31B6" w:rsidR="001D05E2" w:rsidRPr="002D10B0" w:rsidRDefault="001D05E2" w:rsidP="00590ED8">
      <w:pPr>
        <w:pStyle w:val="Heading1"/>
        <w:rPr>
          <w:rFonts w:ascii="Times New Roman" w:hAnsi="Times New Roman" w:cs="Times New Roman"/>
          <w:b/>
          <w:bCs/>
          <w:color w:val="auto"/>
          <w:sz w:val="24"/>
          <w:szCs w:val="24"/>
        </w:rPr>
      </w:pPr>
      <w:bookmarkStart w:id="86" w:name="_Toc215829629"/>
      <w:r w:rsidRPr="002D10B0">
        <w:rPr>
          <w:rFonts w:ascii="Times New Roman" w:hAnsi="Times New Roman" w:cs="Times New Roman"/>
          <w:b/>
          <w:bCs/>
          <w:color w:val="auto"/>
          <w:sz w:val="24"/>
          <w:szCs w:val="24"/>
        </w:rPr>
        <w:t>D</w:t>
      </w:r>
      <w:r w:rsidR="002D10B0" w:rsidRPr="002D10B0">
        <w:rPr>
          <w:rFonts w:ascii="Times New Roman" w:hAnsi="Times New Roman" w:cs="Times New Roman"/>
          <w:b/>
          <w:bCs/>
          <w:color w:val="auto"/>
          <w:sz w:val="24"/>
          <w:szCs w:val="24"/>
        </w:rPr>
        <w:t>ATA AND CALCULATIONS OF END-OF-LIFE EMISSIONS FOR FOREST PRODUCTS</w:t>
      </w:r>
      <w:bookmarkEnd w:id="86"/>
    </w:p>
    <w:p w14:paraId="71DAE554" w14:textId="6F1C2BC6"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 xml:space="preserve">At end-of-life, forest products are recycled, landfilled, combusted, or diverted to a beneficial use (e.g., composting). End-of-life </w:t>
      </w:r>
      <w:r w:rsidR="00775B85">
        <w:rPr>
          <w:rFonts w:ascii="Times New Roman" w:eastAsia="Times New Roman" w:hAnsi="Times New Roman" w:cs="Times New Roman"/>
          <w:bCs/>
          <w:iCs/>
          <w:kern w:val="0"/>
          <w14:ligatures w14:val="none"/>
        </w:rPr>
        <w:t xml:space="preserve">GHG </w:t>
      </w:r>
      <w:r w:rsidRPr="00D9603D">
        <w:rPr>
          <w:rFonts w:ascii="Times New Roman" w:eastAsia="Times New Roman" w:hAnsi="Times New Roman" w:cs="Times New Roman"/>
          <w:bCs/>
          <w:iCs/>
          <w:kern w:val="0"/>
          <w14:ligatures w14:val="none"/>
        </w:rPr>
        <w:t>emissions from combustion (primarily municipal solid waste</w:t>
      </w:r>
      <w:r w:rsidRPr="00D9603D" w:rsidDel="002C2C8E">
        <w:rPr>
          <w:rFonts w:ascii="Times New Roman" w:eastAsia="Times New Roman" w:hAnsi="Times New Roman" w:cs="Times New Roman"/>
          <w:bCs/>
          <w:iCs/>
          <w:kern w:val="0"/>
          <w14:ligatures w14:val="none"/>
        </w:rPr>
        <w:t xml:space="preserve"> </w:t>
      </w:r>
      <w:r w:rsidRPr="00D9603D">
        <w:rPr>
          <w:rFonts w:ascii="Times New Roman" w:eastAsia="Times New Roman" w:hAnsi="Times New Roman" w:cs="Times New Roman"/>
          <w:bCs/>
          <w:iCs/>
          <w:kern w:val="0"/>
          <w14:ligatures w14:val="none"/>
        </w:rPr>
        <w:t>[MSW] waste-to-energy) are not included because US EPA estimates that emissions of N</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O and CH</w:t>
      </w:r>
      <w:r w:rsidRPr="00D9603D">
        <w:rPr>
          <w:rFonts w:ascii="Times New Roman" w:eastAsia="Times New Roman" w:hAnsi="Times New Roman" w:cs="Times New Roman"/>
          <w:bCs/>
          <w:iCs/>
          <w:kern w:val="0"/>
          <w:vertAlign w:val="subscript"/>
          <w14:ligatures w14:val="none"/>
        </w:rPr>
        <w:t>4</w:t>
      </w:r>
      <w:r w:rsidRPr="00D9603D">
        <w:rPr>
          <w:rFonts w:ascii="Times New Roman" w:eastAsia="Times New Roman" w:hAnsi="Times New Roman" w:cs="Times New Roman"/>
          <w:bCs/>
          <w:iCs/>
          <w:kern w:val="0"/>
          <w14:ligatures w14:val="none"/>
        </w:rPr>
        <w:t xml:space="preserve"> associated with MSW combustion, in total, are less than 0.5 million metric tons of CO</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e per year, and only a fraction of this can be attributed to forest products</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{"citationID":"D7OVNggp","properties":{"formattedCitation":"\\super 11\\nosupersub{}","plainCitation":"11","noteIndex":0},"citationItems":[{"id":57,"uris":["http://zotero.org/users/18184231/items/WWG2FC8Q"],"itemData":{"id":57,"type":"report","abstract":"View or download the Inventory of U.S. Greenhouse Gas Emissions and Sinks: 1990-2020, including individual chapters and annexes.","genre":"Reports and Assessments","language":"en","number":"EPA 430-R-22-003","title":"Inventory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11</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w:t>
      </w:r>
      <w:r>
        <w:rPr>
          <w:rFonts w:ascii="Times New Roman" w:eastAsia="Times New Roman" w:hAnsi="Times New Roman" w:cs="Times New Roman"/>
          <w:bCs/>
          <w:iCs/>
          <w:kern w:val="0"/>
          <w14:ligatures w14:val="none"/>
        </w:rPr>
        <w:t>Note that c</w:t>
      </w:r>
      <w:r w:rsidRPr="00832E99">
        <w:rPr>
          <w:rFonts w:ascii="Times New Roman" w:eastAsia="Times New Roman" w:hAnsi="Times New Roman" w:cs="Times New Roman"/>
          <w:bCs/>
          <w:iCs/>
          <w:kern w:val="0"/>
          <w14:ligatures w14:val="none"/>
        </w:rPr>
        <w:t xml:space="preserve">arbon dioxide produced by combustion of forest products in MSW is </w:t>
      </w:r>
      <w:r w:rsidRPr="00832E99">
        <w:rPr>
          <w:rFonts w:ascii="Times New Roman" w:eastAsia="Times New Roman" w:hAnsi="Times New Roman" w:cs="Times New Roman"/>
          <w:bCs/>
          <w:iCs/>
          <w:kern w:val="0"/>
          <w14:ligatures w14:val="none"/>
        </w:rPr>
        <w:lastRenderedPageBreak/>
        <w:t>not included because it is part of the calculation of changes stocks of carbon in forest products presented earlier in this report.</w:t>
      </w:r>
    </w:p>
    <w:p w14:paraId="759CAD57" w14:textId="211912E8"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 xml:space="preserve">EPA’s annual inventory indicates that total </w:t>
      </w:r>
      <w:r w:rsidR="00775B85">
        <w:rPr>
          <w:rFonts w:ascii="Times New Roman" w:eastAsia="Times New Roman" w:hAnsi="Times New Roman" w:cs="Times New Roman"/>
          <w:bCs/>
          <w:iCs/>
          <w:kern w:val="0"/>
          <w14:ligatures w14:val="none"/>
        </w:rPr>
        <w:t xml:space="preserve">GHG </w:t>
      </w:r>
      <w:r w:rsidRPr="00D9603D">
        <w:rPr>
          <w:rFonts w:ascii="Times New Roman" w:eastAsia="Times New Roman" w:hAnsi="Times New Roman" w:cs="Times New Roman"/>
          <w:bCs/>
          <w:iCs/>
          <w:kern w:val="0"/>
          <w14:ligatures w14:val="none"/>
        </w:rPr>
        <w:t>emissions from composting in 2020 were 4.3 million metric tons CO</w:t>
      </w:r>
      <w:r w:rsidRPr="00D9603D">
        <w:rPr>
          <w:rFonts w:ascii="Times New Roman" w:eastAsia="Times New Roman" w:hAnsi="Times New Roman" w:cs="Times New Roman"/>
          <w:bCs/>
          <w:iCs/>
          <w:kern w:val="0"/>
          <w:vertAlign w:val="subscript"/>
          <w14:ligatures w14:val="none"/>
        </w:rPr>
        <w:t>2</w:t>
      </w:r>
      <w:r w:rsidRPr="00D9603D">
        <w:rPr>
          <w:rFonts w:ascii="Times New Roman" w:eastAsia="Times New Roman" w:hAnsi="Times New Roman" w:cs="Times New Roman"/>
          <w:bCs/>
          <w:iCs/>
          <w:kern w:val="0"/>
          <w14:ligatures w14:val="none"/>
        </w:rPr>
        <w:t>eq. per year</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{"citationID":"Iwgkqslu","properties":{"formattedCitation":"\\super 11\\nosupersub{}","plainCitation":"11","noteIndex":0},"citationItems":[{"id":57,"uris":["http://zotero.org/users/18184231/items/WWG2FC8Q"],"itemData":{"id":57,"type":"report","abstract":"View or download the Inventory of U.S. Greenhouse Gas Emissions and Sinks: 1990-2020, including individual chapters and annexes.","genre":"Reports and Assessments","language":"en","number":"EPA 430-R-22-003","title":"Inventory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11</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The wastes creating these emissions are, according to US EPA, “primarily yard trimmings (grass, leaves, and tree and brush trimmings) and food scraps from the residential and commercial sectors (such as grocery stores; restaurants; and school, business, and factory cafeterias)”</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{"citationID":"0I8krOyX","properties":{"formattedCitation":"\\super 11\\nosupersub{}","plainCitation":"11","noteIndex":0},"citationItems":[{"id":57,"uris":["http://zotero.org/users/18184231/items/WWG2FC8Q"],"itemData":{"id":57,"type":"report","abstract":"View or download the Inventory of U.S. Greenhouse Gas Emissions and Sinks: 1990-2020, including individual chapters and annexes.","genre":"Reports and Assessments","language":"en","number":"EPA 430-R-22-003","title":"Inventory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11</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There is no reason, therefore, to suspect that paper and wood products are a significant source of GHGs from composting, so these potential emissions are not considered in this analysis. The calculations in this report, therefore, are limited to GHG emissions from landfills attributable to discarded forest products. </w:t>
      </w:r>
    </w:p>
    <w:p w14:paraId="16B2DD1E" w14:textId="77A8DCC6"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The starting point for the calculations is US EPA’s annual inventory values for total MSW landfill methane emissions and the fraction attributable to forest products has then been calculated</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{"citationID":"EVBOc3aN","properties":{"formattedCitation":"\\super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12</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An advantage of using EPA’s estimates is that they are based on a combination of methane measurements and modeling, which would be expected to be more accurate than results from modeling alone. A disadvantage of this method is that it does not use the “production approach”, meaning that the emissions are not specifically attributable to products made from wood harvested in the US. Instead, this approach calculates methane emissions attributable to all forest products disposed of in US landfills, regardless of where the wood was harvested. </w:t>
      </w:r>
    </w:p>
    <w:p w14:paraId="66D97AC6" w14:textId="77777777"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It is difficult to precisely determine the expected difference between the two approaches. An emissions estimate based, at least in part, on direct measurements would be expected to be more accurate than one based only on modeling. There are significant uncertainties, however, in estimating the fraction of these emissions attributable to domestic production of forest products. First, the forest products in landfills come from both domestic and non-domestic production. Second, methane emissions from landfills are attributable to all decomposable materials placed in landfills, of which forest products are only a fraction.</w:t>
      </w:r>
    </w:p>
    <w:p w14:paraId="4047E495" w14:textId="212E675D"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The potential impacts of non-domestic forest products in landfills can be examined in several ways. One is by comparing imports and exports of forest products. Over the past several decades, with the exception of lumber, imports and exports of forest products have been comparable</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{"citationID":"BBH8HChR","properties":{"formattedCitation":"\\super 23\\nosupersub{}","plainCitation":"23","noteIndex":0},"citationItems":[{"id":19,"uris":["http://zotero.org/users/18184231/items/Q6G52DXU"],"itemData":{"id":19,"type":"dataset","abstract":"This report presents current and historical annual data on the production, trade, consumption, and prices of timber products in the United States. The report also focuses on national statistics but includes some data for individual states and regions and for Canada. The data were collected from industry trade associations and government agencies. They are intended for use by forest land managers, forest industries, trade associations, forestry schools, renewable resource organizations, individuals in the major timber producing and consuming countries of the world, and the general public. A major use of the data is tracking industry production and consumption trends over time. One of the major shifts that has occurred in the woodusing industry since the great recession of 2008–2010 is that both production and consumption of roundwood per capita increased. Because of increased paper recycling and increased processing efficiency, the consumption per capita in roundwood equivalent decreased from 83 ft3 in 1986 to 49 ft3 in 2008. But during the most recent time period, the increase in production per capita was caused by the U.S. economic recovery, which positively impacted wood markets. In the 1960s and 1970s, consumption averaged 65 ft3 per capita before increasing and peaking in 1986 to 83 ft3 per capita. Since 2004, consumption per capita has continued to steadily decrease, falling to 42 ft3 in 2009 before increasing to 52.4 ft3 in 2017. Per capita consumption in 2017 was 52.4 ft3, which was the eighth consecutive year of increases. Since 1999, paper consumption fell from 57 to 32 million tons in 2017. Since 1999, newsprint capacity declined from 7.4 to 1.5 million tons in 2017 and printing and writing paper fell from 29.5 to 15.9 million tons of capacity in 2017. Another shift occurring during the past several years is increased emphasis on wood energy use, which has shown wide fluctuations during the last decade and into 2017. One exception to this trend is pellet production and trade, which has continued to grow for the last 5 years. Another shift occurring is the potential for increased production of new products such as cross-laminated timber with the establishment of multiple manufacturing facilities in the Pacific Northwest.","DOI":"10.2737/RDS-2018-0035","language":"en","publisher":"Forest Service Research Data Archive","source":"DOI.org (Crossref)","title":"U.S. timber production, trade, consumption, and price statistics, 1965-2017","URL":"https://www.fs.usda.gov/rds/archive/Catalog/RDS-2018-0035","author":[{"family":"Howard","given":"James L."},{"family":"Liang","given":"Shaobo"}],"accessed":{"date-parts":[["2025",9,25]]},"issued":{"date-parts":[["2019"]]}}}],"schema":"https://github.com/citation-style-language/schema/raw/master/csl-citation.json"}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23</w:t>
      </w:r>
      <w:r>
        <w:rPr>
          <w:rFonts w:ascii="Times New Roman" w:eastAsia="Times New Roman" w:hAnsi="Times New Roman" w:cs="Times New Roman"/>
          <w:bCs/>
          <w:iCs/>
          <w:kern w:val="0"/>
          <w14:ligatures w14:val="none"/>
        </w:rPr>
        <w:fldChar w:fldCharType="end"/>
      </w:r>
      <w:r>
        <w:rPr>
          <w:rFonts w:ascii="Times New Roman" w:eastAsia="Times New Roman" w:hAnsi="Times New Roman" w:cs="Times New Roman"/>
          <w:bCs/>
          <w:iCs/>
          <w:kern w:val="0"/>
          <w14:ligatures w14:val="none"/>
        </w:rPr>
        <w:t>.</w:t>
      </w:r>
      <w:r w:rsidRPr="00D9603D">
        <w:rPr>
          <w:rFonts w:ascii="Times New Roman" w:eastAsia="Times New Roman" w:hAnsi="Times New Roman" w:cs="Times New Roman"/>
          <w:bCs/>
          <w:iCs/>
          <w:kern w:val="0"/>
          <w14:ligatures w14:val="none"/>
        </w:rPr>
        <w:t xml:space="preserve"> Assuming the end-of-life fates of imported and exported products are the same, the impacts of exported forest products would be expected to be approximately offset by the impacts of imported forest products, which are included. </w:t>
      </w:r>
    </w:p>
    <w:p w14:paraId="2118FC20" w14:textId="23FF1E57"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In the case of lumber, a large fraction of the material deposited in landfills is nondegradable and does not contribute to methane emissions. Wang et al.</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{"citationID":"7LW0xFdD","properties":{"formattedCitation":"\\super 64\\nosupersub{}","plainCitation":"64","noteIndex":0},"citationItems":[{"id":53,"uris":["http://zotero.org/users/18184231/items/HKI37BIP"],"itemData":{"id":53,"type":"article-journal","abstract":"The objective of this research was to characterize the anaerobic biodegradability of major wood products in municipal waste by measuring methane yields, decay rates, the extent of carbohydrate decomposition, carbon storage, and leachate toxicity. Tests were conducted in triplicate 8 L reactors operated to obtain maximum yields. Measured methane yields for red oak, eucalyptus, spruce, radiata pine, plywood (PW), oriented strand board (OSB) from hardwood (HW) and softwood (SW), particleboard (PB) and medium-density fiberboard (MDF) were 32.5, 0, 7.5, 0.5, 6.3, 84.5, 0, 5.6, and 4.6 mL CH4 dry g–1, respectively. The red oak, a HW, exhibited greater decomposition than either SW (spruce and radiata), a trend that was also measured for the OSB-HW relative to OSB-SW. However, the eucalyptus (HW) exhibited toxicity. Thus, wood species have unique methane yields that should be considered in the development of national inventories of methane production and carbon storage. The current assumption of uniform biodegradability is not appropriate. The ammonia release from urea formaldehyde as present in PB and MDF could contribute to ammonia in landfill leachate. Using the extent of carbon conversion measured in this research, 0–19.9%, predicted methane production from a wood mixture using the Intergovernmental Panel for Climate Change waste model is only 7.9% of that predicted using the 50% carbon conversion default.","container-title":"Environmental Science &amp; Technology","DOI":"10.1021/es201241g","ISSN":"0013-936X","issue":"16","journalAbbreviation":"Environ. Sci. Technol.","note":"publisher: American Chemical Society","page":"6864-6871","source":"ACS Publications","title":"Wood Biodegradation in Laboratory-Scale Landfills","volume":"45","author":[{"family":"Wang","given":"Xiaoming"},{"family":"Padgett","given":"Jennifer M."},{"family":"De la Cruz","given":"Florentino B."},{"family":"Barlaz","given":"Morton A."}],"issued":{"date-parts":[["2011",8,15]]}}}],"schema":"https://github.com/citation-style-language/schema/raw/master/csl-citation.json"}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64</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for instance, found that only 0 to 19.9% of the carbon in a range of wood products was degradable under anaerobic conditions. For wood products derived from softwood, like most lumber, the range was 0 to 1.8%. In addition, over the period of record, imports of lumber have been larger than exports, </w:t>
      </w:r>
      <w:r w:rsidRPr="00D9603D">
        <w:rPr>
          <w:rFonts w:ascii="Times New Roman" w:eastAsia="Times New Roman" w:hAnsi="Times New Roman" w:cs="Times New Roman"/>
          <w:bCs/>
          <w:iCs/>
          <w:kern w:val="0"/>
          <w14:ligatures w14:val="none"/>
        </w:rPr>
        <w:lastRenderedPageBreak/>
        <w:t xml:space="preserve">so to the extent that these products contribute to methane emissions from landfills, considering all methane, regardless of the source of the wood, will tend to overestimate the amounts attributable to lumber produced from wood harvested in the US, resulting in a conservative estimate. </w:t>
      </w:r>
    </w:p>
    <w:p w14:paraId="568D22DA" w14:textId="77777777"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 xml:space="preserve">More difficult to assess is the potential impact of (1) paper, paperboard, and wood associated with containers used to </w:t>
      </w:r>
      <w:proofErr w:type="gramStart"/>
      <w:r w:rsidRPr="00D9603D">
        <w:rPr>
          <w:rFonts w:ascii="Times New Roman" w:eastAsia="Times New Roman" w:hAnsi="Times New Roman" w:cs="Times New Roman"/>
          <w:bCs/>
          <w:iCs/>
          <w:kern w:val="0"/>
          <w14:ligatures w14:val="none"/>
        </w:rPr>
        <w:t>package</w:t>
      </w:r>
      <w:proofErr w:type="gramEnd"/>
      <w:r w:rsidRPr="00D9603D">
        <w:rPr>
          <w:rFonts w:ascii="Times New Roman" w:eastAsia="Times New Roman" w:hAnsi="Times New Roman" w:cs="Times New Roman"/>
          <w:bCs/>
          <w:iCs/>
          <w:kern w:val="0"/>
          <w14:ligatures w14:val="none"/>
        </w:rPr>
        <w:t xml:space="preserve"> or ship imported products and (2) other imported consumer products that are comprised, in part, of paper, paperboard, or wood. </w:t>
      </w:r>
    </w:p>
    <w:p w14:paraId="7F7EED1E" w14:textId="22588FA4"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The difficulty caused by these materials is exemplified by comparing US EPA’s various estimates of MSW quantities. In its most recent “Advancing Sustainable Materials Management” report, US EPA estimates that in 2018, 133 million metric tons of material were landfilled in the US</w:t>
      </w:r>
      <w:r>
        <w:rPr>
          <w:rFonts w:ascii="Times New Roman" w:eastAsia="Times New Roman" w:hAnsi="Times New Roman" w:cs="Times New Roman"/>
          <w:bCs/>
          <w:iCs/>
          <w:kern w:val="0"/>
          <w14:ligatures w14:val="none"/>
        </w:rPr>
        <w:t xml:space="preserve"> </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{"citationID":"vl5nsWHy","properties":{"formattedCitation":"\\super 65\\nosupersub{}","plainCitation":"65","noteIndex":0},"citationItems":[{"id":63,"uris":["http://zotero.org/users/18184231/items/HMSKCJS6"],"itemData":{"id":63,"type":"report","language":"en","source":"Zotero","title":"Advancing Sustainable Materials Management: 2018 Tables and Figures","URL":"https://www.epa.gov/sites/default/files/2021-01/documents/2018_tables_and_figures_dec_2020_fnl_508.pdf","author":[{"family":"United States Environmental Protection Agency (EPA)","given":""}],"accessed":{"date-parts":[["2025",9,25]]},"issued":{"date-parts":[["2020"]]}}}],"schema":"https://github.com/citation-style-language/schema/raw/master/csl-citation.json"}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65</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In the annual inventory of emissions and sinks, however, US EPA estimates that 213 million metric tons of MSW were landfilled in 2018 </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{"citationID":"2NDEjSAa","properties":{"formattedCitation":"\\super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12</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an estimate 1.6 times that in the “Advancing Sustainable Materials Management” report. US EPA provides the following explanation for the difference:</w:t>
      </w:r>
    </w:p>
    <w:p w14:paraId="435B95A1" w14:textId="661B0AE5" w:rsidR="008B4D28" w:rsidRPr="00D9603D" w:rsidRDefault="008B4D28" w:rsidP="008B4D28">
      <w:pPr>
        <w:spacing w:line="276" w:lineRule="auto"/>
        <w:ind w:left="540" w:right="900"/>
        <w:jc w:val="both"/>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 xml:space="preserve">The EREF-extrapolated estimate of total MSW landfilled for 2017 and 2018 [i.e., the value in </w:t>
      </w:r>
      <w:r>
        <w:rPr>
          <w:rFonts w:ascii="Times New Roman" w:eastAsia="Times New Roman" w:hAnsi="Times New Roman" w:cs="Times New Roman"/>
          <w:bCs/>
          <w:iCs/>
          <w:kern w:val="0"/>
          <w14:ligatures w14:val="none"/>
        </w:rPr>
        <w:t xml:space="preserve">the </w:t>
      </w:r>
      <w:r w:rsidRPr="00D9603D">
        <w:rPr>
          <w:rFonts w:ascii="Times New Roman" w:eastAsia="Times New Roman" w:hAnsi="Times New Roman" w:cs="Times New Roman"/>
          <w:bCs/>
          <w:iCs/>
          <w:kern w:val="0"/>
          <w14:ligatures w14:val="none"/>
        </w:rPr>
        <w:t>USEPA</w:t>
      </w:r>
      <w:r>
        <w:rPr>
          <w:rFonts w:ascii="Times New Roman" w:eastAsia="Times New Roman" w:hAnsi="Times New Roman" w:cs="Times New Roman"/>
          <w:bCs/>
          <w:iCs/>
          <w:kern w:val="0"/>
          <w14:ligatures w14:val="none"/>
        </w:rPr>
        <w:t xml:space="preserve"> inventory</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{"citationID":"cXzBe6su","properties":{"formattedCitation":"\\super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12</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is based on a bottom-up approach using information at the facility-level to estimate MSW for the sector as a whole, while the Facts and Figures report</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{"citationID":"Kkg0bEsz","properties":{"formattedCitation":"\\super 65\\nosupersub{}","plainCitation":"65","noteIndex":0},"citationItems":[{"id":63,"uris":["http://zotero.org/users/18184231/items/HMSKCJS6"],"itemData":{"id":63,"type":"report","language":"en","source":"Zotero","title":"Advancing Sustainable Materials Management: 2018 Tables and Figures","URL":"https://www.epa.gov/sites/default/files/2021-01/documents/2018_tables_and_figures_dec_2020_fnl_508.pdf","author":[{"family":"United States Environmental Protection Agency (EPA)","given":""}],"accessed":{"date-parts":[["2025",9,25]]},"issued":{"date-parts":[["2020"]]}}}],"schema":"https://github.com/citation-style-language/schema/raw/master/csl-citation.json"}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65</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uses a top-down (materials flow mass balance) approach to estimate the same quantity. The materials flow methodology is generally based on production data for each material at the state- (recycling, composting) or national- (waste generation) level.</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{"citationID":"ZBDviTzG","properties":{"formattedCitation":"\\super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12</w:t>
      </w:r>
      <w:r>
        <w:rPr>
          <w:rFonts w:ascii="Times New Roman" w:eastAsia="Times New Roman" w:hAnsi="Times New Roman" w:cs="Times New Roman"/>
          <w:bCs/>
          <w:iCs/>
          <w:kern w:val="0"/>
          <w14:ligatures w14:val="none"/>
        </w:rPr>
        <w:fldChar w:fldCharType="end"/>
      </w:r>
    </w:p>
    <w:p w14:paraId="2B881389" w14:textId="0FFAB62A" w:rsidR="008B4D28" w:rsidRPr="00D9603D" w:rsidRDefault="008B4D28" w:rsidP="008B4D28">
      <w:pPr>
        <w:spacing w:line="276" w:lineRule="auto"/>
        <w:rPr>
          <w:rFonts w:ascii="Times New Roman" w:eastAsia="Times New Roman" w:hAnsi="Times New Roman" w:cs="Times New Roman"/>
          <w:bCs/>
          <w:iCs/>
          <w:kern w:val="0"/>
          <w14:ligatures w14:val="none"/>
        </w:rPr>
      </w:pPr>
      <w:r w:rsidRPr="00523B96">
        <w:rPr>
          <w:rFonts w:ascii="Times New Roman" w:eastAsia="Times New Roman" w:hAnsi="Times New Roman" w:cs="Times New Roman"/>
          <w:bCs/>
          <w:iCs/>
          <w:kern w:val="0"/>
          <w14:ligatures w14:val="none"/>
        </w:rPr>
        <w:t>The factors contributing to the difference have also been examined by Staley and Kantner</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{"citationID":"DKYExqh5","properties":{"formattedCitation":"\\super 66\\nosupersub{}","plainCitation":"66","noteIndex":0},"citationItems":[{"id":56,"uris":["http://zotero.org/users/18184231/items/4DZBSG2U"],"itemData":{"id":56,"type":"article-journal","abstract":"The Environmental Research and Education Foundation (EREF) recently completed a study to quantify the amount of MSW managed in the United States. The study represents the first to use a bottom-up, facility-based methodology in the U.S. to improve accuracy and more discretely track the amount of waste managed. Over 9,000 facilities managing municipal solid waste (MSW) were identified through the course of the study (landfills, WTE incinerators, recycling facilities, composting operations, and anaerobic digesters), and information on the amount and types of waste managed were collected. Results suggest 1.4 times more MSW is managed in 2013 than previously suggested by U.S. Environmental Protection Agency (U.S. EPA) estimates. Data show that the majority of MSW was landfilled and the least amount of tonnage was composted.​","container-title":"Detritus","DOI":"10.31025/2611-4135/2018.13699","ISSN":"2611-4135","issue":"3","language":"en","note":"publisher: CISA Publisher","page":"167","source":"digital.detritusjournal.com","title":"Quantification of Municipal Solid Waste Management in the United States - With Comparative Analysis to Other Estimates","author":[{"family":"Staley","given":"Bryan"},{"family":"Kantner","given":"Debra"}],"issued":{"date-parts":[["2018",9,10]]}}}],"schema":"https://github.com/citation-style-language/schema/raw/master/csl-citation.json"}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66</w:t>
      </w:r>
      <w:r>
        <w:rPr>
          <w:rFonts w:ascii="Times New Roman" w:eastAsia="Times New Roman" w:hAnsi="Times New Roman" w:cs="Times New Roman"/>
          <w:bCs/>
          <w:iCs/>
          <w:kern w:val="0"/>
          <w14:ligatures w14:val="none"/>
        </w:rPr>
        <w:fldChar w:fldCharType="end"/>
      </w:r>
      <w:r w:rsidRPr="00523B96">
        <w:rPr>
          <w:rFonts w:ascii="Times New Roman" w:eastAsia="Times New Roman" w:hAnsi="Times New Roman" w:cs="Times New Roman"/>
          <w:bCs/>
          <w:iCs/>
          <w:kern w:val="0"/>
          <w14:ligatures w14:val="none"/>
        </w:rPr>
        <w:t>.</w:t>
      </w:r>
      <w:r w:rsidRPr="00D9603D">
        <w:rPr>
          <w:rFonts w:ascii="Times New Roman" w:eastAsia="Times New Roman" w:hAnsi="Times New Roman" w:cs="Times New Roman"/>
          <w:bCs/>
          <w:iCs/>
          <w:kern w:val="0"/>
          <w14:ligatures w14:val="none"/>
        </w:rPr>
        <w:t>The potential impact of imported products is specifically acknowledged in US EPA’s description of methods used in the Facts and Figures report</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{"citationID":"QeP1BzKz","properties":{"formattedCitation":"\\super 65\\nosupersub{}","plainCitation":"65","noteIndex":0},"citationItems":[{"id":63,"uris":["http://zotero.org/users/18184231/items/HMSKCJS6"],"itemData":{"id":63,"type":"report","language":"en","source":"Zotero","title":"Advancing Sustainable Materials Management: 2018 Tables and Figures","URL":"https://www.epa.gov/sites/default/files/2021-01/documents/2018_tables_and_figures_dec_2020_fnl_508.pdf","author":[{"family":"United States Environmental Protection Agency (EPA)","given":""}],"accessed":{"date-parts":[["2025",9,25]]},"issued":{"date-parts":[["2020"]]}}}],"schema":"https://github.com/citation-style-language/schema/raw/master/csl-citation.json"}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65</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where US EPA identifies the need to adjust for packaging of imported goods but finds that “current data for adjustments for packaging of imported goods are not available.”</w:t>
      </w:r>
    </w:p>
    <w:p w14:paraId="1E6244A4" w14:textId="62813218"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 xml:space="preserve">While it is not possible to precisely estimate the impact of forest products used for packaging or shipping, or otherwise associated with imported consumer goods, the nature of the effect may be examined by comparing imports and exports of consumer goods. According </w:t>
      </w:r>
      <w:r>
        <w:rPr>
          <w:rFonts w:ascii="Times New Roman" w:eastAsia="Times New Roman" w:hAnsi="Times New Roman" w:cs="Times New Roman"/>
          <w:bCs/>
          <w:iCs/>
          <w:kern w:val="0"/>
          <w14:ligatures w14:val="none"/>
        </w:rPr>
        <w:t xml:space="preserve">to data from </w:t>
      </w:r>
      <w:r w:rsidRPr="00D9603D">
        <w:rPr>
          <w:rFonts w:ascii="Times New Roman" w:eastAsia="Times New Roman" w:hAnsi="Times New Roman" w:cs="Times New Roman"/>
          <w:bCs/>
          <w:iCs/>
          <w:kern w:val="0"/>
          <w14:ligatures w14:val="none"/>
        </w:rPr>
        <w:t>the Bureau of Economic Analysis in the Department of Commerce, imports of consumer goods are typically much larger than exports</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{"citationID":"PrLYburG","properties":{"formattedCitation":"\\super 67\\nosupersub{}","plainCitation":"67","noteIndex":0},"citationItems":[{"id":48,"uris":["http://zotero.org/users/18184231/items/AHYKVHUH"],"itemData":{"id":48,"type":"webpage","title":"Data Tools | U.S. Bureau of Economic Analysis (BEA)","URL":"https://www.bea.gov/tools","author":[{"family":"Bureau of Economic Analysis (BEA)","given":""}],"accessed":{"date-parts":[["2025",9,23]]}}}],"schema":"https://github.com/citation-style-language/schema/raw/master/csl-citation.json"}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67</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The amounts of paper and paperboard packaging disposed of in the US are, therefore, larger than they would be if they only included material of domestic origin. Using data from the Bureau of Economic Analysis</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{"citationID":"OWHkPnxj","properties":{"formattedCitation":"\\super 67\\nosupersub{}","plainCitation":"67","noteIndex":0},"citationItems":[{"id":48,"uris":["http://zotero.org/users/18184231/items/AHYKVHUH"],"itemData":{"id":48,"type":"webpage","title":"Data Tools | U.S. Bureau of Economic Analysis (BEA)","URL":"https://www.bea.gov/tools","author":[{"family":"Bureau of Economic Analysis (BEA)","given":""}],"accessed":{"date-parts":[["2025",9,23]]}}}],"schema":"https://github.com/citation-style-language/schema/raw/master/csl-citation.json"}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67</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NCASI estimates that, excluding vehicles, food, and energy, net imports of consumer goods to the US account for about 15 to 20% of personal consumption expenditures for these goods. This is large enough to suggest that packaging for imports of consumer goods may affect estimates of the quantity and origin of paper and paperboard in MSW. </w:t>
      </w:r>
    </w:p>
    <w:p w14:paraId="3AF00133" w14:textId="77777777"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lastRenderedPageBreak/>
        <w:t xml:space="preserve">Because some landfilled forest products are of non-domestic origin, measurements and models of gas production from all landfilled MSW are larger than they would be if only material of domestic origin was being landfilled. Hence, estimates based on the total methane attributable to landfilled paper and paperboard may overstate the contribution of the US forest products industry. </w:t>
      </w:r>
    </w:p>
    <w:p w14:paraId="246ACF28" w14:textId="45439F80"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While it is difficult to adjust methane emission measurements to account for non-domestic forest products, it is possible to adjust the emissions to isolate the role of forest products compared to other degradable materials. To estimate the fraction of methane attributable to forest products, we separately modeled the decay of all decomposable fractions of MSW deposited in landfills since 1960. The data on deposits were taken from US EPA</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{"citationID":"bvcfUnla","properties":{"formattedCitation":"\\super 65\\nosupersub{}","plainCitation":"65","noteIndex":0},"citationItems":[{"id":63,"uris":["http://zotero.org/users/18184231/items/HMSKCJS6"],"itemData":{"id":63,"type":"report","language":"en","source":"Zotero","title":"Advancing Sustainable Materials Management: 2018 Tables and Figures","URL":"https://www.epa.gov/sites/default/files/2021-01/documents/2018_tables_and_figures_dec_2020_fnl_508.pdf","author":[{"family":"United States Environmental Protection Agency (EPA)","given":""}],"accessed":{"date-parts":[["2025",9,25]]},"issued":{"date-parts":[["2020"]]}}}],"schema":"https://github.com/citation-style-language/schema/raw/master/csl-citation.json"}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65</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Parameter values for decay rates and nondegradable carbon were taken from the documentation for version 15 of US EPA’s </w:t>
      </w:r>
      <w:r>
        <w:rPr>
          <w:rFonts w:ascii="Times New Roman" w:eastAsia="Times New Roman" w:hAnsi="Times New Roman" w:cs="Times New Roman"/>
          <w:bCs/>
          <w:iCs/>
          <w:kern w:val="0"/>
          <w14:ligatures w14:val="none"/>
        </w:rPr>
        <w:t>Waste Reduction Model (</w:t>
      </w:r>
      <w:r w:rsidRPr="00D9603D">
        <w:rPr>
          <w:rFonts w:ascii="Times New Roman" w:eastAsia="Times New Roman" w:hAnsi="Times New Roman" w:cs="Times New Roman"/>
          <w:bCs/>
          <w:iCs/>
          <w:kern w:val="0"/>
          <w14:ligatures w14:val="none"/>
        </w:rPr>
        <w:t>WARM</w:t>
      </w:r>
      <w:r>
        <w:rPr>
          <w:rFonts w:ascii="Times New Roman" w:eastAsia="Times New Roman" w:hAnsi="Times New Roman" w:cs="Times New Roman"/>
          <w:bCs/>
          <w:iCs/>
          <w:kern w:val="0"/>
          <w14:ligatures w14:val="none"/>
        </w:rPr>
        <w:t>)</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{"citationID":"nFQghO2O","properties":{"formattedCitation":"\\super 40\\nosupersub{}","plainCitation":"40","noteIndex":0},"citationItems":[{"id":65,"uris":["http://zotero.org/users/18184231/items/VR9BR2GR"],"itemData":{"id":65,"type":"report","language":"en","source":"Zotero","title":"Documentation for Greenhouse Gas Emission and Energy Factors Used in the Waste Reduction Model (WARM) - Management Practices Chapters","URL":"https://www.epa.gov/sites/default/files/2020-12/documents/warm_management_practices_v15_10-29-2020.pdf","author":[{"family":"United States Environmental Protection Agency (EPA)","given":""}],"issued":{"date-parts":[["2020"]]}}}],"schema":"https://github.com/citation-style-language/schema/raw/master/csl-citation.json"}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40</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The analysis of year-to-year decomposition and methane production is described in detail in Supp</w:t>
      </w:r>
      <w:r>
        <w:rPr>
          <w:rFonts w:ascii="Times New Roman" w:eastAsia="Times New Roman" w:hAnsi="Times New Roman" w:cs="Times New Roman"/>
          <w:bCs/>
          <w:iCs/>
          <w:kern w:val="0"/>
          <w14:ligatures w14:val="none"/>
        </w:rPr>
        <w:t>lemental</w:t>
      </w:r>
      <w:r w:rsidRPr="00D9603D">
        <w:rPr>
          <w:rFonts w:ascii="Times New Roman" w:eastAsia="Times New Roman" w:hAnsi="Times New Roman" w:cs="Times New Roman"/>
          <w:bCs/>
          <w:iCs/>
          <w:kern w:val="0"/>
          <w14:ligatures w14:val="none"/>
        </w:rPr>
        <w:t xml:space="preserve"> Information. </w:t>
      </w:r>
    </w:p>
    <w:p w14:paraId="3099EBE7" w14:textId="76C311BA" w:rsidR="008B4D28" w:rsidRPr="00D9603D" w:rsidRDefault="008B4D28" w:rsidP="008B4D28">
      <w:pPr>
        <w:spacing w:line="276" w:lineRule="auto"/>
        <w:rPr>
          <w:rFonts w:ascii="Times New Roman" w:eastAsia="Times New Roman" w:hAnsi="Times New Roman" w:cs="Times New Roman"/>
          <w:bCs/>
          <w:iCs/>
          <w:kern w:val="0"/>
          <w14:ligatures w14:val="none"/>
        </w:rPr>
      </w:pPr>
      <w:r w:rsidRPr="00D9603D">
        <w:rPr>
          <w:rFonts w:ascii="Times New Roman" w:eastAsia="Times New Roman" w:hAnsi="Times New Roman" w:cs="Times New Roman"/>
          <w:bCs/>
          <w:iCs/>
          <w:kern w:val="0"/>
          <w14:ligatures w14:val="none"/>
        </w:rPr>
        <w:t>The analysis of the role of forest products on methane generation at end-of-life is complicated by incomplete information on the amounts of construction and demolition (C&amp;D) debris dedicated construction and debris landfills. US EPA estimates that in 2018, about 37.1 million metric tons of wood waste in C&amp;D</w:t>
      </w:r>
      <w:r w:rsidRPr="00D9603D" w:rsidDel="007B7ADA">
        <w:rPr>
          <w:rFonts w:ascii="Times New Roman" w:eastAsia="Times New Roman" w:hAnsi="Times New Roman" w:cs="Times New Roman"/>
          <w:bCs/>
          <w:iCs/>
          <w:kern w:val="0"/>
          <w14:ligatures w14:val="none"/>
        </w:rPr>
        <w:t xml:space="preserve"> </w:t>
      </w:r>
      <w:r w:rsidRPr="00D9603D">
        <w:rPr>
          <w:rFonts w:ascii="Times New Roman" w:eastAsia="Times New Roman" w:hAnsi="Times New Roman" w:cs="Times New Roman"/>
          <w:bCs/>
          <w:iCs/>
          <w:kern w:val="0"/>
          <w14:ligatures w14:val="none"/>
        </w:rPr>
        <w:t>debris was generated in the US, and 26.9 million metric tons were disposed in C&amp;D landfills</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{"citationID":"2kRmLbNp","properties":{"formattedCitation":"\\super 68\\nosupersub{}","plainCitation":"68","noteIndex":0},"citationItems":[{"id":64,"uris":["http://zotero.org/users/18184231/items/G68GSVEA"],"itemData":{"id":64,"type":"report","language":"en","source":"Zotero","title":"Advancing Sustainable Materials Management: 2018 Fact Sheet","URL":"https://www.epa.gov/sites/default/files/2021-01/documents/2018_ff_fact_sheet_dec_2020_fnl_508.pdf","author":[{"family":"United States Environmental Protection Agency (EPA)","given":""}],"accessed":{"date-parts":[["2025",9,25]]},"issued":{"date-parts":[["2020"]]}}}],"schema":"https://github.com/citation-style-language/schema/raw/master/csl-citation.json"}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68</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This does not include the 11.1 million metric tons of wood disposed in MSW landfills in 2018</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{"citationID":"7CJszHnX","properties":{"formattedCitation":"\\super 65\\nosupersub{}","plainCitation":"65","noteIndex":0},"citationItems":[{"id":63,"uris":["http://zotero.org/users/18184231/items/HMSKCJS6"],"itemData":{"id":63,"type":"report","language":"en","source":"Zotero","title":"Advancing Sustainable Materials Management: 2018 Tables and Figures","URL":"https://www.epa.gov/sites/default/files/2021-01/documents/2018_tables_and_figures_dec_2020_fnl_508.pdf","author":[{"family":"United States Environmental Protection Agency (EPA)","given":""}],"accessed":{"date-parts":[["2025",9,25]]},"issued":{"date-parts":[["2020"]]}}}],"schema":"https://github.com/citation-style-language/schema/raw/master/csl-citation.json"}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65</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xml:space="preserve">. </w:t>
      </w:r>
    </w:p>
    <w:p w14:paraId="060B12BF" w14:textId="0E071BF0" w:rsidR="008B4D28" w:rsidRDefault="008B4D28" w:rsidP="00F8257C">
      <w:pPr>
        <w:spacing w:line="276" w:lineRule="auto"/>
        <w:rPr>
          <w:rFonts w:ascii="Times New Roman" w:hAnsi="Times New Roman" w:cs="Times New Roman"/>
        </w:rPr>
      </w:pPr>
      <w:r w:rsidRPr="00D9603D">
        <w:rPr>
          <w:rFonts w:ascii="Times New Roman" w:eastAsia="Times New Roman" w:hAnsi="Times New Roman" w:cs="Times New Roman"/>
          <w:bCs/>
          <w:iCs/>
          <w:kern w:val="0"/>
          <w14:ligatures w14:val="none"/>
        </w:rPr>
        <w:t>In considering methane emissions from C&amp;D landfills, it is important to understand that the conditions in C&amp;D</w:t>
      </w:r>
      <w:r w:rsidRPr="00D9603D" w:rsidDel="007B7ADA">
        <w:rPr>
          <w:rFonts w:ascii="Times New Roman" w:eastAsia="Times New Roman" w:hAnsi="Times New Roman" w:cs="Times New Roman"/>
          <w:bCs/>
          <w:iCs/>
          <w:kern w:val="0"/>
          <w14:ligatures w14:val="none"/>
        </w:rPr>
        <w:t xml:space="preserve"> </w:t>
      </w:r>
      <w:r w:rsidRPr="00D9603D">
        <w:rPr>
          <w:rFonts w:ascii="Times New Roman" w:eastAsia="Times New Roman" w:hAnsi="Times New Roman" w:cs="Times New Roman"/>
          <w:bCs/>
          <w:iCs/>
          <w:kern w:val="0"/>
          <w14:ligatures w14:val="none"/>
        </w:rPr>
        <w:t>debris landfills do not promote methane production. The fact that C&amp;D landfills produce far less methane than MSW landfills is due to several factors. One important factor is that readily degradable materials are not placed in C&amp;D landfills. Another important factor, however, is that C&amp;D waste often contains considerable amounts of sulfates, primarily from gypsum board</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{"citationID":"r9DF0Tsa","properties":{"formattedCitation":"\\super 69\\nosupersub{}","plainCitation":"69","noteIndex":0},"citationItems":[{"id":62,"uris":["http://zotero.org/users/18184231/items/IP6JK3DA"],"itemData":{"id":62,"type":"report","title":"Construction and Demolition Debris Management in the United States, 2015","URL":"https://www.epa.gov/sites/default/files/2020-03/documents/final_cd-eol-management_2015_508.pdf","author":[{"family":"United States Environmental Protection Agency (EPA)","given":""}],"accessed":{"date-parts":[["2025",9,25]]},"issued":{"date-parts":[["2020"]]}}}],"schema":"https://github.com/citation-style-language/schema/raw/master/csl-citation.json"}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69</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which puts sulfate-reducing bacteria at a competitive advantage to methane-producing bacteria</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{"citationID":"UZfcc90u","properties":{"formattedCitation":"\\super 70\\nosupersub{}","plainCitation":"70","noteIndex":0},"citationItems":[{"id":69,"uris":["http://zotero.org/users/18184231/items/MJQCMQDB"],"itemData":{"id":69,"type":"article-journal","abstract":"In the anaerobic treatment of sulfate-containing wastewater, sulfate reduction interferes with methanogenesis. Both mutualistic and competitive interactions between sulfate-reducing bacteria and methanogenic bacteria have been observed. Sulfate reducers will compete with methanogens for the common substrates hydrogen, formate and acetate. In general, sulfate reducers have better growth kinetic properties than methanogens, but additional factors which may be of importance in the competition are adherence properties, mixed substrate utilization, affinity for sulfate of sulfate reducers, relative numbers of bacteria, and reactor conditions such as pH, temperature and sulfide concentration. Sulfate reducers also compete with syntrophic methanogenic consortia involved in the degradation of substrates like propionate and butyrate. In the absence of sulfate these methanogenic consortia are very important, but in the presence of sulfate they are thought to be easily outcompeted by sulfate reducers. However, at relatively low sulfate concentrations, syntrophic degradation of propionate and butyrate coupled to HZ removal via sulfate reduction rather than via methanogenesis may become important. A remarkable feature of some sulfate reducers is their ability to grow fermentatively or to grow in syntrophic association with methanogens in the absence of sulfate.","container-title":"FEMS Microbiology Reviews","DOI":"10.1111/j.1574-6976.1994.tb00130.x","ISSN":"0168-6445","issue":"2-3","journalAbbreviation":"FEMS Microbiol Rev","page":"119-136","source":"Silverchair","title":"Sulfate reduction in methanogenic bioreactors","volume":"15","author":[{"family":"Stefanie","given":"J.W.H. Oude Elferink"},{"family":"Visser","given":"André"},{"family":"Pol","given":"Look W. Hulshoff"},{"family":"Stams","given":"Alfons J.M."}],"issued":{"date-parts":[["1994",10,1]]}}}],"schema":"https://github.com/citation-style-language/schema/raw/master/csl-citation.json"}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70</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Indeed, US EPA observed that, in C&amp;D landfills, other than odor-producing gases, “substantial quantities of [gases], such as CH</w:t>
      </w:r>
      <w:r w:rsidRPr="00D9603D">
        <w:rPr>
          <w:rFonts w:ascii="Times New Roman" w:eastAsia="Times New Roman" w:hAnsi="Times New Roman" w:cs="Times New Roman"/>
          <w:bCs/>
          <w:iCs/>
          <w:kern w:val="0"/>
          <w:vertAlign w:val="subscript"/>
          <w14:ligatures w14:val="none"/>
        </w:rPr>
        <w:t>4</w:t>
      </w:r>
      <w:r w:rsidRPr="00D9603D">
        <w:rPr>
          <w:rFonts w:ascii="Times New Roman" w:eastAsia="Times New Roman" w:hAnsi="Times New Roman" w:cs="Times New Roman"/>
          <w:bCs/>
          <w:iCs/>
          <w:kern w:val="0"/>
          <w14:ligatures w14:val="none"/>
        </w:rPr>
        <w:t>, are not produced, which is a reflection of the types of waste normally deposited in C&amp;D landfills”</w:t>
      </w:r>
      <w:r>
        <w:rPr>
          <w:rFonts w:ascii="Times New Roman" w:eastAsia="Times New Roman" w:hAnsi="Times New Roman" w:cs="Times New Roman"/>
          <w:bCs/>
          <w:iCs/>
          <w:kern w:val="0"/>
          <w14:ligatures w14:val="none"/>
        </w:rPr>
        <w:t xml:space="preserve"> </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{"citationID":"iPbMmI5k","properties":{"formattedCitation":"\\super 71\\nosupersub{}","plainCitation":"71","noteIndex":0},"citationItems":[{"id":68,"uris":["http://zotero.org/users/18184231/items/UTPNMC7I"],"itemData":{"id":68,"type":"report","abstract":"Hydrogen sulfide (H2S) gas can be emitted from both construction and demolition (C&amp;D) debris and municipal solid waste (MSW) landfills.  H2S emissions may be problematic at a landfill as they can cause odor, impact surrounding communities, cause wear or damage to landfill gas (LFG) collection and energy utilization components, or contribute to the formation of explosive conditions.  H2S emissions at landfills have often been attributed to the disposal of gypsum drywall, though other sources such as sulfur-containing industrial wastes and biosolids from municipal wastewater treatment facilities can also contribute to H2S production.  Addressing problems from H2S emissions at landfills can be costly and time consuming for landfill owners and operators.  Several years of operational experience and research efforts have identified several key pieces of information regarding the conditions that can cause H2S production, factors that result in H2S production at landfills, and strategies to prevent these conditions from occurring and to minimize the release of H2S to the surrounding environment when it is produced. The U.S. Environmental Protection Agency (U.S. EPA) Office of Research and Development, in coordination with U.S. EPA Region 5, commissioned the development of a document designed to provide landfill owners and operators with guidance on pertinent subject matter associated with H2S production, emissions, prevention, and control at landfill sites.  A previous effort (U.S. Environmental Protection Agency [U.S. EPA], 2006b) focused on practices to prevent and control H2S emissions from C&amp;D landfills that accept pulverized gypsum debris in Ohio.  This document expands the scope of this previously developed guidance by consolidating additional landfill operational and research information from a broader knowledge base (both C&amp;D and MSW landfills), including additional information regarding the science of H2S formation and control, the results of case studies with field and laboratory measurement of H2S, and updated best management practices (BMPs). The U.S. Environmental Protection Agency (U.S. EPA) Office of Research and Development, in coordination with U.S. EPA Region 5, commissioned the development of a document designed to provide landfill owners and operators with guidance on pertinent subject matter associated with H2S production, emissions, prevention, and control at landfill sites.  A previous effort (U.S. Environmental Protection Agency [U.S. EPA], 2006b) focused on practices to prevent and control H2S emissions from C&amp;D landfills that accept pulverized gypsum debris in Ohio.  This document expands the scope of this previously developed guidance by consolidating additional landfill operational and research information from a broader knowledge base (both C&amp;D and MSW landfills), including additional information regarding the science of H2S formation and control, the results of case studies with field and laboratory measurement of H2S, and updated best management practices (BMPs).","language":"en","number":"EPA/600/R-14/039","title":"Best Management Practices to Prevent and Control Hydrogen Sulfide and Reduced Sulfur Compound Emissions at Landfills That Dispose of Gypsum Drywall","URL":"https://cfpub.epa.gov/si/si_public_record_report.cfm?Lab=NRMRL&amp;dirEntryId=310622","author":[{"family":"United States Environmental Protection Agency","given":""}],"accessed":{"date-parts":[["2025",9,25]]},"issued":{"date-parts":[["2015"]]}}}],"schema":"https://github.com/citation-style-language/schema/raw/master/csl-citation.json"}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71</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In addition, in the documentation for version 15 of US EPA’s WARM, US EPA notes that in the case of landfilled gypsum board, “the sulfate in wallboard is estimated to reduce methane generation; thus, the methane yield from gypsum board is likely to be negligible and is therefore adjusted to 0%”</w:t>
      </w:r>
      <w:r>
        <w:rPr>
          <w:rFonts w:ascii="Times New Roman" w:eastAsia="Times New Roman" w:hAnsi="Times New Roman" w:cs="Times New Roman"/>
          <w:bCs/>
          <w:iCs/>
          <w:kern w:val="0"/>
          <w14:ligatures w14:val="none"/>
        </w:rPr>
        <w:fldChar w:fldCharType="begin"/>
      </w:r>
      <w:r w:rsidR="00775B85">
        <w:rPr>
          <w:rFonts w:ascii="Times New Roman" w:eastAsia="Times New Roman" w:hAnsi="Times New Roman" w:cs="Times New Roman"/>
          <w:bCs/>
          <w:iCs/>
          <w:kern w:val="0"/>
          <w14:ligatures w14:val="none"/>
        </w:rPr>
        <w:instrText xml:space="preserve"> ADDIN ZOTERO_ITEM CSL_CITATION {"citationID":"8Alz5lji","properties":{"formattedCitation":"\\super 40\\nosupersub{}","plainCitation":"40","noteIndex":0},"citationItems":[{"id":65,"uris":["http://zotero.org/users/18184231/items/VR9BR2GR"],"itemData":{"id":65,"type":"report","language":"en","source":"Zotero","title":"Documentation for Greenhouse Gas Emission and Energy Factors Used in the Waste Reduction Model (WARM) - Management Practices Chapters","URL":"https://www.epa.gov/sites/default/files/2020-12/documents/warm_management_practices_v15_10-29-2020.pdf","author":[{"family":"United States Environmental Protection Agency (EPA)","given":""}],"issued":{"date-parts":[["2020"]]}}}],"schema":"https://github.com/citation-style-language/schema/raw/master/csl-citation.json"} </w:instrText>
      </w:r>
      <w:r>
        <w:rPr>
          <w:rFonts w:ascii="Times New Roman" w:eastAsia="Times New Roman" w:hAnsi="Times New Roman" w:cs="Times New Roman"/>
          <w:bCs/>
          <w:iCs/>
          <w:kern w:val="0"/>
          <w14:ligatures w14:val="none"/>
        </w:rPr>
        <w:fldChar w:fldCharType="separate"/>
      </w:r>
      <w:r w:rsidR="00775B85" w:rsidRPr="00775B85">
        <w:rPr>
          <w:rFonts w:ascii="Times New Roman" w:hAnsi="Times New Roman" w:cs="Times New Roman"/>
          <w:kern w:val="0"/>
          <w:vertAlign w:val="superscript"/>
        </w:rPr>
        <w:t>40</w:t>
      </w:r>
      <w:r>
        <w:rPr>
          <w:rFonts w:ascii="Times New Roman" w:eastAsia="Times New Roman" w:hAnsi="Times New Roman" w:cs="Times New Roman"/>
          <w:bCs/>
          <w:iCs/>
          <w:kern w:val="0"/>
          <w14:ligatures w14:val="none"/>
        </w:rPr>
        <w:fldChar w:fldCharType="end"/>
      </w:r>
      <w:r w:rsidRPr="00D9603D">
        <w:rPr>
          <w:rFonts w:ascii="Times New Roman" w:eastAsia="Times New Roman" w:hAnsi="Times New Roman" w:cs="Times New Roman"/>
          <w:bCs/>
          <w:iCs/>
          <w:kern w:val="0"/>
          <w14:ligatures w14:val="none"/>
        </w:rPr>
        <w:t>. These observations support the assumption, for purposes of this report, that methane emissions from wood products in C&amp;D landfills are negligible and can be ignored.</w:t>
      </w:r>
    </w:p>
    <w:p w14:paraId="41718C0E" w14:textId="1F73900F" w:rsidR="001D05E2" w:rsidRPr="001D05E2" w:rsidRDefault="00F8257C" w:rsidP="001D05E2">
      <w:pPr>
        <w:rPr>
          <w:rFonts w:ascii="Times New Roman" w:hAnsi="Times New Roman" w:cs="Times New Roman"/>
        </w:rPr>
      </w:pPr>
      <w:r>
        <w:rPr>
          <w:rFonts w:ascii="Times New Roman" w:hAnsi="Times New Roman" w:cs="Times New Roman"/>
        </w:rPr>
        <w:t xml:space="preserve">To estimate the fraction of MSW methane emissions attributable to forest products, we rely on </w:t>
      </w:r>
      <w:r w:rsidR="001D05E2" w:rsidRPr="001D05E2">
        <w:rPr>
          <w:rFonts w:ascii="Times New Roman" w:hAnsi="Times New Roman" w:cs="Times New Roman"/>
        </w:rPr>
        <w:t>USEPA data on inputs to landfills going back to 1960</w:t>
      </w:r>
      <w:r w:rsidR="001B7B37">
        <w:rPr>
          <w:rFonts w:ascii="Times New Roman" w:hAnsi="Times New Roman" w:cs="Times New Roman"/>
        </w:rPr>
        <w:fldChar w:fldCharType="begin"/>
      </w:r>
      <w:r w:rsidR="001B7B37">
        <w:rPr>
          <w:rFonts w:ascii="Times New Roman" w:hAnsi="Times New Roman" w:cs="Times New Roman"/>
        </w:rPr>
        <w:instrText xml:space="preserve"> ADDIN ZOTERO_ITEM CSL_CITATION {"citationID":"jfTdcc3A","properties":{"formattedCitation":"\\super 68\\nosupersub{}","plainCitation":"68","noteIndex":0},"citationItems":[{"id":64,"uris":["http://zotero.org/users/18184231/items/G68GSVEA"],"itemData":{"id":64,"type":"report","language":"en","source":"Zotero","title":"Advancing Sustainable Materials Management: 2018 Fact Sheet","URL":"https://www.epa.gov/sites/default/files/2021-01/documents/2018_ff_fact_sheet_dec_2020_fnl_508.pdf","author":[{"family":"United States Environmental Protection Agency (EPA)","given":""}],"accessed":{"date-parts":[["2025",9,25]]},"issued":{"date-parts":[["2020"]]}}}],"schema":"https://github.com/citation-style-language/schema/raw/master/csl-citation.json"} </w:instrText>
      </w:r>
      <w:r w:rsidR="001B7B37">
        <w:rPr>
          <w:rFonts w:ascii="Times New Roman" w:hAnsi="Times New Roman" w:cs="Times New Roman"/>
        </w:rPr>
        <w:fldChar w:fldCharType="separate"/>
      </w:r>
      <w:r w:rsidR="001B7B37" w:rsidRPr="001B7B37">
        <w:rPr>
          <w:rFonts w:ascii="Times New Roman" w:hAnsi="Times New Roman" w:cs="Times New Roman"/>
          <w:kern w:val="0"/>
          <w:vertAlign w:val="superscript"/>
        </w:rPr>
        <w:t>68</w:t>
      </w:r>
      <w:r w:rsidR="001B7B37">
        <w:rPr>
          <w:rFonts w:ascii="Times New Roman" w:hAnsi="Times New Roman" w:cs="Times New Roman"/>
        </w:rPr>
        <w:fldChar w:fldCharType="end"/>
      </w:r>
      <w:r w:rsidR="001D05E2" w:rsidRPr="001D05E2">
        <w:rPr>
          <w:rFonts w:ascii="Times New Roman" w:hAnsi="Times New Roman" w:cs="Times New Roman"/>
        </w:rPr>
        <w:t xml:space="preserve">. </w:t>
      </w:r>
      <w:proofErr w:type="gramStart"/>
      <w:r w:rsidR="001D05E2" w:rsidRPr="001D05E2">
        <w:rPr>
          <w:rFonts w:ascii="Times New Roman" w:hAnsi="Times New Roman" w:cs="Times New Roman"/>
        </w:rPr>
        <w:t>These</w:t>
      </w:r>
      <w:proofErr w:type="gramEnd"/>
      <w:r w:rsidR="001D05E2" w:rsidRPr="001D05E2">
        <w:rPr>
          <w:rFonts w:ascii="Times New Roman" w:hAnsi="Times New Roman" w:cs="Times New Roman"/>
        </w:rPr>
        <w:t xml:space="preserve"> data, calculated as a percentage of all materials placed in landfills, </w:t>
      </w:r>
      <w:proofErr w:type="gramStart"/>
      <w:r w:rsidR="001D05E2" w:rsidRPr="001D05E2">
        <w:rPr>
          <w:rFonts w:ascii="Times New Roman" w:hAnsi="Times New Roman" w:cs="Times New Roman"/>
        </w:rPr>
        <w:t>are</w:t>
      </w:r>
      <w:proofErr w:type="gramEnd"/>
      <w:r w:rsidR="001D05E2" w:rsidRPr="001D05E2">
        <w:rPr>
          <w:rFonts w:ascii="Times New Roman" w:hAnsi="Times New Roman" w:cs="Times New Roman"/>
        </w:rPr>
        <w:t xml:space="preserve"> shown in Table </w:t>
      </w:r>
      <w:r w:rsidR="00D4391E">
        <w:rPr>
          <w:rFonts w:ascii="Times New Roman" w:hAnsi="Times New Roman" w:cs="Times New Roman"/>
        </w:rPr>
        <w:t>S55</w:t>
      </w:r>
      <w:r w:rsidR="001D05E2" w:rsidRPr="001D05E2">
        <w:rPr>
          <w:rFonts w:ascii="Times New Roman" w:hAnsi="Times New Roman" w:cs="Times New Roman"/>
        </w:rPr>
        <w:t xml:space="preserve">. </w:t>
      </w:r>
    </w:p>
    <w:p w14:paraId="3C16D478" w14:textId="14B3059B" w:rsidR="001D05E2" w:rsidRPr="001D05E2" w:rsidRDefault="001D05E2" w:rsidP="001D05E2">
      <w:pPr>
        <w:rPr>
          <w:rFonts w:ascii="Times New Roman" w:hAnsi="Times New Roman" w:cs="Times New Roman"/>
        </w:rPr>
      </w:pPr>
      <w:r w:rsidRPr="001D05E2">
        <w:rPr>
          <w:rFonts w:ascii="Times New Roman" w:hAnsi="Times New Roman" w:cs="Times New Roman"/>
        </w:rPr>
        <w:lastRenderedPageBreak/>
        <w:t xml:space="preserve">From data in Table </w:t>
      </w:r>
      <w:r w:rsidR="007C128A">
        <w:rPr>
          <w:rFonts w:ascii="Times New Roman" w:hAnsi="Times New Roman" w:cs="Times New Roman"/>
        </w:rPr>
        <w:t>S55</w:t>
      </w:r>
      <w:r w:rsidRPr="001D05E2">
        <w:rPr>
          <w:rFonts w:ascii="Times New Roman" w:hAnsi="Times New Roman" w:cs="Times New Roman"/>
        </w:rPr>
        <w:t xml:space="preserve">, the landfilled amounts of degradable materials were isolated. The degradable fractions include paper and paperboard, wood, food, and yard trimmings. The results are shown in Table </w:t>
      </w:r>
      <w:r w:rsidR="00D4391E">
        <w:rPr>
          <w:rFonts w:ascii="Times New Roman" w:hAnsi="Times New Roman" w:cs="Times New Roman"/>
        </w:rPr>
        <w:t>S56</w:t>
      </w:r>
      <w:r w:rsidRPr="001D05E2">
        <w:rPr>
          <w:rFonts w:ascii="Times New Roman" w:hAnsi="Times New Roman" w:cs="Times New Roman"/>
        </w:rPr>
        <w:t>.</w:t>
      </w:r>
    </w:p>
    <w:p w14:paraId="52E1E233" w14:textId="58D1C334" w:rsidR="001D05E2" w:rsidRPr="001D05E2" w:rsidRDefault="001B7B37" w:rsidP="001D05E2">
      <w:pPr>
        <w:rPr>
          <w:rFonts w:ascii="Times New Roman" w:hAnsi="Times New Roman" w:cs="Times New Roman"/>
        </w:rPr>
      </w:pPr>
      <w:r>
        <w:rPr>
          <w:rFonts w:ascii="Times New Roman" w:hAnsi="Times New Roman" w:cs="Times New Roman"/>
        </w:rPr>
        <w:t xml:space="preserve">As discussed above, these </w:t>
      </w:r>
      <w:r w:rsidR="001D05E2" w:rsidRPr="001D05E2">
        <w:rPr>
          <w:rFonts w:ascii="Times New Roman" w:hAnsi="Times New Roman" w:cs="Times New Roman"/>
        </w:rPr>
        <w:t xml:space="preserve">data do not account for materials used to package or ship exported and imported goods. The effects on the values in Tables </w:t>
      </w:r>
      <w:r w:rsidR="00D4391E">
        <w:rPr>
          <w:rFonts w:ascii="Times New Roman" w:hAnsi="Times New Roman" w:cs="Times New Roman"/>
        </w:rPr>
        <w:t>S55</w:t>
      </w:r>
      <w:r w:rsidR="001D05E2" w:rsidRPr="001D05E2">
        <w:rPr>
          <w:rFonts w:ascii="Times New Roman" w:hAnsi="Times New Roman" w:cs="Times New Roman"/>
        </w:rPr>
        <w:t xml:space="preserve"> and </w:t>
      </w:r>
      <w:r w:rsidR="00D4391E">
        <w:rPr>
          <w:rFonts w:ascii="Times New Roman" w:hAnsi="Times New Roman" w:cs="Times New Roman"/>
        </w:rPr>
        <w:t>S66</w:t>
      </w:r>
      <w:r w:rsidR="001D05E2" w:rsidRPr="001D05E2">
        <w:rPr>
          <w:rFonts w:ascii="Times New Roman" w:hAnsi="Times New Roman" w:cs="Times New Roman"/>
        </w:rPr>
        <w:t xml:space="preserve"> are not known.</w:t>
      </w:r>
    </w:p>
    <w:p w14:paraId="147F769E" w14:textId="77777777" w:rsidR="001B7B37" w:rsidRPr="001D05E2" w:rsidRDefault="001B7B37" w:rsidP="001B7B37">
      <w:pPr>
        <w:rPr>
          <w:rFonts w:ascii="Times New Roman" w:hAnsi="Times New Roman" w:cs="Times New Roman"/>
        </w:rPr>
      </w:pPr>
      <w:r w:rsidRPr="001D05E2">
        <w:rPr>
          <w:rFonts w:ascii="Times New Roman" w:hAnsi="Times New Roman" w:cs="Times New Roman"/>
        </w:rPr>
        <w:t xml:space="preserve">After interpolating to provide annual data, the individual year’s contributions were modeled to determine the amount of degradable carbon lost from each type of </w:t>
      </w:r>
      <w:proofErr w:type="gramStart"/>
      <w:r w:rsidRPr="001D05E2">
        <w:rPr>
          <w:rFonts w:ascii="Times New Roman" w:hAnsi="Times New Roman" w:cs="Times New Roman"/>
        </w:rPr>
        <w:t>waste in</w:t>
      </w:r>
      <w:proofErr w:type="gramEnd"/>
      <w:r w:rsidRPr="001D05E2">
        <w:rPr>
          <w:rFonts w:ascii="Times New Roman" w:hAnsi="Times New Roman" w:cs="Times New Roman"/>
        </w:rPr>
        <w:t xml:space="preserve"> every year after it was deposited. </w:t>
      </w:r>
      <w:proofErr w:type="gramStart"/>
      <w:r w:rsidRPr="001D05E2">
        <w:rPr>
          <w:rFonts w:ascii="Times New Roman" w:hAnsi="Times New Roman" w:cs="Times New Roman"/>
        </w:rPr>
        <w:t>A first</w:t>
      </w:r>
      <w:proofErr w:type="gramEnd"/>
      <w:r w:rsidRPr="001D05E2">
        <w:rPr>
          <w:rFonts w:ascii="Times New Roman" w:hAnsi="Times New Roman" w:cs="Times New Roman"/>
        </w:rPr>
        <w:t xml:space="preserve"> order decay model was used to estimate the decomposition of degradable carbon. Nondegradable carbon was not included in the calculations. The parameter values used were those used by US EPA in version 15 of WARM </w:t>
      </w:r>
      <w:r w:rsidRPr="001D05E2">
        <w:rPr>
          <w:rFonts w:ascii="Times New Roman" w:hAnsi="Times New Roman" w:cs="Times New Roman"/>
        </w:rPr>
        <w:fldChar w:fldCharType="begin"/>
      </w:r>
      <w:r>
        <w:rPr>
          <w:rFonts w:ascii="Times New Roman" w:hAnsi="Times New Roman" w:cs="Times New Roman"/>
        </w:rPr>
        <w:instrText xml:space="preserve"> ADDIN ZOTERO_ITEM CSL_CITATION {"citationID":"ioMvK9km","properties":{"formattedCitation":"\\super 40\\nosupersub{}","plainCitation":"40","noteIndex":0},"citationItems":[{"id":65,"uris":["http://zotero.org/users/18184231/items/VR9BR2GR"],"itemData":{"id":65,"type":"report","language":"en","source":"Zotero","title":"Documentation for Greenhouse Gas Emission and Energy Factors Used in the Waste Reduction Model (WARM) - Management Practices Chapters","URL":"https://www.epa.gov/sites/default/files/2020-12/documents/warm_management_practices_v15_10-29-2020.pdf","author":[{"family":"United States Environmental Protection Agency (EPA)","given":""}],"issued":{"date-parts":[["2020"]]}}}],"schema":"https://github.com/citation-style-language/schema/raw/master/csl-citation.json"} </w:instrText>
      </w:r>
      <w:r w:rsidRPr="001D05E2">
        <w:rPr>
          <w:rFonts w:ascii="Times New Roman" w:hAnsi="Times New Roman" w:cs="Times New Roman"/>
        </w:rPr>
        <w:fldChar w:fldCharType="separate"/>
      </w:r>
      <w:r w:rsidRPr="006B64BF">
        <w:rPr>
          <w:rFonts w:ascii="Times New Roman" w:hAnsi="Times New Roman" w:cs="Times New Roman"/>
          <w:kern w:val="0"/>
          <w:vertAlign w:val="superscript"/>
        </w:rPr>
        <w:t>40</w:t>
      </w:r>
      <w:r w:rsidRPr="001D05E2">
        <w:rPr>
          <w:rFonts w:ascii="Times New Roman" w:hAnsi="Times New Roman" w:cs="Times New Roman"/>
        </w:rPr>
        <w:fldChar w:fldCharType="end"/>
      </w:r>
      <w:r w:rsidRPr="001D05E2">
        <w:rPr>
          <w:rFonts w:ascii="Times New Roman" w:hAnsi="Times New Roman" w:cs="Times New Roman"/>
        </w:rPr>
        <w:t xml:space="preserve">, which are shown in Table </w:t>
      </w:r>
      <w:r>
        <w:rPr>
          <w:rFonts w:ascii="Times New Roman" w:hAnsi="Times New Roman" w:cs="Times New Roman"/>
        </w:rPr>
        <w:t>S57</w:t>
      </w:r>
      <w:r w:rsidRPr="001D05E2">
        <w:rPr>
          <w:rFonts w:ascii="Times New Roman" w:hAnsi="Times New Roman" w:cs="Times New Roman"/>
        </w:rPr>
        <w:t>. The values from US EPA’s WARM documentation are used in this report to estimate methane emissions attributable to forest products because other USEPA sources for parameter values do not allow separate examination of different components of the waste stream.</w:t>
      </w:r>
    </w:p>
    <w:p w14:paraId="55BB4320" w14:textId="77777777" w:rsidR="001B7B37" w:rsidRPr="001D05E2" w:rsidRDefault="001B7B37" w:rsidP="001B7B37">
      <w:pPr>
        <w:rPr>
          <w:rFonts w:ascii="Times New Roman" w:hAnsi="Times New Roman" w:cs="Times New Roman"/>
        </w:rPr>
      </w:pPr>
      <w:r w:rsidRPr="001D05E2">
        <w:rPr>
          <w:rFonts w:ascii="Times New Roman" w:hAnsi="Times New Roman" w:cs="Times New Roman"/>
        </w:rPr>
        <w:t xml:space="preserve">The calculation results, shown in Table </w:t>
      </w:r>
      <w:r>
        <w:rPr>
          <w:rFonts w:ascii="Times New Roman" w:hAnsi="Times New Roman" w:cs="Times New Roman"/>
        </w:rPr>
        <w:t>S58</w:t>
      </w:r>
      <w:r w:rsidRPr="001D05E2">
        <w:rPr>
          <w:rFonts w:ascii="Times New Roman" w:hAnsi="Times New Roman" w:cs="Times New Roman"/>
        </w:rPr>
        <w:t>, are estimates of the fraction of the loss of degradable carbon (the same as the fraction of methane generation) attributable to each type of waste over time. These are multiplied by the total methane generation reported by USEPA</w:t>
      </w:r>
      <w:r w:rsidRPr="001D05E2">
        <w:rPr>
          <w:rFonts w:ascii="Times New Roman" w:hAnsi="Times New Roman" w:cs="Times New Roman"/>
        </w:rPr>
        <w:fldChar w:fldCharType="begin"/>
      </w:r>
      <w:r>
        <w:rPr>
          <w:rFonts w:ascii="Times New Roman" w:hAnsi="Times New Roman" w:cs="Times New Roman"/>
        </w:rPr>
        <w:instrText xml:space="preserve"> ADDIN ZOTERO_ITEM CSL_CITATION {"citationID":"e6Op7er7","properties":{"formattedCitation":"\\super 12\\nosupersub{}","plainCitation":"12","noteIndex":0},"citationItems":[{"id":58,"uris":["http://zotero.org/users/18184231/items/8YL5B6ZN"],"itemData":{"id":58,"type":"report","abstract":"View or download the Inventory of U.S. Greenhouse Gas Emissions and Sinks: 1990-2020, including individual chapters and annexes.","genre":"Reports and Assessments","language":"en","number":"EPA 430-R-22-003","title":"Annexes to Inventory of U.S. Greenhouse Gas Emissions and Sinks: 1990-2020","title-short":"Inventory of U.S. Greenhouse Gas Emissions and Sinks","URL":"https://www.epa.gov/ghgemissions/inventory-us-greenhouse-gas-emissions-and-sinks-1990-2020","author":[{"family":"United States Environmental Protection Agency (EPA)","given":""}],"accessed":{"date-parts":[["2025",9,25]]},"issued":{"date-parts":[["2022"]]}}}],"schema":"https://github.com/citation-style-language/schema/raw/master/csl-citation.json"} </w:instrText>
      </w:r>
      <w:r w:rsidRPr="001D05E2">
        <w:rPr>
          <w:rFonts w:ascii="Times New Roman" w:hAnsi="Times New Roman" w:cs="Times New Roman"/>
        </w:rPr>
        <w:fldChar w:fldCharType="separate"/>
      </w:r>
      <w:r w:rsidRPr="002F7F0B">
        <w:rPr>
          <w:rFonts w:ascii="Times New Roman" w:hAnsi="Times New Roman" w:cs="Times New Roman"/>
          <w:kern w:val="0"/>
          <w:vertAlign w:val="superscript"/>
        </w:rPr>
        <w:t>12</w:t>
      </w:r>
      <w:r w:rsidRPr="001D05E2">
        <w:rPr>
          <w:rFonts w:ascii="Times New Roman" w:hAnsi="Times New Roman" w:cs="Times New Roman"/>
        </w:rPr>
        <w:fldChar w:fldCharType="end"/>
      </w:r>
      <w:r w:rsidRPr="001D05E2">
        <w:rPr>
          <w:rFonts w:ascii="Times New Roman" w:hAnsi="Times New Roman" w:cs="Times New Roman"/>
        </w:rPr>
        <w:t xml:space="preserve"> in the corresponding year to determine the methane emissions attributable to each type of waste. </w:t>
      </w:r>
    </w:p>
    <w:p w14:paraId="0C0AF99F" w14:textId="77777777" w:rsidR="001B7B37" w:rsidRPr="001D05E2" w:rsidRDefault="001B7B37" w:rsidP="001B7B37">
      <w:pPr>
        <w:rPr>
          <w:rFonts w:ascii="Times New Roman" w:hAnsi="Times New Roman" w:cs="Times New Roman"/>
        </w:rPr>
      </w:pPr>
      <w:r w:rsidRPr="001D05E2">
        <w:rPr>
          <w:rFonts w:ascii="Times New Roman" w:hAnsi="Times New Roman" w:cs="Times New Roman"/>
        </w:rPr>
        <w:t xml:space="preserve">Staley and Barlaz </w:t>
      </w:r>
      <w:r w:rsidRPr="001D05E2">
        <w:rPr>
          <w:rFonts w:ascii="Times New Roman" w:hAnsi="Times New Roman" w:cs="Times New Roman"/>
        </w:rPr>
        <w:fldChar w:fldCharType="begin"/>
      </w:r>
      <w:r>
        <w:rPr>
          <w:rFonts w:ascii="Times New Roman" w:hAnsi="Times New Roman" w:cs="Times New Roman"/>
        </w:rPr>
        <w:instrText xml:space="preserve"> ADDIN ZOTERO_ITEM CSL_CITATION {"citationID":"jd8B3aEM","properties":{"formattedCitation":"\\super 72\\nosupersub{}","plainCitation":"72","noteIndex":0},"citationItems":[{"id":70,"uris":["http://zotero.org/users/18184231/items/BNTZS582"],"itemData":{"id":70,"type":"article-journal","abstract":"Eleven statewide waste characterization studies were compared to assess variation\nin the quantity and composition of waste after separation of recyclable and compostable\nmaterials, i.e., discarded waste. These data were also used to assess the impact of\n...","container-title":"Journal of Environmental Engineering","DOI":"10.1061/(ASCE)EE.1943-7870.0000032","ISSN":"0733-9372","issue":"10","language":"EN","note":"publisher: American Society of Civil Engineers","page":"901-909","source":"ASCE","title":"Composition of Municipal Solid Waste in the United States and Implications for Carbon Sequestration and Methane Yield","volume":"135","author":[{"family":"Staley","given":"Bryan F."},{"family":"Barlaz","given":"Morton A."}],"issued":{"date-parts":[["2009",10,1]]}}}],"schema":"https://github.com/citation-style-language/schema/raw/master/csl-citation.json"} </w:instrText>
      </w:r>
      <w:r w:rsidRPr="001D05E2">
        <w:rPr>
          <w:rFonts w:ascii="Times New Roman" w:hAnsi="Times New Roman" w:cs="Times New Roman"/>
        </w:rPr>
        <w:fldChar w:fldCharType="separate"/>
      </w:r>
      <w:r w:rsidRPr="00775B85">
        <w:rPr>
          <w:rFonts w:ascii="Times New Roman" w:hAnsi="Times New Roman" w:cs="Times New Roman"/>
          <w:kern w:val="0"/>
          <w:vertAlign w:val="superscript"/>
        </w:rPr>
        <w:t>72</w:t>
      </w:r>
      <w:r w:rsidRPr="001D05E2">
        <w:rPr>
          <w:rFonts w:ascii="Times New Roman" w:hAnsi="Times New Roman" w:cs="Times New Roman"/>
        </w:rPr>
        <w:fldChar w:fldCharType="end"/>
      </w:r>
      <w:r w:rsidRPr="001D05E2">
        <w:rPr>
          <w:rFonts w:ascii="Times New Roman" w:hAnsi="Times New Roman" w:cs="Times New Roman"/>
        </w:rPr>
        <w:t xml:space="preserve">, using US EPA’s 2006 MSW disposal data, calculated that forest products may have produced approximately 60% of total ultimate landfill methane potential for waste disposed in that year. For that same year, this report estimates that forest products were responsible for approximately 40% of MSW landfills emissions (Table </w:t>
      </w:r>
      <w:r>
        <w:rPr>
          <w:rFonts w:ascii="Times New Roman" w:hAnsi="Times New Roman" w:cs="Times New Roman"/>
        </w:rPr>
        <w:t>S58</w:t>
      </w:r>
      <w:r w:rsidRPr="001D05E2">
        <w:rPr>
          <w:rFonts w:ascii="Times New Roman" w:hAnsi="Times New Roman" w:cs="Times New Roman"/>
        </w:rPr>
        <w:t xml:space="preserve">). It is important to note that Staley and Barlaz did not consider degradation rates, only ultimate methane potential; therefore, the two estimates are not directly comparable. </w:t>
      </w:r>
    </w:p>
    <w:p w14:paraId="1C16F7D2" w14:textId="77777777" w:rsidR="001B7B37" w:rsidRDefault="001B7B37" w:rsidP="001B7B37">
      <w:pPr>
        <w:rPr>
          <w:rFonts w:ascii="Times New Roman" w:hAnsi="Times New Roman" w:cs="Times New Roman"/>
        </w:rPr>
      </w:pPr>
      <w:r w:rsidRPr="001D05E2">
        <w:rPr>
          <w:rFonts w:ascii="Times New Roman" w:hAnsi="Times New Roman" w:cs="Times New Roman"/>
        </w:rPr>
        <w:t>These estimates can also be compared to those recently developed by US EPA for methane from food waste</w:t>
      </w:r>
      <w:r w:rsidRPr="001D05E2">
        <w:rPr>
          <w:rFonts w:ascii="Times New Roman" w:hAnsi="Times New Roman" w:cs="Times New Roman"/>
        </w:rPr>
        <w:fldChar w:fldCharType="begin"/>
      </w:r>
      <w:r>
        <w:rPr>
          <w:rFonts w:ascii="Times New Roman" w:hAnsi="Times New Roman" w:cs="Times New Roman"/>
        </w:rPr>
        <w:instrText xml:space="preserve"> ADDIN ZOTERO_ITEM CSL_CITATION {"citationID":"tTSaf2W2","properties":{"formattedCitation":"\\super 73\\nosupersub{}","plainCitation":"73","noteIndex":0},"citationItems":[{"id":60,"uris":["http://zotero.org/users/18184231/items/58BLICC4"],"itemData":{"id":60,"type":"report","language":"en","number":"EPA-600-R-23-064","source":"Zotero","title":"Quantifying Methane Emissions from Landfilled Food Waste","URL":"https://www.epa.gov/system/files/documents/2023-10/food-waste-landfill-methane-10-8-23-final_508-compliant.pdf","author":[{"family":"United States Environmental Protection Agency (EPA)","given":""}],"accessed":{"date-parts":[["2025",9,25]]},"issued":{"date-parts":[["2023"]]}}}],"schema":"https://github.com/citation-style-language/schema/raw/master/csl-citation.json"} </w:instrText>
      </w:r>
      <w:r w:rsidRPr="001D05E2">
        <w:rPr>
          <w:rFonts w:ascii="Times New Roman" w:hAnsi="Times New Roman" w:cs="Times New Roman"/>
        </w:rPr>
        <w:fldChar w:fldCharType="separate"/>
      </w:r>
      <w:r w:rsidRPr="00775B85">
        <w:rPr>
          <w:rFonts w:ascii="Times New Roman" w:hAnsi="Times New Roman" w:cs="Times New Roman"/>
          <w:kern w:val="0"/>
          <w:vertAlign w:val="superscript"/>
        </w:rPr>
        <w:t>73</w:t>
      </w:r>
      <w:r w:rsidRPr="001D05E2">
        <w:rPr>
          <w:rFonts w:ascii="Times New Roman" w:hAnsi="Times New Roman" w:cs="Times New Roman"/>
        </w:rPr>
        <w:fldChar w:fldCharType="end"/>
      </w:r>
      <w:r w:rsidRPr="001D05E2">
        <w:rPr>
          <w:rFonts w:ascii="Times New Roman" w:hAnsi="Times New Roman" w:cs="Times New Roman"/>
        </w:rPr>
        <w:t xml:space="preserve">. US EPA estimates that food waste was responsible for 58% of landfill methane releases in 2020, which compares to an estimate for 2018 in Table </w:t>
      </w:r>
      <w:r>
        <w:rPr>
          <w:rFonts w:ascii="Times New Roman" w:hAnsi="Times New Roman" w:cs="Times New Roman"/>
        </w:rPr>
        <w:t>S58</w:t>
      </w:r>
      <w:r w:rsidRPr="001D05E2">
        <w:rPr>
          <w:rFonts w:ascii="Times New Roman" w:hAnsi="Times New Roman" w:cs="Times New Roman"/>
        </w:rPr>
        <w:t xml:space="preserve"> of 60%.</w:t>
      </w:r>
    </w:p>
    <w:p w14:paraId="0CE94FAD" w14:textId="77777777" w:rsidR="001B7B37" w:rsidRDefault="001B7B37" w:rsidP="001D05E2">
      <w:pPr>
        <w:rPr>
          <w:rFonts w:ascii="Times New Roman" w:hAnsi="Times New Roman" w:cs="Times New Roman"/>
        </w:rPr>
      </w:pPr>
    </w:p>
    <w:p w14:paraId="3EAF99DE" w14:textId="77777777" w:rsidR="001B7B37" w:rsidRPr="001D05E2" w:rsidRDefault="001B7B37" w:rsidP="001D05E2">
      <w:pPr>
        <w:rPr>
          <w:rFonts w:ascii="Times New Roman" w:hAnsi="Times New Roman" w:cs="Times New Roman"/>
        </w:rPr>
        <w:sectPr w:rsidR="001B7B37" w:rsidRPr="001D05E2" w:rsidSect="000566CB">
          <w:headerReference w:type="even" r:id="rId41"/>
          <w:footerReference w:type="even" r:id="rId42"/>
          <w:endnotePr>
            <w:numFmt w:val="decimal"/>
          </w:endnotePr>
          <w:pgSz w:w="12240" w:h="15840" w:code="1"/>
          <w:pgMar w:top="1440" w:right="1440" w:bottom="1440" w:left="1800" w:header="720" w:footer="720" w:gutter="0"/>
          <w:cols w:space="720"/>
          <w:noEndnote/>
          <w:titlePg/>
          <w:docGrid w:linePitch="360"/>
        </w:sectPr>
      </w:pPr>
    </w:p>
    <w:p w14:paraId="71AE9D3B" w14:textId="77777777" w:rsidR="001D05E2" w:rsidRPr="001D05E2" w:rsidRDefault="001D05E2" w:rsidP="001D05E2">
      <w:pPr>
        <w:rPr>
          <w:rFonts w:ascii="Times New Roman" w:hAnsi="Times New Roman" w:cs="Times New Roman"/>
        </w:rPr>
      </w:pPr>
    </w:p>
    <w:p w14:paraId="52D2DA7E" w14:textId="40226ED6" w:rsidR="001D05E2" w:rsidRPr="001D05E2" w:rsidRDefault="001D05E2" w:rsidP="001D05E2">
      <w:pPr>
        <w:jc w:val="center"/>
        <w:rPr>
          <w:rFonts w:ascii="Times New Roman" w:hAnsi="Times New Roman" w:cs="Times New Roman"/>
        </w:rPr>
      </w:pPr>
      <w:r w:rsidRPr="001D05E2">
        <w:rPr>
          <w:rFonts w:ascii="Times New Roman" w:hAnsi="Times New Roman" w:cs="Times New Roman"/>
          <w:b/>
          <w:bCs/>
        </w:rPr>
        <w:t xml:space="preserve">Table </w:t>
      </w:r>
      <w:r w:rsidR="00D4391E">
        <w:rPr>
          <w:rFonts w:ascii="Times New Roman" w:hAnsi="Times New Roman" w:cs="Times New Roman"/>
          <w:b/>
          <w:bCs/>
        </w:rPr>
        <w:t>S55</w:t>
      </w:r>
      <w:r w:rsidRPr="001D05E2">
        <w:rPr>
          <w:rFonts w:ascii="Times New Roman" w:hAnsi="Times New Roman" w:cs="Times New Roman"/>
          <w:b/>
          <w:bCs/>
        </w:rPr>
        <w:t>.</w:t>
      </w:r>
      <w:r w:rsidRPr="001D05E2">
        <w:rPr>
          <w:rFonts w:ascii="Times New Roman" w:hAnsi="Times New Roman" w:cs="Times New Roman"/>
        </w:rPr>
        <w:t xml:space="preserve"> Materials Going to Landfills, Percent of Total Landfilled Material </w:t>
      </w:r>
      <w:r w:rsidRPr="001D05E2">
        <w:rPr>
          <w:rFonts w:ascii="Times New Roman" w:hAnsi="Times New Roman" w:cs="Times New Roman"/>
        </w:rPr>
        <w:fldChar w:fldCharType="begin"/>
      </w:r>
      <w:r w:rsidR="00775B85">
        <w:rPr>
          <w:rFonts w:ascii="Times New Roman" w:hAnsi="Times New Roman" w:cs="Times New Roman"/>
        </w:rPr>
        <w:instrText xml:space="preserve"> ADDIN ZOTERO_ITEM CSL_CITATION {"citationID":"OlFifPKM","properties":{"formattedCitation":"\\super 68\\nosupersub{}","plainCitation":"68","noteIndex":0},"citationItems":[{"id":64,"uris":["http://zotero.org/users/18184231/items/G68GSVEA"],"itemData":{"id":64,"type":"report","language":"en","source":"Zotero","title":"Advancing Sustainable Materials Management: 2018 Fact Sheet","URL":"https://www.epa.gov/sites/default/files/2021-01/documents/2018_ff_fact_sheet_dec_2020_fnl_508.pdf","author":[{"family":"United States Environmental Protection Agency (EPA)","given":""}],"accessed":{"date-parts":[["2025",9,25]]},"issued":{"date-parts":[["2020"]]}}}],"schema":"https://github.com/citation-style-language/schema/raw/master/csl-citation.json"} </w:instrText>
      </w:r>
      <w:r w:rsidRPr="001D05E2">
        <w:rPr>
          <w:rFonts w:ascii="Times New Roman" w:hAnsi="Times New Roman" w:cs="Times New Roman"/>
        </w:rPr>
        <w:fldChar w:fldCharType="separate"/>
      </w:r>
      <w:r w:rsidR="00775B85" w:rsidRPr="00775B85">
        <w:rPr>
          <w:rFonts w:ascii="Times New Roman" w:hAnsi="Times New Roman" w:cs="Times New Roman"/>
          <w:kern w:val="0"/>
          <w:vertAlign w:val="superscript"/>
        </w:rPr>
        <w:t>68</w:t>
      </w:r>
      <w:r w:rsidRPr="001D05E2">
        <w:rPr>
          <w:rFonts w:ascii="Times New Roman" w:hAnsi="Times New Roman" w:cs="Times New Roman"/>
        </w:rPr>
        <w:fldChar w:fldCharType="end"/>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925"/>
        <w:gridCol w:w="1008"/>
        <w:gridCol w:w="1008"/>
        <w:gridCol w:w="1008"/>
        <w:gridCol w:w="1008"/>
        <w:gridCol w:w="1008"/>
        <w:gridCol w:w="1008"/>
        <w:gridCol w:w="1008"/>
        <w:gridCol w:w="1008"/>
        <w:gridCol w:w="1008"/>
        <w:gridCol w:w="1008"/>
      </w:tblGrid>
      <w:tr w:rsidR="001D05E2" w:rsidRPr="001D05E2" w14:paraId="2983BA4E" w14:textId="77777777" w:rsidTr="00360B83">
        <w:trPr>
          <w:trHeight w:val="300"/>
          <w:tblHeader/>
        </w:trPr>
        <w:tc>
          <w:tcPr>
            <w:tcW w:w="1925" w:type="dxa"/>
            <w:shd w:val="clear" w:color="auto" w:fill="D9D9D9" w:themeFill="background1" w:themeFillShade="D9"/>
            <w:noWrap/>
            <w:hideMark/>
          </w:tcPr>
          <w:p w14:paraId="7E14E990" w14:textId="77777777" w:rsidR="001D05E2" w:rsidRPr="001D05E2" w:rsidRDefault="001D05E2" w:rsidP="0008489A">
            <w:pPr>
              <w:rPr>
                <w:rFonts w:ascii="Times New Roman" w:hAnsi="Times New Roman" w:cs="Times New Roman"/>
              </w:rPr>
            </w:pPr>
            <w:r w:rsidRPr="001D05E2">
              <w:rPr>
                <w:rFonts w:ascii="Times New Roman" w:hAnsi="Times New Roman" w:cs="Times New Roman"/>
              </w:rPr>
              <w:t>Percent of Landfilled Materials</w:t>
            </w:r>
          </w:p>
        </w:tc>
        <w:tc>
          <w:tcPr>
            <w:tcW w:w="1008" w:type="dxa"/>
            <w:shd w:val="clear" w:color="auto" w:fill="D9D9D9" w:themeFill="background1" w:themeFillShade="D9"/>
          </w:tcPr>
          <w:p w14:paraId="035138B2" w14:textId="77777777" w:rsidR="001D05E2" w:rsidRPr="001D05E2" w:rsidRDefault="001D05E2" w:rsidP="0008489A">
            <w:pPr>
              <w:spacing w:after="160"/>
              <w:rPr>
                <w:rFonts w:ascii="Times New Roman" w:hAnsi="Times New Roman" w:cs="Times New Roman"/>
              </w:rPr>
            </w:pPr>
          </w:p>
        </w:tc>
        <w:tc>
          <w:tcPr>
            <w:tcW w:w="1008" w:type="dxa"/>
            <w:shd w:val="clear" w:color="auto" w:fill="D9D9D9" w:themeFill="background1" w:themeFillShade="D9"/>
            <w:noWrap/>
            <w:hideMark/>
          </w:tcPr>
          <w:p w14:paraId="5DF8B00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28869CB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4F371FF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10D196B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538F40A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39B0D2B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4F8F795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4E2FACF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160A705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r>
      <w:tr w:rsidR="001D05E2" w:rsidRPr="001D05E2" w14:paraId="49E93364" w14:textId="77777777" w:rsidTr="00360B83">
        <w:trPr>
          <w:trHeight w:val="300"/>
        </w:trPr>
        <w:tc>
          <w:tcPr>
            <w:tcW w:w="1925" w:type="dxa"/>
            <w:shd w:val="clear" w:color="auto" w:fill="D9D9D9" w:themeFill="background1" w:themeFillShade="D9"/>
            <w:noWrap/>
            <w:hideMark/>
          </w:tcPr>
          <w:p w14:paraId="3D8F04D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shd w:val="clear" w:color="auto" w:fill="D9D9D9" w:themeFill="background1" w:themeFillShade="D9"/>
            <w:noWrap/>
            <w:hideMark/>
          </w:tcPr>
          <w:p w14:paraId="32BAC43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1960</w:t>
            </w:r>
          </w:p>
        </w:tc>
        <w:tc>
          <w:tcPr>
            <w:tcW w:w="1008" w:type="dxa"/>
            <w:shd w:val="clear" w:color="auto" w:fill="D9D9D9" w:themeFill="background1" w:themeFillShade="D9"/>
            <w:noWrap/>
            <w:hideMark/>
          </w:tcPr>
          <w:p w14:paraId="4207413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1970</w:t>
            </w:r>
          </w:p>
        </w:tc>
        <w:tc>
          <w:tcPr>
            <w:tcW w:w="1008" w:type="dxa"/>
            <w:shd w:val="clear" w:color="auto" w:fill="D9D9D9" w:themeFill="background1" w:themeFillShade="D9"/>
            <w:noWrap/>
            <w:hideMark/>
          </w:tcPr>
          <w:p w14:paraId="2B5D816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1980</w:t>
            </w:r>
          </w:p>
        </w:tc>
        <w:tc>
          <w:tcPr>
            <w:tcW w:w="1008" w:type="dxa"/>
            <w:shd w:val="clear" w:color="auto" w:fill="D9D9D9" w:themeFill="background1" w:themeFillShade="D9"/>
            <w:noWrap/>
            <w:hideMark/>
          </w:tcPr>
          <w:p w14:paraId="3D3AC6A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1990</w:t>
            </w:r>
          </w:p>
        </w:tc>
        <w:tc>
          <w:tcPr>
            <w:tcW w:w="1008" w:type="dxa"/>
            <w:shd w:val="clear" w:color="auto" w:fill="D9D9D9" w:themeFill="background1" w:themeFillShade="D9"/>
            <w:noWrap/>
            <w:hideMark/>
          </w:tcPr>
          <w:p w14:paraId="12E4CEC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2000</w:t>
            </w:r>
          </w:p>
        </w:tc>
        <w:tc>
          <w:tcPr>
            <w:tcW w:w="1008" w:type="dxa"/>
            <w:shd w:val="clear" w:color="auto" w:fill="D9D9D9" w:themeFill="background1" w:themeFillShade="D9"/>
            <w:noWrap/>
            <w:hideMark/>
          </w:tcPr>
          <w:p w14:paraId="6EDCE89A"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2005</w:t>
            </w:r>
          </w:p>
        </w:tc>
        <w:tc>
          <w:tcPr>
            <w:tcW w:w="1008" w:type="dxa"/>
            <w:shd w:val="clear" w:color="auto" w:fill="D9D9D9" w:themeFill="background1" w:themeFillShade="D9"/>
            <w:noWrap/>
            <w:hideMark/>
          </w:tcPr>
          <w:p w14:paraId="2BD44D0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2010</w:t>
            </w:r>
          </w:p>
        </w:tc>
        <w:tc>
          <w:tcPr>
            <w:tcW w:w="1008" w:type="dxa"/>
            <w:shd w:val="clear" w:color="auto" w:fill="D9D9D9" w:themeFill="background1" w:themeFillShade="D9"/>
            <w:noWrap/>
            <w:hideMark/>
          </w:tcPr>
          <w:p w14:paraId="0A9B49A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2015</w:t>
            </w:r>
          </w:p>
        </w:tc>
        <w:tc>
          <w:tcPr>
            <w:tcW w:w="1008" w:type="dxa"/>
            <w:shd w:val="clear" w:color="auto" w:fill="D9D9D9" w:themeFill="background1" w:themeFillShade="D9"/>
            <w:noWrap/>
            <w:hideMark/>
          </w:tcPr>
          <w:p w14:paraId="026646A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2017</w:t>
            </w:r>
          </w:p>
        </w:tc>
        <w:tc>
          <w:tcPr>
            <w:tcW w:w="1008" w:type="dxa"/>
            <w:shd w:val="clear" w:color="auto" w:fill="D9D9D9" w:themeFill="background1" w:themeFillShade="D9"/>
            <w:noWrap/>
            <w:hideMark/>
          </w:tcPr>
          <w:p w14:paraId="28B1D947"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2018</w:t>
            </w:r>
          </w:p>
        </w:tc>
      </w:tr>
      <w:tr w:rsidR="001D05E2" w:rsidRPr="001D05E2" w14:paraId="669329D8" w14:textId="77777777" w:rsidTr="00360B83">
        <w:trPr>
          <w:trHeight w:val="315"/>
        </w:trPr>
        <w:tc>
          <w:tcPr>
            <w:tcW w:w="1925" w:type="dxa"/>
            <w:hideMark/>
          </w:tcPr>
          <w:p w14:paraId="12654F7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Paper and Paperboard</w:t>
            </w:r>
          </w:p>
        </w:tc>
        <w:tc>
          <w:tcPr>
            <w:tcW w:w="1008" w:type="dxa"/>
            <w:hideMark/>
          </w:tcPr>
          <w:p w14:paraId="53A603F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30.20%</w:t>
            </w:r>
          </w:p>
        </w:tc>
        <w:tc>
          <w:tcPr>
            <w:tcW w:w="1008" w:type="dxa"/>
            <w:hideMark/>
          </w:tcPr>
          <w:p w14:paraId="22F2C0A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33.20%</w:t>
            </w:r>
          </w:p>
        </w:tc>
        <w:tc>
          <w:tcPr>
            <w:tcW w:w="1008" w:type="dxa"/>
            <w:hideMark/>
          </w:tcPr>
          <w:p w14:paraId="55D5505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31.70%</w:t>
            </w:r>
          </w:p>
        </w:tc>
        <w:tc>
          <w:tcPr>
            <w:tcW w:w="1008" w:type="dxa"/>
            <w:hideMark/>
          </w:tcPr>
          <w:p w14:paraId="7377B74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30.00%</w:t>
            </w:r>
          </w:p>
        </w:tc>
        <w:tc>
          <w:tcPr>
            <w:tcW w:w="1008" w:type="dxa"/>
            <w:hideMark/>
          </w:tcPr>
          <w:p w14:paraId="52BEF5E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28.80%</w:t>
            </w:r>
          </w:p>
        </w:tc>
        <w:tc>
          <w:tcPr>
            <w:tcW w:w="1008" w:type="dxa"/>
            <w:hideMark/>
          </w:tcPr>
          <w:p w14:paraId="02EDB54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24.70%</w:t>
            </w:r>
          </w:p>
        </w:tc>
        <w:tc>
          <w:tcPr>
            <w:tcW w:w="1008" w:type="dxa"/>
            <w:hideMark/>
          </w:tcPr>
          <w:p w14:paraId="744F59E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16.10%</w:t>
            </w:r>
          </w:p>
        </w:tc>
        <w:tc>
          <w:tcPr>
            <w:tcW w:w="1008" w:type="dxa"/>
            <w:hideMark/>
          </w:tcPr>
          <w:p w14:paraId="2337C95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13.30%</w:t>
            </w:r>
          </w:p>
        </w:tc>
        <w:tc>
          <w:tcPr>
            <w:tcW w:w="1008" w:type="dxa"/>
            <w:hideMark/>
          </w:tcPr>
          <w:p w14:paraId="2E3496E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13.10%</w:t>
            </w:r>
          </w:p>
        </w:tc>
        <w:tc>
          <w:tcPr>
            <w:tcW w:w="1008" w:type="dxa"/>
            <w:hideMark/>
          </w:tcPr>
          <w:p w14:paraId="328D020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11.80%</w:t>
            </w:r>
          </w:p>
        </w:tc>
      </w:tr>
      <w:tr w:rsidR="001D05E2" w:rsidRPr="001D05E2" w14:paraId="4A823B7B" w14:textId="77777777" w:rsidTr="00360B83">
        <w:trPr>
          <w:trHeight w:val="315"/>
        </w:trPr>
        <w:tc>
          <w:tcPr>
            <w:tcW w:w="1925" w:type="dxa"/>
            <w:hideMark/>
          </w:tcPr>
          <w:p w14:paraId="36B92DD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Glass</w:t>
            </w:r>
          </w:p>
        </w:tc>
        <w:tc>
          <w:tcPr>
            <w:tcW w:w="1008" w:type="dxa"/>
            <w:hideMark/>
          </w:tcPr>
          <w:p w14:paraId="792174C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8.00%</w:t>
            </w:r>
          </w:p>
        </w:tc>
        <w:tc>
          <w:tcPr>
            <w:tcW w:w="1008" w:type="dxa"/>
            <w:hideMark/>
          </w:tcPr>
          <w:p w14:paraId="138A4CB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11.10%</w:t>
            </w:r>
          </w:p>
        </w:tc>
        <w:tc>
          <w:tcPr>
            <w:tcW w:w="1008" w:type="dxa"/>
            <w:hideMark/>
          </w:tcPr>
          <w:p w14:paraId="3BAEC31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10.50%</w:t>
            </w:r>
          </w:p>
        </w:tc>
        <w:tc>
          <w:tcPr>
            <w:tcW w:w="1008" w:type="dxa"/>
            <w:hideMark/>
          </w:tcPr>
          <w:p w14:paraId="3A7FB17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6.00%</w:t>
            </w:r>
          </w:p>
        </w:tc>
        <w:tc>
          <w:tcPr>
            <w:tcW w:w="1008" w:type="dxa"/>
            <w:hideMark/>
          </w:tcPr>
          <w:p w14:paraId="4FC8B13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5.80%</w:t>
            </w:r>
          </w:p>
        </w:tc>
        <w:tc>
          <w:tcPr>
            <w:tcW w:w="1008" w:type="dxa"/>
            <w:hideMark/>
          </w:tcPr>
          <w:p w14:paraId="6144978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5.80%</w:t>
            </w:r>
          </w:p>
        </w:tc>
        <w:tc>
          <w:tcPr>
            <w:tcW w:w="1008" w:type="dxa"/>
            <w:hideMark/>
          </w:tcPr>
          <w:p w14:paraId="1F74ECA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5.10%</w:t>
            </w:r>
          </w:p>
        </w:tc>
        <w:tc>
          <w:tcPr>
            <w:tcW w:w="1008" w:type="dxa"/>
            <w:hideMark/>
          </w:tcPr>
          <w:p w14:paraId="63A6C23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5.00%</w:t>
            </w:r>
          </w:p>
        </w:tc>
        <w:tc>
          <w:tcPr>
            <w:tcW w:w="1008" w:type="dxa"/>
            <w:hideMark/>
          </w:tcPr>
          <w:p w14:paraId="0F7691A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5.40%</w:t>
            </w:r>
          </w:p>
        </w:tc>
        <w:tc>
          <w:tcPr>
            <w:tcW w:w="1008" w:type="dxa"/>
            <w:hideMark/>
          </w:tcPr>
          <w:p w14:paraId="52BD7D7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5.20%</w:t>
            </w:r>
          </w:p>
        </w:tc>
      </w:tr>
      <w:tr w:rsidR="001D05E2" w:rsidRPr="001D05E2" w14:paraId="419B91A0" w14:textId="77777777" w:rsidTr="00360B83">
        <w:trPr>
          <w:trHeight w:val="315"/>
        </w:trPr>
        <w:tc>
          <w:tcPr>
            <w:tcW w:w="1925" w:type="dxa"/>
            <w:hideMark/>
          </w:tcPr>
          <w:p w14:paraId="0130B8F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Metals</w:t>
            </w:r>
          </w:p>
        </w:tc>
        <w:tc>
          <w:tcPr>
            <w:tcW w:w="1008" w:type="dxa"/>
            <w:hideMark/>
          </w:tcPr>
          <w:p w14:paraId="4533FEE5" w14:textId="77777777" w:rsidR="001D05E2" w:rsidRPr="001D05E2" w:rsidRDefault="001D05E2" w:rsidP="0008489A">
            <w:pPr>
              <w:spacing w:after="160"/>
              <w:rPr>
                <w:rFonts w:ascii="Times New Roman" w:hAnsi="Times New Roman" w:cs="Times New Roman"/>
              </w:rPr>
            </w:pPr>
          </w:p>
        </w:tc>
        <w:tc>
          <w:tcPr>
            <w:tcW w:w="1008" w:type="dxa"/>
            <w:hideMark/>
          </w:tcPr>
          <w:p w14:paraId="76C66F01" w14:textId="77777777" w:rsidR="001D05E2" w:rsidRPr="001D05E2" w:rsidRDefault="001D05E2" w:rsidP="0008489A">
            <w:pPr>
              <w:spacing w:after="160"/>
              <w:rPr>
                <w:rFonts w:ascii="Times New Roman" w:hAnsi="Times New Roman" w:cs="Times New Roman"/>
              </w:rPr>
            </w:pPr>
          </w:p>
        </w:tc>
        <w:tc>
          <w:tcPr>
            <w:tcW w:w="1008" w:type="dxa"/>
            <w:hideMark/>
          </w:tcPr>
          <w:p w14:paraId="359D8089" w14:textId="77777777" w:rsidR="001D05E2" w:rsidRPr="001D05E2" w:rsidRDefault="001D05E2" w:rsidP="0008489A">
            <w:pPr>
              <w:spacing w:after="160"/>
              <w:rPr>
                <w:rFonts w:ascii="Times New Roman" w:hAnsi="Times New Roman" w:cs="Times New Roman"/>
              </w:rPr>
            </w:pPr>
          </w:p>
        </w:tc>
        <w:tc>
          <w:tcPr>
            <w:tcW w:w="1008" w:type="dxa"/>
            <w:hideMark/>
          </w:tcPr>
          <w:p w14:paraId="7658D551" w14:textId="77777777" w:rsidR="001D05E2" w:rsidRPr="001D05E2" w:rsidRDefault="001D05E2" w:rsidP="0008489A">
            <w:pPr>
              <w:spacing w:after="160"/>
              <w:rPr>
                <w:rFonts w:ascii="Times New Roman" w:hAnsi="Times New Roman" w:cs="Times New Roman"/>
              </w:rPr>
            </w:pPr>
          </w:p>
        </w:tc>
        <w:tc>
          <w:tcPr>
            <w:tcW w:w="1008" w:type="dxa"/>
            <w:hideMark/>
          </w:tcPr>
          <w:p w14:paraId="48FC848E" w14:textId="77777777" w:rsidR="001D05E2" w:rsidRPr="001D05E2" w:rsidRDefault="001D05E2" w:rsidP="0008489A">
            <w:pPr>
              <w:spacing w:after="160"/>
              <w:rPr>
                <w:rFonts w:ascii="Times New Roman" w:hAnsi="Times New Roman" w:cs="Times New Roman"/>
              </w:rPr>
            </w:pPr>
          </w:p>
        </w:tc>
        <w:tc>
          <w:tcPr>
            <w:tcW w:w="1008" w:type="dxa"/>
            <w:hideMark/>
          </w:tcPr>
          <w:p w14:paraId="1A760671" w14:textId="77777777" w:rsidR="001D05E2" w:rsidRPr="001D05E2" w:rsidRDefault="001D05E2" w:rsidP="0008489A">
            <w:pPr>
              <w:spacing w:after="160"/>
              <w:rPr>
                <w:rFonts w:ascii="Times New Roman" w:hAnsi="Times New Roman" w:cs="Times New Roman"/>
              </w:rPr>
            </w:pPr>
          </w:p>
        </w:tc>
        <w:tc>
          <w:tcPr>
            <w:tcW w:w="1008" w:type="dxa"/>
            <w:hideMark/>
          </w:tcPr>
          <w:p w14:paraId="3CE1E223" w14:textId="77777777" w:rsidR="001D05E2" w:rsidRPr="001D05E2" w:rsidRDefault="001D05E2" w:rsidP="0008489A">
            <w:pPr>
              <w:spacing w:after="160"/>
              <w:rPr>
                <w:rFonts w:ascii="Times New Roman" w:hAnsi="Times New Roman" w:cs="Times New Roman"/>
              </w:rPr>
            </w:pPr>
          </w:p>
        </w:tc>
        <w:tc>
          <w:tcPr>
            <w:tcW w:w="1008" w:type="dxa"/>
            <w:hideMark/>
          </w:tcPr>
          <w:p w14:paraId="40AD1E53" w14:textId="77777777" w:rsidR="001D05E2" w:rsidRPr="001D05E2" w:rsidRDefault="001D05E2" w:rsidP="0008489A">
            <w:pPr>
              <w:spacing w:after="160"/>
              <w:rPr>
                <w:rFonts w:ascii="Times New Roman" w:hAnsi="Times New Roman" w:cs="Times New Roman"/>
              </w:rPr>
            </w:pPr>
          </w:p>
        </w:tc>
        <w:tc>
          <w:tcPr>
            <w:tcW w:w="1008" w:type="dxa"/>
            <w:hideMark/>
          </w:tcPr>
          <w:p w14:paraId="4C71262D" w14:textId="77777777" w:rsidR="001D05E2" w:rsidRPr="001D05E2" w:rsidRDefault="001D05E2" w:rsidP="0008489A">
            <w:pPr>
              <w:spacing w:after="160"/>
              <w:rPr>
                <w:rFonts w:ascii="Times New Roman" w:hAnsi="Times New Roman" w:cs="Times New Roman"/>
              </w:rPr>
            </w:pPr>
          </w:p>
        </w:tc>
        <w:tc>
          <w:tcPr>
            <w:tcW w:w="1008" w:type="dxa"/>
            <w:hideMark/>
          </w:tcPr>
          <w:p w14:paraId="2BD265E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r>
      <w:tr w:rsidR="001D05E2" w:rsidRPr="001D05E2" w14:paraId="027E8C42" w14:textId="77777777" w:rsidTr="00360B83">
        <w:trPr>
          <w:trHeight w:val="315"/>
        </w:trPr>
        <w:tc>
          <w:tcPr>
            <w:tcW w:w="1925" w:type="dxa"/>
            <w:hideMark/>
          </w:tcPr>
          <w:p w14:paraId="082E910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Ferrous</w:t>
            </w:r>
          </w:p>
        </w:tc>
        <w:tc>
          <w:tcPr>
            <w:tcW w:w="1008" w:type="dxa"/>
            <w:hideMark/>
          </w:tcPr>
          <w:p w14:paraId="7D7D79B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12.40%</w:t>
            </w:r>
          </w:p>
        </w:tc>
        <w:tc>
          <w:tcPr>
            <w:tcW w:w="1008" w:type="dxa"/>
            <w:hideMark/>
          </w:tcPr>
          <w:p w14:paraId="51B3AE6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10.80%</w:t>
            </w:r>
          </w:p>
        </w:tc>
        <w:tc>
          <w:tcPr>
            <w:tcW w:w="1008" w:type="dxa"/>
            <w:hideMark/>
          </w:tcPr>
          <w:p w14:paraId="7536C3E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8.90%</w:t>
            </w:r>
          </w:p>
        </w:tc>
        <w:tc>
          <w:tcPr>
            <w:tcW w:w="1008" w:type="dxa"/>
            <w:hideMark/>
          </w:tcPr>
          <w:p w14:paraId="5105E22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6.00%</w:t>
            </w:r>
          </w:p>
        </w:tc>
        <w:tc>
          <w:tcPr>
            <w:tcW w:w="1008" w:type="dxa"/>
            <w:hideMark/>
          </w:tcPr>
          <w:p w14:paraId="69C315B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5.60%</w:t>
            </w:r>
          </w:p>
        </w:tc>
        <w:tc>
          <w:tcPr>
            <w:tcW w:w="1008" w:type="dxa"/>
            <w:hideMark/>
          </w:tcPr>
          <w:p w14:paraId="7C24015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6.00%</w:t>
            </w:r>
          </w:p>
        </w:tc>
        <w:tc>
          <w:tcPr>
            <w:tcW w:w="1008" w:type="dxa"/>
            <w:hideMark/>
          </w:tcPr>
          <w:p w14:paraId="0C55335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6.80%</w:t>
            </w:r>
          </w:p>
        </w:tc>
        <w:tc>
          <w:tcPr>
            <w:tcW w:w="1008" w:type="dxa"/>
            <w:hideMark/>
          </w:tcPr>
          <w:p w14:paraId="3BA043E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7.20%</w:t>
            </w:r>
          </w:p>
        </w:tc>
        <w:tc>
          <w:tcPr>
            <w:tcW w:w="1008" w:type="dxa"/>
            <w:hideMark/>
          </w:tcPr>
          <w:p w14:paraId="0E5931C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7.40%</w:t>
            </w:r>
          </w:p>
        </w:tc>
        <w:tc>
          <w:tcPr>
            <w:tcW w:w="1008" w:type="dxa"/>
            <w:hideMark/>
          </w:tcPr>
          <w:p w14:paraId="0ED7A917"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7.20%</w:t>
            </w:r>
          </w:p>
        </w:tc>
      </w:tr>
      <w:tr w:rsidR="001D05E2" w:rsidRPr="001D05E2" w14:paraId="3CCE55C6" w14:textId="77777777" w:rsidTr="00360B83">
        <w:trPr>
          <w:trHeight w:val="315"/>
        </w:trPr>
        <w:tc>
          <w:tcPr>
            <w:tcW w:w="1925" w:type="dxa"/>
            <w:hideMark/>
          </w:tcPr>
          <w:p w14:paraId="4BD77C98"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Aluminum</w:t>
            </w:r>
          </w:p>
        </w:tc>
        <w:tc>
          <w:tcPr>
            <w:tcW w:w="1008" w:type="dxa"/>
            <w:hideMark/>
          </w:tcPr>
          <w:p w14:paraId="24D3AB0A"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0.40%</w:t>
            </w:r>
          </w:p>
        </w:tc>
        <w:tc>
          <w:tcPr>
            <w:tcW w:w="1008" w:type="dxa"/>
            <w:hideMark/>
          </w:tcPr>
          <w:p w14:paraId="6755649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0.70%</w:t>
            </w:r>
          </w:p>
        </w:tc>
        <w:tc>
          <w:tcPr>
            <w:tcW w:w="1008" w:type="dxa"/>
            <w:hideMark/>
          </w:tcPr>
          <w:p w14:paraId="5201CDE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w:t>
            </w:r>
          </w:p>
        </w:tc>
        <w:tc>
          <w:tcPr>
            <w:tcW w:w="1008" w:type="dxa"/>
            <w:hideMark/>
          </w:tcPr>
          <w:p w14:paraId="2A44DBD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w:t>
            </w:r>
          </w:p>
        </w:tc>
        <w:tc>
          <w:tcPr>
            <w:tcW w:w="1008" w:type="dxa"/>
            <w:hideMark/>
          </w:tcPr>
          <w:p w14:paraId="2EB3183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1.40%</w:t>
            </w:r>
          </w:p>
        </w:tc>
        <w:tc>
          <w:tcPr>
            <w:tcW w:w="1008" w:type="dxa"/>
            <w:hideMark/>
          </w:tcPr>
          <w:p w14:paraId="27B567B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1.60%</w:t>
            </w:r>
          </w:p>
        </w:tc>
        <w:tc>
          <w:tcPr>
            <w:tcW w:w="1008" w:type="dxa"/>
            <w:hideMark/>
          </w:tcPr>
          <w:p w14:paraId="755816D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1.80%</w:t>
            </w:r>
          </w:p>
        </w:tc>
        <w:tc>
          <w:tcPr>
            <w:tcW w:w="1008" w:type="dxa"/>
            <w:hideMark/>
          </w:tcPr>
          <w:p w14:paraId="4F70332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1.80%</w:t>
            </w:r>
          </w:p>
        </w:tc>
        <w:tc>
          <w:tcPr>
            <w:tcW w:w="1008" w:type="dxa"/>
            <w:hideMark/>
          </w:tcPr>
          <w:p w14:paraId="1E6665B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1.90%</w:t>
            </w:r>
          </w:p>
        </w:tc>
        <w:tc>
          <w:tcPr>
            <w:tcW w:w="1008" w:type="dxa"/>
            <w:hideMark/>
          </w:tcPr>
          <w:p w14:paraId="5958C01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1.80%</w:t>
            </w:r>
          </w:p>
        </w:tc>
      </w:tr>
      <w:tr w:rsidR="001D05E2" w:rsidRPr="001D05E2" w14:paraId="057047BB" w14:textId="77777777" w:rsidTr="00360B83">
        <w:trPr>
          <w:trHeight w:val="315"/>
        </w:trPr>
        <w:tc>
          <w:tcPr>
            <w:tcW w:w="1925" w:type="dxa"/>
            <w:hideMark/>
          </w:tcPr>
          <w:p w14:paraId="52BD6CD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Other nonferrous</w:t>
            </w:r>
          </w:p>
        </w:tc>
        <w:tc>
          <w:tcPr>
            <w:tcW w:w="1008" w:type="dxa"/>
            <w:hideMark/>
          </w:tcPr>
          <w:p w14:paraId="48053AC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0.20%</w:t>
            </w:r>
          </w:p>
        </w:tc>
        <w:tc>
          <w:tcPr>
            <w:tcW w:w="1008" w:type="dxa"/>
            <w:hideMark/>
          </w:tcPr>
          <w:p w14:paraId="0BAC2FB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0.30%</w:t>
            </w:r>
          </w:p>
        </w:tc>
        <w:tc>
          <w:tcPr>
            <w:tcW w:w="1008" w:type="dxa"/>
            <w:hideMark/>
          </w:tcPr>
          <w:p w14:paraId="67AE85D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0.40%</w:t>
            </w:r>
          </w:p>
        </w:tc>
        <w:tc>
          <w:tcPr>
            <w:tcW w:w="1008" w:type="dxa"/>
            <w:hideMark/>
          </w:tcPr>
          <w:p w14:paraId="2D529D6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0.20%</w:t>
            </w:r>
          </w:p>
        </w:tc>
        <w:tc>
          <w:tcPr>
            <w:tcW w:w="1008" w:type="dxa"/>
            <w:hideMark/>
          </w:tcPr>
          <w:p w14:paraId="556DF0C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0.30%</w:t>
            </w:r>
          </w:p>
        </w:tc>
        <w:tc>
          <w:tcPr>
            <w:tcW w:w="1008" w:type="dxa"/>
            <w:hideMark/>
          </w:tcPr>
          <w:p w14:paraId="75BBEDF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0.30%</w:t>
            </w:r>
          </w:p>
        </w:tc>
        <w:tc>
          <w:tcPr>
            <w:tcW w:w="1008" w:type="dxa"/>
            <w:hideMark/>
          </w:tcPr>
          <w:p w14:paraId="45A61D5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0.40%</w:t>
            </w:r>
          </w:p>
        </w:tc>
        <w:tc>
          <w:tcPr>
            <w:tcW w:w="1008" w:type="dxa"/>
            <w:hideMark/>
          </w:tcPr>
          <w:p w14:paraId="10C0540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0.50%</w:t>
            </w:r>
          </w:p>
        </w:tc>
        <w:tc>
          <w:tcPr>
            <w:tcW w:w="1008" w:type="dxa"/>
            <w:hideMark/>
          </w:tcPr>
          <w:p w14:paraId="3D640D3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0.50%</w:t>
            </w:r>
          </w:p>
        </w:tc>
        <w:tc>
          <w:tcPr>
            <w:tcW w:w="1008" w:type="dxa"/>
            <w:hideMark/>
          </w:tcPr>
          <w:p w14:paraId="425D0407"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0.50%</w:t>
            </w:r>
          </w:p>
        </w:tc>
      </w:tr>
      <w:tr w:rsidR="001D05E2" w:rsidRPr="001D05E2" w14:paraId="5A2115DC" w14:textId="77777777" w:rsidTr="00360B83">
        <w:trPr>
          <w:trHeight w:val="315"/>
        </w:trPr>
        <w:tc>
          <w:tcPr>
            <w:tcW w:w="1925" w:type="dxa"/>
            <w:hideMark/>
          </w:tcPr>
          <w:p w14:paraId="3F7C737A"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 xml:space="preserve">Total Metals </w:t>
            </w:r>
          </w:p>
        </w:tc>
        <w:tc>
          <w:tcPr>
            <w:tcW w:w="1008" w:type="dxa"/>
            <w:hideMark/>
          </w:tcPr>
          <w:p w14:paraId="2466DF0C"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13.00%</w:t>
            </w:r>
          </w:p>
        </w:tc>
        <w:tc>
          <w:tcPr>
            <w:tcW w:w="1008" w:type="dxa"/>
            <w:hideMark/>
          </w:tcPr>
          <w:p w14:paraId="19878D07"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11.80%</w:t>
            </w:r>
          </w:p>
        </w:tc>
        <w:tc>
          <w:tcPr>
            <w:tcW w:w="1008" w:type="dxa"/>
            <w:hideMark/>
          </w:tcPr>
          <w:p w14:paraId="003A0BD4"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10.30%</w:t>
            </w:r>
          </w:p>
        </w:tc>
        <w:tc>
          <w:tcPr>
            <w:tcW w:w="1008" w:type="dxa"/>
            <w:hideMark/>
          </w:tcPr>
          <w:p w14:paraId="4DE48607"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7.20%</w:t>
            </w:r>
          </w:p>
        </w:tc>
        <w:tc>
          <w:tcPr>
            <w:tcW w:w="1008" w:type="dxa"/>
            <w:hideMark/>
          </w:tcPr>
          <w:p w14:paraId="52F6955B"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7.30%</w:t>
            </w:r>
          </w:p>
        </w:tc>
        <w:tc>
          <w:tcPr>
            <w:tcW w:w="1008" w:type="dxa"/>
            <w:hideMark/>
          </w:tcPr>
          <w:p w14:paraId="58CCB1FA"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7.90%</w:t>
            </w:r>
          </w:p>
        </w:tc>
        <w:tc>
          <w:tcPr>
            <w:tcW w:w="1008" w:type="dxa"/>
            <w:hideMark/>
          </w:tcPr>
          <w:p w14:paraId="3FD4AF91"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9.00%</w:t>
            </w:r>
          </w:p>
        </w:tc>
        <w:tc>
          <w:tcPr>
            <w:tcW w:w="1008" w:type="dxa"/>
            <w:hideMark/>
          </w:tcPr>
          <w:p w14:paraId="5D602F28"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9.50%</w:t>
            </w:r>
          </w:p>
        </w:tc>
        <w:tc>
          <w:tcPr>
            <w:tcW w:w="1008" w:type="dxa"/>
            <w:hideMark/>
          </w:tcPr>
          <w:p w14:paraId="4DFDF76F"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9.80%</w:t>
            </w:r>
          </w:p>
        </w:tc>
        <w:tc>
          <w:tcPr>
            <w:tcW w:w="1008" w:type="dxa"/>
            <w:hideMark/>
          </w:tcPr>
          <w:p w14:paraId="230A385D" w14:textId="77777777" w:rsidR="001D05E2" w:rsidRPr="001D05E2" w:rsidRDefault="001D05E2" w:rsidP="0008489A">
            <w:pPr>
              <w:spacing w:after="160"/>
              <w:rPr>
                <w:rFonts w:ascii="Times New Roman" w:hAnsi="Times New Roman" w:cs="Times New Roman"/>
                <w:i/>
                <w:iCs/>
              </w:rPr>
            </w:pPr>
            <w:r w:rsidRPr="001D05E2">
              <w:rPr>
                <w:rFonts w:ascii="Times New Roman" w:hAnsi="Times New Roman" w:cs="Times New Roman"/>
                <w:i/>
                <w:iCs/>
              </w:rPr>
              <w:t>9.50%</w:t>
            </w:r>
          </w:p>
        </w:tc>
      </w:tr>
      <w:tr w:rsidR="001D05E2" w:rsidRPr="001D05E2" w14:paraId="0E8EC87A" w14:textId="77777777" w:rsidTr="00360B83">
        <w:trPr>
          <w:trHeight w:val="315"/>
        </w:trPr>
        <w:tc>
          <w:tcPr>
            <w:tcW w:w="1925" w:type="dxa"/>
            <w:hideMark/>
          </w:tcPr>
          <w:p w14:paraId="42507D1A"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Plastics</w:t>
            </w:r>
          </w:p>
        </w:tc>
        <w:tc>
          <w:tcPr>
            <w:tcW w:w="1008" w:type="dxa"/>
            <w:hideMark/>
          </w:tcPr>
          <w:p w14:paraId="24DC22A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0.50%</w:t>
            </w:r>
          </w:p>
        </w:tc>
        <w:tc>
          <w:tcPr>
            <w:tcW w:w="1008" w:type="dxa"/>
            <w:hideMark/>
          </w:tcPr>
          <w:p w14:paraId="2C2AB3E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2.60%</w:t>
            </w:r>
          </w:p>
        </w:tc>
        <w:tc>
          <w:tcPr>
            <w:tcW w:w="1008" w:type="dxa"/>
            <w:hideMark/>
          </w:tcPr>
          <w:p w14:paraId="7D440D6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5.00%</w:t>
            </w:r>
          </w:p>
        </w:tc>
        <w:tc>
          <w:tcPr>
            <w:tcW w:w="1008" w:type="dxa"/>
            <w:hideMark/>
          </w:tcPr>
          <w:p w14:paraId="36C28DD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9.50%</w:t>
            </w:r>
          </w:p>
        </w:tc>
        <w:tc>
          <w:tcPr>
            <w:tcW w:w="1008" w:type="dxa"/>
            <w:hideMark/>
          </w:tcPr>
          <w:p w14:paraId="60C778B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14.20%</w:t>
            </w:r>
          </w:p>
        </w:tc>
        <w:tc>
          <w:tcPr>
            <w:tcW w:w="1008" w:type="dxa"/>
            <w:hideMark/>
          </w:tcPr>
          <w:p w14:paraId="5F6E227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16.40%</w:t>
            </w:r>
          </w:p>
        </w:tc>
        <w:tc>
          <w:tcPr>
            <w:tcW w:w="1008" w:type="dxa"/>
            <w:hideMark/>
          </w:tcPr>
          <w:p w14:paraId="1F2D65A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17.90%</w:t>
            </w:r>
          </w:p>
        </w:tc>
        <w:tc>
          <w:tcPr>
            <w:tcW w:w="1008" w:type="dxa"/>
            <w:hideMark/>
          </w:tcPr>
          <w:p w14:paraId="2BA2A95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18.90%</w:t>
            </w:r>
          </w:p>
        </w:tc>
        <w:tc>
          <w:tcPr>
            <w:tcW w:w="1008" w:type="dxa"/>
            <w:hideMark/>
          </w:tcPr>
          <w:p w14:paraId="1A4836D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19.10%</w:t>
            </w:r>
          </w:p>
        </w:tc>
        <w:tc>
          <w:tcPr>
            <w:tcW w:w="1008" w:type="dxa"/>
            <w:hideMark/>
          </w:tcPr>
          <w:p w14:paraId="5F6DB39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18.50%</w:t>
            </w:r>
          </w:p>
        </w:tc>
      </w:tr>
      <w:tr w:rsidR="001D05E2" w:rsidRPr="001D05E2" w14:paraId="36E9A6D2" w14:textId="77777777" w:rsidTr="00360B83">
        <w:trPr>
          <w:trHeight w:val="315"/>
        </w:trPr>
        <w:tc>
          <w:tcPr>
            <w:tcW w:w="1925" w:type="dxa"/>
            <w:hideMark/>
          </w:tcPr>
          <w:p w14:paraId="16AD9B08"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Rubber and leather</w:t>
            </w:r>
          </w:p>
        </w:tc>
        <w:tc>
          <w:tcPr>
            <w:tcW w:w="1008" w:type="dxa"/>
            <w:hideMark/>
          </w:tcPr>
          <w:p w14:paraId="1D2149EA"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1.80%</w:t>
            </w:r>
          </w:p>
        </w:tc>
        <w:tc>
          <w:tcPr>
            <w:tcW w:w="1008" w:type="dxa"/>
            <w:hideMark/>
          </w:tcPr>
          <w:p w14:paraId="211D5ED7"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2.40%</w:t>
            </w:r>
          </w:p>
        </w:tc>
        <w:tc>
          <w:tcPr>
            <w:tcW w:w="1008" w:type="dxa"/>
            <w:hideMark/>
          </w:tcPr>
          <w:p w14:paraId="7ECC26D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3.00%</w:t>
            </w:r>
          </w:p>
        </w:tc>
        <w:tc>
          <w:tcPr>
            <w:tcW w:w="1008" w:type="dxa"/>
            <w:hideMark/>
          </w:tcPr>
          <w:p w14:paraId="78FBAE1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3.20%</w:t>
            </w:r>
          </w:p>
        </w:tc>
        <w:tc>
          <w:tcPr>
            <w:tcW w:w="1008" w:type="dxa"/>
            <w:hideMark/>
          </w:tcPr>
          <w:p w14:paraId="6A51D4F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2.80%</w:t>
            </w:r>
          </w:p>
        </w:tc>
        <w:tc>
          <w:tcPr>
            <w:tcW w:w="1008" w:type="dxa"/>
            <w:hideMark/>
          </w:tcPr>
          <w:p w14:paraId="6063B4E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2.90%</w:t>
            </w:r>
          </w:p>
        </w:tc>
        <w:tc>
          <w:tcPr>
            <w:tcW w:w="1008" w:type="dxa"/>
            <w:hideMark/>
          </w:tcPr>
          <w:p w14:paraId="6C203CC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3.20%</w:t>
            </w:r>
          </w:p>
        </w:tc>
        <w:tc>
          <w:tcPr>
            <w:tcW w:w="1008" w:type="dxa"/>
            <w:hideMark/>
          </w:tcPr>
          <w:p w14:paraId="2BC8EBA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3.30%</w:t>
            </w:r>
          </w:p>
        </w:tc>
        <w:tc>
          <w:tcPr>
            <w:tcW w:w="1008" w:type="dxa"/>
            <w:hideMark/>
          </w:tcPr>
          <w:p w14:paraId="5605FAA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3.50%</w:t>
            </w:r>
          </w:p>
        </w:tc>
        <w:tc>
          <w:tcPr>
            <w:tcW w:w="1008" w:type="dxa"/>
            <w:hideMark/>
          </w:tcPr>
          <w:p w14:paraId="3E6EACD8"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3.40%</w:t>
            </w:r>
          </w:p>
        </w:tc>
      </w:tr>
      <w:tr w:rsidR="001D05E2" w:rsidRPr="001D05E2" w14:paraId="2900058B" w14:textId="77777777" w:rsidTr="00360B83">
        <w:trPr>
          <w:trHeight w:val="315"/>
        </w:trPr>
        <w:tc>
          <w:tcPr>
            <w:tcW w:w="1925" w:type="dxa"/>
            <w:hideMark/>
          </w:tcPr>
          <w:p w14:paraId="3CB1A3A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Textiles</w:t>
            </w:r>
          </w:p>
        </w:tc>
        <w:tc>
          <w:tcPr>
            <w:tcW w:w="1008" w:type="dxa"/>
            <w:hideMark/>
          </w:tcPr>
          <w:p w14:paraId="05DFFD9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2.10%</w:t>
            </w:r>
          </w:p>
        </w:tc>
        <w:tc>
          <w:tcPr>
            <w:tcW w:w="1008" w:type="dxa"/>
            <w:hideMark/>
          </w:tcPr>
          <w:p w14:paraId="7D1014A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1.70%</w:t>
            </w:r>
          </w:p>
        </w:tc>
        <w:tc>
          <w:tcPr>
            <w:tcW w:w="1008" w:type="dxa"/>
            <w:hideMark/>
          </w:tcPr>
          <w:p w14:paraId="6CF4DDC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1.70%</w:t>
            </w:r>
          </w:p>
        </w:tc>
        <w:tc>
          <w:tcPr>
            <w:tcW w:w="1008" w:type="dxa"/>
            <w:hideMark/>
          </w:tcPr>
          <w:p w14:paraId="08ECDB1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2.90%</w:t>
            </w:r>
          </w:p>
        </w:tc>
        <w:tc>
          <w:tcPr>
            <w:tcW w:w="1008" w:type="dxa"/>
            <w:hideMark/>
          </w:tcPr>
          <w:p w14:paraId="019C981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4.50%</w:t>
            </w:r>
          </w:p>
        </w:tc>
        <w:tc>
          <w:tcPr>
            <w:tcW w:w="1008" w:type="dxa"/>
            <w:hideMark/>
          </w:tcPr>
          <w:p w14:paraId="6F840C7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5.30%</w:t>
            </w:r>
          </w:p>
        </w:tc>
        <w:tc>
          <w:tcPr>
            <w:tcW w:w="1008" w:type="dxa"/>
            <w:hideMark/>
          </w:tcPr>
          <w:p w14:paraId="37DFF898"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6.50%</w:t>
            </w:r>
          </w:p>
        </w:tc>
        <w:tc>
          <w:tcPr>
            <w:tcW w:w="1008" w:type="dxa"/>
            <w:hideMark/>
          </w:tcPr>
          <w:p w14:paraId="2650B4D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7.70%</w:t>
            </w:r>
          </w:p>
        </w:tc>
        <w:tc>
          <w:tcPr>
            <w:tcW w:w="1008" w:type="dxa"/>
            <w:hideMark/>
          </w:tcPr>
          <w:p w14:paraId="01374D5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7.90%</w:t>
            </w:r>
          </w:p>
        </w:tc>
        <w:tc>
          <w:tcPr>
            <w:tcW w:w="1008" w:type="dxa"/>
            <w:hideMark/>
          </w:tcPr>
          <w:p w14:paraId="419FC2C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7.70%</w:t>
            </w:r>
          </w:p>
        </w:tc>
      </w:tr>
      <w:tr w:rsidR="001D05E2" w:rsidRPr="001D05E2" w14:paraId="52C4F225" w14:textId="77777777" w:rsidTr="00360B83">
        <w:trPr>
          <w:trHeight w:val="315"/>
        </w:trPr>
        <w:tc>
          <w:tcPr>
            <w:tcW w:w="1925" w:type="dxa"/>
            <w:hideMark/>
          </w:tcPr>
          <w:p w14:paraId="00E15BC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Wood</w:t>
            </w:r>
          </w:p>
        </w:tc>
        <w:tc>
          <w:tcPr>
            <w:tcW w:w="1008" w:type="dxa"/>
            <w:hideMark/>
          </w:tcPr>
          <w:p w14:paraId="60897558"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3.70%</w:t>
            </w:r>
          </w:p>
        </w:tc>
        <w:tc>
          <w:tcPr>
            <w:tcW w:w="1008" w:type="dxa"/>
            <w:hideMark/>
          </w:tcPr>
          <w:p w14:paraId="14678B5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3.30%</w:t>
            </w:r>
          </w:p>
        </w:tc>
        <w:tc>
          <w:tcPr>
            <w:tcW w:w="1008" w:type="dxa"/>
            <w:hideMark/>
          </w:tcPr>
          <w:p w14:paraId="6359236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5.10%</w:t>
            </w:r>
          </w:p>
        </w:tc>
        <w:tc>
          <w:tcPr>
            <w:tcW w:w="1008" w:type="dxa"/>
            <w:hideMark/>
          </w:tcPr>
          <w:p w14:paraId="6DB10DD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6.90%</w:t>
            </w:r>
          </w:p>
        </w:tc>
        <w:tc>
          <w:tcPr>
            <w:tcW w:w="1008" w:type="dxa"/>
            <w:hideMark/>
          </w:tcPr>
          <w:p w14:paraId="3C6D245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7.10%</w:t>
            </w:r>
          </w:p>
        </w:tc>
        <w:tc>
          <w:tcPr>
            <w:tcW w:w="1008" w:type="dxa"/>
            <w:hideMark/>
          </w:tcPr>
          <w:p w14:paraId="4217BD4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7.50%</w:t>
            </w:r>
          </w:p>
        </w:tc>
        <w:tc>
          <w:tcPr>
            <w:tcW w:w="1008" w:type="dxa"/>
            <w:hideMark/>
          </w:tcPr>
          <w:p w14:paraId="23C6067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8.20%</w:t>
            </w:r>
          </w:p>
        </w:tc>
        <w:tc>
          <w:tcPr>
            <w:tcW w:w="1008" w:type="dxa"/>
            <w:hideMark/>
          </w:tcPr>
          <w:p w14:paraId="7EF2043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8.00%</w:t>
            </w:r>
          </w:p>
        </w:tc>
        <w:tc>
          <w:tcPr>
            <w:tcW w:w="1008" w:type="dxa"/>
            <w:hideMark/>
          </w:tcPr>
          <w:p w14:paraId="2599037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8.70%</w:t>
            </w:r>
          </w:p>
        </w:tc>
        <w:tc>
          <w:tcPr>
            <w:tcW w:w="1008" w:type="dxa"/>
            <w:hideMark/>
          </w:tcPr>
          <w:p w14:paraId="7A275A6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8.30%</w:t>
            </w:r>
          </w:p>
        </w:tc>
      </w:tr>
      <w:tr w:rsidR="001D05E2" w:rsidRPr="001D05E2" w14:paraId="2E0468FC" w14:textId="77777777" w:rsidTr="00360B83">
        <w:trPr>
          <w:trHeight w:val="315"/>
        </w:trPr>
        <w:tc>
          <w:tcPr>
            <w:tcW w:w="1925" w:type="dxa"/>
            <w:hideMark/>
          </w:tcPr>
          <w:p w14:paraId="688A5AA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xml:space="preserve">Other </w:t>
            </w:r>
          </w:p>
        </w:tc>
        <w:tc>
          <w:tcPr>
            <w:tcW w:w="1008" w:type="dxa"/>
            <w:hideMark/>
          </w:tcPr>
          <w:p w14:paraId="1EC53B2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0.10%</w:t>
            </w:r>
          </w:p>
        </w:tc>
        <w:tc>
          <w:tcPr>
            <w:tcW w:w="1008" w:type="dxa"/>
            <w:hideMark/>
          </w:tcPr>
          <w:p w14:paraId="0F7BD3CA"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0.40%</w:t>
            </w:r>
          </w:p>
        </w:tc>
        <w:tc>
          <w:tcPr>
            <w:tcW w:w="1008" w:type="dxa"/>
            <w:hideMark/>
          </w:tcPr>
          <w:p w14:paraId="1C78A6D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1.50%</w:t>
            </w:r>
          </w:p>
        </w:tc>
        <w:tc>
          <w:tcPr>
            <w:tcW w:w="1008" w:type="dxa"/>
            <w:hideMark/>
          </w:tcPr>
          <w:p w14:paraId="5BA4E09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1.40%</w:t>
            </w:r>
          </w:p>
        </w:tc>
        <w:tc>
          <w:tcPr>
            <w:tcW w:w="1008" w:type="dxa"/>
            <w:hideMark/>
          </w:tcPr>
          <w:p w14:paraId="5F47F470"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1.80%</w:t>
            </w:r>
          </w:p>
        </w:tc>
        <w:tc>
          <w:tcPr>
            <w:tcW w:w="1008" w:type="dxa"/>
            <w:hideMark/>
          </w:tcPr>
          <w:p w14:paraId="66795DC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1.80%</w:t>
            </w:r>
          </w:p>
        </w:tc>
        <w:tc>
          <w:tcPr>
            <w:tcW w:w="1008" w:type="dxa"/>
            <w:hideMark/>
          </w:tcPr>
          <w:p w14:paraId="590E929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2.10%</w:t>
            </w:r>
          </w:p>
        </w:tc>
        <w:tc>
          <w:tcPr>
            <w:tcW w:w="1008" w:type="dxa"/>
            <w:hideMark/>
          </w:tcPr>
          <w:p w14:paraId="1F1BD1FA"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2.20%</w:t>
            </w:r>
          </w:p>
        </w:tc>
        <w:tc>
          <w:tcPr>
            <w:tcW w:w="1008" w:type="dxa"/>
            <w:hideMark/>
          </w:tcPr>
          <w:p w14:paraId="0953331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2.20%</w:t>
            </w:r>
          </w:p>
        </w:tc>
        <w:tc>
          <w:tcPr>
            <w:tcW w:w="1008" w:type="dxa"/>
            <w:hideMark/>
          </w:tcPr>
          <w:p w14:paraId="57DC004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2.00%</w:t>
            </w:r>
          </w:p>
        </w:tc>
      </w:tr>
      <w:tr w:rsidR="001D05E2" w:rsidRPr="001D05E2" w14:paraId="766AE846" w14:textId="77777777" w:rsidTr="00360B83">
        <w:trPr>
          <w:trHeight w:val="315"/>
        </w:trPr>
        <w:tc>
          <w:tcPr>
            <w:tcW w:w="1925" w:type="dxa"/>
            <w:hideMark/>
          </w:tcPr>
          <w:p w14:paraId="7A3C4B4F"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 xml:space="preserve">Total Materials in Products </w:t>
            </w:r>
          </w:p>
        </w:tc>
        <w:tc>
          <w:tcPr>
            <w:tcW w:w="1008" w:type="dxa"/>
            <w:hideMark/>
          </w:tcPr>
          <w:p w14:paraId="762205A4"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59.40%</w:t>
            </w:r>
          </w:p>
        </w:tc>
        <w:tc>
          <w:tcPr>
            <w:tcW w:w="1008" w:type="dxa"/>
            <w:hideMark/>
          </w:tcPr>
          <w:p w14:paraId="123F4CCE"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66.50%</w:t>
            </w:r>
          </w:p>
        </w:tc>
        <w:tc>
          <w:tcPr>
            <w:tcW w:w="1008" w:type="dxa"/>
            <w:hideMark/>
          </w:tcPr>
          <w:p w14:paraId="217247CA"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68.80%</w:t>
            </w:r>
          </w:p>
        </w:tc>
        <w:tc>
          <w:tcPr>
            <w:tcW w:w="1008" w:type="dxa"/>
            <w:hideMark/>
          </w:tcPr>
          <w:p w14:paraId="3838D8C4"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67.10%</w:t>
            </w:r>
          </w:p>
        </w:tc>
        <w:tc>
          <w:tcPr>
            <w:tcW w:w="1008" w:type="dxa"/>
            <w:hideMark/>
          </w:tcPr>
          <w:p w14:paraId="77E09C82"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72.30%</w:t>
            </w:r>
          </w:p>
        </w:tc>
        <w:tc>
          <w:tcPr>
            <w:tcW w:w="1008" w:type="dxa"/>
            <w:hideMark/>
          </w:tcPr>
          <w:p w14:paraId="7EE1281A"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72.30%</w:t>
            </w:r>
          </w:p>
        </w:tc>
        <w:tc>
          <w:tcPr>
            <w:tcW w:w="1008" w:type="dxa"/>
            <w:hideMark/>
          </w:tcPr>
          <w:p w14:paraId="1ECC5779"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68.10%</w:t>
            </w:r>
          </w:p>
        </w:tc>
        <w:tc>
          <w:tcPr>
            <w:tcW w:w="1008" w:type="dxa"/>
            <w:hideMark/>
          </w:tcPr>
          <w:p w14:paraId="20447156"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67.90%</w:t>
            </w:r>
          </w:p>
        </w:tc>
        <w:tc>
          <w:tcPr>
            <w:tcW w:w="1008" w:type="dxa"/>
            <w:hideMark/>
          </w:tcPr>
          <w:p w14:paraId="7CBCA271"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69.70%</w:t>
            </w:r>
          </w:p>
        </w:tc>
        <w:tc>
          <w:tcPr>
            <w:tcW w:w="1008" w:type="dxa"/>
            <w:hideMark/>
          </w:tcPr>
          <w:p w14:paraId="6BB0BDB6"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66.40%</w:t>
            </w:r>
          </w:p>
        </w:tc>
      </w:tr>
      <w:tr w:rsidR="001D05E2" w:rsidRPr="001D05E2" w14:paraId="59F4A3E2" w14:textId="77777777" w:rsidTr="00360B83">
        <w:trPr>
          <w:trHeight w:val="315"/>
        </w:trPr>
        <w:tc>
          <w:tcPr>
            <w:tcW w:w="1925" w:type="dxa"/>
            <w:hideMark/>
          </w:tcPr>
          <w:p w14:paraId="7E5DBAB0" w14:textId="77777777" w:rsidR="001D05E2" w:rsidRPr="001D05E2" w:rsidRDefault="001D05E2" w:rsidP="0008489A">
            <w:pPr>
              <w:spacing w:after="160"/>
              <w:rPr>
                <w:rFonts w:ascii="Times New Roman" w:hAnsi="Times New Roman" w:cs="Times New Roman"/>
                <w:b/>
                <w:bCs/>
              </w:rPr>
            </w:pPr>
            <w:r w:rsidRPr="001D05E2">
              <w:rPr>
                <w:rFonts w:ascii="Times New Roman" w:hAnsi="Times New Roman" w:cs="Times New Roman"/>
                <w:b/>
                <w:bCs/>
              </w:rPr>
              <w:lastRenderedPageBreak/>
              <w:t xml:space="preserve">Other Wastes </w:t>
            </w:r>
          </w:p>
        </w:tc>
        <w:tc>
          <w:tcPr>
            <w:tcW w:w="1008" w:type="dxa"/>
            <w:hideMark/>
          </w:tcPr>
          <w:p w14:paraId="6CCFFC7A" w14:textId="77777777" w:rsidR="001D05E2" w:rsidRPr="001D05E2" w:rsidRDefault="001D05E2" w:rsidP="0008489A">
            <w:pPr>
              <w:spacing w:after="160"/>
              <w:rPr>
                <w:rFonts w:ascii="Times New Roman" w:hAnsi="Times New Roman" w:cs="Times New Roman"/>
                <w:b/>
                <w:bCs/>
              </w:rPr>
            </w:pPr>
          </w:p>
        </w:tc>
        <w:tc>
          <w:tcPr>
            <w:tcW w:w="1008" w:type="dxa"/>
            <w:hideMark/>
          </w:tcPr>
          <w:p w14:paraId="0215CEFB" w14:textId="77777777" w:rsidR="001D05E2" w:rsidRPr="001D05E2" w:rsidRDefault="001D05E2" w:rsidP="0008489A">
            <w:pPr>
              <w:spacing w:after="160"/>
              <w:rPr>
                <w:rFonts w:ascii="Times New Roman" w:hAnsi="Times New Roman" w:cs="Times New Roman"/>
              </w:rPr>
            </w:pPr>
          </w:p>
        </w:tc>
        <w:tc>
          <w:tcPr>
            <w:tcW w:w="1008" w:type="dxa"/>
            <w:hideMark/>
          </w:tcPr>
          <w:p w14:paraId="19B23400" w14:textId="77777777" w:rsidR="001D05E2" w:rsidRPr="001D05E2" w:rsidRDefault="001D05E2" w:rsidP="0008489A">
            <w:pPr>
              <w:spacing w:after="160"/>
              <w:rPr>
                <w:rFonts w:ascii="Times New Roman" w:hAnsi="Times New Roman" w:cs="Times New Roman"/>
              </w:rPr>
            </w:pPr>
          </w:p>
        </w:tc>
        <w:tc>
          <w:tcPr>
            <w:tcW w:w="1008" w:type="dxa"/>
            <w:hideMark/>
          </w:tcPr>
          <w:p w14:paraId="64819C0C" w14:textId="77777777" w:rsidR="001D05E2" w:rsidRPr="001D05E2" w:rsidRDefault="001D05E2" w:rsidP="0008489A">
            <w:pPr>
              <w:spacing w:after="160"/>
              <w:rPr>
                <w:rFonts w:ascii="Times New Roman" w:hAnsi="Times New Roman" w:cs="Times New Roman"/>
              </w:rPr>
            </w:pPr>
          </w:p>
        </w:tc>
        <w:tc>
          <w:tcPr>
            <w:tcW w:w="1008" w:type="dxa"/>
            <w:hideMark/>
          </w:tcPr>
          <w:p w14:paraId="5B4C641B" w14:textId="77777777" w:rsidR="001D05E2" w:rsidRPr="001D05E2" w:rsidRDefault="001D05E2" w:rsidP="0008489A">
            <w:pPr>
              <w:spacing w:after="160"/>
              <w:rPr>
                <w:rFonts w:ascii="Times New Roman" w:hAnsi="Times New Roman" w:cs="Times New Roman"/>
              </w:rPr>
            </w:pPr>
          </w:p>
        </w:tc>
        <w:tc>
          <w:tcPr>
            <w:tcW w:w="1008" w:type="dxa"/>
            <w:hideMark/>
          </w:tcPr>
          <w:p w14:paraId="1CA9414B" w14:textId="77777777" w:rsidR="001D05E2" w:rsidRPr="001D05E2" w:rsidRDefault="001D05E2" w:rsidP="0008489A">
            <w:pPr>
              <w:spacing w:after="160"/>
              <w:rPr>
                <w:rFonts w:ascii="Times New Roman" w:hAnsi="Times New Roman" w:cs="Times New Roman"/>
              </w:rPr>
            </w:pPr>
          </w:p>
        </w:tc>
        <w:tc>
          <w:tcPr>
            <w:tcW w:w="1008" w:type="dxa"/>
            <w:hideMark/>
          </w:tcPr>
          <w:p w14:paraId="243A99CA" w14:textId="77777777" w:rsidR="001D05E2" w:rsidRPr="001D05E2" w:rsidRDefault="001D05E2" w:rsidP="0008489A">
            <w:pPr>
              <w:spacing w:after="160"/>
              <w:rPr>
                <w:rFonts w:ascii="Times New Roman" w:hAnsi="Times New Roman" w:cs="Times New Roman"/>
              </w:rPr>
            </w:pPr>
          </w:p>
        </w:tc>
        <w:tc>
          <w:tcPr>
            <w:tcW w:w="1008" w:type="dxa"/>
            <w:hideMark/>
          </w:tcPr>
          <w:p w14:paraId="772A8F0E" w14:textId="77777777" w:rsidR="001D05E2" w:rsidRPr="001D05E2" w:rsidRDefault="001D05E2" w:rsidP="0008489A">
            <w:pPr>
              <w:spacing w:after="160"/>
              <w:rPr>
                <w:rFonts w:ascii="Times New Roman" w:hAnsi="Times New Roman" w:cs="Times New Roman"/>
              </w:rPr>
            </w:pPr>
          </w:p>
        </w:tc>
        <w:tc>
          <w:tcPr>
            <w:tcW w:w="1008" w:type="dxa"/>
            <w:hideMark/>
          </w:tcPr>
          <w:p w14:paraId="36BF0087" w14:textId="77777777" w:rsidR="001D05E2" w:rsidRPr="001D05E2" w:rsidRDefault="001D05E2" w:rsidP="0008489A">
            <w:pPr>
              <w:spacing w:after="160"/>
              <w:rPr>
                <w:rFonts w:ascii="Times New Roman" w:hAnsi="Times New Roman" w:cs="Times New Roman"/>
              </w:rPr>
            </w:pPr>
          </w:p>
        </w:tc>
        <w:tc>
          <w:tcPr>
            <w:tcW w:w="1008" w:type="dxa"/>
            <w:hideMark/>
          </w:tcPr>
          <w:p w14:paraId="5883F902"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 </w:t>
            </w:r>
          </w:p>
        </w:tc>
      </w:tr>
      <w:tr w:rsidR="001D05E2" w:rsidRPr="001D05E2" w14:paraId="2737444E" w14:textId="77777777" w:rsidTr="00360B83">
        <w:trPr>
          <w:trHeight w:val="315"/>
        </w:trPr>
        <w:tc>
          <w:tcPr>
            <w:tcW w:w="1925" w:type="dxa"/>
            <w:hideMark/>
          </w:tcPr>
          <w:p w14:paraId="193FECF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Food</w:t>
            </w:r>
          </w:p>
        </w:tc>
        <w:tc>
          <w:tcPr>
            <w:tcW w:w="1008" w:type="dxa"/>
            <w:hideMark/>
          </w:tcPr>
          <w:p w14:paraId="4473A89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14.80%</w:t>
            </w:r>
          </w:p>
        </w:tc>
        <w:tc>
          <w:tcPr>
            <w:tcW w:w="1008" w:type="dxa"/>
            <w:hideMark/>
          </w:tcPr>
          <w:p w14:paraId="241753F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11.30%</w:t>
            </w:r>
          </w:p>
        </w:tc>
        <w:tc>
          <w:tcPr>
            <w:tcW w:w="1008" w:type="dxa"/>
            <w:hideMark/>
          </w:tcPr>
          <w:p w14:paraId="2DFC090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9.50%</w:t>
            </w:r>
          </w:p>
        </w:tc>
        <w:tc>
          <w:tcPr>
            <w:tcW w:w="1008" w:type="dxa"/>
            <w:hideMark/>
          </w:tcPr>
          <w:p w14:paraId="38F378D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13.60%</w:t>
            </w:r>
          </w:p>
        </w:tc>
        <w:tc>
          <w:tcPr>
            <w:tcW w:w="1008" w:type="dxa"/>
            <w:hideMark/>
          </w:tcPr>
          <w:p w14:paraId="6F705A8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17.30%</w:t>
            </w:r>
          </w:p>
        </w:tc>
        <w:tc>
          <w:tcPr>
            <w:tcW w:w="1008" w:type="dxa"/>
            <w:hideMark/>
          </w:tcPr>
          <w:p w14:paraId="444EA9C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18.50%</w:t>
            </w:r>
          </w:p>
        </w:tc>
        <w:tc>
          <w:tcPr>
            <w:tcW w:w="1008" w:type="dxa"/>
            <w:hideMark/>
          </w:tcPr>
          <w:p w14:paraId="18D3964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21.00%</w:t>
            </w:r>
          </w:p>
        </w:tc>
        <w:tc>
          <w:tcPr>
            <w:tcW w:w="1008" w:type="dxa"/>
            <w:hideMark/>
          </w:tcPr>
          <w:p w14:paraId="0837EB1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22.00%</w:t>
            </w:r>
          </w:p>
        </w:tc>
        <w:tc>
          <w:tcPr>
            <w:tcW w:w="1008" w:type="dxa"/>
            <w:hideMark/>
          </w:tcPr>
          <w:p w14:paraId="6443BDE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21.80%</w:t>
            </w:r>
          </w:p>
        </w:tc>
        <w:tc>
          <w:tcPr>
            <w:tcW w:w="1008" w:type="dxa"/>
            <w:hideMark/>
          </w:tcPr>
          <w:p w14:paraId="15D854B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24.10%</w:t>
            </w:r>
          </w:p>
        </w:tc>
      </w:tr>
      <w:tr w:rsidR="001D05E2" w:rsidRPr="001D05E2" w14:paraId="1111E166" w14:textId="77777777" w:rsidTr="00360B83">
        <w:trPr>
          <w:trHeight w:val="315"/>
        </w:trPr>
        <w:tc>
          <w:tcPr>
            <w:tcW w:w="1925" w:type="dxa"/>
            <w:hideMark/>
          </w:tcPr>
          <w:p w14:paraId="0E442AEC"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Yard trimmings</w:t>
            </w:r>
          </w:p>
        </w:tc>
        <w:tc>
          <w:tcPr>
            <w:tcW w:w="1008" w:type="dxa"/>
            <w:hideMark/>
          </w:tcPr>
          <w:p w14:paraId="682F574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24.20%</w:t>
            </w:r>
          </w:p>
        </w:tc>
        <w:tc>
          <w:tcPr>
            <w:tcW w:w="1008" w:type="dxa"/>
            <w:hideMark/>
          </w:tcPr>
          <w:p w14:paraId="7B33494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20.50%</w:t>
            </w:r>
          </w:p>
        </w:tc>
        <w:tc>
          <w:tcPr>
            <w:tcW w:w="1008" w:type="dxa"/>
            <w:hideMark/>
          </w:tcPr>
          <w:p w14:paraId="7990165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20.10%</w:t>
            </w:r>
          </w:p>
        </w:tc>
        <w:tc>
          <w:tcPr>
            <w:tcW w:w="1008" w:type="dxa"/>
            <w:hideMark/>
          </w:tcPr>
          <w:p w14:paraId="27B6F6A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17.60%</w:t>
            </w:r>
          </w:p>
        </w:tc>
        <w:tc>
          <w:tcPr>
            <w:tcW w:w="1008" w:type="dxa"/>
            <w:hideMark/>
          </w:tcPr>
          <w:p w14:paraId="312245A8"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8.50%</w:t>
            </w:r>
          </w:p>
        </w:tc>
        <w:tc>
          <w:tcPr>
            <w:tcW w:w="1008" w:type="dxa"/>
            <w:hideMark/>
          </w:tcPr>
          <w:p w14:paraId="0AD70CB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7.00%</w:t>
            </w:r>
          </w:p>
        </w:tc>
        <w:tc>
          <w:tcPr>
            <w:tcW w:w="1008" w:type="dxa"/>
            <w:hideMark/>
          </w:tcPr>
          <w:p w14:paraId="770F4AF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8.60%</w:t>
            </w:r>
          </w:p>
        </w:tc>
        <w:tc>
          <w:tcPr>
            <w:tcW w:w="1008" w:type="dxa"/>
            <w:hideMark/>
          </w:tcPr>
          <w:p w14:paraId="20BB4C4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7.80%</w:t>
            </w:r>
          </w:p>
        </w:tc>
        <w:tc>
          <w:tcPr>
            <w:tcW w:w="1008" w:type="dxa"/>
            <w:hideMark/>
          </w:tcPr>
          <w:p w14:paraId="4C693CB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6.20%</w:t>
            </w:r>
          </w:p>
        </w:tc>
        <w:tc>
          <w:tcPr>
            <w:tcW w:w="1008" w:type="dxa"/>
            <w:hideMark/>
          </w:tcPr>
          <w:p w14:paraId="7C4C2AC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7.20%</w:t>
            </w:r>
          </w:p>
        </w:tc>
      </w:tr>
      <w:tr w:rsidR="001D05E2" w:rsidRPr="001D05E2" w14:paraId="171ABFD2" w14:textId="77777777" w:rsidTr="00360B83">
        <w:trPr>
          <w:trHeight w:val="600"/>
        </w:trPr>
        <w:tc>
          <w:tcPr>
            <w:tcW w:w="1925" w:type="dxa"/>
            <w:hideMark/>
          </w:tcPr>
          <w:p w14:paraId="7600B61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Miscellaneous inorganic wastes</w:t>
            </w:r>
          </w:p>
        </w:tc>
        <w:tc>
          <w:tcPr>
            <w:tcW w:w="1008" w:type="dxa"/>
            <w:hideMark/>
          </w:tcPr>
          <w:p w14:paraId="14562E08"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1.60%</w:t>
            </w:r>
          </w:p>
        </w:tc>
        <w:tc>
          <w:tcPr>
            <w:tcW w:w="1008" w:type="dxa"/>
            <w:hideMark/>
          </w:tcPr>
          <w:p w14:paraId="493099A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1.60%</w:t>
            </w:r>
          </w:p>
        </w:tc>
        <w:tc>
          <w:tcPr>
            <w:tcW w:w="1008" w:type="dxa"/>
            <w:hideMark/>
          </w:tcPr>
          <w:p w14:paraId="6884B1ED"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1.60%</w:t>
            </w:r>
          </w:p>
        </w:tc>
        <w:tc>
          <w:tcPr>
            <w:tcW w:w="1008" w:type="dxa"/>
            <w:hideMark/>
          </w:tcPr>
          <w:p w14:paraId="45AACBC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1.70%</w:t>
            </w:r>
          </w:p>
        </w:tc>
        <w:tc>
          <w:tcPr>
            <w:tcW w:w="1008" w:type="dxa"/>
            <w:hideMark/>
          </w:tcPr>
          <w:p w14:paraId="44579237"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1.90%</w:t>
            </w:r>
          </w:p>
        </w:tc>
        <w:tc>
          <w:tcPr>
            <w:tcW w:w="1008" w:type="dxa"/>
            <w:hideMark/>
          </w:tcPr>
          <w:p w14:paraId="6E911F6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2.20%</w:t>
            </w:r>
          </w:p>
        </w:tc>
        <w:tc>
          <w:tcPr>
            <w:tcW w:w="1008" w:type="dxa"/>
            <w:hideMark/>
          </w:tcPr>
          <w:p w14:paraId="506F4B1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2.30%</w:t>
            </w:r>
          </w:p>
        </w:tc>
        <w:tc>
          <w:tcPr>
            <w:tcW w:w="1008" w:type="dxa"/>
            <w:hideMark/>
          </w:tcPr>
          <w:p w14:paraId="58A0E867"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2.30%</w:t>
            </w:r>
          </w:p>
        </w:tc>
        <w:tc>
          <w:tcPr>
            <w:tcW w:w="1008" w:type="dxa"/>
            <w:hideMark/>
          </w:tcPr>
          <w:p w14:paraId="3000ADF5"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2.30%</w:t>
            </w:r>
          </w:p>
        </w:tc>
        <w:tc>
          <w:tcPr>
            <w:tcW w:w="1008" w:type="dxa"/>
            <w:hideMark/>
          </w:tcPr>
          <w:p w14:paraId="251E511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2.30%</w:t>
            </w:r>
          </w:p>
        </w:tc>
      </w:tr>
      <w:tr w:rsidR="001D05E2" w:rsidRPr="001D05E2" w14:paraId="174B475E" w14:textId="77777777" w:rsidTr="00360B83">
        <w:trPr>
          <w:trHeight w:val="315"/>
        </w:trPr>
        <w:tc>
          <w:tcPr>
            <w:tcW w:w="1925" w:type="dxa"/>
            <w:hideMark/>
          </w:tcPr>
          <w:p w14:paraId="783D9F8C"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 xml:space="preserve">Total Other Wastes </w:t>
            </w:r>
          </w:p>
        </w:tc>
        <w:tc>
          <w:tcPr>
            <w:tcW w:w="1008" w:type="dxa"/>
            <w:hideMark/>
          </w:tcPr>
          <w:p w14:paraId="6F1EA9E7"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40.60%</w:t>
            </w:r>
          </w:p>
        </w:tc>
        <w:tc>
          <w:tcPr>
            <w:tcW w:w="1008" w:type="dxa"/>
            <w:hideMark/>
          </w:tcPr>
          <w:p w14:paraId="0669006D"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33.40%</w:t>
            </w:r>
          </w:p>
        </w:tc>
        <w:tc>
          <w:tcPr>
            <w:tcW w:w="1008" w:type="dxa"/>
            <w:hideMark/>
          </w:tcPr>
          <w:p w14:paraId="054212AB"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31.20%</w:t>
            </w:r>
          </w:p>
        </w:tc>
        <w:tc>
          <w:tcPr>
            <w:tcW w:w="1008" w:type="dxa"/>
            <w:hideMark/>
          </w:tcPr>
          <w:p w14:paraId="52D2DF05"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32.90%</w:t>
            </w:r>
          </w:p>
        </w:tc>
        <w:tc>
          <w:tcPr>
            <w:tcW w:w="1008" w:type="dxa"/>
            <w:hideMark/>
          </w:tcPr>
          <w:p w14:paraId="7EC2A5CB"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27.70%</w:t>
            </w:r>
          </w:p>
        </w:tc>
        <w:tc>
          <w:tcPr>
            <w:tcW w:w="1008" w:type="dxa"/>
            <w:hideMark/>
          </w:tcPr>
          <w:p w14:paraId="0C5F5AEE"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27.70%</w:t>
            </w:r>
          </w:p>
        </w:tc>
        <w:tc>
          <w:tcPr>
            <w:tcW w:w="1008" w:type="dxa"/>
            <w:hideMark/>
          </w:tcPr>
          <w:p w14:paraId="41300B71"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31.90%</w:t>
            </w:r>
          </w:p>
        </w:tc>
        <w:tc>
          <w:tcPr>
            <w:tcW w:w="1008" w:type="dxa"/>
            <w:hideMark/>
          </w:tcPr>
          <w:p w14:paraId="6B33C39E"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32.10%</w:t>
            </w:r>
          </w:p>
        </w:tc>
        <w:tc>
          <w:tcPr>
            <w:tcW w:w="1008" w:type="dxa"/>
            <w:hideMark/>
          </w:tcPr>
          <w:p w14:paraId="3BE46EDF"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30.30%</w:t>
            </w:r>
          </w:p>
        </w:tc>
        <w:tc>
          <w:tcPr>
            <w:tcW w:w="1008" w:type="dxa"/>
            <w:hideMark/>
          </w:tcPr>
          <w:p w14:paraId="457E3F32" w14:textId="77777777" w:rsidR="001D05E2" w:rsidRPr="001D05E2" w:rsidRDefault="001D05E2" w:rsidP="0008489A">
            <w:pPr>
              <w:spacing w:after="160"/>
              <w:rPr>
                <w:rFonts w:ascii="Times New Roman" w:hAnsi="Times New Roman" w:cs="Times New Roman"/>
                <w:b/>
                <w:bCs/>
                <w:i/>
                <w:iCs/>
              </w:rPr>
            </w:pPr>
            <w:r w:rsidRPr="001D05E2">
              <w:rPr>
                <w:rFonts w:ascii="Times New Roman" w:hAnsi="Times New Roman" w:cs="Times New Roman"/>
                <w:b/>
                <w:bCs/>
                <w:i/>
                <w:iCs/>
              </w:rPr>
              <w:t>33.60%</w:t>
            </w:r>
          </w:p>
        </w:tc>
      </w:tr>
      <w:tr w:rsidR="001D05E2" w:rsidRPr="001D05E2" w14:paraId="44EF6D93" w14:textId="77777777" w:rsidTr="00360B83">
        <w:trPr>
          <w:trHeight w:val="315"/>
        </w:trPr>
        <w:tc>
          <w:tcPr>
            <w:tcW w:w="1925" w:type="dxa"/>
            <w:tcBorders>
              <w:bottom w:val="single" w:sz="4" w:space="0" w:color="auto"/>
            </w:tcBorders>
            <w:noWrap/>
            <w:hideMark/>
          </w:tcPr>
          <w:p w14:paraId="3DFDB1B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 </w:t>
            </w:r>
          </w:p>
        </w:tc>
        <w:tc>
          <w:tcPr>
            <w:tcW w:w="1008" w:type="dxa"/>
            <w:tcBorders>
              <w:bottom w:val="single" w:sz="4" w:space="0" w:color="auto"/>
            </w:tcBorders>
            <w:noWrap/>
            <w:hideMark/>
          </w:tcPr>
          <w:p w14:paraId="4896DD9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5EC0DC13"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99.9%</w:t>
            </w:r>
          </w:p>
        </w:tc>
        <w:tc>
          <w:tcPr>
            <w:tcW w:w="1008" w:type="dxa"/>
            <w:tcBorders>
              <w:bottom w:val="single" w:sz="4" w:space="0" w:color="auto"/>
            </w:tcBorders>
            <w:noWrap/>
            <w:hideMark/>
          </w:tcPr>
          <w:p w14:paraId="27C7B166"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32ED707F"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5A0174D4"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04EBC7CE"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645CD4B1"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5858869B"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5730CF42"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c>
          <w:tcPr>
            <w:tcW w:w="1008" w:type="dxa"/>
            <w:tcBorders>
              <w:bottom w:val="single" w:sz="4" w:space="0" w:color="auto"/>
            </w:tcBorders>
            <w:noWrap/>
            <w:hideMark/>
          </w:tcPr>
          <w:p w14:paraId="068C06D9" w14:textId="77777777" w:rsidR="001D05E2" w:rsidRPr="001D05E2" w:rsidRDefault="001D05E2" w:rsidP="0008489A">
            <w:pPr>
              <w:spacing w:after="160"/>
              <w:rPr>
                <w:rFonts w:ascii="Times New Roman" w:hAnsi="Times New Roman" w:cs="Times New Roman"/>
              </w:rPr>
            </w:pPr>
            <w:r w:rsidRPr="001D05E2">
              <w:rPr>
                <w:rFonts w:ascii="Times New Roman" w:hAnsi="Times New Roman" w:cs="Times New Roman"/>
              </w:rPr>
              <w:t>100.0%</w:t>
            </w:r>
          </w:p>
        </w:tc>
      </w:tr>
      <w:tr w:rsidR="001D05E2" w:rsidRPr="001D05E2" w14:paraId="5CF3534B" w14:textId="77777777" w:rsidTr="00360B83">
        <w:trPr>
          <w:trHeight w:val="315"/>
        </w:trPr>
        <w:tc>
          <w:tcPr>
            <w:tcW w:w="1008" w:type="dxa"/>
            <w:gridSpan w:val="11"/>
            <w:tcBorders>
              <w:bottom w:val="nil"/>
            </w:tcBorders>
            <w:noWrap/>
          </w:tcPr>
          <w:p w14:paraId="304B89D4" w14:textId="77777777" w:rsidR="001D05E2" w:rsidRPr="001D05E2" w:rsidRDefault="001D05E2" w:rsidP="0008489A">
            <w:pPr>
              <w:spacing w:after="160"/>
              <w:rPr>
                <w:rFonts w:ascii="Times New Roman" w:hAnsi="Times New Roman" w:cs="Times New Roman"/>
              </w:rPr>
            </w:pPr>
          </w:p>
        </w:tc>
      </w:tr>
    </w:tbl>
    <w:p w14:paraId="7DCF56CF" w14:textId="77777777" w:rsidR="001D05E2" w:rsidRPr="001D05E2" w:rsidRDefault="001D05E2" w:rsidP="001D05E2">
      <w:pPr>
        <w:rPr>
          <w:rFonts w:ascii="Times New Roman" w:hAnsi="Times New Roman" w:cs="Times New Roman"/>
        </w:rPr>
      </w:pPr>
    </w:p>
    <w:p w14:paraId="164238FD" w14:textId="77777777" w:rsidR="001D05E2" w:rsidRPr="001D05E2" w:rsidRDefault="001D05E2" w:rsidP="001D05E2">
      <w:pPr>
        <w:rPr>
          <w:rFonts w:ascii="Times New Roman" w:hAnsi="Times New Roman" w:cs="Times New Roman"/>
        </w:rPr>
      </w:pPr>
    </w:p>
    <w:p w14:paraId="05910A12" w14:textId="77777777" w:rsidR="001D05E2" w:rsidRDefault="001D05E2" w:rsidP="001D05E2">
      <w:pPr>
        <w:rPr>
          <w:rFonts w:ascii="Times New Roman" w:hAnsi="Times New Roman" w:cs="Times New Roman"/>
        </w:rPr>
      </w:pPr>
    </w:p>
    <w:p w14:paraId="507EFB01" w14:textId="77777777" w:rsidR="0008489A" w:rsidRDefault="0008489A" w:rsidP="001D05E2">
      <w:pPr>
        <w:rPr>
          <w:rFonts w:ascii="Times New Roman" w:hAnsi="Times New Roman" w:cs="Times New Roman"/>
        </w:rPr>
      </w:pPr>
    </w:p>
    <w:p w14:paraId="12F28509" w14:textId="77777777" w:rsidR="0008489A" w:rsidRPr="001D05E2" w:rsidRDefault="0008489A" w:rsidP="001D05E2">
      <w:pPr>
        <w:rPr>
          <w:rFonts w:ascii="Times New Roman" w:hAnsi="Times New Roman" w:cs="Times New Roman"/>
        </w:rPr>
      </w:pPr>
    </w:p>
    <w:p w14:paraId="283C04F2" w14:textId="77777777" w:rsidR="001D05E2" w:rsidRPr="001D05E2" w:rsidRDefault="001D05E2" w:rsidP="001D05E2">
      <w:pPr>
        <w:rPr>
          <w:rFonts w:ascii="Times New Roman" w:hAnsi="Times New Roman" w:cs="Times New Roman"/>
        </w:rPr>
      </w:pPr>
    </w:p>
    <w:p w14:paraId="2196786E" w14:textId="77777777" w:rsidR="001D05E2" w:rsidRPr="001D05E2" w:rsidRDefault="001D05E2" w:rsidP="001D05E2">
      <w:pPr>
        <w:rPr>
          <w:rFonts w:ascii="Times New Roman" w:hAnsi="Times New Roman" w:cs="Times New Roman"/>
        </w:rPr>
      </w:pPr>
    </w:p>
    <w:p w14:paraId="2496D680" w14:textId="77777777" w:rsidR="001D05E2" w:rsidRPr="001D05E2" w:rsidRDefault="001D05E2" w:rsidP="001D05E2">
      <w:pPr>
        <w:rPr>
          <w:rFonts w:ascii="Times New Roman" w:hAnsi="Times New Roman" w:cs="Times New Roman"/>
        </w:rPr>
      </w:pPr>
    </w:p>
    <w:p w14:paraId="49AFAB5D" w14:textId="77777777" w:rsidR="001D05E2" w:rsidRPr="001D05E2" w:rsidRDefault="001D05E2" w:rsidP="001D05E2">
      <w:pPr>
        <w:jc w:val="center"/>
        <w:rPr>
          <w:rFonts w:ascii="Times New Roman" w:hAnsi="Times New Roman" w:cs="Times New Roman"/>
          <w:b/>
          <w:bCs/>
        </w:rPr>
      </w:pPr>
    </w:p>
    <w:p w14:paraId="734DF7D5" w14:textId="6233B3E7" w:rsidR="001D05E2" w:rsidRPr="001D05E2" w:rsidRDefault="001D05E2" w:rsidP="001D05E2">
      <w:pPr>
        <w:jc w:val="center"/>
        <w:rPr>
          <w:rFonts w:ascii="Times New Roman" w:hAnsi="Times New Roman" w:cs="Times New Roman"/>
        </w:rPr>
      </w:pPr>
      <w:r w:rsidRPr="001D05E2">
        <w:rPr>
          <w:rFonts w:ascii="Times New Roman" w:hAnsi="Times New Roman" w:cs="Times New Roman"/>
          <w:b/>
          <w:bCs/>
        </w:rPr>
        <w:t xml:space="preserve">Table </w:t>
      </w:r>
      <w:r w:rsidR="00D4391E">
        <w:rPr>
          <w:rFonts w:ascii="Times New Roman" w:hAnsi="Times New Roman" w:cs="Times New Roman"/>
          <w:b/>
          <w:bCs/>
        </w:rPr>
        <w:t>S56</w:t>
      </w:r>
      <w:r w:rsidRPr="001D05E2">
        <w:rPr>
          <w:rFonts w:ascii="Times New Roman" w:hAnsi="Times New Roman" w:cs="Times New Roman"/>
          <w:b/>
          <w:bCs/>
        </w:rPr>
        <w:t>.</w:t>
      </w:r>
      <w:r w:rsidRPr="001D05E2">
        <w:rPr>
          <w:rFonts w:ascii="Times New Roman" w:hAnsi="Times New Roman" w:cs="Times New Roman"/>
        </w:rPr>
        <w:t xml:space="preserve"> Biodegradable Materials Sent to MSW Landfills [Based on USEPA 2020</w:t>
      </w:r>
      <w:r w:rsidRPr="001D05E2">
        <w:rPr>
          <w:rFonts w:ascii="Times New Roman" w:hAnsi="Times New Roman" w:cs="Times New Roman"/>
        </w:rPr>
        <w:fldChar w:fldCharType="begin"/>
      </w:r>
      <w:r w:rsidR="00775B85">
        <w:rPr>
          <w:rFonts w:ascii="Times New Roman" w:hAnsi="Times New Roman" w:cs="Times New Roman"/>
        </w:rPr>
        <w:instrText xml:space="preserve"> ADDIN ZOTERO_ITEM CSL_CITATION {"citationID":"pJz18pJu","properties":{"formattedCitation":"\\super 68\\nosupersub{}","plainCitation":"68","noteIndex":0},"citationItems":[{"id":64,"uris":["http://zotero.org/users/18184231/items/G68GSVEA"],"itemData":{"id":64,"type":"report","language":"en","source":"Zotero","title":"Advancing Sustainable Materials Management: 2018 Fact Sheet","URL":"https://www.epa.gov/sites/default/files/2021-01/documents/2018_ff_fact_sheet_dec_2020_fnl_508.pdf","author":[{"family":"United States Environmental Protection Agency (EPA)","given":""}],"accessed":{"date-parts":[["2025",9,25]]},"issued":{"date-parts":[["2020"]]}}}],"schema":"https://github.com/citation-style-language/schema/raw/master/csl-citation.json"} </w:instrText>
      </w:r>
      <w:r w:rsidRPr="001D05E2">
        <w:rPr>
          <w:rFonts w:ascii="Times New Roman" w:hAnsi="Times New Roman" w:cs="Times New Roman"/>
        </w:rPr>
        <w:fldChar w:fldCharType="separate"/>
      </w:r>
      <w:r w:rsidR="00775B85" w:rsidRPr="00775B85">
        <w:rPr>
          <w:rFonts w:ascii="Times New Roman" w:hAnsi="Times New Roman" w:cs="Times New Roman"/>
          <w:kern w:val="0"/>
          <w:vertAlign w:val="superscript"/>
        </w:rPr>
        <w:t>68</w:t>
      </w:r>
      <w:r w:rsidRPr="001D05E2">
        <w:rPr>
          <w:rFonts w:ascii="Times New Roman" w:hAnsi="Times New Roman" w:cs="Times New Roman"/>
        </w:rPr>
        <w:fldChar w:fldCharType="end"/>
      </w:r>
      <w:r w:rsidRPr="001D05E2">
        <w:rPr>
          <w:rFonts w:ascii="Times New Roman" w:hAnsi="Times New Roman" w:cs="Times New Roman"/>
        </w:rPr>
        <w:t>]</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576"/>
        <w:gridCol w:w="1076"/>
        <w:gridCol w:w="1076"/>
        <w:gridCol w:w="1076"/>
        <w:gridCol w:w="1076"/>
        <w:gridCol w:w="1076"/>
        <w:gridCol w:w="1076"/>
        <w:gridCol w:w="1076"/>
        <w:gridCol w:w="1076"/>
        <w:gridCol w:w="1076"/>
        <w:gridCol w:w="1076"/>
      </w:tblGrid>
      <w:tr w:rsidR="001D05E2" w:rsidRPr="001D05E2" w14:paraId="2F58CB1F" w14:textId="77777777" w:rsidTr="00360B83">
        <w:trPr>
          <w:trHeight w:val="323"/>
        </w:trPr>
        <w:tc>
          <w:tcPr>
            <w:tcW w:w="7490" w:type="dxa"/>
            <w:gridSpan w:val="9"/>
            <w:shd w:val="clear" w:color="auto" w:fill="D9D9D9" w:themeFill="background1" w:themeFillShade="D9"/>
            <w:noWrap/>
          </w:tcPr>
          <w:p w14:paraId="1129998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As fraction of all MSW going to landfills</w:t>
            </w:r>
          </w:p>
        </w:tc>
        <w:tc>
          <w:tcPr>
            <w:tcW w:w="755" w:type="dxa"/>
            <w:shd w:val="clear" w:color="auto" w:fill="D9D9D9" w:themeFill="background1" w:themeFillShade="D9"/>
            <w:noWrap/>
          </w:tcPr>
          <w:p w14:paraId="03F44A62" w14:textId="77777777" w:rsidR="001D05E2" w:rsidRPr="001D05E2" w:rsidRDefault="001D05E2" w:rsidP="001D05E2">
            <w:pPr>
              <w:spacing w:line="278" w:lineRule="auto"/>
              <w:rPr>
                <w:rFonts w:ascii="Times New Roman" w:hAnsi="Times New Roman" w:cs="Times New Roman"/>
              </w:rPr>
            </w:pPr>
          </w:p>
        </w:tc>
        <w:tc>
          <w:tcPr>
            <w:tcW w:w="755" w:type="dxa"/>
            <w:shd w:val="clear" w:color="auto" w:fill="D9D9D9" w:themeFill="background1" w:themeFillShade="D9"/>
            <w:noWrap/>
          </w:tcPr>
          <w:p w14:paraId="4DD63FC2" w14:textId="77777777" w:rsidR="001D05E2" w:rsidRPr="001D05E2" w:rsidRDefault="001D05E2" w:rsidP="001D05E2">
            <w:pPr>
              <w:spacing w:line="278" w:lineRule="auto"/>
              <w:rPr>
                <w:rFonts w:ascii="Times New Roman" w:hAnsi="Times New Roman" w:cs="Times New Roman"/>
              </w:rPr>
            </w:pPr>
          </w:p>
        </w:tc>
      </w:tr>
      <w:tr w:rsidR="001D05E2" w:rsidRPr="001D05E2" w14:paraId="12ABE3A9" w14:textId="77777777" w:rsidTr="00360B83">
        <w:trPr>
          <w:trHeight w:val="300"/>
        </w:trPr>
        <w:tc>
          <w:tcPr>
            <w:tcW w:w="1450" w:type="dxa"/>
            <w:noWrap/>
          </w:tcPr>
          <w:p w14:paraId="7C752F56" w14:textId="77777777" w:rsidR="001D05E2" w:rsidRPr="001D05E2" w:rsidRDefault="001D05E2" w:rsidP="001D05E2">
            <w:pPr>
              <w:spacing w:line="278" w:lineRule="auto"/>
              <w:rPr>
                <w:rFonts w:ascii="Times New Roman" w:hAnsi="Times New Roman" w:cs="Times New Roman"/>
              </w:rPr>
            </w:pPr>
          </w:p>
        </w:tc>
        <w:tc>
          <w:tcPr>
            <w:tcW w:w="755" w:type="dxa"/>
            <w:noWrap/>
          </w:tcPr>
          <w:p w14:paraId="36A5F69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1960</w:t>
            </w:r>
          </w:p>
        </w:tc>
        <w:tc>
          <w:tcPr>
            <w:tcW w:w="755" w:type="dxa"/>
            <w:noWrap/>
          </w:tcPr>
          <w:p w14:paraId="17F204E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1970</w:t>
            </w:r>
          </w:p>
        </w:tc>
        <w:tc>
          <w:tcPr>
            <w:tcW w:w="755" w:type="dxa"/>
            <w:noWrap/>
          </w:tcPr>
          <w:p w14:paraId="3AB2EA0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1980</w:t>
            </w:r>
          </w:p>
        </w:tc>
        <w:tc>
          <w:tcPr>
            <w:tcW w:w="755" w:type="dxa"/>
            <w:noWrap/>
          </w:tcPr>
          <w:p w14:paraId="7CC9261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1990</w:t>
            </w:r>
          </w:p>
        </w:tc>
        <w:tc>
          <w:tcPr>
            <w:tcW w:w="755" w:type="dxa"/>
            <w:noWrap/>
          </w:tcPr>
          <w:p w14:paraId="4BC85EB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2000</w:t>
            </w:r>
          </w:p>
        </w:tc>
        <w:tc>
          <w:tcPr>
            <w:tcW w:w="755" w:type="dxa"/>
            <w:noWrap/>
          </w:tcPr>
          <w:p w14:paraId="60E631E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2005</w:t>
            </w:r>
          </w:p>
        </w:tc>
        <w:tc>
          <w:tcPr>
            <w:tcW w:w="755" w:type="dxa"/>
            <w:noWrap/>
          </w:tcPr>
          <w:p w14:paraId="7A143C5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2010</w:t>
            </w:r>
          </w:p>
        </w:tc>
        <w:tc>
          <w:tcPr>
            <w:tcW w:w="755" w:type="dxa"/>
            <w:noWrap/>
          </w:tcPr>
          <w:p w14:paraId="755B808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2015</w:t>
            </w:r>
          </w:p>
        </w:tc>
        <w:tc>
          <w:tcPr>
            <w:tcW w:w="755" w:type="dxa"/>
            <w:noWrap/>
          </w:tcPr>
          <w:p w14:paraId="525F0B1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2017</w:t>
            </w:r>
          </w:p>
        </w:tc>
        <w:tc>
          <w:tcPr>
            <w:tcW w:w="755" w:type="dxa"/>
            <w:noWrap/>
          </w:tcPr>
          <w:p w14:paraId="233A67C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2018</w:t>
            </w:r>
          </w:p>
        </w:tc>
      </w:tr>
      <w:tr w:rsidR="001D05E2" w:rsidRPr="001D05E2" w14:paraId="23B661BD" w14:textId="77777777" w:rsidTr="00360B83">
        <w:trPr>
          <w:trHeight w:val="300"/>
        </w:trPr>
        <w:tc>
          <w:tcPr>
            <w:tcW w:w="1450" w:type="dxa"/>
            <w:noWrap/>
            <w:hideMark/>
          </w:tcPr>
          <w:p w14:paraId="67497DD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Paper and Paperboard</w:t>
            </w:r>
          </w:p>
        </w:tc>
        <w:tc>
          <w:tcPr>
            <w:tcW w:w="755" w:type="dxa"/>
            <w:noWrap/>
            <w:hideMark/>
          </w:tcPr>
          <w:p w14:paraId="096EA5B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30.20%</w:t>
            </w:r>
          </w:p>
        </w:tc>
        <w:tc>
          <w:tcPr>
            <w:tcW w:w="755" w:type="dxa"/>
            <w:noWrap/>
            <w:hideMark/>
          </w:tcPr>
          <w:p w14:paraId="74D703F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33.20%</w:t>
            </w:r>
          </w:p>
        </w:tc>
        <w:tc>
          <w:tcPr>
            <w:tcW w:w="755" w:type="dxa"/>
            <w:noWrap/>
            <w:hideMark/>
          </w:tcPr>
          <w:p w14:paraId="77BFE8F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31.70%</w:t>
            </w:r>
          </w:p>
        </w:tc>
        <w:tc>
          <w:tcPr>
            <w:tcW w:w="755" w:type="dxa"/>
            <w:noWrap/>
            <w:hideMark/>
          </w:tcPr>
          <w:p w14:paraId="1858CAC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30.00%</w:t>
            </w:r>
          </w:p>
        </w:tc>
        <w:tc>
          <w:tcPr>
            <w:tcW w:w="755" w:type="dxa"/>
            <w:noWrap/>
            <w:hideMark/>
          </w:tcPr>
          <w:p w14:paraId="2167408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28.80%</w:t>
            </w:r>
          </w:p>
        </w:tc>
        <w:tc>
          <w:tcPr>
            <w:tcW w:w="755" w:type="dxa"/>
            <w:noWrap/>
            <w:hideMark/>
          </w:tcPr>
          <w:p w14:paraId="112362E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24.70%</w:t>
            </w:r>
          </w:p>
        </w:tc>
        <w:tc>
          <w:tcPr>
            <w:tcW w:w="755" w:type="dxa"/>
            <w:noWrap/>
            <w:hideMark/>
          </w:tcPr>
          <w:p w14:paraId="1595BB9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16.10%</w:t>
            </w:r>
          </w:p>
        </w:tc>
        <w:tc>
          <w:tcPr>
            <w:tcW w:w="755" w:type="dxa"/>
            <w:noWrap/>
            <w:hideMark/>
          </w:tcPr>
          <w:p w14:paraId="2C4A65E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13.30%</w:t>
            </w:r>
          </w:p>
        </w:tc>
        <w:tc>
          <w:tcPr>
            <w:tcW w:w="755" w:type="dxa"/>
            <w:noWrap/>
            <w:hideMark/>
          </w:tcPr>
          <w:p w14:paraId="3D3309E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13.10%</w:t>
            </w:r>
          </w:p>
        </w:tc>
        <w:tc>
          <w:tcPr>
            <w:tcW w:w="755" w:type="dxa"/>
            <w:noWrap/>
            <w:hideMark/>
          </w:tcPr>
          <w:p w14:paraId="6A10DB3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11.80%</w:t>
            </w:r>
          </w:p>
        </w:tc>
      </w:tr>
      <w:tr w:rsidR="001D05E2" w:rsidRPr="001D05E2" w14:paraId="140F345D" w14:textId="77777777" w:rsidTr="00360B83">
        <w:trPr>
          <w:trHeight w:val="300"/>
        </w:trPr>
        <w:tc>
          <w:tcPr>
            <w:tcW w:w="1450" w:type="dxa"/>
            <w:noWrap/>
            <w:hideMark/>
          </w:tcPr>
          <w:p w14:paraId="26D04F3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Wood</w:t>
            </w:r>
          </w:p>
        </w:tc>
        <w:tc>
          <w:tcPr>
            <w:tcW w:w="755" w:type="dxa"/>
            <w:noWrap/>
            <w:hideMark/>
          </w:tcPr>
          <w:p w14:paraId="207B329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3.70%</w:t>
            </w:r>
          </w:p>
        </w:tc>
        <w:tc>
          <w:tcPr>
            <w:tcW w:w="755" w:type="dxa"/>
            <w:noWrap/>
            <w:hideMark/>
          </w:tcPr>
          <w:p w14:paraId="314FB2C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3.30%</w:t>
            </w:r>
          </w:p>
        </w:tc>
        <w:tc>
          <w:tcPr>
            <w:tcW w:w="755" w:type="dxa"/>
            <w:noWrap/>
            <w:hideMark/>
          </w:tcPr>
          <w:p w14:paraId="598953E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5.10%</w:t>
            </w:r>
          </w:p>
        </w:tc>
        <w:tc>
          <w:tcPr>
            <w:tcW w:w="755" w:type="dxa"/>
            <w:noWrap/>
            <w:hideMark/>
          </w:tcPr>
          <w:p w14:paraId="0465A5A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6.90%</w:t>
            </w:r>
          </w:p>
        </w:tc>
        <w:tc>
          <w:tcPr>
            <w:tcW w:w="755" w:type="dxa"/>
            <w:noWrap/>
            <w:hideMark/>
          </w:tcPr>
          <w:p w14:paraId="4A91E45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7.10%</w:t>
            </w:r>
          </w:p>
        </w:tc>
        <w:tc>
          <w:tcPr>
            <w:tcW w:w="755" w:type="dxa"/>
            <w:noWrap/>
            <w:hideMark/>
          </w:tcPr>
          <w:p w14:paraId="59F1DF8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7.50%</w:t>
            </w:r>
          </w:p>
        </w:tc>
        <w:tc>
          <w:tcPr>
            <w:tcW w:w="755" w:type="dxa"/>
            <w:noWrap/>
            <w:hideMark/>
          </w:tcPr>
          <w:p w14:paraId="2F193CE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8.20%</w:t>
            </w:r>
          </w:p>
        </w:tc>
        <w:tc>
          <w:tcPr>
            <w:tcW w:w="755" w:type="dxa"/>
            <w:noWrap/>
            <w:hideMark/>
          </w:tcPr>
          <w:p w14:paraId="76420AE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8.00%</w:t>
            </w:r>
          </w:p>
        </w:tc>
        <w:tc>
          <w:tcPr>
            <w:tcW w:w="755" w:type="dxa"/>
            <w:noWrap/>
            <w:hideMark/>
          </w:tcPr>
          <w:p w14:paraId="5EA87D4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8.70%</w:t>
            </w:r>
          </w:p>
        </w:tc>
        <w:tc>
          <w:tcPr>
            <w:tcW w:w="755" w:type="dxa"/>
            <w:noWrap/>
            <w:hideMark/>
          </w:tcPr>
          <w:p w14:paraId="00DC074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8.30%</w:t>
            </w:r>
          </w:p>
        </w:tc>
      </w:tr>
      <w:tr w:rsidR="001D05E2" w:rsidRPr="001D05E2" w14:paraId="398BC44D" w14:textId="77777777" w:rsidTr="00360B83">
        <w:trPr>
          <w:trHeight w:val="300"/>
        </w:trPr>
        <w:tc>
          <w:tcPr>
            <w:tcW w:w="1450" w:type="dxa"/>
            <w:noWrap/>
            <w:hideMark/>
          </w:tcPr>
          <w:p w14:paraId="26588EE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Food</w:t>
            </w:r>
          </w:p>
        </w:tc>
        <w:tc>
          <w:tcPr>
            <w:tcW w:w="755" w:type="dxa"/>
            <w:noWrap/>
            <w:hideMark/>
          </w:tcPr>
          <w:p w14:paraId="2E6F255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14.80%</w:t>
            </w:r>
          </w:p>
        </w:tc>
        <w:tc>
          <w:tcPr>
            <w:tcW w:w="755" w:type="dxa"/>
            <w:noWrap/>
            <w:hideMark/>
          </w:tcPr>
          <w:p w14:paraId="78F7A47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11.30%</w:t>
            </w:r>
          </w:p>
        </w:tc>
        <w:tc>
          <w:tcPr>
            <w:tcW w:w="755" w:type="dxa"/>
            <w:noWrap/>
            <w:hideMark/>
          </w:tcPr>
          <w:p w14:paraId="4F6DAAC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9.50%</w:t>
            </w:r>
          </w:p>
        </w:tc>
        <w:tc>
          <w:tcPr>
            <w:tcW w:w="755" w:type="dxa"/>
            <w:noWrap/>
            <w:hideMark/>
          </w:tcPr>
          <w:p w14:paraId="3D3E983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13.60%</w:t>
            </w:r>
          </w:p>
        </w:tc>
        <w:tc>
          <w:tcPr>
            <w:tcW w:w="755" w:type="dxa"/>
            <w:noWrap/>
            <w:hideMark/>
          </w:tcPr>
          <w:p w14:paraId="25619D9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17.30%</w:t>
            </w:r>
          </w:p>
        </w:tc>
        <w:tc>
          <w:tcPr>
            <w:tcW w:w="755" w:type="dxa"/>
            <w:noWrap/>
            <w:hideMark/>
          </w:tcPr>
          <w:p w14:paraId="2CE690A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18.50%</w:t>
            </w:r>
          </w:p>
        </w:tc>
        <w:tc>
          <w:tcPr>
            <w:tcW w:w="755" w:type="dxa"/>
            <w:noWrap/>
            <w:hideMark/>
          </w:tcPr>
          <w:p w14:paraId="244738D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21.00%</w:t>
            </w:r>
          </w:p>
        </w:tc>
        <w:tc>
          <w:tcPr>
            <w:tcW w:w="755" w:type="dxa"/>
            <w:noWrap/>
            <w:hideMark/>
          </w:tcPr>
          <w:p w14:paraId="5B5D885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22.00%</w:t>
            </w:r>
          </w:p>
        </w:tc>
        <w:tc>
          <w:tcPr>
            <w:tcW w:w="755" w:type="dxa"/>
            <w:noWrap/>
            <w:hideMark/>
          </w:tcPr>
          <w:p w14:paraId="2E438C4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21.80%</w:t>
            </w:r>
          </w:p>
        </w:tc>
        <w:tc>
          <w:tcPr>
            <w:tcW w:w="755" w:type="dxa"/>
            <w:noWrap/>
            <w:hideMark/>
          </w:tcPr>
          <w:p w14:paraId="706A4FF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24.10%</w:t>
            </w:r>
          </w:p>
        </w:tc>
      </w:tr>
      <w:tr w:rsidR="001D05E2" w:rsidRPr="001D05E2" w14:paraId="33ADBD85" w14:textId="77777777" w:rsidTr="00360B83">
        <w:trPr>
          <w:trHeight w:val="300"/>
        </w:trPr>
        <w:tc>
          <w:tcPr>
            <w:tcW w:w="1450" w:type="dxa"/>
            <w:noWrap/>
            <w:hideMark/>
          </w:tcPr>
          <w:p w14:paraId="41F68FB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Yard Trimmings</w:t>
            </w:r>
          </w:p>
        </w:tc>
        <w:tc>
          <w:tcPr>
            <w:tcW w:w="755" w:type="dxa"/>
            <w:noWrap/>
            <w:hideMark/>
          </w:tcPr>
          <w:p w14:paraId="2AF4663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24.20%</w:t>
            </w:r>
          </w:p>
        </w:tc>
        <w:tc>
          <w:tcPr>
            <w:tcW w:w="755" w:type="dxa"/>
            <w:noWrap/>
            <w:hideMark/>
          </w:tcPr>
          <w:p w14:paraId="7D01A2F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20.50%</w:t>
            </w:r>
          </w:p>
        </w:tc>
        <w:tc>
          <w:tcPr>
            <w:tcW w:w="755" w:type="dxa"/>
            <w:noWrap/>
            <w:hideMark/>
          </w:tcPr>
          <w:p w14:paraId="42D6DCC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20.10%</w:t>
            </w:r>
          </w:p>
        </w:tc>
        <w:tc>
          <w:tcPr>
            <w:tcW w:w="755" w:type="dxa"/>
            <w:noWrap/>
            <w:hideMark/>
          </w:tcPr>
          <w:p w14:paraId="47E013A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17.60%</w:t>
            </w:r>
          </w:p>
        </w:tc>
        <w:tc>
          <w:tcPr>
            <w:tcW w:w="755" w:type="dxa"/>
            <w:noWrap/>
            <w:hideMark/>
          </w:tcPr>
          <w:p w14:paraId="7A5F06A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8.50%</w:t>
            </w:r>
          </w:p>
        </w:tc>
        <w:tc>
          <w:tcPr>
            <w:tcW w:w="755" w:type="dxa"/>
            <w:noWrap/>
            <w:hideMark/>
          </w:tcPr>
          <w:p w14:paraId="2A8FCAE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7.00%</w:t>
            </w:r>
          </w:p>
        </w:tc>
        <w:tc>
          <w:tcPr>
            <w:tcW w:w="755" w:type="dxa"/>
            <w:noWrap/>
            <w:hideMark/>
          </w:tcPr>
          <w:p w14:paraId="6966DDD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8.60%</w:t>
            </w:r>
          </w:p>
        </w:tc>
        <w:tc>
          <w:tcPr>
            <w:tcW w:w="755" w:type="dxa"/>
            <w:noWrap/>
            <w:hideMark/>
          </w:tcPr>
          <w:p w14:paraId="2A59ABF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7.80%</w:t>
            </w:r>
          </w:p>
        </w:tc>
        <w:tc>
          <w:tcPr>
            <w:tcW w:w="755" w:type="dxa"/>
            <w:noWrap/>
            <w:hideMark/>
          </w:tcPr>
          <w:p w14:paraId="4D261BC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6.20%</w:t>
            </w:r>
          </w:p>
        </w:tc>
        <w:tc>
          <w:tcPr>
            <w:tcW w:w="755" w:type="dxa"/>
            <w:noWrap/>
            <w:hideMark/>
          </w:tcPr>
          <w:p w14:paraId="4A04C2B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7.20%</w:t>
            </w:r>
          </w:p>
        </w:tc>
      </w:tr>
      <w:tr w:rsidR="001D05E2" w:rsidRPr="001D05E2" w14:paraId="66F561BA" w14:textId="77777777" w:rsidTr="00360B83">
        <w:trPr>
          <w:trHeight w:val="300"/>
        </w:trPr>
        <w:tc>
          <w:tcPr>
            <w:tcW w:w="1450" w:type="dxa"/>
            <w:noWrap/>
            <w:hideMark/>
          </w:tcPr>
          <w:p w14:paraId="2B4C5A2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Total biodegradable</w:t>
            </w:r>
          </w:p>
        </w:tc>
        <w:tc>
          <w:tcPr>
            <w:tcW w:w="755" w:type="dxa"/>
            <w:noWrap/>
            <w:hideMark/>
          </w:tcPr>
          <w:p w14:paraId="2B2B64E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72.90%</w:t>
            </w:r>
          </w:p>
        </w:tc>
        <w:tc>
          <w:tcPr>
            <w:tcW w:w="755" w:type="dxa"/>
            <w:noWrap/>
            <w:hideMark/>
          </w:tcPr>
          <w:p w14:paraId="3ACAF0D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68.30%</w:t>
            </w:r>
          </w:p>
        </w:tc>
        <w:tc>
          <w:tcPr>
            <w:tcW w:w="755" w:type="dxa"/>
            <w:noWrap/>
            <w:hideMark/>
          </w:tcPr>
          <w:p w14:paraId="1686832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66.40%</w:t>
            </w:r>
          </w:p>
        </w:tc>
        <w:tc>
          <w:tcPr>
            <w:tcW w:w="755" w:type="dxa"/>
            <w:noWrap/>
            <w:hideMark/>
          </w:tcPr>
          <w:p w14:paraId="4161821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68.10%</w:t>
            </w:r>
          </w:p>
        </w:tc>
        <w:tc>
          <w:tcPr>
            <w:tcW w:w="755" w:type="dxa"/>
            <w:noWrap/>
            <w:hideMark/>
          </w:tcPr>
          <w:p w14:paraId="54C7DAC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61.70%</w:t>
            </w:r>
          </w:p>
        </w:tc>
        <w:tc>
          <w:tcPr>
            <w:tcW w:w="755" w:type="dxa"/>
            <w:noWrap/>
            <w:hideMark/>
          </w:tcPr>
          <w:p w14:paraId="122025B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57.70%</w:t>
            </w:r>
          </w:p>
        </w:tc>
        <w:tc>
          <w:tcPr>
            <w:tcW w:w="755" w:type="dxa"/>
            <w:noWrap/>
            <w:hideMark/>
          </w:tcPr>
          <w:p w14:paraId="76546E4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53.90%</w:t>
            </w:r>
          </w:p>
        </w:tc>
        <w:tc>
          <w:tcPr>
            <w:tcW w:w="755" w:type="dxa"/>
            <w:noWrap/>
            <w:hideMark/>
          </w:tcPr>
          <w:p w14:paraId="20181AA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51.10%</w:t>
            </w:r>
          </w:p>
        </w:tc>
        <w:tc>
          <w:tcPr>
            <w:tcW w:w="755" w:type="dxa"/>
            <w:noWrap/>
            <w:hideMark/>
          </w:tcPr>
          <w:p w14:paraId="57C31F4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49.80%</w:t>
            </w:r>
          </w:p>
        </w:tc>
        <w:tc>
          <w:tcPr>
            <w:tcW w:w="755" w:type="dxa"/>
            <w:noWrap/>
            <w:hideMark/>
          </w:tcPr>
          <w:p w14:paraId="7392EF5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51.40%</w:t>
            </w:r>
          </w:p>
        </w:tc>
      </w:tr>
      <w:tr w:rsidR="001D05E2" w:rsidRPr="001D05E2" w14:paraId="6880684E" w14:textId="77777777" w:rsidTr="00360B83">
        <w:trPr>
          <w:trHeight w:val="269"/>
        </w:trPr>
        <w:tc>
          <w:tcPr>
            <w:tcW w:w="9000" w:type="dxa"/>
            <w:gridSpan w:val="11"/>
            <w:shd w:val="clear" w:color="auto" w:fill="D9D9D9" w:themeFill="background1" w:themeFillShade="D9"/>
            <w:noWrap/>
            <w:hideMark/>
          </w:tcPr>
          <w:p w14:paraId="6EB31D8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As fraction of total biodegradable (leather and textiles not included to make fraction of forest products "conservative")</w:t>
            </w:r>
          </w:p>
        </w:tc>
      </w:tr>
      <w:tr w:rsidR="001D05E2" w:rsidRPr="001D05E2" w14:paraId="2C80A314" w14:textId="77777777" w:rsidTr="00360B83">
        <w:trPr>
          <w:trHeight w:val="300"/>
        </w:trPr>
        <w:tc>
          <w:tcPr>
            <w:tcW w:w="1450" w:type="dxa"/>
            <w:noWrap/>
            <w:hideMark/>
          </w:tcPr>
          <w:p w14:paraId="212E753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 </w:t>
            </w:r>
          </w:p>
        </w:tc>
        <w:tc>
          <w:tcPr>
            <w:tcW w:w="755" w:type="dxa"/>
            <w:noWrap/>
            <w:hideMark/>
          </w:tcPr>
          <w:p w14:paraId="0E549D8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1960</w:t>
            </w:r>
          </w:p>
        </w:tc>
        <w:tc>
          <w:tcPr>
            <w:tcW w:w="755" w:type="dxa"/>
            <w:noWrap/>
            <w:hideMark/>
          </w:tcPr>
          <w:p w14:paraId="5F2AE00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1970</w:t>
            </w:r>
          </w:p>
        </w:tc>
        <w:tc>
          <w:tcPr>
            <w:tcW w:w="755" w:type="dxa"/>
            <w:noWrap/>
            <w:hideMark/>
          </w:tcPr>
          <w:p w14:paraId="0AE19D6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1980</w:t>
            </w:r>
          </w:p>
        </w:tc>
        <w:tc>
          <w:tcPr>
            <w:tcW w:w="755" w:type="dxa"/>
            <w:noWrap/>
            <w:hideMark/>
          </w:tcPr>
          <w:p w14:paraId="0C5F392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1990</w:t>
            </w:r>
          </w:p>
        </w:tc>
        <w:tc>
          <w:tcPr>
            <w:tcW w:w="755" w:type="dxa"/>
            <w:noWrap/>
            <w:hideMark/>
          </w:tcPr>
          <w:p w14:paraId="3C1F64E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2000</w:t>
            </w:r>
          </w:p>
        </w:tc>
        <w:tc>
          <w:tcPr>
            <w:tcW w:w="755" w:type="dxa"/>
            <w:noWrap/>
            <w:hideMark/>
          </w:tcPr>
          <w:p w14:paraId="1B6DE6E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2005</w:t>
            </w:r>
          </w:p>
        </w:tc>
        <w:tc>
          <w:tcPr>
            <w:tcW w:w="755" w:type="dxa"/>
            <w:noWrap/>
            <w:hideMark/>
          </w:tcPr>
          <w:p w14:paraId="6240EE1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2010</w:t>
            </w:r>
          </w:p>
        </w:tc>
        <w:tc>
          <w:tcPr>
            <w:tcW w:w="755" w:type="dxa"/>
            <w:noWrap/>
            <w:hideMark/>
          </w:tcPr>
          <w:p w14:paraId="6FFB841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2015</w:t>
            </w:r>
          </w:p>
        </w:tc>
        <w:tc>
          <w:tcPr>
            <w:tcW w:w="755" w:type="dxa"/>
            <w:noWrap/>
            <w:hideMark/>
          </w:tcPr>
          <w:p w14:paraId="1F07FB2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2017</w:t>
            </w:r>
          </w:p>
        </w:tc>
        <w:tc>
          <w:tcPr>
            <w:tcW w:w="755" w:type="dxa"/>
            <w:noWrap/>
            <w:hideMark/>
          </w:tcPr>
          <w:p w14:paraId="103A6D5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2018</w:t>
            </w:r>
          </w:p>
        </w:tc>
      </w:tr>
      <w:tr w:rsidR="001D05E2" w:rsidRPr="001D05E2" w14:paraId="3C231FE1" w14:textId="77777777" w:rsidTr="00360B83">
        <w:trPr>
          <w:trHeight w:val="300"/>
        </w:trPr>
        <w:tc>
          <w:tcPr>
            <w:tcW w:w="1450" w:type="dxa"/>
            <w:noWrap/>
            <w:hideMark/>
          </w:tcPr>
          <w:p w14:paraId="5DFD0A4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Paper and Paperboard</w:t>
            </w:r>
          </w:p>
        </w:tc>
        <w:tc>
          <w:tcPr>
            <w:tcW w:w="755" w:type="dxa"/>
            <w:noWrap/>
            <w:hideMark/>
          </w:tcPr>
          <w:p w14:paraId="4F7F779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41.43%</w:t>
            </w:r>
          </w:p>
        </w:tc>
        <w:tc>
          <w:tcPr>
            <w:tcW w:w="755" w:type="dxa"/>
            <w:noWrap/>
            <w:hideMark/>
          </w:tcPr>
          <w:p w14:paraId="681ADD9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48.61%</w:t>
            </w:r>
          </w:p>
        </w:tc>
        <w:tc>
          <w:tcPr>
            <w:tcW w:w="755" w:type="dxa"/>
            <w:noWrap/>
            <w:hideMark/>
          </w:tcPr>
          <w:p w14:paraId="69B4344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47.74%</w:t>
            </w:r>
          </w:p>
        </w:tc>
        <w:tc>
          <w:tcPr>
            <w:tcW w:w="755" w:type="dxa"/>
            <w:noWrap/>
            <w:hideMark/>
          </w:tcPr>
          <w:p w14:paraId="4147B2F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44.05%</w:t>
            </w:r>
          </w:p>
        </w:tc>
        <w:tc>
          <w:tcPr>
            <w:tcW w:w="755" w:type="dxa"/>
            <w:noWrap/>
            <w:hideMark/>
          </w:tcPr>
          <w:p w14:paraId="76A94F4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46.68%</w:t>
            </w:r>
          </w:p>
        </w:tc>
        <w:tc>
          <w:tcPr>
            <w:tcW w:w="755" w:type="dxa"/>
            <w:noWrap/>
            <w:hideMark/>
          </w:tcPr>
          <w:p w14:paraId="5853FED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42.81%</w:t>
            </w:r>
          </w:p>
        </w:tc>
        <w:tc>
          <w:tcPr>
            <w:tcW w:w="755" w:type="dxa"/>
            <w:noWrap/>
            <w:hideMark/>
          </w:tcPr>
          <w:p w14:paraId="296424B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29.87%</w:t>
            </w:r>
          </w:p>
        </w:tc>
        <w:tc>
          <w:tcPr>
            <w:tcW w:w="755" w:type="dxa"/>
            <w:noWrap/>
            <w:hideMark/>
          </w:tcPr>
          <w:p w14:paraId="01E0890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26.03%</w:t>
            </w:r>
          </w:p>
        </w:tc>
        <w:tc>
          <w:tcPr>
            <w:tcW w:w="755" w:type="dxa"/>
            <w:noWrap/>
            <w:hideMark/>
          </w:tcPr>
          <w:p w14:paraId="1DF656A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26.31%</w:t>
            </w:r>
          </w:p>
        </w:tc>
        <w:tc>
          <w:tcPr>
            <w:tcW w:w="755" w:type="dxa"/>
            <w:noWrap/>
            <w:hideMark/>
          </w:tcPr>
          <w:p w14:paraId="0E67B8A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22.96%</w:t>
            </w:r>
          </w:p>
        </w:tc>
      </w:tr>
      <w:tr w:rsidR="001D05E2" w:rsidRPr="001D05E2" w14:paraId="140341BC" w14:textId="77777777" w:rsidTr="00360B83">
        <w:trPr>
          <w:trHeight w:val="300"/>
        </w:trPr>
        <w:tc>
          <w:tcPr>
            <w:tcW w:w="1450" w:type="dxa"/>
            <w:noWrap/>
            <w:hideMark/>
          </w:tcPr>
          <w:p w14:paraId="2A8ACC5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Wood</w:t>
            </w:r>
          </w:p>
        </w:tc>
        <w:tc>
          <w:tcPr>
            <w:tcW w:w="755" w:type="dxa"/>
            <w:noWrap/>
            <w:hideMark/>
          </w:tcPr>
          <w:p w14:paraId="29CDD1A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5.08%</w:t>
            </w:r>
          </w:p>
        </w:tc>
        <w:tc>
          <w:tcPr>
            <w:tcW w:w="755" w:type="dxa"/>
            <w:noWrap/>
            <w:hideMark/>
          </w:tcPr>
          <w:p w14:paraId="57F1391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4.83%</w:t>
            </w:r>
          </w:p>
        </w:tc>
        <w:tc>
          <w:tcPr>
            <w:tcW w:w="755" w:type="dxa"/>
            <w:noWrap/>
            <w:hideMark/>
          </w:tcPr>
          <w:p w14:paraId="5C288C2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7.68%</w:t>
            </w:r>
          </w:p>
        </w:tc>
        <w:tc>
          <w:tcPr>
            <w:tcW w:w="755" w:type="dxa"/>
            <w:noWrap/>
            <w:hideMark/>
          </w:tcPr>
          <w:p w14:paraId="1A96DCF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10.13%</w:t>
            </w:r>
          </w:p>
        </w:tc>
        <w:tc>
          <w:tcPr>
            <w:tcW w:w="755" w:type="dxa"/>
            <w:noWrap/>
            <w:hideMark/>
          </w:tcPr>
          <w:p w14:paraId="28A6B25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11.51%</w:t>
            </w:r>
          </w:p>
        </w:tc>
        <w:tc>
          <w:tcPr>
            <w:tcW w:w="755" w:type="dxa"/>
            <w:noWrap/>
            <w:hideMark/>
          </w:tcPr>
          <w:p w14:paraId="1E1379B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13.00%</w:t>
            </w:r>
          </w:p>
        </w:tc>
        <w:tc>
          <w:tcPr>
            <w:tcW w:w="755" w:type="dxa"/>
            <w:noWrap/>
            <w:hideMark/>
          </w:tcPr>
          <w:p w14:paraId="6C30FC0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15.21%</w:t>
            </w:r>
          </w:p>
        </w:tc>
        <w:tc>
          <w:tcPr>
            <w:tcW w:w="755" w:type="dxa"/>
            <w:noWrap/>
            <w:hideMark/>
          </w:tcPr>
          <w:p w14:paraId="2E4097B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15.66%</w:t>
            </w:r>
          </w:p>
        </w:tc>
        <w:tc>
          <w:tcPr>
            <w:tcW w:w="755" w:type="dxa"/>
            <w:noWrap/>
            <w:hideMark/>
          </w:tcPr>
          <w:p w14:paraId="7F0A24B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17.47%</w:t>
            </w:r>
          </w:p>
        </w:tc>
        <w:tc>
          <w:tcPr>
            <w:tcW w:w="755" w:type="dxa"/>
            <w:noWrap/>
            <w:hideMark/>
          </w:tcPr>
          <w:p w14:paraId="432F98B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16.15%</w:t>
            </w:r>
          </w:p>
        </w:tc>
      </w:tr>
      <w:tr w:rsidR="001D05E2" w:rsidRPr="001D05E2" w14:paraId="1A54A44C" w14:textId="77777777" w:rsidTr="00360B83">
        <w:trPr>
          <w:trHeight w:val="300"/>
        </w:trPr>
        <w:tc>
          <w:tcPr>
            <w:tcW w:w="1450" w:type="dxa"/>
            <w:noWrap/>
            <w:hideMark/>
          </w:tcPr>
          <w:p w14:paraId="5BFD902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Food</w:t>
            </w:r>
          </w:p>
        </w:tc>
        <w:tc>
          <w:tcPr>
            <w:tcW w:w="755" w:type="dxa"/>
            <w:noWrap/>
            <w:hideMark/>
          </w:tcPr>
          <w:p w14:paraId="2991081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20.30%</w:t>
            </w:r>
          </w:p>
        </w:tc>
        <w:tc>
          <w:tcPr>
            <w:tcW w:w="755" w:type="dxa"/>
            <w:noWrap/>
            <w:hideMark/>
          </w:tcPr>
          <w:p w14:paraId="3BF0D40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16.54%</w:t>
            </w:r>
          </w:p>
        </w:tc>
        <w:tc>
          <w:tcPr>
            <w:tcW w:w="755" w:type="dxa"/>
            <w:noWrap/>
            <w:hideMark/>
          </w:tcPr>
          <w:p w14:paraId="21027FF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14.31%</w:t>
            </w:r>
          </w:p>
        </w:tc>
        <w:tc>
          <w:tcPr>
            <w:tcW w:w="755" w:type="dxa"/>
            <w:noWrap/>
            <w:hideMark/>
          </w:tcPr>
          <w:p w14:paraId="77F4BAE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19.97%</w:t>
            </w:r>
          </w:p>
        </w:tc>
        <w:tc>
          <w:tcPr>
            <w:tcW w:w="755" w:type="dxa"/>
            <w:noWrap/>
            <w:hideMark/>
          </w:tcPr>
          <w:p w14:paraId="02B3911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28.04%</w:t>
            </w:r>
          </w:p>
        </w:tc>
        <w:tc>
          <w:tcPr>
            <w:tcW w:w="755" w:type="dxa"/>
            <w:noWrap/>
            <w:hideMark/>
          </w:tcPr>
          <w:p w14:paraId="3DD17FA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32.06%</w:t>
            </w:r>
          </w:p>
        </w:tc>
        <w:tc>
          <w:tcPr>
            <w:tcW w:w="755" w:type="dxa"/>
            <w:noWrap/>
            <w:hideMark/>
          </w:tcPr>
          <w:p w14:paraId="291B569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38.96%</w:t>
            </w:r>
          </w:p>
        </w:tc>
        <w:tc>
          <w:tcPr>
            <w:tcW w:w="755" w:type="dxa"/>
            <w:noWrap/>
            <w:hideMark/>
          </w:tcPr>
          <w:p w14:paraId="18D64B7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43.05%</w:t>
            </w:r>
          </w:p>
        </w:tc>
        <w:tc>
          <w:tcPr>
            <w:tcW w:w="755" w:type="dxa"/>
            <w:noWrap/>
            <w:hideMark/>
          </w:tcPr>
          <w:p w14:paraId="701A78F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43.78%</w:t>
            </w:r>
          </w:p>
        </w:tc>
        <w:tc>
          <w:tcPr>
            <w:tcW w:w="755" w:type="dxa"/>
            <w:noWrap/>
            <w:hideMark/>
          </w:tcPr>
          <w:p w14:paraId="42A04A7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46.89%</w:t>
            </w:r>
          </w:p>
        </w:tc>
      </w:tr>
      <w:tr w:rsidR="001D05E2" w:rsidRPr="001D05E2" w14:paraId="12641CEF" w14:textId="77777777" w:rsidTr="00360B83">
        <w:trPr>
          <w:trHeight w:val="300"/>
        </w:trPr>
        <w:tc>
          <w:tcPr>
            <w:tcW w:w="1450" w:type="dxa"/>
            <w:noWrap/>
            <w:hideMark/>
          </w:tcPr>
          <w:p w14:paraId="3C2FC9E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Yard Trimmings</w:t>
            </w:r>
          </w:p>
        </w:tc>
        <w:tc>
          <w:tcPr>
            <w:tcW w:w="755" w:type="dxa"/>
            <w:noWrap/>
            <w:hideMark/>
          </w:tcPr>
          <w:p w14:paraId="1060A78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33.20%</w:t>
            </w:r>
          </w:p>
        </w:tc>
        <w:tc>
          <w:tcPr>
            <w:tcW w:w="755" w:type="dxa"/>
            <w:noWrap/>
            <w:hideMark/>
          </w:tcPr>
          <w:p w14:paraId="6707203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30.01%</w:t>
            </w:r>
          </w:p>
        </w:tc>
        <w:tc>
          <w:tcPr>
            <w:tcW w:w="755" w:type="dxa"/>
            <w:noWrap/>
            <w:hideMark/>
          </w:tcPr>
          <w:p w14:paraId="176B865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30.27%</w:t>
            </w:r>
          </w:p>
        </w:tc>
        <w:tc>
          <w:tcPr>
            <w:tcW w:w="755" w:type="dxa"/>
            <w:noWrap/>
            <w:hideMark/>
          </w:tcPr>
          <w:p w14:paraId="130E9A5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25.84%</w:t>
            </w:r>
          </w:p>
        </w:tc>
        <w:tc>
          <w:tcPr>
            <w:tcW w:w="755" w:type="dxa"/>
            <w:noWrap/>
            <w:hideMark/>
          </w:tcPr>
          <w:p w14:paraId="3242EAE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13.78%</w:t>
            </w:r>
          </w:p>
        </w:tc>
        <w:tc>
          <w:tcPr>
            <w:tcW w:w="755" w:type="dxa"/>
            <w:noWrap/>
            <w:hideMark/>
          </w:tcPr>
          <w:p w14:paraId="4C3B1CE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12.13%</w:t>
            </w:r>
          </w:p>
        </w:tc>
        <w:tc>
          <w:tcPr>
            <w:tcW w:w="755" w:type="dxa"/>
            <w:noWrap/>
            <w:hideMark/>
          </w:tcPr>
          <w:p w14:paraId="12CF9F9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15.96%</w:t>
            </w:r>
          </w:p>
        </w:tc>
        <w:tc>
          <w:tcPr>
            <w:tcW w:w="755" w:type="dxa"/>
            <w:noWrap/>
            <w:hideMark/>
          </w:tcPr>
          <w:p w14:paraId="422ADC2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15.26%</w:t>
            </w:r>
          </w:p>
        </w:tc>
        <w:tc>
          <w:tcPr>
            <w:tcW w:w="755" w:type="dxa"/>
            <w:noWrap/>
            <w:hideMark/>
          </w:tcPr>
          <w:p w14:paraId="014D35D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12.45%</w:t>
            </w:r>
          </w:p>
        </w:tc>
        <w:tc>
          <w:tcPr>
            <w:tcW w:w="755" w:type="dxa"/>
            <w:noWrap/>
            <w:hideMark/>
          </w:tcPr>
          <w:p w14:paraId="0A163E6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14.01%</w:t>
            </w:r>
          </w:p>
        </w:tc>
      </w:tr>
      <w:tr w:rsidR="001D05E2" w:rsidRPr="001D05E2" w14:paraId="752D0F6E" w14:textId="77777777" w:rsidTr="00360B83">
        <w:trPr>
          <w:trHeight w:val="315"/>
        </w:trPr>
        <w:tc>
          <w:tcPr>
            <w:tcW w:w="1450" w:type="dxa"/>
            <w:noWrap/>
            <w:hideMark/>
          </w:tcPr>
          <w:p w14:paraId="25B6A7F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 </w:t>
            </w:r>
          </w:p>
        </w:tc>
        <w:tc>
          <w:tcPr>
            <w:tcW w:w="755" w:type="dxa"/>
            <w:noWrap/>
            <w:hideMark/>
          </w:tcPr>
          <w:p w14:paraId="6B55CA1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5535B38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0834E68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707CDAD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00E4C92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640646B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5FD3E15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5E791D3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67620FC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c>
          <w:tcPr>
            <w:tcW w:w="755" w:type="dxa"/>
            <w:noWrap/>
            <w:hideMark/>
          </w:tcPr>
          <w:p w14:paraId="3803645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100.00%</w:t>
            </w:r>
          </w:p>
        </w:tc>
      </w:tr>
      <w:tr w:rsidR="001D05E2" w:rsidRPr="001D05E2" w14:paraId="49715DC4" w14:textId="77777777" w:rsidTr="00360B83">
        <w:trPr>
          <w:trHeight w:val="315"/>
        </w:trPr>
        <w:tc>
          <w:tcPr>
            <w:tcW w:w="9000" w:type="dxa"/>
            <w:gridSpan w:val="11"/>
            <w:noWrap/>
          </w:tcPr>
          <w:p w14:paraId="5CB5E725" w14:textId="77777777" w:rsidR="001D05E2" w:rsidRPr="001D05E2" w:rsidRDefault="001D05E2" w:rsidP="001D05E2">
            <w:pPr>
              <w:spacing w:line="278" w:lineRule="auto"/>
              <w:rPr>
                <w:rFonts w:ascii="Times New Roman" w:hAnsi="Times New Roman" w:cs="Times New Roman"/>
              </w:rPr>
            </w:pPr>
          </w:p>
        </w:tc>
      </w:tr>
    </w:tbl>
    <w:p w14:paraId="1D27148D" w14:textId="77777777" w:rsidR="001D05E2" w:rsidRPr="001D05E2" w:rsidRDefault="001D05E2" w:rsidP="001D05E2">
      <w:pPr>
        <w:rPr>
          <w:rFonts w:ascii="Times New Roman" w:hAnsi="Times New Roman" w:cs="Times New Roman"/>
        </w:rPr>
        <w:sectPr w:rsidR="001D05E2" w:rsidRPr="001D05E2" w:rsidSect="000566CB">
          <w:endnotePr>
            <w:numFmt w:val="decimal"/>
          </w:endnotePr>
          <w:pgSz w:w="15840" w:h="12240" w:orient="landscape" w:code="1"/>
          <w:pgMar w:top="1800" w:right="1440" w:bottom="1440" w:left="1440" w:header="720" w:footer="720" w:gutter="0"/>
          <w:cols w:space="720"/>
          <w:noEndnote/>
          <w:titlePg/>
          <w:docGrid w:linePitch="360"/>
        </w:sectPr>
      </w:pPr>
    </w:p>
    <w:p w14:paraId="433B3FE6" w14:textId="3305C825" w:rsidR="001D05E2" w:rsidRPr="001D05E2" w:rsidRDefault="001D05E2" w:rsidP="00D4391E">
      <w:pPr>
        <w:jc w:val="center"/>
        <w:rPr>
          <w:rFonts w:ascii="Times New Roman" w:hAnsi="Times New Roman" w:cs="Times New Roman"/>
        </w:rPr>
      </w:pPr>
      <w:r w:rsidRPr="001D05E2">
        <w:rPr>
          <w:rFonts w:ascii="Times New Roman" w:hAnsi="Times New Roman" w:cs="Times New Roman"/>
          <w:b/>
          <w:bCs/>
        </w:rPr>
        <w:t xml:space="preserve">Table </w:t>
      </w:r>
      <w:r w:rsidR="00D4391E">
        <w:rPr>
          <w:rFonts w:ascii="Times New Roman" w:hAnsi="Times New Roman" w:cs="Times New Roman"/>
          <w:b/>
          <w:bCs/>
        </w:rPr>
        <w:t>S57</w:t>
      </w:r>
      <w:r w:rsidRPr="001D05E2">
        <w:rPr>
          <w:rFonts w:ascii="Times New Roman" w:hAnsi="Times New Roman" w:cs="Times New Roman"/>
          <w:b/>
          <w:bCs/>
        </w:rPr>
        <w:t>.</w:t>
      </w:r>
      <w:r w:rsidRPr="001D05E2">
        <w:rPr>
          <w:rFonts w:ascii="Times New Roman" w:hAnsi="Times New Roman" w:cs="Times New Roman"/>
        </w:rPr>
        <w:t xml:space="preserve"> Parameters Used to Estimate the Contribution of Forest Products to MSW Landfill Methane</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520"/>
        <w:gridCol w:w="2430"/>
        <w:gridCol w:w="2560"/>
        <w:gridCol w:w="410"/>
      </w:tblGrid>
      <w:tr w:rsidR="001D05E2" w:rsidRPr="001D05E2" w14:paraId="7C649550" w14:textId="77777777" w:rsidTr="00360B83">
        <w:trPr>
          <w:jc w:val="center"/>
        </w:trPr>
        <w:tc>
          <w:tcPr>
            <w:tcW w:w="2520" w:type="dxa"/>
            <w:shd w:val="clear" w:color="auto" w:fill="D9D9D9" w:themeFill="background1" w:themeFillShade="D9"/>
          </w:tcPr>
          <w:p w14:paraId="530F32D2" w14:textId="77777777" w:rsidR="001D05E2" w:rsidRPr="001D05E2" w:rsidRDefault="001D05E2" w:rsidP="001D05E2">
            <w:pPr>
              <w:rPr>
                <w:rFonts w:ascii="Times New Roman" w:hAnsi="Times New Roman" w:cs="Times New Roman"/>
              </w:rPr>
            </w:pPr>
            <w:r w:rsidRPr="001D05E2">
              <w:rPr>
                <w:rFonts w:ascii="Times New Roman" w:hAnsi="Times New Roman" w:cs="Times New Roman"/>
              </w:rPr>
              <w:t>Waste Material</w:t>
            </w:r>
          </w:p>
        </w:tc>
        <w:tc>
          <w:tcPr>
            <w:tcW w:w="2430" w:type="dxa"/>
            <w:shd w:val="clear" w:color="auto" w:fill="D9D9D9" w:themeFill="background1" w:themeFillShade="D9"/>
          </w:tcPr>
          <w:p w14:paraId="091D7B15" w14:textId="596B125F" w:rsidR="001D05E2" w:rsidRPr="001D05E2" w:rsidRDefault="001D05E2" w:rsidP="001D05E2">
            <w:pPr>
              <w:jc w:val="center"/>
              <w:rPr>
                <w:rFonts w:ascii="Times New Roman" w:hAnsi="Times New Roman" w:cs="Times New Roman"/>
              </w:rPr>
            </w:pPr>
            <w:r w:rsidRPr="001D05E2">
              <w:rPr>
                <w:rFonts w:ascii="Times New Roman" w:hAnsi="Times New Roman" w:cs="Times New Roman"/>
              </w:rPr>
              <w:t xml:space="preserve">Nondegradable Fraction of Carbon </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{"citationID":"RjX4BcFg","properties":{"formattedCitation":"\\super 40\\nosupersub{}","plainCitation":"40","noteIndex":0},"citationItems":[{"id":65,"uris":["http://zotero.org/users/18184231/items/VR9BR2GR"],"itemData":{"id":65,"type":"report","language":"en","source":"Zotero","title":"Documentation for Greenhouse Gas Emission and Energy Factors Used in the Waste Reduction Model (WARM) - Management Practices Chapters","URL":"https://www.epa.gov/sites/default/files/2020-12/documents/warm_management_practices_v15_10-29-2020.pdf","author":[{"family":"United States Environmental Protection Agency (EPA)","given":""}],"issued":{"date-parts":[["2020"]]}}}],"schema":"https://github.com/citation-style-language/schema/raw/master/csl-citation.json"}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40</w:t>
            </w:r>
            <w:r w:rsidRPr="001D05E2">
              <w:rPr>
                <w:rFonts w:ascii="Times New Roman" w:hAnsi="Times New Roman" w:cs="Times New Roman"/>
              </w:rPr>
              <w:fldChar w:fldCharType="end"/>
            </w:r>
          </w:p>
        </w:tc>
        <w:tc>
          <w:tcPr>
            <w:tcW w:w="2970" w:type="dxa"/>
            <w:gridSpan w:val="2"/>
            <w:shd w:val="clear" w:color="auto" w:fill="D9D9D9" w:themeFill="background1" w:themeFillShade="D9"/>
          </w:tcPr>
          <w:p w14:paraId="4B079178" w14:textId="011FB19F" w:rsidR="001D05E2" w:rsidRPr="001D05E2" w:rsidRDefault="001D05E2" w:rsidP="001D05E2">
            <w:pPr>
              <w:jc w:val="center"/>
              <w:rPr>
                <w:rFonts w:ascii="Times New Roman" w:hAnsi="Times New Roman" w:cs="Times New Roman"/>
              </w:rPr>
            </w:pPr>
            <w:r w:rsidRPr="001D05E2">
              <w:rPr>
                <w:rFonts w:ascii="Times New Roman" w:hAnsi="Times New Roman" w:cs="Times New Roman"/>
              </w:rPr>
              <w:t>Half-Life of Degradable Carbon in Landfills, Years</w:t>
            </w:r>
            <w:r w:rsidRPr="001D05E2">
              <w:rPr>
                <w:rFonts w:ascii="Times New Roman" w:hAnsi="Times New Roman" w:cs="Times New Roman"/>
              </w:rPr>
              <w:fldChar w:fldCharType="begin"/>
            </w:r>
            <w:r w:rsidR="006B64BF">
              <w:rPr>
                <w:rFonts w:ascii="Times New Roman" w:hAnsi="Times New Roman" w:cs="Times New Roman"/>
              </w:rPr>
              <w:instrText xml:space="preserve"> ADDIN ZOTERO_ITEM CSL_CITATION {"citationID":"KyVJYom2","properties":{"formattedCitation":"\\super 40\\nosupersub{}","plainCitation":"40","noteIndex":0},"citationItems":[{"id":65,"uris":["http://zotero.org/users/18184231/items/VR9BR2GR"],"itemData":{"id":65,"type":"report","language":"en","source":"Zotero","title":"Documentation for Greenhouse Gas Emission and Energy Factors Used in the Waste Reduction Model (WARM) - Management Practices Chapters","URL":"https://www.epa.gov/sites/default/files/2020-12/documents/warm_management_practices_v15_10-29-2020.pdf","author":[{"family":"United States Environmental Protection Agency (EPA)","given":""}],"issued":{"date-parts":[["2020"]]}}}],"schema":"https://github.com/citation-style-language/schema/raw/master/csl-citation.json"} </w:instrText>
            </w:r>
            <w:r w:rsidRPr="001D05E2">
              <w:rPr>
                <w:rFonts w:ascii="Times New Roman" w:hAnsi="Times New Roman" w:cs="Times New Roman"/>
              </w:rPr>
              <w:fldChar w:fldCharType="separate"/>
            </w:r>
            <w:r w:rsidR="006B64BF" w:rsidRPr="006B64BF">
              <w:rPr>
                <w:rFonts w:ascii="Times New Roman" w:hAnsi="Times New Roman" w:cs="Times New Roman"/>
                <w:kern w:val="0"/>
                <w:vertAlign w:val="superscript"/>
              </w:rPr>
              <w:t>40</w:t>
            </w:r>
            <w:r w:rsidRPr="001D05E2">
              <w:rPr>
                <w:rFonts w:ascii="Times New Roman" w:hAnsi="Times New Roman" w:cs="Times New Roman"/>
              </w:rPr>
              <w:fldChar w:fldCharType="end"/>
            </w:r>
          </w:p>
        </w:tc>
      </w:tr>
      <w:tr w:rsidR="001D05E2" w:rsidRPr="001D05E2" w14:paraId="6F1E4916" w14:textId="77777777" w:rsidTr="00360B83">
        <w:trPr>
          <w:jc w:val="center"/>
        </w:trPr>
        <w:tc>
          <w:tcPr>
            <w:tcW w:w="2520" w:type="dxa"/>
          </w:tcPr>
          <w:p w14:paraId="39C10D68" w14:textId="77777777" w:rsidR="001D05E2" w:rsidRPr="001D05E2" w:rsidRDefault="001D05E2" w:rsidP="001D05E2">
            <w:pPr>
              <w:spacing w:after="160"/>
              <w:rPr>
                <w:rFonts w:ascii="Times New Roman" w:hAnsi="Times New Roman" w:cs="Times New Roman"/>
              </w:rPr>
            </w:pPr>
            <w:r w:rsidRPr="001D05E2">
              <w:rPr>
                <w:rFonts w:ascii="Times New Roman" w:hAnsi="Times New Roman" w:cs="Times New Roman"/>
              </w:rPr>
              <w:t xml:space="preserve">Paper and </w:t>
            </w:r>
            <w:proofErr w:type="spellStart"/>
            <w:r w:rsidRPr="001D05E2">
              <w:rPr>
                <w:rFonts w:ascii="Times New Roman" w:hAnsi="Times New Roman" w:cs="Times New Roman"/>
              </w:rPr>
              <w:t>paperboard</w:t>
            </w:r>
            <w:r w:rsidRPr="001D05E2">
              <w:rPr>
                <w:rFonts w:ascii="Times New Roman" w:hAnsi="Times New Roman" w:cs="Times New Roman"/>
                <w:vertAlign w:val="superscript"/>
              </w:rPr>
              <w:t>a</w:t>
            </w:r>
            <w:proofErr w:type="spellEnd"/>
          </w:p>
        </w:tc>
        <w:tc>
          <w:tcPr>
            <w:tcW w:w="2430" w:type="dxa"/>
          </w:tcPr>
          <w:p w14:paraId="3E2C25A0"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0.56</w:t>
            </w:r>
          </w:p>
        </w:tc>
        <w:tc>
          <w:tcPr>
            <w:tcW w:w="2970" w:type="dxa"/>
            <w:gridSpan w:val="2"/>
          </w:tcPr>
          <w:p w14:paraId="3EAC329B"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11.9</w:t>
            </w:r>
          </w:p>
        </w:tc>
      </w:tr>
      <w:tr w:rsidR="001D05E2" w:rsidRPr="001D05E2" w14:paraId="32840977" w14:textId="77777777" w:rsidTr="00360B83">
        <w:trPr>
          <w:jc w:val="center"/>
        </w:trPr>
        <w:tc>
          <w:tcPr>
            <w:tcW w:w="2520" w:type="dxa"/>
          </w:tcPr>
          <w:p w14:paraId="77E6B698" w14:textId="77777777" w:rsidR="001D05E2" w:rsidRPr="001D05E2" w:rsidRDefault="001D05E2" w:rsidP="001D05E2">
            <w:pPr>
              <w:spacing w:after="160"/>
              <w:rPr>
                <w:rFonts w:ascii="Times New Roman" w:hAnsi="Times New Roman" w:cs="Times New Roman"/>
              </w:rPr>
            </w:pPr>
            <w:r w:rsidRPr="001D05E2">
              <w:rPr>
                <w:rFonts w:ascii="Times New Roman" w:hAnsi="Times New Roman" w:cs="Times New Roman"/>
              </w:rPr>
              <w:t xml:space="preserve">Wood </w:t>
            </w:r>
            <w:proofErr w:type="spellStart"/>
            <w:r w:rsidRPr="001D05E2">
              <w:rPr>
                <w:rFonts w:ascii="Times New Roman" w:hAnsi="Times New Roman" w:cs="Times New Roman"/>
              </w:rPr>
              <w:t>products</w:t>
            </w:r>
            <w:r w:rsidRPr="001D05E2">
              <w:rPr>
                <w:rFonts w:ascii="Times New Roman" w:hAnsi="Times New Roman" w:cs="Times New Roman"/>
                <w:vertAlign w:val="superscript"/>
              </w:rPr>
              <w:t>b</w:t>
            </w:r>
            <w:proofErr w:type="spellEnd"/>
          </w:p>
        </w:tc>
        <w:tc>
          <w:tcPr>
            <w:tcW w:w="2430" w:type="dxa"/>
          </w:tcPr>
          <w:p w14:paraId="68F7CABF"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0.86</w:t>
            </w:r>
          </w:p>
        </w:tc>
        <w:tc>
          <w:tcPr>
            <w:tcW w:w="2970" w:type="dxa"/>
            <w:gridSpan w:val="2"/>
          </w:tcPr>
          <w:p w14:paraId="0529E006"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7.3</w:t>
            </w:r>
          </w:p>
        </w:tc>
      </w:tr>
      <w:tr w:rsidR="001D05E2" w:rsidRPr="001D05E2" w14:paraId="37173BB7" w14:textId="77777777" w:rsidTr="00360B83">
        <w:trPr>
          <w:jc w:val="center"/>
        </w:trPr>
        <w:tc>
          <w:tcPr>
            <w:tcW w:w="2520" w:type="dxa"/>
          </w:tcPr>
          <w:p w14:paraId="0E6BF86B" w14:textId="77777777" w:rsidR="001D05E2" w:rsidRPr="001D05E2" w:rsidRDefault="001D05E2" w:rsidP="001D05E2">
            <w:pPr>
              <w:spacing w:after="160"/>
              <w:rPr>
                <w:rFonts w:ascii="Times New Roman" w:hAnsi="Times New Roman" w:cs="Times New Roman"/>
              </w:rPr>
            </w:pPr>
            <w:r w:rsidRPr="001D05E2">
              <w:rPr>
                <w:rFonts w:ascii="Times New Roman" w:hAnsi="Times New Roman" w:cs="Times New Roman"/>
              </w:rPr>
              <w:t>Food waste</w:t>
            </w:r>
          </w:p>
        </w:tc>
        <w:tc>
          <w:tcPr>
            <w:tcW w:w="2430" w:type="dxa"/>
          </w:tcPr>
          <w:p w14:paraId="5F25E0B5"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0.16</w:t>
            </w:r>
          </w:p>
        </w:tc>
        <w:tc>
          <w:tcPr>
            <w:tcW w:w="2970" w:type="dxa"/>
            <w:gridSpan w:val="2"/>
          </w:tcPr>
          <w:p w14:paraId="4B2A76AA"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3.6</w:t>
            </w:r>
          </w:p>
        </w:tc>
      </w:tr>
      <w:tr w:rsidR="001D05E2" w:rsidRPr="001D05E2" w14:paraId="45A9EE6C" w14:textId="77777777" w:rsidTr="00360B83">
        <w:trPr>
          <w:jc w:val="center"/>
        </w:trPr>
        <w:tc>
          <w:tcPr>
            <w:tcW w:w="2520" w:type="dxa"/>
          </w:tcPr>
          <w:p w14:paraId="115A9ACC" w14:textId="77777777" w:rsidR="001D05E2" w:rsidRPr="001D05E2" w:rsidRDefault="001D05E2" w:rsidP="001D05E2">
            <w:pPr>
              <w:spacing w:after="160"/>
              <w:rPr>
                <w:rFonts w:ascii="Times New Roman" w:hAnsi="Times New Roman" w:cs="Times New Roman"/>
              </w:rPr>
            </w:pPr>
            <w:r w:rsidRPr="001D05E2">
              <w:rPr>
                <w:rFonts w:ascii="Times New Roman" w:hAnsi="Times New Roman" w:cs="Times New Roman"/>
              </w:rPr>
              <w:t>Yard waste</w:t>
            </w:r>
          </w:p>
        </w:tc>
        <w:tc>
          <w:tcPr>
            <w:tcW w:w="2430" w:type="dxa"/>
          </w:tcPr>
          <w:p w14:paraId="5BF14A3E"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0.69</w:t>
            </w:r>
          </w:p>
        </w:tc>
        <w:tc>
          <w:tcPr>
            <w:tcW w:w="2970" w:type="dxa"/>
            <w:gridSpan w:val="2"/>
          </w:tcPr>
          <w:p w14:paraId="52BA06F6" w14:textId="77777777" w:rsidR="001D05E2" w:rsidRPr="001D05E2" w:rsidRDefault="001D05E2" w:rsidP="001D05E2">
            <w:pPr>
              <w:spacing w:after="160"/>
              <w:jc w:val="center"/>
              <w:rPr>
                <w:rFonts w:ascii="Times New Roman" w:hAnsi="Times New Roman" w:cs="Times New Roman"/>
              </w:rPr>
            </w:pPr>
            <w:r w:rsidRPr="001D05E2">
              <w:rPr>
                <w:rFonts w:ascii="Times New Roman" w:hAnsi="Times New Roman" w:cs="Times New Roman"/>
              </w:rPr>
              <w:t>2.7</w:t>
            </w:r>
          </w:p>
        </w:tc>
      </w:tr>
      <w:tr w:rsidR="001D05E2" w:rsidRPr="001D05E2" w14:paraId="69E9A693" w14:textId="77777777" w:rsidTr="00360B83">
        <w:trPr>
          <w:gridAfter w:val="1"/>
          <w:wAfter w:w="410" w:type="dxa"/>
          <w:jc w:val="center"/>
        </w:trPr>
        <w:tc>
          <w:tcPr>
            <w:tcW w:w="7510" w:type="dxa"/>
            <w:gridSpan w:val="3"/>
          </w:tcPr>
          <w:p w14:paraId="232C8405" w14:textId="77777777" w:rsidR="001D05E2" w:rsidRPr="001D05E2" w:rsidRDefault="001D05E2" w:rsidP="001D05E2">
            <w:pPr>
              <w:spacing w:after="160"/>
              <w:rPr>
                <w:rFonts w:ascii="Times New Roman" w:hAnsi="Times New Roman" w:cs="Times New Roman"/>
              </w:rPr>
            </w:pPr>
            <w:r w:rsidRPr="001D05E2">
              <w:rPr>
                <w:rFonts w:ascii="Times New Roman" w:hAnsi="Times New Roman" w:cs="Times New Roman"/>
                <w:vertAlign w:val="superscript"/>
              </w:rPr>
              <w:t>a</w:t>
            </w:r>
            <w:r w:rsidRPr="001D05E2">
              <w:rPr>
                <w:rFonts w:ascii="Times New Roman" w:hAnsi="Times New Roman" w:cs="Times New Roman"/>
              </w:rPr>
              <w:t xml:space="preserve"> Simple </w:t>
            </w:r>
            <w:proofErr w:type="gramStart"/>
            <w:r w:rsidRPr="001D05E2">
              <w:rPr>
                <w:rFonts w:ascii="Times New Roman" w:hAnsi="Times New Roman" w:cs="Times New Roman"/>
              </w:rPr>
              <w:t>average of</w:t>
            </w:r>
            <w:proofErr w:type="gramEnd"/>
            <w:r w:rsidRPr="001D05E2">
              <w:rPr>
                <w:rFonts w:ascii="Times New Roman" w:hAnsi="Times New Roman" w:cs="Times New Roman"/>
              </w:rPr>
              <w:t xml:space="preserve"> values for different types of paper and paperboard.</w:t>
            </w:r>
          </w:p>
          <w:p w14:paraId="7DD18509" w14:textId="77777777" w:rsidR="001D05E2" w:rsidRPr="001D05E2" w:rsidRDefault="001D05E2" w:rsidP="001D05E2">
            <w:pPr>
              <w:spacing w:after="160"/>
              <w:rPr>
                <w:rFonts w:ascii="Times New Roman" w:hAnsi="Times New Roman" w:cs="Times New Roman"/>
              </w:rPr>
            </w:pPr>
            <w:r w:rsidRPr="001D05E2">
              <w:rPr>
                <w:rFonts w:ascii="Times New Roman" w:hAnsi="Times New Roman" w:cs="Times New Roman"/>
                <w:vertAlign w:val="superscript"/>
              </w:rPr>
              <w:t>b</w:t>
            </w:r>
            <w:r w:rsidRPr="001D05E2">
              <w:rPr>
                <w:rFonts w:ascii="Times New Roman" w:hAnsi="Times New Roman" w:cs="Times New Roman"/>
              </w:rPr>
              <w:t xml:space="preserve"> Simple average of lumber and MDF. </w:t>
            </w:r>
          </w:p>
        </w:tc>
      </w:tr>
    </w:tbl>
    <w:p w14:paraId="43A83C6E" w14:textId="77777777" w:rsidR="001D05E2" w:rsidRPr="001D05E2" w:rsidRDefault="001D05E2" w:rsidP="001D05E2">
      <w:pPr>
        <w:rPr>
          <w:rFonts w:ascii="Times New Roman" w:hAnsi="Times New Roman" w:cs="Times New Roman"/>
        </w:rPr>
      </w:pPr>
    </w:p>
    <w:p w14:paraId="6CF8E341" w14:textId="13C4B1E3" w:rsidR="001D05E2" w:rsidRPr="001D05E2" w:rsidRDefault="001D05E2" w:rsidP="00D4391E">
      <w:pPr>
        <w:jc w:val="center"/>
        <w:rPr>
          <w:rFonts w:ascii="Times New Roman" w:hAnsi="Times New Roman" w:cs="Times New Roman"/>
        </w:rPr>
      </w:pPr>
      <w:r w:rsidRPr="001D05E2">
        <w:rPr>
          <w:rFonts w:ascii="Times New Roman" w:hAnsi="Times New Roman" w:cs="Times New Roman"/>
          <w:b/>
          <w:bCs/>
        </w:rPr>
        <w:t xml:space="preserve">Table </w:t>
      </w:r>
      <w:r w:rsidR="00D4391E">
        <w:rPr>
          <w:rFonts w:ascii="Times New Roman" w:hAnsi="Times New Roman" w:cs="Times New Roman"/>
          <w:b/>
          <w:bCs/>
        </w:rPr>
        <w:t>S58</w:t>
      </w:r>
      <w:r w:rsidRPr="001D05E2">
        <w:rPr>
          <w:rFonts w:ascii="Times New Roman" w:hAnsi="Times New Roman" w:cs="Times New Roman"/>
          <w:b/>
          <w:bCs/>
        </w:rPr>
        <w:t>.</w:t>
      </w:r>
      <w:r w:rsidRPr="001D05E2">
        <w:rPr>
          <w:rFonts w:ascii="Times New Roman" w:hAnsi="Times New Roman" w:cs="Times New Roman"/>
        </w:rPr>
        <w:t xml:space="preserve"> Fraction of Methane Attributable to Each Type of Waste in MSW</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60"/>
        <w:gridCol w:w="2455"/>
        <w:gridCol w:w="1170"/>
        <w:gridCol w:w="1080"/>
        <w:gridCol w:w="1440"/>
      </w:tblGrid>
      <w:tr w:rsidR="001D05E2" w:rsidRPr="001D05E2" w14:paraId="7D6518CF" w14:textId="77777777" w:rsidTr="00360B83">
        <w:trPr>
          <w:trHeight w:val="144"/>
          <w:tblHeader/>
          <w:jc w:val="center"/>
        </w:trPr>
        <w:tc>
          <w:tcPr>
            <w:tcW w:w="960" w:type="dxa"/>
            <w:shd w:val="clear" w:color="auto" w:fill="D9D9D9" w:themeFill="background1" w:themeFillShade="D9"/>
            <w:noWrap/>
            <w:hideMark/>
          </w:tcPr>
          <w:p w14:paraId="233338F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Year</w:t>
            </w:r>
          </w:p>
        </w:tc>
        <w:tc>
          <w:tcPr>
            <w:tcW w:w="2455" w:type="dxa"/>
            <w:shd w:val="clear" w:color="auto" w:fill="D9D9D9" w:themeFill="background1" w:themeFillShade="D9"/>
            <w:noWrap/>
            <w:hideMark/>
          </w:tcPr>
          <w:p w14:paraId="7F1C20A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Paper and paperboard</w:t>
            </w:r>
          </w:p>
        </w:tc>
        <w:tc>
          <w:tcPr>
            <w:tcW w:w="1170" w:type="dxa"/>
            <w:shd w:val="clear" w:color="auto" w:fill="D9D9D9" w:themeFill="background1" w:themeFillShade="D9"/>
            <w:noWrap/>
            <w:hideMark/>
          </w:tcPr>
          <w:p w14:paraId="751CD1B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Wood</w:t>
            </w:r>
          </w:p>
        </w:tc>
        <w:tc>
          <w:tcPr>
            <w:tcW w:w="1080" w:type="dxa"/>
            <w:shd w:val="clear" w:color="auto" w:fill="D9D9D9" w:themeFill="background1" w:themeFillShade="D9"/>
            <w:noWrap/>
            <w:hideMark/>
          </w:tcPr>
          <w:p w14:paraId="6DA59AC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Food</w:t>
            </w:r>
          </w:p>
        </w:tc>
        <w:tc>
          <w:tcPr>
            <w:tcW w:w="1440" w:type="dxa"/>
            <w:shd w:val="clear" w:color="auto" w:fill="D9D9D9" w:themeFill="background1" w:themeFillShade="D9"/>
            <w:noWrap/>
            <w:hideMark/>
          </w:tcPr>
          <w:p w14:paraId="052F29D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Yard Waste</w:t>
            </w:r>
          </w:p>
        </w:tc>
      </w:tr>
      <w:tr w:rsidR="001D05E2" w:rsidRPr="001D05E2" w14:paraId="76AA86A4" w14:textId="77777777" w:rsidTr="00360B83">
        <w:trPr>
          <w:trHeight w:val="144"/>
          <w:jc w:val="center"/>
        </w:trPr>
        <w:tc>
          <w:tcPr>
            <w:tcW w:w="960" w:type="dxa"/>
            <w:noWrap/>
            <w:hideMark/>
          </w:tcPr>
          <w:p w14:paraId="2A75B92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1960</w:t>
            </w:r>
          </w:p>
        </w:tc>
        <w:tc>
          <w:tcPr>
            <w:tcW w:w="2455" w:type="dxa"/>
            <w:noWrap/>
          </w:tcPr>
          <w:p w14:paraId="014C119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0.412</w:t>
            </w:r>
          </w:p>
        </w:tc>
        <w:tc>
          <w:tcPr>
            <w:tcW w:w="1170" w:type="dxa"/>
            <w:noWrap/>
          </w:tcPr>
          <w:p w14:paraId="5E4C79B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36E65ED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0.361</w:t>
            </w:r>
          </w:p>
        </w:tc>
        <w:tc>
          <w:tcPr>
            <w:tcW w:w="1440" w:type="dxa"/>
            <w:noWrap/>
          </w:tcPr>
          <w:p w14:paraId="3ED118A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0.211</w:t>
            </w:r>
          </w:p>
        </w:tc>
      </w:tr>
      <w:tr w:rsidR="001D05E2" w:rsidRPr="001D05E2" w14:paraId="4368CFA4" w14:textId="77777777" w:rsidTr="00360B83">
        <w:trPr>
          <w:trHeight w:val="144"/>
          <w:jc w:val="center"/>
        </w:trPr>
        <w:tc>
          <w:tcPr>
            <w:tcW w:w="960" w:type="dxa"/>
            <w:noWrap/>
            <w:hideMark/>
          </w:tcPr>
          <w:p w14:paraId="06FC3D9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1961</w:t>
            </w:r>
          </w:p>
        </w:tc>
        <w:tc>
          <w:tcPr>
            <w:tcW w:w="2455" w:type="dxa"/>
            <w:noWrap/>
          </w:tcPr>
          <w:p w14:paraId="15D36EA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0.412</w:t>
            </w:r>
          </w:p>
        </w:tc>
        <w:tc>
          <w:tcPr>
            <w:tcW w:w="1170" w:type="dxa"/>
            <w:noWrap/>
          </w:tcPr>
          <w:p w14:paraId="6B4890E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59EBA30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0.361</w:t>
            </w:r>
          </w:p>
        </w:tc>
        <w:tc>
          <w:tcPr>
            <w:tcW w:w="1440" w:type="dxa"/>
            <w:noWrap/>
          </w:tcPr>
          <w:p w14:paraId="3FDAAE9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0.211</w:t>
            </w:r>
          </w:p>
        </w:tc>
      </w:tr>
      <w:tr w:rsidR="001D05E2" w:rsidRPr="001D05E2" w14:paraId="0590E96C" w14:textId="77777777" w:rsidTr="00360B83">
        <w:trPr>
          <w:trHeight w:val="144"/>
          <w:jc w:val="center"/>
        </w:trPr>
        <w:tc>
          <w:tcPr>
            <w:tcW w:w="960" w:type="dxa"/>
            <w:noWrap/>
            <w:hideMark/>
          </w:tcPr>
          <w:p w14:paraId="26F298E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1962</w:t>
            </w:r>
          </w:p>
        </w:tc>
        <w:tc>
          <w:tcPr>
            <w:tcW w:w="2455" w:type="dxa"/>
            <w:noWrap/>
          </w:tcPr>
          <w:p w14:paraId="43E1877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0.408</w:t>
            </w:r>
          </w:p>
        </w:tc>
        <w:tc>
          <w:tcPr>
            <w:tcW w:w="1170" w:type="dxa"/>
            <w:noWrap/>
          </w:tcPr>
          <w:p w14:paraId="3E1722D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189FA16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0.362</w:t>
            </w:r>
          </w:p>
        </w:tc>
        <w:tc>
          <w:tcPr>
            <w:tcW w:w="1440" w:type="dxa"/>
            <w:noWrap/>
          </w:tcPr>
          <w:p w14:paraId="3F00322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0.214</w:t>
            </w:r>
          </w:p>
        </w:tc>
      </w:tr>
      <w:tr w:rsidR="001D05E2" w:rsidRPr="001D05E2" w14:paraId="4C8CE9FB" w14:textId="77777777" w:rsidTr="00360B83">
        <w:trPr>
          <w:trHeight w:val="144"/>
          <w:jc w:val="center"/>
        </w:trPr>
        <w:tc>
          <w:tcPr>
            <w:tcW w:w="960" w:type="dxa"/>
            <w:noWrap/>
            <w:hideMark/>
          </w:tcPr>
          <w:p w14:paraId="2357934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1963</w:t>
            </w:r>
          </w:p>
        </w:tc>
        <w:tc>
          <w:tcPr>
            <w:tcW w:w="2455" w:type="dxa"/>
            <w:noWrap/>
          </w:tcPr>
          <w:p w14:paraId="71B8CED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0.406</w:t>
            </w:r>
          </w:p>
        </w:tc>
        <w:tc>
          <w:tcPr>
            <w:tcW w:w="1170" w:type="dxa"/>
            <w:noWrap/>
          </w:tcPr>
          <w:p w14:paraId="59E52BE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47D3517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0.362</w:t>
            </w:r>
          </w:p>
        </w:tc>
        <w:tc>
          <w:tcPr>
            <w:tcW w:w="1440" w:type="dxa"/>
            <w:noWrap/>
          </w:tcPr>
          <w:p w14:paraId="10E8C2F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0.217</w:t>
            </w:r>
          </w:p>
        </w:tc>
      </w:tr>
      <w:tr w:rsidR="001D05E2" w:rsidRPr="001D05E2" w14:paraId="5477B718" w14:textId="77777777" w:rsidTr="00360B83">
        <w:trPr>
          <w:trHeight w:val="144"/>
          <w:jc w:val="center"/>
        </w:trPr>
        <w:tc>
          <w:tcPr>
            <w:tcW w:w="960" w:type="dxa"/>
            <w:noWrap/>
            <w:hideMark/>
          </w:tcPr>
          <w:p w14:paraId="54F9110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1964</w:t>
            </w:r>
          </w:p>
        </w:tc>
        <w:tc>
          <w:tcPr>
            <w:tcW w:w="2455" w:type="dxa"/>
            <w:noWrap/>
          </w:tcPr>
          <w:p w14:paraId="720E56D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0.406</w:t>
            </w:r>
          </w:p>
        </w:tc>
        <w:tc>
          <w:tcPr>
            <w:tcW w:w="1170" w:type="dxa"/>
            <w:noWrap/>
          </w:tcPr>
          <w:p w14:paraId="2B272DA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190F6A1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0.361</w:t>
            </w:r>
          </w:p>
        </w:tc>
        <w:tc>
          <w:tcPr>
            <w:tcW w:w="1440" w:type="dxa"/>
            <w:noWrap/>
          </w:tcPr>
          <w:p w14:paraId="7F64AE1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0.218</w:t>
            </w:r>
          </w:p>
        </w:tc>
      </w:tr>
      <w:tr w:rsidR="001D05E2" w:rsidRPr="001D05E2" w14:paraId="38E18F15" w14:textId="77777777" w:rsidTr="00360B83">
        <w:trPr>
          <w:trHeight w:val="144"/>
          <w:jc w:val="center"/>
        </w:trPr>
        <w:tc>
          <w:tcPr>
            <w:tcW w:w="960" w:type="dxa"/>
            <w:noWrap/>
            <w:hideMark/>
          </w:tcPr>
          <w:p w14:paraId="0FB7EE9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1965</w:t>
            </w:r>
          </w:p>
        </w:tc>
        <w:tc>
          <w:tcPr>
            <w:tcW w:w="2455" w:type="dxa"/>
            <w:noWrap/>
          </w:tcPr>
          <w:p w14:paraId="1E4996D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0.406</w:t>
            </w:r>
          </w:p>
        </w:tc>
        <w:tc>
          <w:tcPr>
            <w:tcW w:w="1170" w:type="dxa"/>
            <w:noWrap/>
          </w:tcPr>
          <w:p w14:paraId="082B6FA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0565FA3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0.359</w:t>
            </w:r>
          </w:p>
        </w:tc>
        <w:tc>
          <w:tcPr>
            <w:tcW w:w="1440" w:type="dxa"/>
            <w:noWrap/>
          </w:tcPr>
          <w:p w14:paraId="343D909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0.219</w:t>
            </w:r>
          </w:p>
        </w:tc>
      </w:tr>
      <w:tr w:rsidR="001D05E2" w:rsidRPr="001D05E2" w14:paraId="2864C876" w14:textId="77777777" w:rsidTr="00360B83">
        <w:trPr>
          <w:trHeight w:val="144"/>
          <w:jc w:val="center"/>
        </w:trPr>
        <w:tc>
          <w:tcPr>
            <w:tcW w:w="960" w:type="dxa"/>
            <w:noWrap/>
            <w:hideMark/>
          </w:tcPr>
          <w:p w14:paraId="403AED6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1966</w:t>
            </w:r>
          </w:p>
        </w:tc>
        <w:tc>
          <w:tcPr>
            <w:tcW w:w="2455" w:type="dxa"/>
            <w:noWrap/>
          </w:tcPr>
          <w:p w14:paraId="2FB1401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0.408</w:t>
            </w:r>
          </w:p>
        </w:tc>
        <w:tc>
          <w:tcPr>
            <w:tcW w:w="1170" w:type="dxa"/>
            <w:noWrap/>
          </w:tcPr>
          <w:p w14:paraId="3DF3648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0.015</w:t>
            </w:r>
          </w:p>
        </w:tc>
        <w:tc>
          <w:tcPr>
            <w:tcW w:w="1080" w:type="dxa"/>
            <w:noWrap/>
          </w:tcPr>
          <w:p w14:paraId="3D646A2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0.357</w:t>
            </w:r>
          </w:p>
        </w:tc>
        <w:tc>
          <w:tcPr>
            <w:tcW w:w="1440" w:type="dxa"/>
            <w:noWrap/>
          </w:tcPr>
          <w:p w14:paraId="5049559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0.219</w:t>
            </w:r>
          </w:p>
        </w:tc>
      </w:tr>
      <w:tr w:rsidR="001D05E2" w:rsidRPr="001D05E2" w14:paraId="356CAD1F" w14:textId="77777777" w:rsidTr="00360B83">
        <w:trPr>
          <w:trHeight w:val="144"/>
          <w:jc w:val="center"/>
        </w:trPr>
        <w:tc>
          <w:tcPr>
            <w:tcW w:w="960" w:type="dxa"/>
            <w:noWrap/>
            <w:hideMark/>
          </w:tcPr>
          <w:p w14:paraId="3D6B2B7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1967</w:t>
            </w:r>
          </w:p>
        </w:tc>
        <w:tc>
          <w:tcPr>
            <w:tcW w:w="2455" w:type="dxa"/>
            <w:noWrap/>
          </w:tcPr>
          <w:p w14:paraId="536F2A7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0.411</w:t>
            </w:r>
          </w:p>
        </w:tc>
        <w:tc>
          <w:tcPr>
            <w:tcW w:w="1170" w:type="dxa"/>
            <w:noWrap/>
          </w:tcPr>
          <w:p w14:paraId="6ABD77A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01A3A8F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0.355</w:t>
            </w:r>
          </w:p>
        </w:tc>
        <w:tc>
          <w:tcPr>
            <w:tcW w:w="1440" w:type="dxa"/>
            <w:noWrap/>
          </w:tcPr>
          <w:p w14:paraId="7E9501A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0.219</w:t>
            </w:r>
          </w:p>
        </w:tc>
      </w:tr>
      <w:tr w:rsidR="001D05E2" w:rsidRPr="001D05E2" w14:paraId="46537FE5" w14:textId="77777777" w:rsidTr="00360B83">
        <w:trPr>
          <w:trHeight w:val="144"/>
          <w:jc w:val="center"/>
        </w:trPr>
        <w:tc>
          <w:tcPr>
            <w:tcW w:w="960" w:type="dxa"/>
            <w:noWrap/>
            <w:hideMark/>
          </w:tcPr>
          <w:p w14:paraId="253A5AA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1968</w:t>
            </w:r>
          </w:p>
        </w:tc>
        <w:tc>
          <w:tcPr>
            <w:tcW w:w="2455" w:type="dxa"/>
            <w:noWrap/>
          </w:tcPr>
          <w:p w14:paraId="4AB46AB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0.414</w:t>
            </w:r>
          </w:p>
        </w:tc>
        <w:tc>
          <w:tcPr>
            <w:tcW w:w="1170" w:type="dxa"/>
            <w:noWrap/>
          </w:tcPr>
          <w:p w14:paraId="066EFB9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6AB5EB0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0.352</w:t>
            </w:r>
          </w:p>
        </w:tc>
        <w:tc>
          <w:tcPr>
            <w:tcW w:w="1440" w:type="dxa"/>
            <w:noWrap/>
          </w:tcPr>
          <w:p w14:paraId="60054C7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0.219</w:t>
            </w:r>
          </w:p>
        </w:tc>
      </w:tr>
      <w:tr w:rsidR="001D05E2" w:rsidRPr="001D05E2" w14:paraId="037329E6" w14:textId="77777777" w:rsidTr="00360B83">
        <w:trPr>
          <w:trHeight w:val="144"/>
          <w:jc w:val="center"/>
        </w:trPr>
        <w:tc>
          <w:tcPr>
            <w:tcW w:w="960" w:type="dxa"/>
            <w:noWrap/>
            <w:hideMark/>
          </w:tcPr>
          <w:p w14:paraId="0C5E480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1969</w:t>
            </w:r>
          </w:p>
        </w:tc>
        <w:tc>
          <w:tcPr>
            <w:tcW w:w="2455" w:type="dxa"/>
            <w:noWrap/>
          </w:tcPr>
          <w:p w14:paraId="17FE64E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0.418</w:t>
            </w:r>
          </w:p>
        </w:tc>
        <w:tc>
          <w:tcPr>
            <w:tcW w:w="1170" w:type="dxa"/>
            <w:noWrap/>
          </w:tcPr>
          <w:p w14:paraId="1572A1E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69B9F18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0.348</w:t>
            </w:r>
          </w:p>
        </w:tc>
        <w:tc>
          <w:tcPr>
            <w:tcW w:w="1440" w:type="dxa"/>
            <w:noWrap/>
          </w:tcPr>
          <w:p w14:paraId="1D73EDB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0.218</w:t>
            </w:r>
          </w:p>
        </w:tc>
      </w:tr>
      <w:tr w:rsidR="001D05E2" w:rsidRPr="001D05E2" w14:paraId="5058C920" w14:textId="77777777" w:rsidTr="00360B83">
        <w:trPr>
          <w:trHeight w:val="144"/>
          <w:jc w:val="center"/>
        </w:trPr>
        <w:tc>
          <w:tcPr>
            <w:tcW w:w="960" w:type="dxa"/>
            <w:noWrap/>
            <w:hideMark/>
          </w:tcPr>
          <w:p w14:paraId="741B1AA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1970</w:t>
            </w:r>
          </w:p>
        </w:tc>
        <w:tc>
          <w:tcPr>
            <w:tcW w:w="2455" w:type="dxa"/>
            <w:noWrap/>
          </w:tcPr>
          <w:p w14:paraId="4EDB023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0.422</w:t>
            </w:r>
          </w:p>
        </w:tc>
        <w:tc>
          <w:tcPr>
            <w:tcW w:w="1170" w:type="dxa"/>
            <w:noWrap/>
          </w:tcPr>
          <w:p w14:paraId="42F0C7A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2A27488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0.345</w:t>
            </w:r>
          </w:p>
        </w:tc>
        <w:tc>
          <w:tcPr>
            <w:tcW w:w="1440" w:type="dxa"/>
            <w:noWrap/>
          </w:tcPr>
          <w:p w14:paraId="401713A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0.218</w:t>
            </w:r>
          </w:p>
        </w:tc>
      </w:tr>
      <w:tr w:rsidR="001D05E2" w:rsidRPr="001D05E2" w14:paraId="77A377F6" w14:textId="77777777" w:rsidTr="00360B83">
        <w:trPr>
          <w:trHeight w:val="144"/>
          <w:jc w:val="center"/>
        </w:trPr>
        <w:tc>
          <w:tcPr>
            <w:tcW w:w="960" w:type="dxa"/>
            <w:noWrap/>
            <w:hideMark/>
          </w:tcPr>
          <w:p w14:paraId="7928AEF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1971</w:t>
            </w:r>
          </w:p>
        </w:tc>
        <w:tc>
          <w:tcPr>
            <w:tcW w:w="2455" w:type="dxa"/>
            <w:noWrap/>
          </w:tcPr>
          <w:p w14:paraId="28CCE12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0.427</w:t>
            </w:r>
          </w:p>
        </w:tc>
        <w:tc>
          <w:tcPr>
            <w:tcW w:w="1170" w:type="dxa"/>
            <w:noWrap/>
          </w:tcPr>
          <w:p w14:paraId="56E610E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532313D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0.341</w:t>
            </w:r>
          </w:p>
        </w:tc>
        <w:tc>
          <w:tcPr>
            <w:tcW w:w="1440" w:type="dxa"/>
            <w:noWrap/>
          </w:tcPr>
          <w:p w14:paraId="03BCA8C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0.217</w:t>
            </w:r>
          </w:p>
        </w:tc>
      </w:tr>
      <w:tr w:rsidR="001D05E2" w:rsidRPr="001D05E2" w14:paraId="7F5F5AE7" w14:textId="77777777" w:rsidTr="00360B83">
        <w:trPr>
          <w:trHeight w:val="144"/>
          <w:jc w:val="center"/>
        </w:trPr>
        <w:tc>
          <w:tcPr>
            <w:tcW w:w="960" w:type="dxa"/>
            <w:noWrap/>
            <w:hideMark/>
          </w:tcPr>
          <w:p w14:paraId="553E15D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1972</w:t>
            </w:r>
          </w:p>
        </w:tc>
        <w:tc>
          <w:tcPr>
            <w:tcW w:w="2455" w:type="dxa"/>
            <w:noWrap/>
          </w:tcPr>
          <w:p w14:paraId="49D9EF7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0.432</w:t>
            </w:r>
          </w:p>
        </w:tc>
        <w:tc>
          <w:tcPr>
            <w:tcW w:w="1170" w:type="dxa"/>
            <w:noWrap/>
          </w:tcPr>
          <w:p w14:paraId="48C39D5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1376E90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0.336</w:t>
            </w:r>
          </w:p>
        </w:tc>
        <w:tc>
          <w:tcPr>
            <w:tcW w:w="1440" w:type="dxa"/>
            <w:noWrap/>
          </w:tcPr>
          <w:p w14:paraId="53D722D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0.216</w:t>
            </w:r>
          </w:p>
        </w:tc>
      </w:tr>
      <w:tr w:rsidR="001D05E2" w:rsidRPr="001D05E2" w14:paraId="728EAEC6" w14:textId="77777777" w:rsidTr="00360B83">
        <w:trPr>
          <w:trHeight w:val="144"/>
          <w:jc w:val="center"/>
        </w:trPr>
        <w:tc>
          <w:tcPr>
            <w:tcW w:w="960" w:type="dxa"/>
            <w:noWrap/>
            <w:hideMark/>
          </w:tcPr>
          <w:p w14:paraId="082F4BD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1973</w:t>
            </w:r>
          </w:p>
        </w:tc>
        <w:tc>
          <w:tcPr>
            <w:tcW w:w="2455" w:type="dxa"/>
            <w:noWrap/>
          </w:tcPr>
          <w:p w14:paraId="197DAE7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0.436</w:t>
            </w:r>
          </w:p>
        </w:tc>
        <w:tc>
          <w:tcPr>
            <w:tcW w:w="1170" w:type="dxa"/>
            <w:noWrap/>
          </w:tcPr>
          <w:p w14:paraId="059A843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13CDFC6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0.332</w:t>
            </w:r>
          </w:p>
        </w:tc>
        <w:tc>
          <w:tcPr>
            <w:tcW w:w="1440" w:type="dxa"/>
            <w:noWrap/>
          </w:tcPr>
          <w:p w14:paraId="6059DD6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0.216</w:t>
            </w:r>
          </w:p>
        </w:tc>
      </w:tr>
      <w:tr w:rsidR="001D05E2" w:rsidRPr="001D05E2" w14:paraId="7A22CA7E" w14:textId="77777777" w:rsidTr="00360B83">
        <w:trPr>
          <w:trHeight w:val="144"/>
          <w:jc w:val="center"/>
        </w:trPr>
        <w:tc>
          <w:tcPr>
            <w:tcW w:w="960" w:type="dxa"/>
            <w:noWrap/>
            <w:hideMark/>
          </w:tcPr>
          <w:p w14:paraId="66D3C84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1974</w:t>
            </w:r>
          </w:p>
        </w:tc>
        <w:tc>
          <w:tcPr>
            <w:tcW w:w="2455" w:type="dxa"/>
            <w:noWrap/>
          </w:tcPr>
          <w:p w14:paraId="65B750C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0.440</w:t>
            </w:r>
          </w:p>
        </w:tc>
        <w:tc>
          <w:tcPr>
            <w:tcW w:w="1170" w:type="dxa"/>
            <w:noWrap/>
          </w:tcPr>
          <w:p w14:paraId="44A33F0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45B5F41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0.328</w:t>
            </w:r>
          </w:p>
        </w:tc>
        <w:tc>
          <w:tcPr>
            <w:tcW w:w="1440" w:type="dxa"/>
            <w:noWrap/>
          </w:tcPr>
          <w:p w14:paraId="7061FC8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0.216</w:t>
            </w:r>
          </w:p>
        </w:tc>
      </w:tr>
      <w:tr w:rsidR="001D05E2" w:rsidRPr="001D05E2" w14:paraId="72C6B1E0" w14:textId="77777777" w:rsidTr="00360B83">
        <w:trPr>
          <w:trHeight w:val="144"/>
          <w:jc w:val="center"/>
        </w:trPr>
        <w:tc>
          <w:tcPr>
            <w:tcW w:w="960" w:type="dxa"/>
            <w:noWrap/>
            <w:hideMark/>
          </w:tcPr>
          <w:p w14:paraId="23BF4E2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1975</w:t>
            </w:r>
          </w:p>
        </w:tc>
        <w:tc>
          <w:tcPr>
            <w:tcW w:w="2455" w:type="dxa"/>
            <w:noWrap/>
          </w:tcPr>
          <w:p w14:paraId="7D268DF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0.443</w:t>
            </w:r>
          </w:p>
        </w:tc>
        <w:tc>
          <w:tcPr>
            <w:tcW w:w="1170" w:type="dxa"/>
            <w:noWrap/>
          </w:tcPr>
          <w:p w14:paraId="4B219F2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0.016</w:t>
            </w:r>
          </w:p>
        </w:tc>
        <w:tc>
          <w:tcPr>
            <w:tcW w:w="1080" w:type="dxa"/>
            <w:noWrap/>
          </w:tcPr>
          <w:p w14:paraId="63E3E51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0.324</w:t>
            </w:r>
          </w:p>
        </w:tc>
        <w:tc>
          <w:tcPr>
            <w:tcW w:w="1440" w:type="dxa"/>
            <w:noWrap/>
          </w:tcPr>
          <w:p w14:paraId="38D8DDE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0.216</w:t>
            </w:r>
          </w:p>
        </w:tc>
      </w:tr>
      <w:tr w:rsidR="001D05E2" w:rsidRPr="001D05E2" w14:paraId="7564CC1A" w14:textId="77777777" w:rsidTr="00360B83">
        <w:trPr>
          <w:trHeight w:val="144"/>
          <w:jc w:val="center"/>
        </w:trPr>
        <w:tc>
          <w:tcPr>
            <w:tcW w:w="960" w:type="dxa"/>
            <w:noWrap/>
            <w:hideMark/>
          </w:tcPr>
          <w:p w14:paraId="4BA2C3F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1976</w:t>
            </w:r>
          </w:p>
        </w:tc>
        <w:tc>
          <w:tcPr>
            <w:tcW w:w="2455" w:type="dxa"/>
            <w:noWrap/>
          </w:tcPr>
          <w:p w14:paraId="3E45335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0.447</w:t>
            </w:r>
          </w:p>
        </w:tc>
        <w:tc>
          <w:tcPr>
            <w:tcW w:w="1170" w:type="dxa"/>
            <w:noWrap/>
          </w:tcPr>
          <w:p w14:paraId="7FCFBBE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0.017</w:t>
            </w:r>
          </w:p>
        </w:tc>
        <w:tc>
          <w:tcPr>
            <w:tcW w:w="1080" w:type="dxa"/>
            <w:noWrap/>
          </w:tcPr>
          <w:p w14:paraId="5F67FC8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0.321</w:t>
            </w:r>
          </w:p>
        </w:tc>
        <w:tc>
          <w:tcPr>
            <w:tcW w:w="1440" w:type="dxa"/>
            <w:noWrap/>
          </w:tcPr>
          <w:p w14:paraId="334EE99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0.216</w:t>
            </w:r>
          </w:p>
        </w:tc>
      </w:tr>
      <w:tr w:rsidR="001D05E2" w:rsidRPr="001D05E2" w14:paraId="1BFB9B47" w14:textId="77777777" w:rsidTr="00360B83">
        <w:trPr>
          <w:trHeight w:val="144"/>
          <w:jc w:val="center"/>
        </w:trPr>
        <w:tc>
          <w:tcPr>
            <w:tcW w:w="960" w:type="dxa"/>
            <w:noWrap/>
            <w:hideMark/>
          </w:tcPr>
          <w:p w14:paraId="36F6F7C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1977</w:t>
            </w:r>
          </w:p>
        </w:tc>
        <w:tc>
          <w:tcPr>
            <w:tcW w:w="2455" w:type="dxa"/>
            <w:noWrap/>
          </w:tcPr>
          <w:p w14:paraId="3B8BA02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0.450</w:t>
            </w:r>
          </w:p>
        </w:tc>
        <w:tc>
          <w:tcPr>
            <w:tcW w:w="1170" w:type="dxa"/>
            <w:noWrap/>
          </w:tcPr>
          <w:p w14:paraId="768AAC8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0.017</w:t>
            </w:r>
          </w:p>
        </w:tc>
        <w:tc>
          <w:tcPr>
            <w:tcW w:w="1080" w:type="dxa"/>
            <w:noWrap/>
          </w:tcPr>
          <w:p w14:paraId="410902F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0.317</w:t>
            </w:r>
          </w:p>
        </w:tc>
        <w:tc>
          <w:tcPr>
            <w:tcW w:w="1440" w:type="dxa"/>
            <w:noWrap/>
          </w:tcPr>
          <w:p w14:paraId="11C3B4C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0.216</w:t>
            </w:r>
          </w:p>
        </w:tc>
      </w:tr>
      <w:tr w:rsidR="001D05E2" w:rsidRPr="001D05E2" w14:paraId="2FA31A65" w14:textId="77777777" w:rsidTr="00360B83">
        <w:trPr>
          <w:trHeight w:val="144"/>
          <w:jc w:val="center"/>
        </w:trPr>
        <w:tc>
          <w:tcPr>
            <w:tcW w:w="960" w:type="dxa"/>
            <w:noWrap/>
            <w:hideMark/>
          </w:tcPr>
          <w:p w14:paraId="1E80A9D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1978</w:t>
            </w:r>
          </w:p>
        </w:tc>
        <w:tc>
          <w:tcPr>
            <w:tcW w:w="2455" w:type="dxa"/>
            <w:noWrap/>
          </w:tcPr>
          <w:p w14:paraId="4901708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0.453</w:t>
            </w:r>
          </w:p>
        </w:tc>
        <w:tc>
          <w:tcPr>
            <w:tcW w:w="1170" w:type="dxa"/>
            <w:noWrap/>
          </w:tcPr>
          <w:p w14:paraId="5746E4C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0.018</w:t>
            </w:r>
          </w:p>
        </w:tc>
        <w:tc>
          <w:tcPr>
            <w:tcW w:w="1080" w:type="dxa"/>
            <w:noWrap/>
          </w:tcPr>
          <w:p w14:paraId="55C46CA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0.313</w:t>
            </w:r>
          </w:p>
        </w:tc>
        <w:tc>
          <w:tcPr>
            <w:tcW w:w="1440" w:type="dxa"/>
            <w:noWrap/>
          </w:tcPr>
          <w:p w14:paraId="6B8A31B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0.217</w:t>
            </w:r>
          </w:p>
        </w:tc>
      </w:tr>
      <w:tr w:rsidR="001D05E2" w:rsidRPr="001D05E2" w14:paraId="7E576F70" w14:textId="77777777" w:rsidTr="00360B83">
        <w:trPr>
          <w:trHeight w:val="144"/>
          <w:jc w:val="center"/>
        </w:trPr>
        <w:tc>
          <w:tcPr>
            <w:tcW w:w="960" w:type="dxa"/>
            <w:noWrap/>
            <w:hideMark/>
          </w:tcPr>
          <w:p w14:paraId="1F385C8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1979</w:t>
            </w:r>
          </w:p>
        </w:tc>
        <w:tc>
          <w:tcPr>
            <w:tcW w:w="2455" w:type="dxa"/>
            <w:noWrap/>
          </w:tcPr>
          <w:p w14:paraId="5043481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0.456</w:t>
            </w:r>
          </w:p>
        </w:tc>
        <w:tc>
          <w:tcPr>
            <w:tcW w:w="1170" w:type="dxa"/>
            <w:noWrap/>
          </w:tcPr>
          <w:p w14:paraId="403277E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0.018</w:t>
            </w:r>
          </w:p>
        </w:tc>
        <w:tc>
          <w:tcPr>
            <w:tcW w:w="1080" w:type="dxa"/>
            <w:noWrap/>
          </w:tcPr>
          <w:p w14:paraId="6B2E739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0.309</w:t>
            </w:r>
          </w:p>
        </w:tc>
        <w:tc>
          <w:tcPr>
            <w:tcW w:w="1440" w:type="dxa"/>
            <w:noWrap/>
          </w:tcPr>
          <w:p w14:paraId="70155B2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0.217</w:t>
            </w:r>
          </w:p>
        </w:tc>
      </w:tr>
      <w:tr w:rsidR="001D05E2" w:rsidRPr="001D05E2" w14:paraId="6274BD62" w14:textId="77777777" w:rsidTr="00360B83">
        <w:trPr>
          <w:trHeight w:val="144"/>
          <w:jc w:val="center"/>
        </w:trPr>
        <w:tc>
          <w:tcPr>
            <w:tcW w:w="960" w:type="dxa"/>
            <w:noWrap/>
            <w:hideMark/>
          </w:tcPr>
          <w:p w14:paraId="7B5B0E6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1980</w:t>
            </w:r>
          </w:p>
        </w:tc>
        <w:tc>
          <w:tcPr>
            <w:tcW w:w="2455" w:type="dxa"/>
            <w:noWrap/>
          </w:tcPr>
          <w:p w14:paraId="6F4462D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0.459</w:t>
            </w:r>
          </w:p>
        </w:tc>
        <w:tc>
          <w:tcPr>
            <w:tcW w:w="1170" w:type="dxa"/>
            <w:noWrap/>
          </w:tcPr>
          <w:p w14:paraId="2D91328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0.019</w:t>
            </w:r>
          </w:p>
        </w:tc>
        <w:tc>
          <w:tcPr>
            <w:tcW w:w="1080" w:type="dxa"/>
            <w:noWrap/>
          </w:tcPr>
          <w:p w14:paraId="364BCC6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0.305</w:t>
            </w:r>
          </w:p>
        </w:tc>
        <w:tc>
          <w:tcPr>
            <w:tcW w:w="1440" w:type="dxa"/>
            <w:noWrap/>
          </w:tcPr>
          <w:p w14:paraId="14ECFB6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0.218</w:t>
            </w:r>
          </w:p>
        </w:tc>
      </w:tr>
      <w:tr w:rsidR="001D05E2" w:rsidRPr="001D05E2" w14:paraId="3923657A" w14:textId="77777777" w:rsidTr="00360B83">
        <w:trPr>
          <w:trHeight w:val="144"/>
          <w:jc w:val="center"/>
        </w:trPr>
        <w:tc>
          <w:tcPr>
            <w:tcW w:w="960" w:type="dxa"/>
            <w:noWrap/>
            <w:hideMark/>
          </w:tcPr>
          <w:p w14:paraId="3392503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1981</w:t>
            </w:r>
          </w:p>
        </w:tc>
        <w:tc>
          <w:tcPr>
            <w:tcW w:w="2455" w:type="dxa"/>
            <w:noWrap/>
          </w:tcPr>
          <w:p w14:paraId="0F1B176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0.461</w:t>
            </w:r>
          </w:p>
        </w:tc>
        <w:tc>
          <w:tcPr>
            <w:tcW w:w="1170" w:type="dxa"/>
            <w:noWrap/>
          </w:tcPr>
          <w:p w14:paraId="1D5CCB3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0.019</w:t>
            </w:r>
          </w:p>
        </w:tc>
        <w:tc>
          <w:tcPr>
            <w:tcW w:w="1080" w:type="dxa"/>
            <w:noWrap/>
          </w:tcPr>
          <w:p w14:paraId="0BEBE04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0.301</w:t>
            </w:r>
          </w:p>
        </w:tc>
        <w:tc>
          <w:tcPr>
            <w:tcW w:w="1440" w:type="dxa"/>
            <w:noWrap/>
          </w:tcPr>
          <w:p w14:paraId="7308F17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0.218</w:t>
            </w:r>
          </w:p>
        </w:tc>
      </w:tr>
      <w:tr w:rsidR="001D05E2" w:rsidRPr="001D05E2" w14:paraId="7D0C786F" w14:textId="77777777" w:rsidTr="00360B83">
        <w:trPr>
          <w:trHeight w:val="144"/>
          <w:jc w:val="center"/>
        </w:trPr>
        <w:tc>
          <w:tcPr>
            <w:tcW w:w="960" w:type="dxa"/>
            <w:noWrap/>
            <w:hideMark/>
          </w:tcPr>
          <w:p w14:paraId="1DF8C2A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1982</w:t>
            </w:r>
          </w:p>
        </w:tc>
        <w:tc>
          <w:tcPr>
            <w:tcW w:w="2455" w:type="dxa"/>
            <w:noWrap/>
          </w:tcPr>
          <w:p w14:paraId="6B513A0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0.463</w:t>
            </w:r>
          </w:p>
        </w:tc>
        <w:tc>
          <w:tcPr>
            <w:tcW w:w="1170" w:type="dxa"/>
            <w:noWrap/>
          </w:tcPr>
          <w:p w14:paraId="262B9D1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0.020</w:t>
            </w:r>
          </w:p>
        </w:tc>
        <w:tc>
          <w:tcPr>
            <w:tcW w:w="1080" w:type="dxa"/>
            <w:noWrap/>
          </w:tcPr>
          <w:p w14:paraId="723776D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0.300</w:t>
            </w:r>
          </w:p>
        </w:tc>
        <w:tc>
          <w:tcPr>
            <w:tcW w:w="1440" w:type="dxa"/>
            <w:noWrap/>
          </w:tcPr>
          <w:p w14:paraId="54D7FCD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0.218</w:t>
            </w:r>
          </w:p>
        </w:tc>
      </w:tr>
      <w:tr w:rsidR="001D05E2" w:rsidRPr="001D05E2" w14:paraId="3EA565E2" w14:textId="77777777" w:rsidTr="00360B83">
        <w:trPr>
          <w:trHeight w:val="144"/>
          <w:jc w:val="center"/>
        </w:trPr>
        <w:tc>
          <w:tcPr>
            <w:tcW w:w="960" w:type="dxa"/>
            <w:noWrap/>
            <w:hideMark/>
          </w:tcPr>
          <w:p w14:paraId="6275257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1983</w:t>
            </w:r>
          </w:p>
        </w:tc>
        <w:tc>
          <w:tcPr>
            <w:tcW w:w="2455" w:type="dxa"/>
            <w:noWrap/>
          </w:tcPr>
          <w:p w14:paraId="432B633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0.464</w:t>
            </w:r>
          </w:p>
        </w:tc>
        <w:tc>
          <w:tcPr>
            <w:tcW w:w="1170" w:type="dxa"/>
            <w:noWrap/>
          </w:tcPr>
          <w:p w14:paraId="7289B05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0.021</w:t>
            </w:r>
          </w:p>
        </w:tc>
        <w:tc>
          <w:tcPr>
            <w:tcW w:w="1080" w:type="dxa"/>
            <w:noWrap/>
          </w:tcPr>
          <w:p w14:paraId="273EA30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0.300</w:t>
            </w:r>
          </w:p>
        </w:tc>
        <w:tc>
          <w:tcPr>
            <w:tcW w:w="1440" w:type="dxa"/>
            <w:noWrap/>
          </w:tcPr>
          <w:p w14:paraId="2901A1B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0.216</w:t>
            </w:r>
          </w:p>
        </w:tc>
      </w:tr>
      <w:tr w:rsidR="001D05E2" w:rsidRPr="001D05E2" w14:paraId="403BBAB8" w14:textId="77777777" w:rsidTr="00360B83">
        <w:trPr>
          <w:trHeight w:val="144"/>
          <w:jc w:val="center"/>
        </w:trPr>
        <w:tc>
          <w:tcPr>
            <w:tcW w:w="960" w:type="dxa"/>
            <w:noWrap/>
            <w:hideMark/>
          </w:tcPr>
          <w:p w14:paraId="6A4273B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1984</w:t>
            </w:r>
          </w:p>
        </w:tc>
        <w:tc>
          <w:tcPr>
            <w:tcW w:w="2455" w:type="dxa"/>
            <w:noWrap/>
          </w:tcPr>
          <w:p w14:paraId="125EA49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0.463</w:t>
            </w:r>
          </w:p>
        </w:tc>
        <w:tc>
          <w:tcPr>
            <w:tcW w:w="1170" w:type="dxa"/>
            <w:noWrap/>
          </w:tcPr>
          <w:p w14:paraId="53DD6F5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0.021</w:t>
            </w:r>
          </w:p>
        </w:tc>
        <w:tc>
          <w:tcPr>
            <w:tcW w:w="1080" w:type="dxa"/>
            <w:noWrap/>
          </w:tcPr>
          <w:p w14:paraId="7105AD8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0.301</w:t>
            </w:r>
          </w:p>
        </w:tc>
        <w:tc>
          <w:tcPr>
            <w:tcW w:w="1440" w:type="dxa"/>
            <w:noWrap/>
          </w:tcPr>
          <w:p w14:paraId="01DE179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0.214</w:t>
            </w:r>
          </w:p>
        </w:tc>
      </w:tr>
      <w:tr w:rsidR="001D05E2" w:rsidRPr="001D05E2" w14:paraId="4A79954E" w14:textId="77777777" w:rsidTr="00360B83">
        <w:trPr>
          <w:trHeight w:val="144"/>
          <w:jc w:val="center"/>
        </w:trPr>
        <w:tc>
          <w:tcPr>
            <w:tcW w:w="960" w:type="dxa"/>
            <w:noWrap/>
            <w:hideMark/>
          </w:tcPr>
          <w:p w14:paraId="4E770DE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1985</w:t>
            </w:r>
          </w:p>
        </w:tc>
        <w:tc>
          <w:tcPr>
            <w:tcW w:w="2455" w:type="dxa"/>
            <w:noWrap/>
          </w:tcPr>
          <w:p w14:paraId="485CEDF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0.463</w:t>
            </w:r>
          </w:p>
        </w:tc>
        <w:tc>
          <w:tcPr>
            <w:tcW w:w="1170" w:type="dxa"/>
            <w:noWrap/>
          </w:tcPr>
          <w:p w14:paraId="3023276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0.022</w:t>
            </w:r>
          </w:p>
        </w:tc>
        <w:tc>
          <w:tcPr>
            <w:tcW w:w="1080" w:type="dxa"/>
            <w:noWrap/>
          </w:tcPr>
          <w:p w14:paraId="4FAA829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0.304</w:t>
            </w:r>
          </w:p>
        </w:tc>
        <w:tc>
          <w:tcPr>
            <w:tcW w:w="1440" w:type="dxa"/>
            <w:noWrap/>
          </w:tcPr>
          <w:p w14:paraId="5B619AB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0.211</w:t>
            </w:r>
          </w:p>
        </w:tc>
      </w:tr>
      <w:tr w:rsidR="001D05E2" w:rsidRPr="001D05E2" w14:paraId="33C58F1B" w14:textId="77777777" w:rsidTr="00360B83">
        <w:trPr>
          <w:trHeight w:val="144"/>
          <w:jc w:val="center"/>
        </w:trPr>
        <w:tc>
          <w:tcPr>
            <w:tcW w:w="960" w:type="dxa"/>
            <w:noWrap/>
            <w:hideMark/>
          </w:tcPr>
          <w:p w14:paraId="3561B2F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1986</w:t>
            </w:r>
          </w:p>
        </w:tc>
        <w:tc>
          <w:tcPr>
            <w:tcW w:w="2455" w:type="dxa"/>
            <w:noWrap/>
          </w:tcPr>
          <w:p w14:paraId="001BA19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0.461</w:t>
            </w:r>
          </w:p>
        </w:tc>
        <w:tc>
          <w:tcPr>
            <w:tcW w:w="1170" w:type="dxa"/>
            <w:noWrap/>
          </w:tcPr>
          <w:p w14:paraId="3F1230D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0.022</w:t>
            </w:r>
          </w:p>
        </w:tc>
        <w:tc>
          <w:tcPr>
            <w:tcW w:w="1080" w:type="dxa"/>
            <w:noWrap/>
          </w:tcPr>
          <w:p w14:paraId="37E8509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0.308</w:t>
            </w:r>
          </w:p>
        </w:tc>
        <w:tc>
          <w:tcPr>
            <w:tcW w:w="1440" w:type="dxa"/>
            <w:noWrap/>
          </w:tcPr>
          <w:p w14:paraId="6667B63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0.208</w:t>
            </w:r>
          </w:p>
        </w:tc>
      </w:tr>
      <w:tr w:rsidR="001D05E2" w:rsidRPr="001D05E2" w14:paraId="54A8D216" w14:textId="77777777" w:rsidTr="00360B83">
        <w:trPr>
          <w:trHeight w:val="144"/>
          <w:jc w:val="center"/>
        </w:trPr>
        <w:tc>
          <w:tcPr>
            <w:tcW w:w="960" w:type="dxa"/>
            <w:noWrap/>
            <w:hideMark/>
          </w:tcPr>
          <w:p w14:paraId="3D0FCAB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1987</w:t>
            </w:r>
          </w:p>
        </w:tc>
        <w:tc>
          <w:tcPr>
            <w:tcW w:w="2455" w:type="dxa"/>
            <w:noWrap/>
          </w:tcPr>
          <w:p w14:paraId="21E0820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0.459</w:t>
            </w:r>
          </w:p>
        </w:tc>
        <w:tc>
          <w:tcPr>
            <w:tcW w:w="1170" w:type="dxa"/>
            <w:noWrap/>
          </w:tcPr>
          <w:p w14:paraId="3CE9458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0.023</w:t>
            </w:r>
          </w:p>
        </w:tc>
        <w:tc>
          <w:tcPr>
            <w:tcW w:w="1080" w:type="dxa"/>
            <w:noWrap/>
          </w:tcPr>
          <w:p w14:paraId="5C1DE12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0.313</w:t>
            </w:r>
          </w:p>
        </w:tc>
        <w:tc>
          <w:tcPr>
            <w:tcW w:w="1440" w:type="dxa"/>
            <w:noWrap/>
          </w:tcPr>
          <w:p w14:paraId="01527D9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0.205</w:t>
            </w:r>
          </w:p>
        </w:tc>
      </w:tr>
      <w:tr w:rsidR="001D05E2" w:rsidRPr="001D05E2" w14:paraId="4A3247BB" w14:textId="77777777" w:rsidTr="00360B83">
        <w:trPr>
          <w:trHeight w:val="144"/>
          <w:jc w:val="center"/>
        </w:trPr>
        <w:tc>
          <w:tcPr>
            <w:tcW w:w="960" w:type="dxa"/>
            <w:noWrap/>
            <w:hideMark/>
          </w:tcPr>
          <w:p w14:paraId="6B9073B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1988</w:t>
            </w:r>
          </w:p>
        </w:tc>
        <w:tc>
          <w:tcPr>
            <w:tcW w:w="2455" w:type="dxa"/>
            <w:noWrap/>
          </w:tcPr>
          <w:p w14:paraId="1FB494C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0.457</w:t>
            </w:r>
          </w:p>
        </w:tc>
        <w:tc>
          <w:tcPr>
            <w:tcW w:w="1170" w:type="dxa"/>
            <w:noWrap/>
          </w:tcPr>
          <w:p w14:paraId="6DBCEAB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0.023</w:t>
            </w:r>
          </w:p>
        </w:tc>
        <w:tc>
          <w:tcPr>
            <w:tcW w:w="1080" w:type="dxa"/>
            <w:noWrap/>
          </w:tcPr>
          <w:p w14:paraId="0385467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0.318</w:t>
            </w:r>
          </w:p>
        </w:tc>
        <w:tc>
          <w:tcPr>
            <w:tcW w:w="1440" w:type="dxa"/>
            <w:noWrap/>
          </w:tcPr>
          <w:p w14:paraId="2AEC66D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0.201</w:t>
            </w:r>
          </w:p>
        </w:tc>
      </w:tr>
      <w:tr w:rsidR="001D05E2" w:rsidRPr="001D05E2" w14:paraId="617718A2" w14:textId="77777777" w:rsidTr="00360B83">
        <w:trPr>
          <w:trHeight w:val="144"/>
          <w:jc w:val="center"/>
        </w:trPr>
        <w:tc>
          <w:tcPr>
            <w:tcW w:w="960" w:type="dxa"/>
            <w:noWrap/>
            <w:hideMark/>
          </w:tcPr>
          <w:p w14:paraId="05F6B3E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1989</w:t>
            </w:r>
          </w:p>
        </w:tc>
        <w:tc>
          <w:tcPr>
            <w:tcW w:w="2455" w:type="dxa"/>
            <w:noWrap/>
          </w:tcPr>
          <w:p w14:paraId="6460EFD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0.454</w:t>
            </w:r>
          </w:p>
        </w:tc>
        <w:tc>
          <w:tcPr>
            <w:tcW w:w="1170" w:type="dxa"/>
            <w:noWrap/>
          </w:tcPr>
          <w:p w14:paraId="75DD46F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0.024</w:t>
            </w:r>
          </w:p>
        </w:tc>
        <w:tc>
          <w:tcPr>
            <w:tcW w:w="1080" w:type="dxa"/>
            <w:noWrap/>
          </w:tcPr>
          <w:p w14:paraId="44F97A3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0.324</w:t>
            </w:r>
          </w:p>
        </w:tc>
        <w:tc>
          <w:tcPr>
            <w:tcW w:w="1440" w:type="dxa"/>
            <w:noWrap/>
          </w:tcPr>
          <w:p w14:paraId="31D2078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0.198</w:t>
            </w:r>
          </w:p>
        </w:tc>
      </w:tr>
      <w:tr w:rsidR="001D05E2" w:rsidRPr="001D05E2" w14:paraId="39846E86" w14:textId="77777777" w:rsidTr="00360B83">
        <w:trPr>
          <w:trHeight w:val="144"/>
          <w:jc w:val="center"/>
        </w:trPr>
        <w:tc>
          <w:tcPr>
            <w:tcW w:w="960" w:type="dxa"/>
            <w:noWrap/>
            <w:hideMark/>
          </w:tcPr>
          <w:p w14:paraId="30F8FC3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1990</w:t>
            </w:r>
          </w:p>
        </w:tc>
        <w:tc>
          <w:tcPr>
            <w:tcW w:w="2455" w:type="dxa"/>
            <w:noWrap/>
          </w:tcPr>
          <w:p w14:paraId="5AF052A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0.451</w:t>
            </w:r>
          </w:p>
        </w:tc>
        <w:tc>
          <w:tcPr>
            <w:tcW w:w="1170" w:type="dxa"/>
            <w:noWrap/>
          </w:tcPr>
          <w:p w14:paraId="50A06D0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0.025</w:t>
            </w:r>
          </w:p>
        </w:tc>
        <w:tc>
          <w:tcPr>
            <w:tcW w:w="1080" w:type="dxa"/>
            <w:noWrap/>
          </w:tcPr>
          <w:p w14:paraId="35833F2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0.330</w:t>
            </w:r>
          </w:p>
        </w:tc>
        <w:tc>
          <w:tcPr>
            <w:tcW w:w="1440" w:type="dxa"/>
            <w:noWrap/>
          </w:tcPr>
          <w:p w14:paraId="071B331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0.194</w:t>
            </w:r>
          </w:p>
        </w:tc>
      </w:tr>
      <w:tr w:rsidR="001D05E2" w:rsidRPr="001D05E2" w14:paraId="214D4865" w14:textId="77777777" w:rsidTr="00360B83">
        <w:trPr>
          <w:trHeight w:val="144"/>
          <w:jc w:val="center"/>
        </w:trPr>
        <w:tc>
          <w:tcPr>
            <w:tcW w:w="960" w:type="dxa"/>
            <w:noWrap/>
            <w:hideMark/>
          </w:tcPr>
          <w:p w14:paraId="2890CAB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1991</w:t>
            </w:r>
          </w:p>
        </w:tc>
        <w:tc>
          <w:tcPr>
            <w:tcW w:w="2455" w:type="dxa"/>
            <w:noWrap/>
          </w:tcPr>
          <w:p w14:paraId="55BEC07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0.448</w:t>
            </w:r>
          </w:p>
        </w:tc>
        <w:tc>
          <w:tcPr>
            <w:tcW w:w="1170" w:type="dxa"/>
            <w:noWrap/>
          </w:tcPr>
          <w:p w14:paraId="11EADFE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0.025</w:t>
            </w:r>
          </w:p>
        </w:tc>
        <w:tc>
          <w:tcPr>
            <w:tcW w:w="1080" w:type="dxa"/>
            <w:noWrap/>
          </w:tcPr>
          <w:p w14:paraId="7A9CD47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0.337</w:t>
            </w:r>
          </w:p>
        </w:tc>
        <w:tc>
          <w:tcPr>
            <w:tcW w:w="1440" w:type="dxa"/>
            <w:noWrap/>
          </w:tcPr>
          <w:p w14:paraId="6D8EFB5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0.190</w:t>
            </w:r>
          </w:p>
        </w:tc>
      </w:tr>
      <w:tr w:rsidR="001D05E2" w:rsidRPr="001D05E2" w14:paraId="6B53277E" w14:textId="77777777" w:rsidTr="00360B83">
        <w:trPr>
          <w:trHeight w:val="144"/>
          <w:jc w:val="center"/>
        </w:trPr>
        <w:tc>
          <w:tcPr>
            <w:tcW w:w="960" w:type="dxa"/>
            <w:noWrap/>
            <w:hideMark/>
          </w:tcPr>
          <w:p w14:paraId="2CDF140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1992</w:t>
            </w:r>
          </w:p>
        </w:tc>
        <w:tc>
          <w:tcPr>
            <w:tcW w:w="2455" w:type="dxa"/>
            <w:noWrap/>
          </w:tcPr>
          <w:p w14:paraId="0510E38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0.445</w:t>
            </w:r>
          </w:p>
        </w:tc>
        <w:tc>
          <w:tcPr>
            <w:tcW w:w="1170" w:type="dxa"/>
            <w:noWrap/>
          </w:tcPr>
          <w:p w14:paraId="73F5A3B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0.026</w:t>
            </w:r>
          </w:p>
        </w:tc>
        <w:tc>
          <w:tcPr>
            <w:tcW w:w="1080" w:type="dxa"/>
            <w:noWrap/>
          </w:tcPr>
          <w:p w14:paraId="319645A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0.345</w:t>
            </w:r>
          </w:p>
        </w:tc>
        <w:tc>
          <w:tcPr>
            <w:tcW w:w="1440" w:type="dxa"/>
            <w:noWrap/>
          </w:tcPr>
          <w:p w14:paraId="6CFAC48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0.185</w:t>
            </w:r>
          </w:p>
        </w:tc>
      </w:tr>
      <w:tr w:rsidR="001D05E2" w:rsidRPr="001D05E2" w14:paraId="6A4FE8A1" w14:textId="77777777" w:rsidTr="00360B83">
        <w:trPr>
          <w:trHeight w:val="144"/>
          <w:jc w:val="center"/>
        </w:trPr>
        <w:tc>
          <w:tcPr>
            <w:tcW w:w="960" w:type="dxa"/>
            <w:noWrap/>
            <w:hideMark/>
          </w:tcPr>
          <w:p w14:paraId="701EF7B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1993</w:t>
            </w:r>
          </w:p>
        </w:tc>
        <w:tc>
          <w:tcPr>
            <w:tcW w:w="2455" w:type="dxa"/>
            <w:noWrap/>
          </w:tcPr>
          <w:p w14:paraId="6F11494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0.442</w:t>
            </w:r>
          </w:p>
        </w:tc>
        <w:tc>
          <w:tcPr>
            <w:tcW w:w="1170" w:type="dxa"/>
            <w:noWrap/>
          </w:tcPr>
          <w:p w14:paraId="0535B62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0.026</w:t>
            </w:r>
          </w:p>
        </w:tc>
        <w:tc>
          <w:tcPr>
            <w:tcW w:w="1080" w:type="dxa"/>
            <w:noWrap/>
          </w:tcPr>
          <w:p w14:paraId="789A1CB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0.353</w:t>
            </w:r>
          </w:p>
        </w:tc>
        <w:tc>
          <w:tcPr>
            <w:tcW w:w="1440" w:type="dxa"/>
            <w:noWrap/>
          </w:tcPr>
          <w:p w14:paraId="4B4D29F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0.179</w:t>
            </w:r>
          </w:p>
        </w:tc>
      </w:tr>
      <w:tr w:rsidR="001D05E2" w:rsidRPr="001D05E2" w14:paraId="06BDD6EB" w14:textId="77777777" w:rsidTr="00360B83">
        <w:trPr>
          <w:trHeight w:val="144"/>
          <w:jc w:val="center"/>
        </w:trPr>
        <w:tc>
          <w:tcPr>
            <w:tcW w:w="960" w:type="dxa"/>
            <w:noWrap/>
            <w:hideMark/>
          </w:tcPr>
          <w:p w14:paraId="169C6B0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1994</w:t>
            </w:r>
          </w:p>
        </w:tc>
        <w:tc>
          <w:tcPr>
            <w:tcW w:w="2455" w:type="dxa"/>
            <w:noWrap/>
          </w:tcPr>
          <w:p w14:paraId="09C23BF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0.439</w:t>
            </w:r>
          </w:p>
        </w:tc>
        <w:tc>
          <w:tcPr>
            <w:tcW w:w="1170" w:type="dxa"/>
            <w:noWrap/>
          </w:tcPr>
          <w:p w14:paraId="7B833F7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0.027</w:t>
            </w:r>
          </w:p>
        </w:tc>
        <w:tc>
          <w:tcPr>
            <w:tcW w:w="1080" w:type="dxa"/>
            <w:noWrap/>
          </w:tcPr>
          <w:p w14:paraId="7526455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0.362</w:t>
            </w:r>
          </w:p>
        </w:tc>
        <w:tc>
          <w:tcPr>
            <w:tcW w:w="1440" w:type="dxa"/>
            <w:noWrap/>
          </w:tcPr>
          <w:p w14:paraId="583F12B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0.172</w:t>
            </w:r>
          </w:p>
        </w:tc>
      </w:tr>
      <w:tr w:rsidR="001D05E2" w:rsidRPr="001D05E2" w14:paraId="6F5DEDB7" w14:textId="77777777" w:rsidTr="00360B83">
        <w:trPr>
          <w:trHeight w:val="144"/>
          <w:jc w:val="center"/>
        </w:trPr>
        <w:tc>
          <w:tcPr>
            <w:tcW w:w="960" w:type="dxa"/>
            <w:noWrap/>
            <w:hideMark/>
          </w:tcPr>
          <w:p w14:paraId="3BEAA01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1995</w:t>
            </w:r>
          </w:p>
        </w:tc>
        <w:tc>
          <w:tcPr>
            <w:tcW w:w="2455" w:type="dxa"/>
            <w:noWrap/>
          </w:tcPr>
          <w:p w14:paraId="330C0DA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0.437</w:t>
            </w:r>
          </w:p>
        </w:tc>
        <w:tc>
          <w:tcPr>
            <w:tcW w:w="1170" w:type="dxa"/>
            <w:noWrap/>
          </w:tcPr>
          <w:p w14:paraId="7073EF0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0.027</w:t>
            </w:r>
          </w:p>
        </w:tc>
        <w:tc>
          <w:tcPr>
            <w:tcW w:w="1080" w:type="dxa"/>
            <w:noWrap/>
          </w:tcPr>
          <w:p w14:paraId="2AA6681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0.372</w:t>
            </w:r>
          </w:p>
        </w:tc>
        <w:tc>
          <w:tcPr>
            <w:tcW w:w="1440" w:type="dxa"/>
            <w:noWrap/>
          </w:tcPr>
          <w:p w14:paraId="4CF508C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0.164</w:t>
            </w:r>
          </w:p>
        </w:tc>
      </w:tr>
      <w:tr w:rsidR="001D05E2" w:rsidRPr="001D05E2" w14:paraId="44EBADE9" w14:textId="77777777" w:rsidTr="00360B83">
        <w:trPr>
          <w:trHeight w:val="144"/>
          <w:jc w:val="center"/>
        </w:trPr>
        <w:tc>
          <w:tcPr>
            <w:tcW w:w="960" w:type="dxa"/>
            <w:noWrap/>
            <w:hideMark/>
          </w:tcPr>
          <w:p w14:paraId="01756D4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1996</w:t>
            </w:r>
          </w:p>
        </w:tc>
        <w:tc>
          <w:tcPr>
            <w:tcW w:w="2455" w:type="dxa"/>
            <w:noWrap/>
          </w:tcPr>
          <w:p w14:paraId="10ED467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0.434</w:t>
            </w:r>
          </w:p>
        </w:tc>
        <w:tc>
          <w:tcPr>
            <w:tcW w:w="1170" w:type="dxa"/>
            <w:noWrap/>
          </w:tcPr>
          <w:p w14:paraId="79B5BDC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0.027</w:t>
            </w:r>
          </w:p>
        </w:tc>
        <w:tc>
          <w:tcPr>
            <w:tcW w:w="1080" w:type="dxa"/>
            <w:noWrap/>
          </w:tcPr>
          <w:p w14:paraId="4C3EE34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0.382</w:t>
            </w:r>
          </w:p>
        </w:tc>
        <w:tc>
          <w:tcPr>
            <w:tcW w:w="1440" w:type="dxa"/>
            <w:noWrap/>
          </w:tcPr>
          <w:p w14:paraId="23A325B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0.157</w:t>
            </w:r>
          </w:p>
        </w:tc>
      </w:tr>
      <w:tr w:rsidR="001D05E2" w:rsidRPr="001D05E2" w14:paraId="750DCB92" w14:textId="77777777" w:rsidTr="00360B83">
        <w:trPr>
          <w:trHeight w:val="144"/>
          <w:jc w:val="center"/>
        </w:trPr>
        <w:tc>
          <w:tcPr>
            <w:tcW w:w="960" w:type="dxa"/>
            <w:noWrap/>
            <w:hideMark/>
          </w:tcPr>
          <w:p w14:paraId="207B8CD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1997</w:t>
            </w:r>
          </w:p>
        </w:tc>
        <w:tc>
          <w:tcPr>
            <w:tcW w:w="2455" w:type="dxa"/>
            <w:noWrap/>
          </w:tcPr>
          <w:p w14:paraId="3ED74C6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0.432</w:t>
            </w:r>
          </w:p>
        </w:tc>
        <w:tc>
          <w:tcPr>
            <w:tcW w:w="1170" w:type="dxa"/>
            <w:noWrap/>
          </w:tcPr>
          <w:p w14:paraId="649BEB8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0.028</w:t>
            </w:r>
          </w:p>
        </w:tc>
        <w:tc>
          <w:tcPr>
            <w:tcW w:w="1080" w:type="dxa"/>
            <w:noWrap/>
          </w:tcPr>
          <w:p w14:paraId="4CA6A20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0.392</w:t>
            </w:r>
          </w:p>
        </w:tc>
        <w:tc>
          <w:tcPr>
            <w:tcW w:w="1440" w:type="dxa"/>
            <w:noWrap/>
          </w:tcPr>
          <w:p w14:paraId="2FA2010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0.149</w:t>
            </w:r>
          </w:p>
        </w:tc>
      </w:tr>
      <w:tr w:rsidR="001D05E2" w:rsidRPr="001D05E2" w14:paraId="0AE5DD36" w14:textId="77777777" w:rsidTr="00360B83">
        <w:trPr>
          <w:trHeight w:val="144"/>
          <w:jc w:val="center"/>
        </w:trPr>
        <w:tc>
          <w:tcPr>
            <w:tcW w:w="960" w:type="dxa"/>
            <w:noWrap/>
            <w:hideMark/>
          </w:tcPr>
          <w:p w14:paraId="2D47871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1998</w:t>
            </w:r>
          </w:p>
        </w:tc>
        <w:tc>
          <w:tcPr>
            <w:tcW w:w="2455" w:type="dxa"/>
            <w:noWrap/>
          </w:tcPr>
          <w:p w14:paraId="2C1567B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0.429</w:t>
            </w:r>
          </w:p>
        </w:tc>
        <w:tc>
          <w:tcPr>
            <w:tcW w:w="1170" w:type="dxa"/>
            <w:noWrap/>
          </w:tcPr>
          <w:p w14:paraId="4C39082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0.028</w:t>
            </w:r>
          </w:p>
        </w:tc>
        <w:tc>
          <w:tcPr>
            <w:tcW w:w="1080" w:type="dxa"/>
            <w:noWrap/>
          </w:tcPr>
          <w:p w14:paraId="42FAF29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0.402</w:t>
            </w:r>
          </w:p>
        </w:tc>
        <w:tc>
          <w:tcPr>
            <w:tcW w:w="1440" w:type="dxa"/>
            <w:noWrap/>
          </w:tcPr>
          <w:p w14:paraId="3038B78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0.141</w:t>
            </w:r>
          </w:p>
        </w:tc>
      </w:tr>
      <w:tr w:rsidR="001D05E2" w:rsidRPr="001D05E2" w14:paraId="453654B7" w14:textId="77777777" w:rsidTr="00360B83">
        <w:trPr>
          <w:trHeight w:val="144"/>
          <w:jc w:val="center"/>
        </w:trPr>
        <w:tc>
          <w:tcPr>
            <w:tcW w:w="960" w:type="dxa"/>
            <w:noWrap/>
            <w:hideMark/>
          </w:tcPr>
          <w:p w14:paraId="2F641D4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1999</w:t>
            </w:r>
          </w:p>
        </w:tc>
        <w:tc>
          <w:tcPr>
            <w:tcW w:w="2455" w:type="dxa"/>
            <w:noWrap/>
          </w:tcPr>
          <w:p w14:paraId="2EC53E7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0.427</w:t>
            </w:r>
          </w:p>
        </w:tc>
        <w:tc>
          <w:tcPr>
            <w:tcW w:w="1170" w:type="dxa"/>
            <w:noWrap/>
          </w:tcPr>
          <w:p w14:paraId="5FFAEC4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0.028</w:t>
            </w:r>
          </w:p>
        </w:tc>
        <w:tc>
          <w:tcPr>
            <w:tcW w:w="1080" w:type="dxa"/>
            <w:noWrap/>
          </w:tcPr>
          <w:p w14:paraId="3846E90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0.413</w:t>
            </w:r>
          </w:p>
        </w:tc>
        <w:tc>
          <w:tcPr>
            <w:tcW w:w="1440" w:type="dxa"/>
            <w:noWrap/>
          </w:tcPr>
          <w:p w14:paraId="1365D8A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0.132</w:t>
            </w:r>
          </w:p>
        </w:tc>
      </w:tr>
      <w:tr w:rsidR="001D05E2" w:rsidRPr="001D05E2" w14:paraId="2C52D4D8" w14:textId="77777777" w:rsidTr="00360B83">
        <w:trPr>
          <w:trHeight w:val="144"/>
          <w:jc w:val="center"/>
        </w:trPr>
        <w:tc>
          <w:tcPr>
            <w:tcW w:w="960" w:type="dxa"/>
            <w:noWrap/>
            <w:hideMark/>
          </w:tcPr>
          <w:p w14:paraId="505CD19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2000</w:t>
            </w:r>
          </w:p>
        </w:tc>
        <w:tc>
          <w:tcPr>
            <w:tcW w:w="2455" w:type="dxa"/>
            <w:noWrap/>
          </w:tcPr>
          <w:p w14:paraId="13E150E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0.424</w:t>
            </w:r>
          </w:p>
        </w:tc>
        <w:tc>
          <w:tcPr>
            <w:tcW w:w="1170" w:type="dxa"/>
            <w:noWrap/>
          </w:tcPr>
          <w:p w14:paraId="45EA10A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0.029</w:t>
            </w:r>
          </w:p>
        </w:tc>
        <w:tc>
          <w:tcPr>
            <w:tcW w:w="1080" w:type="dxa"/>
            <w:noWrap/>
          </w:tcPr>
          <w:p w14:paraId="3F8DA2D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0.423</w:t>
            </w:r>
          </w:p>
        </w:tc>
        <w:tc>
          <w:tcPr>
            <w:tcW w:w="1440" w:type="dxa"/>
            <w:noWrap/>
          </w:tcPr>
          <w:p w14:paraId="37AE147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0.124</w:t>
            </w:r>
          </w:p>
        </w:tc>
      </w:tr>
      <w:tr w:rsidR="001D05E2" w:rsidRPr="001D05E2" w14:paraId="24506040" w14:textId="77777777" w:rsidTr="00360B83">
        <w:trPr>
          <w:trHeight w:val="144"/>
          <w:jc w:val="center"/>
        </w:trPr>
        <w:tc>
          <w:tcPr>
            <w:tcW w:w="960" w:type="dxa"/>
            <w:noWrap/>
            <w:hideMark/>
          </w:tcPr>
          <w:p w14:paraId="00BC393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2001</w:t>
            </w:r>
          </w:p>
        </w:tc>
        <w:tc>
          <w:tcPr>
            <w:tcW w:w="2455" w:type="dxa"/>
            <w:noWrap/>
          </w:tcPr>
          <w:p w14:paraId="4FEC99A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0.422</w:t>
            </w:r>
          </w:p>
        </w:tc>
        <w:tc>
          <w:tcPr>
            <w:tcW w:w="1170" w:type="dxa"/>
            <w:noWrap/>
          </w:tcPr>
          <w:p w14:paraId="42D0446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0.029</w:t>
            </w:r>
          </w:p>
        </w:tc>
        <w:tc>
          <w:tcPr>
            <w:tcW w:w="1080" w:type="dxa"/>
            <w:noWrap/>
          </w:tcPr>
          <w:p w14:paraId="4ADC544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0.434</w:t>
            </w:r>
          </w:p>
        </w:tc>
        <w:tc>
          <w:tcPr>
            <w:tcW w:w="1440" w:type="dxa"/>
            <w:noWrap/>
          </w:tcPr>
          <w:p w14:paraId="019AA24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0.115</w:t>
            </w:r>
          </w:p>
        </w:tc>
      </w:tr>
      <w:tr w:rsidR="001D05E2" w:rsidRPr="001D05E2" w14:paraId="202683DF" w14:textId="77777777" w:rsidTr="00360B83">
        <w:trPr>
          <w:trHeight w:val="144"/>
          <w:jc w:val="center"/>
        </w:trPr>
        <w:tc>
          <w:tcPr>
            <w:tcW w:w="960" w:type="dxa"/>
            <w:noWrap/>
            <w:hideMark/>
          </w:tcPr>
          <w:p w14:paraId="3A8944A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2002</w:t>
            </w:r>
          </w:p>
        </w:tc>
        <w:tc>
          <w:tcPr>
            <w:tcW w:w="2455" w:type="dxa"/>
            <w:noWrap/>
          </w:tcPr>
          <w:p w14:paraId="3F1B91F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0.419</w:t>
            </w:r>
          </w:p>
        </w:tc>
        <w:tc>
          <w:tcPr>
            <w:tcW w:w="1170" w:type="dxa"/>
            <w:noWrap/>
          </w:tcPr>
          <w:p w14:paraId="1FBCC53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0.029</w:t>
            </w:r>
          </w:p>
        </w:tc>
        <w:tc>
          <w:tcPr>
            <w:tcW w:w="1080" w:type="dxa"/>
            <w:noWrap/>
          </w:tcPr>
          <w:p w14:paraId="27E5D5A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0.443</w:t>
            </w:r>
          </w:p>
        </w:tc>
        <w:tc>
          <w:tcPr>
            <w:tcW w:w="1440" w:type="dxa"/>
            <w:noWrap/>
          </w:tcPr>
          <w:p w14:paraId="3742FE6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0.108</w:t>
            </w:r>
          </w:p>
        </w:tc>
      </w:tr>
      <w:tr w:rsidR="001D05E2" w:rsidRPr="001D05E2" w14:paraId="7D09D77B" w14:textId="77777777" w:rsidTr="00360B83">
        <w:trPr>
          <w:trHeight w:val="144"/>
          <w:jc w:val="center"/>
        </w:trPr>
        <w:tc>
          <w:tcPr>
            <w:tcW w:w="960" w:type="dxa"/>
            <w:noWrap/>
            <w:hideMark/>
          </w:tcPr>
          <w:p w14:paraId="009DBC4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2003</w:t>
            </w:r>
          </w:p>
        </w:tc>
        <w:tc>
          <w:tcPr>
            <w:tcW w:w="2455" w:type="dxa"/>
            <w:noWrap/>
          </w:tcPr>
          <w:p w14:paraId="3E4DE25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0.415</w:t>
            </w:r>
          </w:p>
        </w:tc>
        <w:tc>
          <w:tcPr>
            <w:tcW w:w="1170" w:type="dxa"/>
            <w:noWrap/>
          </w:tcPr>
          <w:p w14:paraId="4CEFF91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0.030</w:t>
            </w:r>
          </w:p>
        </w:tc>
        <w:tc>
          <w:tcPr>
            <w:tcW w:w="1080" w:type="dxa"/>
            <w:noWrap/>
          </w:tcPr>
          <w:p w14:paraId="2D32FCF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0.453</w:t>
            </w:r>
          </w:p>
        </w:tc>
        <w:tc>
          <w:tcPr>
            <w:tcW w:w="1440" w:type="dxa"/>
            <w:noWrap/>
          </w:tcPr>
          <w:p w14:paraId="181F1F8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0.102</w:t>
            </w:r>
          </w:p>
        </w:tc>
      </w:tr>
      <w:tr w:rsidR="001D05E2" w:rsidRPr="001D05E2" w14:paraId="78CC15D1" w14:textId="77777777" w:rsidTr="00360B83">
        <w:trPr>
          <w:trHeight w:val="144"/>
          <w:jc w:val="center"/>
        </w:trPr>
        <w:tc>
          <w:tcPr>
            <w:tcW w:w="960" w:type="dxa"/>
            <w:noWrap/>
            <w:hideMark/>
          </w:tcPr>
          <w:p w14:paraId="7D9C8E8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2004</w:t>
            </w:r>
          </w:p>
        </w:tc>
        <w:tc>
          <w:tcPr>
            <w:tcW w:w="2455" w:type="dxa"/>
            <w:noWrap/>
          </w:tcPr>
          <w:p w14:paraId="7A14D33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0.411</w:t>
            </w:r>
          </w:p>
        </w:tc>
        <w:tc>
          <w:tcPr>
            <w:tcW w:w="1170" w:type="dxa"/>
            <w:noWrap/>
          </w:tcPr>
          <w:p w14:paraId="0BF6EC4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0.030</w:t>
            </w:r>
          </w:p>
        </w:tc>
        <w:tc>
          <w:tcPr>
            <w:tcW w:w="1080" w:type="dxa"/>
            <w:noWrap/>
          </w:tcPr>
          <w:p w14:paraId="1AD2FB7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0.462</w:t>
            </w:r>
          </w:p>
        </w:tc>
        <w:tc>
          <w:tcPr>
            <w:tcW w:w="1440" w:type="dxa"/>
            <w:noWrap/>
          </w:tcPr>
          <w:p w14:paraId="2B04F8D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0.097</w:t>
            </w:r>
          </w:p>
        </w:tc>
      </w:tr>
      <w:tr w:rsidR="001D05E2" w:rsidRPr="001D05E2" w14:paraId="3CE555D9" w14:textId="77777777" w:rsidTr="00360B83">
        <w:trPr>
          <w:trHeight w:val="144"/>
          <w:jc w:val="center"/>
        </w:trPr>
        <w:tc>
          <w:tcPr>
            <w:tcW w:w="960" w:type="dxa"/>
            <w:noWrap/>
            <w:hideMark/>
          </w:tcPr>
          <w:p w14:paraId="486DE37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2005</w:t>
            </w:r>
          </w:p>
        </w:tc>
        <w:tc>
          <w:tcPr>
            <w:tcW w:w="2455" w:type="dxa"/>
            <w:noWrap/>
          </w:tcPr>
          <w:p w14:paraId="3ABC45D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0.406</w:t>
            </w:r>
          </w:p>
        </w:tc>
        <w:tc>
          <w:tcPr>
            <w:tcW w:w="1170" w:type="dxa"/>
            <w:noWrap/>
          </w:tcPr>
          <w:p w14:paraId="63D01B6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0.030</w:t>
            </w:r>
          </w:p>
        </w:tc>
        <w:tc>
          <w:tcPr>
            <w:tcW w:w="1080" w:type="dxa"/>
            <w:noWrap/>
          </w:tcPr>
          <w:p w14:paraId="41B71CA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0.472</w:t>
            </w:r>
          </w:p>
        </w:tc>
        <w:tc>
          <w:tcPr>
            <w:tcW w:w="1440" w:type="dxa"/>
            <w:noWrap/>
          </w:tcPr>
          <w:p w14:paraId="28D2DFE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0.092</w:t>
            </w:r>
          </w:p>
        </w:tc>
      </w:tr>
      <w:tr w:rsidR="001D05E2" w:rsidRPr="001D05E2" w14:paraId="71B048B1" w14:textId="77777777" w:rsidTr="00360B83">
        <w:trPr>
          <w:trHeight w:val="144"/>
          <w:jc w:val="center"/>
        </w:trPr>
        <w:tc>
          <w:tcPr>
            <w:tcW w:w="960" w:type="dxa"/>
            <w:noWrap/>
            <w:hideMark/>
          </w:tcPr>
          <w:p w14:paraId="451B3C0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2006</w:t>
            </w:r>
          </w:p>
        </w:tc>
        <w:tc>
          <w:tcPr>
            <w:tcW w:w="2455" w:type="dxa"/>
            <w:noWrap/>
          </w:tcPr>
          <w:p w14:paraId="40D9A17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0.401</w:t>
            </w:r>
          </w:p>
        </w:tc>
        <w:tc>
          <w:tcPr>
            <w:tcW w:w="1170" w:type="dxa"/>
            <w:noWrap/>
          </w:tcPr>
          <w:p w14:paraId="7815424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0.031</w:t>
            </w:r>
          </w:p>
        </w:tc>
        <w:tc>
          <w:tcPr>
            <w:tcW w:w="1080" w:type="dxa"/>
            <w:noWrap/>
          </w:tcPr>
          <w:p w14:paraId="629C800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0.481</w:t>
            </w:r>
          </w:p>
        </w:tc>
        <w:tc>
          <w:tcPr>
            <w:tcW w:w="1440" w:type="dxa"/>
            <w:noWrap/>
          </w:tcPr>
          <w:p w14:paraId="28E8451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0.088</w:t>
            </w:r>
          </w:p>
        </w:tc>
      </w:tr>
      <w:tr w:rsidR="001D05E2" w:rsidRPr="001D05E2" w14:paraId="2709BEF5" w14:textId="77777777" w:rsidTr="00360B83">
        <w:trPr>
          <w:trHeight w:val="144"/>
          <w:jc w:val="center"/>
        </w:trPr>
        <w:tc>
          <w:tcPr>
            <w:tcW w:w="960" w:type="dxa"/>
            <w:noWrap/>
            <w:hideMark/>
          </w:tcPr>
          <w:p w14:paraId="12E1A25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2007</w:t>
            </w:r>
          </w:p>
        </w:tc>
        <w:tc>
          <w:tcPr>
            <w:tcW w:w="2455" w:type="dxa"/>
            <w:noWrap/>
          </w:tcPr>
          <w:p w14:paraId="751EB18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0.394</w:t>
            </w:r>
          </w:p>
        </w:tc>
        <w:tc>
          <w:tcPr>
            <w:tcW w:w="1170" w:type="dxa"/>
            <w:noWrap/>
          </w:tcPr>
          <w:p w14:paraId="358EAAB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0.031</w:t>
            </w:r>
          </w:p>
        </w:tc>
        <w:tc>
          <w:tcPr>
            <w:tcW w:w="1080" w:type="dxa"/>
            <w:noWrap/>
          </w:tcPr>
          <w:p w14:paraId="3D39152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0.490</w:t>
            </w:r>
          </w:p>
        </w:tc>
        <w:tc>
          <w:tcPr>
            <w:tcW w:w="1440" w:type="dxa"/>
            <w:noWrap/>
          </w:tcPr>
          <w:p w14:paraId="51EDB37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0.085</w:t>
            </w:r>
          </w:p>
        </w:tc>
      </w:tr>
      <w:tr w:rsidR="001D05E2" w:rsidRPr="001D05E2" w14:paraId="5A60C662" w14:textId="77777777" w:rsidTr="00360B83">
        <w:trPr>
          <w:trHeight w:val="144"/>
          <w:jc w:val="center"/>
        </w:trPr>
        <w:tc>
          <w:tcPr>
            <w:tcW w:w="960" w:type="dxa"/>
            <w:noWrap/>
            <w:hideMark/>
          </w:tcPr>
          <w:p w14:paraId="3BEF8CB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2008</w:t>
            </w:r>
          </w:p>
        </w:tc>
        <w:tc>
          <w:tcPr>
            <w:tcW w:w="2455" w:type="dxa"/>
            <w:noWrap/>
          </w:tcPr>
          <w:p w14:paraId="6FF69F9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0.385</w:t>
            </w:r>
          </w:p>
        </w:tc>
        <w:tc>
          <w:tcPr>
            <w:tcW w:w="1170" w:type="dxa"/>
            <w:noWrap/>
          </w:tcPr>
          <w:p w14:paraId="63559D3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0.031</w:t>
            </w:r>
          </w:p>
        </w:tc>
        <w:tc>
          <w:tcPr>
            <w:tcW w:w="1080" w:type="dxa"/>
            <w:noWrap/>
          </w:tcPr>
          <w:p w14:paraId="667DA29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0.500</w:t>
            </w:r>
          </w:p>
        </w:tc>
        <w:tc>
          <w:tcPr>
            <w:tcW w:w="1440" w:type="dxa"/>
            <w:noWrap/>
          </w:tcPr>
          <w:p w14:paraId="7CD389F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0.084</w:t>
            </w:r>
          </w:p>
        </w:tc>
      </w:tr>
      <w:tr w:rsidR="001D05E2" w:rsidRPr="001D05E2" w14:paraId="6A589550" w14:textId="77777777" w:rsidTr="00360B83">
        <w:trPr>
          <w:trHeight w:val="144"/>
          <w:jc w:val="center"/>
        </w:trPr>
        <w:tc>
          <w:tcPr>
            <w:tcW w:w="960" w:type="dxa"/>
            <w:noWrap/>
            <w:hideMark/>
          </w:tcPr>
          <w:p w14:paraId="4DA78EF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2009</w:t>
            </w:r>
          </w:p>
        </w:tc>
        <w:tc>
          <w:tcPr>
            <w:tcW w:w="2455" w:type="dxa"/>
            <w:noWrap/>
          </w:tcPr>
          <w:p w14:paraId="3024931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0.375</w:t>
            </w:r>
          </w:p>
        </w:tc>
        <w:tc>
          <w:tcPr>
            <w:tcW w:w="1170" w:type="dxa"/>
            <w:noWrap/>
          </w:tcPr>
          <w:p w14:paraId="062CA34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0.032</w:t>
            </w:r>
          </w:p>
        </w:tc>
        <w:tc>
          <w:tcPr>
            <w:tcW w:w="1080" w:type="dxa"/>
            <w:noWrap/>
          </w:tcPr>
          <w:p w14:paraId="7980387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0.509</w:t>
            </w:r>
          </w:p>
        </w:tc>
        <w:tc>
          <w:tcPr>
            <w:tcW w:w="1440" w:type="dxa"/>
            <w:noWrap/>
          </w:tcPr>
          <w:p w14:paraId="470372D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0.084</w:t>
            </w:r>
          </w:p>
        </w:tc>
      </w:tr>
      <w:tr w:rsidR="001D05E2" w:rsidRPr="001D05E2" w14:paraId="24806776" w14:textId="77777777" w:rsidTr="00360B83">
        <w:trPr>
          <w:trHeight w:val="144"/>
          <w:jc w:val="center"/>
        </w:trPr>
        <w:tc>
          <w:tcPr>
            <w:tcW w:w="960" w:type="dxa"/>
            <w:noWrap/>
            <w:hideMark/>
          </w:tcPr>
          <w:p w14:paraId="636512A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2010</w:t>
            </w:r>
          </w:p>
        </w:tc>
        <w:tc>
          <w:tcPr>
            <w:tcW w:w="2455" w:type="dxa"/>
            <w:noWrap/>
          </w:tcPr>
          <w:p w14:paraId="37895C6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0.364</w:t>
            </w:r>
          </w:p>
        </w:tc>
        <w:tc>
          <w:tcPr>
            <w:tcW w:w="1170" w:type="dxa"/>
            <w:noWrap/>
          </w:tcPr>
          <w:p w14:paraId="2BAB673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0.032</w:t>
            </w:r>
          </w:p>
        </w:tc>
        <w:tc>
          <w:tcPr>
            <w:tcW w:w="1080" w:type="dxa"/>
            <w:noWrap/>
          </w:tcPr>
          <w:p w14:paraId="69A3637F"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0.520</w:t>
            </w:r>
          </w:p>
        </w:tc>
        <w:tc>
          <w:tcPr>
            <w:tcW w:w="1440" w:type="dxa"/>
            <w:noWrap/>
          </w:tcPr>
          <w:p w14:paraId="3C2CFA0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0.084</w:t>
            </w:r>
          </w:p>
        </w:tc>
      </w:tr>
      <w:tr w:rsidR="001D05E2" w:rsidRPr="001D05E2" w14:paraId="78E05334" w14:textId="77777777" w:rsidTr="00360B83">
        <w:trPr>
          <w:trHeight w:val="144"/>
          <w:jc w:val="center"/>
        </w:trPr>
        <w:tc>
          <w:tcPr>
            <w:tcW w:w="960" w:type="dxa"/>
            <w:noWrap/>
            <w:hideMark/>
          </w:tcPr>
          <w:p w14:paraId="6D0DE4F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2011</w:t>
            </w:r>
          </w:p>
        </w:tc>
        <w:tc>
          <w:tcPr>
            <w:tcW w:w="2455" w:type="dxa"/>
            <w:noWrap/>
          </w:tcPr>
          <w:p w14:paraId="4914F1E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0.353</w:t>
            </w:r>
          </w:p>
        </w:tc>
        <w:tc>
          <w:tcPr>
            <w:tcW w:w="1170" w:type="dxa"/>
            <w:noWrap/>
          </w:tcPr>
          <w:p w14:paraId="43910A9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0.032</w:t>
            </w:r>
          </w:p>
        </w:tc>
        <w:tc>
          <w:tcPr>
            <w:tcW w:w="1080" w:type="dxa"/>
            <w:noWrap/>
          </w:tcPr>
          <w:p w14:paraId="2E508E1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0.530</w:t>
            </w:r>
          </w:p>
        </w:tc>
        <w:tc>
          <w:tcPr>
            <w:tcW w:w="1440" w:type="dxa"/>
            <w:noWrap/>
          </w:tcPr>
          <w:p w14:paraId="6366C6A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0.085</w:t>
            </w:r>
          </w:p>
        </w:tc>
      </w:tr>
      <w:tr w:rsidR="001D05E2" w:rsidRPr="001D05E2" w14:paraId="322FFBDB" w14:textId="77777777" w:rsidTr="00360B83">
        <w:trPr>
          <w:trHeight w:val="144"/>
          <w:jc w:val="center"/>
        </w:trPr>
        <w:tc>
          <w:tcPr>
            <w:tcW w:w="960" w:type="dxa"/>
            <w:noWrap/>
            <w:hideMark/>
          </w:tcPr>
          <w:p w14:paraId="50E4DDD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2012</w:t>
            </w:r>
          </w:p>
        </w:tc>
        <w:tc>
          <w:tcPr>
            <w:tcW w:w="2455" w:type="dxa"/>
            <w:noWrap/>
          </w:tcPr>
          <w:p w14:paraId="77203761"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0.342</w:t>
            </w:r>
          </w:p>
        </w:tc>
        <w:tc>
          <w:tcPr>
            <w:tcW w:w="1170" w:type="dxa"/>
            <w:noWrap/>
          </w:tcPr>
          <w:p w14:paraId="29F98B1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0.032</w:t>
            </w:r>
          </w:p>
        </w:tc>
        <w:tc>
          <w:tcPr>
            <w:tcW w:w="1080" w:type="dxa"/>
            <w:noWrap/>
          </w:tcPr>
          <w:p w14:paraId="655A893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0.540</w:t>
            </w:r>
          </w:p>
        </w:tc>
        <w:tc>
          <w:tcPr>
            <w:tcW w:w="1440" w:type="dxa"/>
            <w:noWrap/>
          </w:tcPr>
          <w:p w14:paraId="5D4EC6D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0.086</w:t>
            </w:r>
          </w:p>
        </w:tc>
      </w:tr>
      <w:tr w:rsidR="001D05E2" w:rsidRPr="001D05E2" w14:paraId="7CE87E5D" w14:textId="77777777" w:rsidTr="00360B83">
        <w:trPr>
          <w:trHeight w:val="144"/>
          <w:jc w:val="center"/>
        </w:trPr>
        <w:tc>
          <w:tcPr>
            <w:tcW w:w="960" w:type="dxa"/>
            <w:noWrap/>
            <w:hideMark/>
          </w:tcPr>
          <w:p w14:paraId="75DDC5C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2013</w:t>
            </w:r>
          </w:p>
        </w:tc>
        <w:tc>
          <w:tcPr>
            <w:tcW w:w="2455" w:type="dxa"/>
            <w:noWrap/>
          </w:tcPr>
          <w:p w14:paraId="57F9D04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0.332</w:t>
            </w:r>
          </w:p>
        </w:tc>
        <w:tc>
          <w:tcPr>
            <w:tcW w:w="1170" w:type="dxa"/>
            <w:noWrap/>
          </w:tcPr>
          <w:p w14:paraId="25B8951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0.033</w:t>
            </w:r>
          </w:p>
        </w:tc>
        <w:tc>
          <w:tcPr>
            <w:tcW w:w="1080" w:type="dxa"/>
            <w:noWrap/>
          </w:tcPr>
          <w:p w14:paraId="353CE7B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0.550</w:t>
            </w:r>
          </w:p>
        </w:tc>
        <w:tc>
          <w:tcPr>
            <w:tcW w:w="1440" w:type="dxa"/>
            <w:noWrap/>
          </w:tcPr>
          <w:p w14:paraId="7C91B56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0.086</w:t>
            </w:r>
          </w:p>
        </w:tc>
      </w:tr>
      <w:tr w:rsidR="001D05E2" w:rsidRPr="001D05E2" w14:paraId="0CCC6FE5" w14:textId="77777777" w:rsidTr="00360B83">
        <w:trPr>
          <w:trHeight w:val="144"/>
          <w:jc w:val="center"/>
        </w:trPr>
        <w:tc>
          <w:tcPr>
            <w:tcW w:w="960" w:type="dxa"/>
            <w:noWrap/>
            <w:hideMark/>
          </w:tcPr>
          <w:p w14:paraId="7E44A919"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2014</w:t>
            </w:r>
          </w:p>
        </w:tc>
        <w:tc>
          <w:tcPr>
            <w:tcW w:w="2455" w:type="dxa"/>
            <w:noWrap/>
          </w:tcPr>
          <w:p w14:paraId="2B1812E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0.322</w:t>
            </w:r>
          </w:p>
        </w:tc>
        <w:tc>
          <w:tcPr>
            <w:tcW w:w="1170" w:type="dxa"/>
            <w:noWrap/>
          </w:tcPr>
          <w:p w14:paraId="5599F44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0.033</w:t>
            </w:r>
          </w:p>
        </w:tc>
        <w:tc>
          <w:tcPr>
            <w:tcW w:w="1080" w:type="dxa"/>
            <w:noWrap/>
          </w:tcPr>
          <w:p w14:paraId="0E3CD86E"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0.559</w:t>
            </w:r>
          </w:p>
        </w:tc>
        <w:tc>
          <w:tcPr>
            <w:tcW w:w="1440" w:type="dxa"/>
            <w:noWrap/>
          </w:tcPr>
          <w:p w14:paraId="4F47B3E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0.086</w:t>
            </w:r>
          </w:p>
        </w:tc>
      </w:tr>
      <w:tr w:rsidR="001D05E2" w:rsidRPr="001D05E2" w14:paraId="4BA69AD4" w14:textId="77777777" w:rsidTr="00360B83">
        <w:trPr>
          <w:trHeight w:val="144"/>
          <w:jc w:val="center"/>
        </w:trPr>
        <w:tc>
          <w:tcPr>
            <w:tcW w:w="960" w:type="dxa"/>
            <w:noWrap/>
            <w:hideMark/>
          </w:tcPr>
          <w:p w14:paraId="19ED5DA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2015</w:t>
            </w:r>
          </w:p>
        </w:tc>
        <w:tc>
          <w:tcPr>
            <w:tcW w:w="2455" w:type="dxa"/>
            <w:noWrap/>
          </w:tcPr>
          <w:p w14:paraId="422F027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0.313</w:t>
            </w:r>
          </w:p>
        </w:tc>
        <w:tc>
          <w:tcPr>
            <w:tcW w:w="1170" w:type="dxa"/>
            <w:noWrap/>
          </w:tcPr>
          <w:p w14:paraId="207DB864"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0.033</w:t>
            </w:r>
          </w:p>
        </w:tc>
        <w:tc>
          <w:tcPr>
            <w:tcW w:w="1080" w:type="dxa"/>
            <w:noWrap/>
          </w:tcPr>
          <w:p w14:paraId="12179A2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0.569</w:t>
            </w:r>
          </w:p>
        </w:tc>
        <w:tc>
          <w:tcPr>
            <w:tcW w:w="1440" w:type="dxa"/>
            <w:noWrap/>
          </w:tcPr>
          <w:p w14:paraId="2E81FBD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0.085</w:t>
            </w:r>
          </w:p>
        </w:tc>
      </w:tr>
      <w:tr w:rsidR="001D05E2" w:rsidRPr="001D05E2" w14:paraId="22F2E973" w14:textId="77777777" w:rsidTr="00360B83">
        <w:trPr>
          <w:trHeight w:val="144"/>
          <w:jc w:val="center"/>
        </w:trPr>
        <w:tc>
          <w:tcPr>
            <w:tcW w:w="960" w:type="dxa"/>
            <w:noWrap/>
            <w:hideMark/>
          </w:tcPr>
          <w:p w14:paraId="518E944D"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2016</w:t>
            </w:r>
          </w:p>
        </w:tc>
        <w:tc>
          <w:tcPr>
            <w:tcW w:w="2455" w:type="dxa"/>
            <w:noWrap/>
          </w:tcPr>
          <w:p w14:paraId="65DC2D48"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0.304</w:t>
            </w:r>
          </w:p>
        </w:tc>
        <w:tc>
          <w:tcPr>
            <w:tcW w:w="1170" w:type="dxa"/>
            <w:noWrap/>
          </w:tcPr>
          <w:p w14:paraId="4AC1FEC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0.034</w:t>
            </w:r>
          </w:p>
        </w:tc>
        <w:tc>
          <w:tcPr>
            <w:tcW w:w="1080" w:type="dxa"/>
            <w:noWrap/>
          </w:tcPr>
          <w:p w14:paraId="0F589135"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0.578</w:t>
            </w:r>
          </w:p>
        </w:tc>
        <w:tc>
          <w:tcPr>
            <w:tcW w:w="1440" w:type="dxa"/>
            <w:noWrap/>
          </w:tcPr>
          <w:p w14:paraId="53C76177"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0.084</w:t>
            </w:r>
          </w:p>
        </w:tc>
      </w:tr>
      <w:tr w:rsidR="001D05E2" w:rsidRPr="001D05E2" w14:paraId="1EDE709A" w14:textId="77777777" w:rsidTr="00360B83">
        <w:trPr>
          <w:trHeight w:val="144"/>
          <w:jc w:val="center"/>
        </w:trPr>
        <w:tc>
          <w:tcPr>
            <w:tcW w:w="960" w:type="dxa"/>
            <w:noWrap/>
            <w:hideMark/>
          </w:tcPr>
          <w:p w14:paraId="5BF2A4BC"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2017</w:t>
            </w:r>
          </w:p>
        </w:tc>
        <w:tc>
          <w:tcPr>
            <w:tcW w:w="2455" w:type="dxa"/>
            <w:noWrap/>
          </w:tcPr>
          <w:p w14:paraId="06A6B6D6"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0.297</w:t>
            </w:r>
          </w:p>
        </w:tc>
        <w:tc>
          <w:tcPr>
            <w:tcW w:w="1170" w:type="dxa"/>
            <w:noWrap/>
          </w:tcPr>
          <w:p w14:paraId="44C0F0D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0.034</w:t>
            </w:r>
          </w:p>
        </w:tc>
        <w:tc>
          <w:tcPr>
            <w:tcW w:w="1080" w:type="dxa"/>
            <w:noWrap/>
          </w:tcPr>
          <w:p w14:paraId="38E4D57B"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0.587</w:t>
            </w:r>
          </w:p>
        </w:tc>
        <w:tc>
          <w:tcPr>
            <w:tcW w:w="1440" w:type="dxa"/>
            <w:noWrap/>
          </w:tcPr>
          <w:p w14:paraId="3DDE93F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0.082</w:t>
            </w:r>
          </w:p>
        </w:tc>
      </w:tr>
      <w:tr w:rsidR="001D05E2" w:rsidRPr="001D05E2" w14:paraId="6AE1E59E" w14:textId="77777777" w:rsidTr="00360B83">
        <w:trPr>
          <w:trHeight w:val="144"/>
          <w:jc w:val="center"/>
        </w:trPr>
        <w:tc>
          <w:tcPr>
            <w:tcW w:w="960" w:type="dxa"/>
            <w:noWrap/>
            <w:hideMark/>
          </w:tcPr>
          <w:p w14:paraId="5692749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2018</w:t>
            </w:r>
          </w:p>
        </w:tc>
        <w:tc>
          <w:tcPr>
            <w:tcW w:w="2455" w:type="dxa"/>
            <w:noWrap/>
          </w:tcPr>
          <w:p w14:paraId="4B8F00D2"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0.290</w:t>
            </w:r>
          </w:p>
        </w:tc>
        <w:tc>
          <w:tcPr>
            <w:tcW w:w="1170" w:type="dxa"/>
            <w:noWrap/>
          </w:tcPr>
          <w:p w14:paraId="481F54D3"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0.035</w:t>
            </w:r>
          </w:p>
        </w:tc>
        <w:tc>
          <w:tcPr>
            <w:tcW w:w="1080" w:type="dxa"/>
            <w:noWrap/>
          </w:tcPr>
          <w:p w14:paraId="75060900"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0.596</w:t>
            </w:r>
          </w:p>
        </w:tc>
        <w:tc>
          <w:tcPr>
            <w:tcW w:w="1440" w:type="dxa"/>
            <w:noWrap/>
          </w:tcPr>
          <w:p w14:paraId="039449DA" w14:textId="77777777" w:rsidR="001D05E2" w:rsidRPr="001D05E2" w:rsidRDefault="001D05E2" w:rsidP="001D05E2">
            <w:pPr>
              <w:spacing w:line="278" w:lineRule="auto"/>
              <w:rPr>
                <w:rFonts w:ascii="Times New Roman" w:hAnsi="Times New Roman" w:cs="Times New Roman"/>
              </w:rPr>
            </w:pPr>
            <w:r w:rsidRPr="001D05E2">
              <w:rPr>
                <w:rFonts w:ascii="Times New Roman" w:hAnsi="Times New Roman" w:cs="Times New Roman"/>
              </w:rPr>
              <w:t>0.079</w:t>
            </w:r>
          </w:p>
        </w:tc>
      </w:tr>
    </w:tbl>
    <w:p w14:paraId="7732CBCA" w14:textId="77777777" w:rsidR="001D05E2" w:rsidRPr="001D05E2" w:rsidRDefault="001D05E2" w:rsidP="001D05E2">
      <w:pPr>
        <w:rPr>
          <w:rFonts w:ascii="Times New Roman" w:hAnsi="Times New Roman" w:cs="Times New Roman"/>
        </w:rPr>
      </w:pPr>
    </w:p>
    <w:p w14:paraId="72C10C13" w14:textId="77777777" w:rsidR="001D05E2" w:rsidRPr="002D10B0" w:rsidRDefault="001D05E2" w:rsidP="002D10B0">
      <w:pPr>
        <w:pStyle w:val="Heading1"/>
        <w:rPr>
          <w:rFonts w:ascii="Times New Roman" w:hAnsi="Times New Roman" w:cs="Times New Roman"/>
          <w:b/>
          <w:bCs/>
          <w:color w:val="auto"/>
          <w:sz w:val="24"/>
          <w:szCs w:val="24"/>
        </w:rPr>
      </w:pPr>
      <w:bookmarkStart w:id="87" w:name="_Toc215829630"/>
      <w:r w:rsidRPr="002D10B0">
        <w:rPr>
          <w:rFonts w:ascii="Times New Roman" w:hAnsi="Times New Roman" w:cs="Times New Roman"/>
          <w:b/>
          <w:bCs/>
          <w:color w:val="auto"/>
          <w:sz w:val="24"/>
          <w:szCs w:val="24"/>
        </w:rPr>
        <w:t>REFERENCES</w:t>
      </w:r>
      <w:bookmarkEnd w:id="87"/>
    </w:p>
    <w:p w14:paraId="1AE3E777" w14:textId="77777777" w:rsidR="001B7B37" w:rsidRPr="00C24730" w:rsidRDefault="001D05E2"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fldChar w:fldCharType="begin"/>
      </w:r>
      <w:r w:rsidR="00F8257C" w:rsidRPr="00C24730">
        <w:rPr>
          <w:rFonts w:ascii="Times New Roman" w:hAnsi="Times New Roman" w:cs="Times New Roman"/>
        </w:rPr>
        <w:instrText xml:space="preserve"> ADDIN ZOTERO_BIBL {"uncited":[],"omitted":[],"custom":[]} CSL_BIBLIOGRAPHY </w:instrText>
      </w:r>
      <w:r w:rsidRPr="00C24730">
        <w:rPr>
          <w:rFonts w:ascii="Times New Roman" w:hAnsi="Times New Roman" w:cs="Times New Roman"/>
        </w:rPr>
        <w:fldChar w:fldCharType="separate"/>
      </w:r>
      <w:r w:rsidR="001B7B37" w:rsidRPr="00C24730">
        <w:rPr>
          <w:rFonts w:ascii="Times New Roman" w:hAnsi="Times New Roman" w:cs="Times New Roman"/>
        </w:rPr>
        <w:t>1.</w:t>
      </w:r>
      <w:r w:rsidR="001B7B37" w:rsidRPr="00C24730">
        <w:rPr>
          <w:rFonts w:ascii="Times New Roman" w:hAnsi="Times New Roman" w:cs="Times New Roman"/>
        </w:rPr>
        <w:tab/>
        <w:t xml:space="preserve">WBCSD &amp; WRI. </w:t>
      </w:r>
      <w:r w:rsidR="001B7B37" w:rsidRPr="00C24730">
        <w:rPr>
          <w:rFonts w:ascii="Times New Roman" w:hAnsi="Times New Roman" w:cs="Times New Roman"/>
          <w:i/>
          <w:iCs/>
        </w:rPr>
        <w:t>GHG Protocol Corporate Accounting and Reporting Standard</w:t>
      </w:r>
      <w:r w:rsidR="001B7B37" w:rsidRPr="00C24730">
        <w:rPr>
          <w:rFonts w:ascii="Times New Roman" w:hAnsi="Times New Roman" w:cs="Times New Roman"/>
        </w:rPr>
        <w:t>. https://ghgprotocol.org/corporate-standard (2004).</w:t>
      </w:r>
    </w:p>
    <w:p w14:paraId="34338E4F"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w:t>
      </w:r>
      <w:r w:rsidRPr="00C24730">
        <w:rPr>
          <w:rFonts w:ascii="Times New Roman" w:hAnsi="Times New Roman" w:cs="Times New Roman"/>
        </w:rPr>
        <w:tab/>
        <w:t xml:space="preserve">WBCSD &amp; WRI. </w:t>
      </w:r>
      <w:r w:rsidRPr="00C24730">
        <w:rPr>
          <w:rFonts w:ascii="Times New Roman" w:hAnsi="Times New Roman" w:cs="Times New Roman"/>
          <w:i/>
          <w:iCs/>
        </w:rPr>
        <w:t>Corporate Value Chain (Scope 3) Standard | GHG Protocol</w:t>
      </w:r>
      <w:r w:rsidRPr="00C24730">
        <w:rPr>
          <w:rFonts w:ascii="Times New Roman" w:hAnsi="Times New Roman" w:cs="Times New Roman"/>
        </w:rPr>
        <w:t>. https://ghgprotocol.org/corporate-value-chain-scope-3-standard (2011).</w:t>
      </w:r>
    </w:p>
    <w:p w14:paraId="38E72A84"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Inventory of U.S. Greenhouse Gas Emissions and Sinks: 1990-2022</w:t>
      </w:r>
      <w:r w:rsidRPr="00C24730">
        <w:rPr>
          <w:rFonts w:ascii="Times New Roman" w:hAnsi="Times New Roman" w:cs="Times New Roman"/>
        </w:rPr>
        <w:t>. https://www.epa.gov/ghgemissions/inventory-us-greenhouse-gas-emissions-and-sinks-1990-2022 (2024).</w:t>
      </w:r>
    </w:p>
    <w:p w14:paraId="1756DE2D"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Annexes to Inventory of U.S. Greenhouse Gas Emissions and Sinks: 1990-2022</w:t>
      </w:r>
      <w:r w:rsidRPr="00C24730">
        <w:rPr>
          <w:rFonts w:ascii="Times New Roman" w:hAnsi="Times New Roman" w:cs="Times New Roman"/>
        </w:rPr>
        <w:t>. https://www.epa.gov/ghgemissions/inventory-us-greenhouse-gas-emissions-and-sinks-1990-2022 (2024).</w:t>
      </w:r>
    </w:p>
    <w:p w14:paraId="7A961E1D"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w:t>
      </w:r>
      <w:r w:rsidRPr="00C24730">
        <w:rPr>
          <w:rFonts w:ascii="Times New Roman" w:hAnsi="Times New Roman" w:cs="Times New Roman"/>
        </w:rPr>
        <w:tab/>
        <w:t xml:space="preserve">Heath, L. S. </w:t>
      </w:r>
      <w:r w:rsidRPr="00C24730">
        <w:rPr>
          <w:rFonts w:ascii="Times New Roman" w:hAnsi="Times New Roman" w:cs="Times New Roman"/>
          <w:i/>
          <w:iCs/>
        </w:rPr>
        <w:t>et al.</w:t>
      </w:r>
      <w:r w:rsidRPr="00C24730">
        <w:rPr>
          <w:rFonts w:ascii="Times New Roman" w:hAnsi="Times New Roman" w:cs="Times New Roman"/>
        </w:rPr>
        <w:t xml:space="preserve"> Greenhouse Gas and Carbon Profile of the U.S. Forest Products Industry Value Chain. </w:t>
      </w:r>
      <w:r w:rsidRPr="00C24730">
        <w:rPr>
          <w:rFonts w:ascii="Times New Roman" w:hAnsi="Times New Roman" w:cs="Times New Roman"/>
          <w:i/>
          <w:iCs/>
        </w:rPr>
        <w:t>Environ. Sci. Technol.</w:t>
      </w:r>
      <w:r w:rsidRPr="00C24730">
        <w:rPr>
          <w:rFonts w:ascii="Times New Roman" w:hAnsi="Times New Roman" w:cs="Times New Roman"/>
        </w:rPr>
        <w:t xml:space="preserve"> </w:t>
      </w:r>
      <w:r w:rsidRPr="00C24730">
        <w:rPr>
          <w:rFonts w:ascii="Times New Roman" w:hAnsi="Times New Roman" w:cs="Times New Roman"/>
          <w:b/>
          <w:bCs/>
        </w:rPr>
        <w:t>44</w:t>
      </w:r>
      <w:r w:rsidRPr="00C24730">
        <w:rPr>
          <w:rFonts w:ascii="Times New Roman" w:hAnsi="Times New Roman" w:cs="Times New Roman"/>
        </w:rPr>
        <w:t>, 3999–4005 (2010).</w:t>
      </w:r>
    </w:p>
    <w:p w14:paraId="6C0E4075"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Annexes to Inventory of U.S. Greenhouse Gas Emissions and Sinks: 1990-2013</w:t>
      </w:r>
      <w:r w:rsidRPr="00C24730">
        <w:rPr>
          <w:rFonts w:ascii="Times New Roman" w:hAnsi="Times New Roman" w:cs="Times New Roman"/>
        </w:rPr>
        <w:t>. https://www.epa.gov/ghgemissions/inventory-us-greenhouse-gas-emissions-and-sinks-1990-2013 (2015).</w:t>
      </w:r>
    </w:p>
    <w:p w14:paraId="79CBC781"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7.</w:t>
      </w:r>
      <w:r w:rsidRPr="00C24730">
        <w:rPr>
          <w:rFonts w:ascii="Times New Roman" w:hAnsi="Times New Roman" w:cs="Times New Roman"/>
        </w:rPr>
        <w:tab/>
        <w:t xml:space="preserve">IPCC (Intergovernmental Panel on Climate Change). </w:t>
      </w:r>
      <w:r w:rsidRPr="00C24730">
        <w:rPr>
          <w:rFonts w:ascii="Times New Roman" w:hAnsi="Times New Roman" w:cs="Times New Roman"/>
          <w:i/>
          <w:iCs/>
        </w:rPr>
        <w:t>2006 IPCC Guidelines for National Greenhouse Gas Inventories</w:t>
      </w:r>
      <w:r w:rsidRPr="00C24730">
        <w:rPr>
          <w:rFonts w:ascii="Times New Roman" w:hAnsi="Times New Roman" w:cs="Times New Roman"/>
        </w:rPr>
        <w:t>. https://www.ipcc-nggip.iges.or.jp/public/2006gl/index.html (2006).</w:t>
      </w:r>
    </w:p>
    <w:p w14:paraId="19B19B93"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8.</w:t>
      </w:r>
      <w:r w:rsidRPr="00C24730">
        <w:rPr>
          <w:rFonts w:ascii="Times New Roman" w:hAnsi="Times New Roman" w:cs="Times New Roman"/>
        </w:rPr>
        <w:tab/>
        <w:t xml:space="preserve">IPCC (Intergovernmental Panel on Climate Change). </w:t>
      </w:r>
      <w:r w:rsidRPr="00C24730">
        <w:rPr>
          <w:rFonts w:ascii="Times New Roman" w:hAnsi="Times New Roman" w:cs="Times New Roman"/>
          <w:i/>
          <w:iCs/>
        </w:rPr>
        <w:t>Climate Change 2013: The Physical Science Basis. Contribution of Working Group I to the Fifth Assessment Report of the Intergovernmental Panel on Climate Change</w:t>
      </w:r>
      <w:r w:rsidRPr="00C24730">
        <w:rPr>
          <w:rFonts w:ascii="Times New Roman" w:hAnsi="Times New Roman" w:cs="Times New Roman"/>
        </w:rPr>
        <w:t>. https://www.ipcc.ch/report/ar5/wg1/ (2013).</w:t>
      </w:r>
    </w:p>
    <w:p w14:paraId="4DAA05AE"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9.</w:t>
      </w:r>
      <w:r w:rsidRPr="00C24730">
        <w:rPr>
          <w:rFonts w:ascii="Times New Roman" w:hAnsi="Times New Roman" w:cs="Times New Roman"/>
        </w:rPr>
        <w:tab/>
        <w:t>WBCSD &amp; WRI. GHG Protocol Calculation Tools and Guidance. https://ghgprotocol.org/calculation-tools-and-guidance?ap3c=IGXmCH6WDeDPomoEAGXmCH6mIt-Db9NCNH00dmje0ZqebCmgPw#sector_specific_tools_id (2009).</w:t>
      </w:r>
    </w:p>
    <w:p w14:paraId="0EA8D5A8"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10.</w:t>
      </w:r>
      <w:r w:rsidRPr="00C24730">
        <w:rPr>
          <w:rFonts w:ascii="Times New Roman" w:hAnsi="Times New Roman" w:cs="Times New Roman"/>
        </w:rPr>
        <w:tab/>
        <w:t>United States Environmental Protection Agency (USEPA). Greenhouse Gas Reporting Program (GHGRP). https://www.epa.gov/ghgreporting (2014).</w:t>
      </w:r>
    </w:p>
    <w:p w14:paraId="7E1941A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11.</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Inventory of U.S. Greenhouse Gas Emissions and Sinks: 1990-2020</w:t>
      </w:r>
      <w:r w:rsidRPr="00C24730">
        <w:rPr>
          <w:rFonts w:ascii="Times New Roman" w:hAnsi="Times New Roman" w:cs="Times New Roman"/>
        </w:rPr>
        <w:t>. https://www.epa.gov/ghgemissions/inventory-us-greenhouse-gas-emissions-and-sinks-1990-2020 (2022).</w:t>
      </w:r>
    </w:p>
    <w:p w14:paraId="29F8A9A4"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12.</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Annexes to Inventory of U.S. Greenhouse Gas Emissions and Sinks: 1990-2020</w:t>
      </w:r>
      <w:r w:rsidRPr="00C24730">
        <w:rPr>
          <w:rFonts w:ascii="Times New Roman" w:hAnsi="Times New Roman" w:cs="Times New Roman"/>
        </w:rPr>
        <w:t>. https://www.epa.gov/ghgemissions/inventory-us-greenhouse-gas-emissions-and-sinks-1990-2020 (2022).</w:t>
      </w:r>
    </w:p>
    <w:p w14:paraId="4390C9BA"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13.</w:t>
      </w:r>
      <w:r w:rsidRPr="00C24730">
        <w:rPr>
          <w:rFonts w:ascii="Times New Roman" w:hAnsi="Times New Roman" w:cs="Times New Roman"/>
        </w:rPr>
        <w:tab/>
        <w:t>United States Environmental Protection Agency (EPA). Emissions &amp; Generation Resource Integrated Database (</w:t>
      </w:r>
      <w:proofErr w:type="spellStart"/>
      <w:r w:rsidRPr="00C24730">
        <w:rPr>
          <w:rFonts w:ascii="Times New Roman" w:hAnsi="Times New Roman" w:cs="Times New Roman"/>
        </w:rPr>
        <w:t>eGRID</w:t>
      </w:r>
      <w:proofErr w:type="spellEnd"/>
      <w:r w:rsidRPr="00C24730">
        <w:rPr>
          <w:rFonts w:ascii="Times New Roman" w:hAnsi="Times New Roman" w:cs="Times New Roman"/>
        </w:rPr>
        <w:t>). https://www.epa.gov/egrid (2020).</w:t>
      </w:r>
    </w:p>
    <w:p w14:paraId="2497B38C"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14.</w:t>
      </w:r>
      <w:r w:rsidRPr="00C24730">
        <w:rPr>
          <w:rFonts w:ascii="Times New Roman" w:hAnsi="Times New Roman" w:cs="Times New Roman"/>
        </w:rPr>
        <w:tab/>
        <w:t>United States Energy Information Agency (EIA). EIA (US Energy Information Administration). 2007. Instructions for Form EIA-1605 Voluntary Reporting of Greenhouse Gases. April 25, 2007. https://www.reginfo.gov/public/do/DownloadDocument?objectID=2653501 (2007).</w:t>
      </w:r>
    </w:p>
    <w:p w14:paraId="6ACFC691"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15.</w:t>
      </w:r>
      <w:r w:rsidRPr="00C24730">
        <w:rPr>
          <w:rFonts w:ascii="Times New Roman" w:hAnsi="Times New Roman" w:cs="Times New Roman"/>
        </w:rPr>
        <w:tab/>
        <w:t>United States Energy Information Administration (EIA). Manufacturing Energy Consumption Survey (MECS). https://www.eia.gov/consumption/manufacturing/.</w:t>
      </w:r>
    </w:p>
    <w:p w14:paraId="4001982B"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16.</w:t>
      </w:r>
      <w:r w:rsidRPr="00C24730">
        <w:rPr>
          <w:rFonts w:ascii="Times New Roman" w:hAnsi="Times New Roman" w:cs="Times New Roman"/>
        </w:rPr>
        <w:tab/>
        <w:t xml:space="preserve">United States Energy Information </w:t>
      </w:r>
      <w:proofErr w:type="spellStart"/>
      <w:r w:rsidRPr="00C24730">
        <w:rPr>
          <w:rFonts w:ascii="Times New Roman" w:hAnsi="Times New Roman" w:cs="Times New Roman"/>
        </w:rPr>
        <w:t>Adminsitration</w:t>
      </w:r>
      <w:proofErr w:type="spellEnd"/>
      <w:r w:rsidRPr="00C24730">
        <w:rPr>
          <w:rFonts w:ascii="Times New Roman" w:hAnsi="Times New Roman" w:cs="Times New Roman"/>
        </w:rPr>
        <w:t>. U.S. Energy Information Administration - EIA - AEO Archive. https://www.eia.gov/outlooks/aeo/archive.php (2003).</w:t>
      </w:r>
    </w:p>
    <w:p w14:paraId="18378E41"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17.</w:t>
      </w:r>
      <w:r w:rsidRPr="00C24730">
        <w:rPr>
          <w:rFonts w:ascii="Times New Roman" w:hAnsi="Times New Roman" w:cs="Times New Roman"/>
        </w:rPr>
        <w:tab/>
        <w:t xml:space="preserve">American Forest and Paper Association (AF&amp;PA). </w:t>
      </w:r>
      <w:r w:rsidRPr="00C24730">
        <w:rPr>
          <w:rFonts w:ascii="Times New Roman" w:hAnsi="Times New Roman" w:cs="Times New Roman"/>
          <w:i/>
          <w:iCs/>
        </w:rPr>
        <w:t>2019 Statistics, Paper, Paperboard &amp; Pulp</w:t>
      </w:r>
      <w:r w:rsidRPr="00C24730">
        <w:rPr>
          <w:rFonts w:ascii="Times New Roman" w:hAnsi="Times New Roman" w:cs="Times New Roman"/>
        </w:rPr>
        <w:t>. (2020).</w:t>
      </w:r>
    </w:p>
    <w:p w14:paraId="265904EB"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18.</w:t>
      </w:r>
      <w:r w:rsidRPr="00C24730">
        <w:rPr>
          <w:rFonts w:ascii="Times New Roman" w:hAnsi="Times New Roman" w:cs="Times New Roman"/>
        </w:rPr>
        <w:tab/>
        <w:t xml:space="preserve">American Forest and Paper Association (AF&amp;PA). </w:t>
      </w:r>
      <w:r w:rsidRPr="00C24730">
        <w:rPr>
          <w:rFonts w:ascii="Times New Roman" w:hAnsi="Times New Roman" w:cs="Times New Roman"/>
          <w:i/>
          <w:iCs/>
        </w:rPr>
        <w:t>Capacity and Fiber Consumption - 61st Annual - 2020-2021</w:t>
      </w:r>
      <w:r w:rsidRPr="00C24730">
        <w:rPr>
          <w:rFonts w:ascii="Times New Roman" w:hAnsi="Times New Roman" w:cs="Times New Roman"/>
        </w:rPr>
        <w:t>. (2021).</w:t>
      </w:r>
    </w:p>
    <w:p w14:paraId="401E72C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19.</w:t>
      </w:r>
      <w:r w:rsidRPr="00C24730">
        <w:rPr>
          <w:rFonts w:ascii="Times New Roman" w:hAnsi="Times New Roman" w:cs="Times New Roman"/>
        </w:rPr>
        <w:tab/>
        <w:t xml:space="preserve">American Forest and Paper Association (AF&amp;PA). </w:t>
      </w:r>
      <w:r w:rsidRPr="00C24730">
        <w:rPr>
          <w:rFonts w:ascii="Times New Roman" w:hAnsi="Times New Roman" w:cs="Times New Roman"/>
          <w:i/>
          <w:iCs/>
        </w:rPr>
        <w:t>2020 Statistics, Paper, Paperboard &amp; Pulp</w:t>
      </w:r>
      <w:r w:rsidRPr="00C24730">
        <w:rPr>
          <w:rFonts w:ascii="Times New Roman" w:hAnsi="Times New Roman" w:cs="Times New Roman"/>
        </w:rPr>
        <w:t>. (2021).</w:t>
      </w:r>
    </w:p>
    <w:p w14:paraId="6B261A1A"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20.</w:t>
      </w:r>
      <w:r w:rsidRPr="00C24730">
        <w:rPr>
          <w:rFonts w:ascii="Times New Roman" w:hAnsi="Times New Roman" w:cs="Times New Roman"/>
        </w:rPr>
        <w:tab/>
        <w:t>United Nations Food and Agriculture Organization (FAO). FAOSTAT. https://www.fao.org/faostat/en/#home.</w:t>
      </w:r>
    </w:p>
    <w:p w14:paraId="2FC4412C"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21.</w:t>
      </w:r>
      <w:r w:rsidRPr="00C24730">
        <w:rPr>
          <w:rFonts w:ascii="Times New Roman" w:hAnsi="Times New Roman" w:cs="Times New Roman"/>
        </w:rPr>
        <w:tab/>
        <w:t xml:space="preserve">Miner, R. &amp; Upton, B. Methods for estimating greenhouse gas emissions from lime kilns at kraft pulp mills. </w:t>
      </w:r>
      <w:r w:rsidRPr="00C24730">
        <w:rPr>
          <w:rFonts w:ascii="Times New Roman" w:hAnsi="Times New Roman" w:cs="Times New Roman"/>
          <w:i/>
          <w:iCs/>
        </w:rPr>
        <w:t>Energy</w:t>
      </w:r>
      <w:r w:rsidRPr="00C24730">
        <w:rPr>
          <w:rFonts w:ascii="Times New Roman" w:hAnsi="Times New Roman" w:cs="Times New Roman"/>
        </w:rPr>
        <w:t xml:space="preserve"> </w:t>
      </w:r>
      <w:r w:rsidRPr="00C24730">
        <w:rPr>
          <w:rFonts w:ascii="Times New Roman" w:hAnsi="Times New Roman" w:cs="Times New Roman"/>
          <w:b/>
          <w:bCs/>
        </w:rPr>
        <w:t>27</w:t>
      </w:r>
      <w:r w:rsidRPr="00C24730">
        <w:rPr>
          <w:rFonts w:ascii="Times New Roman" w:hAnsi="Times New Roman" w:cs="Times New Roman"/>
        </w:rPr>
        <w:t>, 729–738 (2002).</w:t>
      </w:r>
    </w:p>
    <w:p w14:paraId="1704F3DA"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22.</w:t>
      </w:r>
      <w:r w:rsidRPr="00C24730">
        <w:rPr>
          <w:rFonts w:ascii="Times New Roman" w:hAnsi="Times New Roman" w:cs="Times New Roman"/>
        </w:rPr>
        <w:tab/>
        <w:t>AHFA | American Home Furnishings Alliance. 2021 Home Furnishings Industry Overview. https://www.ahfa.us/media/industry-facts.</w:t>
      </w:r>
    </w:p>
    <w:p w14:paraId="340BB4E2"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23.</w:t>
      </w:r>
      <w:r w:rsidRPr="00C24730">
        <w:rPr>
          <w:rFonts w:ascii="Times New Roman" w:hAnsi="Times New Roman" w:cs="Times New Roman"/>
        </w:rPr>
        <w:tab/>
        <w:t>Howard, J. L. &amp; Liang, S. U.S. timber production, trade, consumption, and price statistics, 1965-2017. Forest Service Research Data Archive https://doi.org/10.2737/RDS-2018-0035 (2019).</w:t>
      </w:r>
    </w:p>
    <w:p w14:paraId="40270EE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24.</w:t>
      </w:r>
      <w:r w:rsidRPr="00C24730">
        <w:rPr>
          <w:rFonts w:ascii="Times New Roman" w:hAnsi="Times New Roman" w:cs="Times New Roman"/>
        </w:rPr>
        <w:tab/>
        <w:t xml:space="preserve">Puettmann, M. </w:t>
      </w:r>
      <w:r w:rsidRPr="00C24730">
        <w:rPr>
          <w:rFonts w:ascii="Times New Roman" w:hAnsi="Times New Roman" w:cs="Times New Roman"/>
          <w:i/>
          <w:iCs/>
        </w:rPr>
        <w:t>et al.</w:t>
      </w:r>
      <w:r w:rsidRPr="00C24730">
        <w:rPr>
          <w:rFonts w:ascii="Times New Roman" w:hAnsi="Times New Roman" w:cs="Times New Roman"/>
        </w:rPr>
        <w:t xml:space="preserve"> Comparative LCAs of Conventional and Mass Timber Buildings in Regions with Potential for Mass Timber Penetration. </w:t>
      </w:r>
      <w:r w:rsidRPr="00C24730">
        <w:rPr>
          <w:rFonts w:ascii="Times New Roman" w:hAnsi="Times New Roman" w:cs="Times New Roman"/>
          <w:i/>
          <w:iCs/>
        </w:rPr>
        <w:t>Sustainability</w:t>
      </w:r>
      <w:r w:rsidRPr="00C24730">
        <w:rPr>
          <w:rFonts w:ascii="Times New Roman" w:hAnsi="Times New Roman" w:cs="Times New Roman"/>
        </w:rPr>
        <w:t xml:space="preserve"> </w:t>
      </w:r>
      <w:r w:rsidRPr="00C24730">
        <w:rPr>
          <w:rFonts w:ascii="Times New Roman" w:hAnsi="Times New Roman" w:cs="Times New Roman"/>
          <w:b/>
          <w:bCs/>
        </w:rPr>
        <w:t>13</w:t>
      </w:r>
      <w:r w:rsidRPr="00C24730">
        <w:rPr>
          <w:rFonts w:ascii="Times New Roman" w:hAnsi="Times New Roman" w:cs="Times New Roman"/>
        </w:rPr>
        <w:t>, 13987 (2021).</w:t>
      </w:r>
    </w:p>
    <w:p w14:paraId="357394BA"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25.</w:t>
      </w:r>
      <w:r w:rsidRPr="00C24730">
        <w:rPr>
          <w:rFonts w:ascii="Times New Roman" w:hAnsi="Times New Roman" w:cs="Times New Roman"/>
        </w:rPr>
        <w:tab/>
        <w:t xml:space="preserve">Milota, M., Science, W. &amp; Hall, R. </w:t>
      </w:r>
      <w:r w:rsidRPr="00C24730">
        <w:rPr>
          <w:rFonts w:ascii="Times New Roman" w:hAnsi="Times New Roman" w:cs="Times New Roman"/>
          <w:i/>
          <w:iCs/>
        </w:rPr>
        <w:t xml:space="preserve">Life Cycle Assessment </w:t>
      </w:r>
      <w:proofErr w:type="gramStart"/>
      <w:r w:rsidRPr="00C24730">
        <w:rPr>
          <w:rFonts w:ascii="Times New Roman" w:hAnsi="Times New Roman" w:cs="Times New Roman"/>
          <w:i/>
          <w:iCs/>
        </w:rPr>
        <w:t>for the Production of</w:t>
      </w:r>
      <w:proofErr w:type="gramEnd"/>
      <w:r w:rsidRPr="00C24730">
        <w:rPr>
          <w:rFonts w:ascii="Times New Roman" w:hAnsi="Times New Roman" w:cs="Times New Roman"/>
          <w:i/>
          <w:iCs/>
        </w:rPr>
        <w:t xml:space="preserve"> Southeastern Softwood Lumber</w:t>
      </w:r>
      <w:r w:rsidRPr="00C24730">
        <w:rPr>
          <w:rFonts w:ascii="Times New Roman" w:hAnsi="Times New Roman" w:cs="Times New Roman"/>
        </w:rPr>
        <w:t>. (2020).</w:t>
      </w:r>
    </w:p>
    <w:p w14:paraId="2E1D711F"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26.</w:t>
      </w:r>
      <w:r w:rsidRPr="00C24730">
        <w:rPr>
          <w:rFonts w:ascii="Times New Roman" w:hAnsi="Times New Roman" w:cs="Times New Roman"/>
        </w:rPr>
        <w:tab/>
        <w:t xml:space="preserve">Milota, M., Science, W. &amp; Hall, R. </w:t>
      </w:r>
      <w:r w:rsidRPr="00C24730">
        <w:rPr>
          <w:rFonts w:ascii="Times New Roman" w:hAnsi="Times New Roman" w:cs="Times New Roman"/>
          <w:i/>
          <w:iCs/>
        </w:rPr>
        <w:t xml:space="preserve">Life Cycle Assessment </w:t>
      </w:r>
      <w:proofErr w:type="gramStart"/>
      <w:r w:rsidRPr="00C24730">
        <w:rPr>
          <w:rFonts w:ascii="Times New Roman" w:hAnsi="Times New Roman" w:cs="Times New Roman"/>
          <w:i/>
          <w:iCs/>
        </w:rPr>
        <w:t>for the Production of</w:t>
      </w:r>
      <w:proofErr w:type="gramEnd"/>
      <w:r w:rsidRPr="00C24730">
        <w:rPr>
          <w:rFonts w:ascii="Times New Roman" w:hAnsi="Times New Roman" w:cs="Times New Roman"/>
          <w:i/>
          <w:iCs/>
        </w:rPr>
        <w:t xml:space="preserve"> Pacific Northwest Softwood Lumber</w:t>
      </w:r>
      <w:r w:rsidRPr="00C24730">
        <w:rPr>
          <w:rFonts w:ascii="Times New Roman" w:hAnsi="Times New Roman" w:cs="Times New Roman"/>
        </w:rPr>
        <w:t>. https://corrim.org/wp-content/uploads/2020/06/CORRIM-AWC-PNW-Lumber.pdf (2020).</w:t>
      </w:r>
    </w:p>
    <w:p w14:paraId="3A898C0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27.</w:t>
      </w:r>
      <w:r w:rsidRPr="00C24730">
        <w:rPr>
          <w:rFonts w:ascii="Times New Roman" w:hAnsi="Times New Roman" w:cs="Times New Roman"/>
        </w:rPr>
        <w:tab/>
        <w:t xml:space="preserve">National Renewable Energy Laboratory (NREL). </w:t>
      </w:r>
      <w:r w:rsidRPr="00C24730">
        <w:rPr>
          <w:rFonts w:ascii="Times New Roman" w:hAnsi="Times New Roman" w:cs="Times New Roman"/>
          <w:i/>
          <w:iCs/>
        </w:rPr>
        <w:t>Life Cycle Greenhouse Gas Emissions from Electricity Generation: Update</w:t>
      </w:r>
      <w:r w:rsidRPr="00C24730">
        <w:rPr>
          <w:rFonts w:ascii="Times New Roman" w:hAnsi="Times New Roman" w:cs="Times New Roman"/>
        </w:rPr>
        <w:t>. (2021).</w:t>
      </w:r>
    </w:p>
    <w:p w14:paraId="49CDB33F"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28.</w:t>
      </w:r>
      <w:r w:rsidRPr="00C24730">
        <w:rPr>
          <w:rFonts w:ascii="Times New Roman" w:hAnsi="Times New Roman" w:cs="Times New Roman"/>
        </w:rPr>
        <w:tab/>
        <w:t xml:space="preserve">Whitaker, M., Heath, G. A., O’Donoughue, P. &amp; Vorum, M. Life Cycle Greenhouse Gas Emissions of Coal-Fired Electricity Generation. </w:t>
      </w:r>
      <w:r w:rsidRPr="00C24730">
        <w:rPr>
          <w:rFonts w:ascii="Times New Roman" w:hAnsi="Times New Roman" w:cs="Times New Roman"/>
          <w:i/>
          <w:iCs/>
        </w:rPr>
        <w:t>Journal of Industrial Ecology</w:t>
      </w:r>
      <w:r w:rsidRPr="00C24730">
        <w:rPr>
          <w:rFonts w:ascii="Times New Roman" w:hAnsi="Times New Roman" w:cs="Times New Roman"/>
        </w:rPr>
        <w:t xml:space="preserve"> </w:t>
      </w:r>
      <w:r w:rsidRPr="00C24730">
        <w:rPr>
          <w:rFonts w:ascii="Times New Roman" w:hAnsi="Times New Roman" w:cs="Times New Roman"/>
          <w:b/>
          <w:bCs/>
        </w:rPr>
        <w:t>16</w:t>
      </w:r>
      <w:r w:rsidRPr="00C24730">
        <w:rPr>
          <w:rFonts w:ascii="Times New Roman" w:hAnsi="Times New Roman" w:cs="Times New Roman"/>
        </w:rPr>
        <w:t>, S53–S72 (2012).</w:t>
      </w:r>
    </w:p>
    <w:p w14:paraId="73625565"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29.</w:t>
      </w:r>
      <w:r w:rsidRPr="00C24730">
        <w:rPr>
          <w:rFonts w:ascii="Times New Roman" w:hAnsi="Times New Roman" w:cs="Times New Roman"/>
        </w:rPr>
        <w:tab/>
        <w:t>NCASI &amp; International Finance Corporation of the World Bank (IFC). Forest Industry Carbon Assessment Tool (FICAT). NCASI (2025).</w:t>
      </w:r>
    </w:p>
    <w:p w14:paraId="1E72F7E8"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30.</w:t>
      </w:r>
      <w:r w:rsidRPr="00C24730">
        <w:rPr>
          <w:rFonts w:ascii="Times New Roman" w:hAnsi="Times New Roman" w:cs="Times New Roman"/>
        </w:rPr>
        <w:tab/>
        <w:t xml:space="preserve">Miner, R. &amp; Unwin, J. Progress in Reducing Water Use and Wastewater Loads in the U.S. Paper Industry. </w:t>
      </w:r>
      <w:r w:rsidRPr="00C24730">
        <w:rPr>
          <w:rFonts w:ascii="Times New Roman" w:hAnsi="Times New Roman" w:cs="Times New Roman"/>
          <w:i/>
          <w:iCs/>
        </w:rPr>
        <w:t>TAPPI</w:t>
      </w:r>
      <w:r w:rsidRPr="00C24730">
        <w:rPr>
          <w:rFonts w:ascii="Times New Roman" w:hAnsi="Times New Roman" w:cs="Times New Roman"/>
        </w:rPr>
        <w:t xml:space="preserve"> </w:t>
      </w:r>
      <w:r w:rsidRPr="00C24730">
        <w:rPr>
          <w:rFonts w:ascii="Times New Roman" w:hAnsi="Times New Roman" w:cs="Times New Roman"/>
          <w:b/>
          <w:bCs/>
        </w:rPr>
        <w:t>74</w:t>
      </w:r>
      <w:r w:rsidRPr="00C24730">
        <w:rPr>
          <w:rFonts w:ascii="Times New Roman" w:hAnsi="Times New Roman" w:cs="Times New Roman"/>
        </w:rPr>
        <w:t>, 5 (1991).</w:t>
      </w:r>
    </w:p>
    <w:p w14:paraId="3B9D4EA2"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31.</w:t>
      </w:r>
      <w:r w:rsidRPr="00C24730">
        <w:rPr>
          <w:rFonts w:ascii="Times New Roman" w:hAnsi="Times New Roman" w:cs="Times New Roman"/>
        </w:rPr>
        <w:tab/>
        <w:t xml:space="preserve">NCASI. </w:t>
      </w:r>
      <w:r w:rsidRPr="00C24730">
        <w:rPr>
          <w:rFonts w:ascii="Times New Roman" w:hAnsi="Times New Roman" w:cs="Times New Roman"/>
          <w:i/>
          <w:iCs/>
        </w:rPr>
        <w:t>Solid Residual Generation and Beneficial Use, and Wastewater Treatment Performance and Practices of the North American Pulp and Paper Industry</w:t>
      </w:r>
      <w:r w:rsidRPr="00C24730">
        <w:rPr>
          <w:rFonts w:ascii="Times New Roman" w:hAnsi="Times New Roman" w:cs="Times New Roman"/>
        </w:rPr>
        <w:t>. (2019).</w:t>
      </w:r>
    </w:p>
    <w:p w14:paraId="1CDE5E0B"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32.</w:t>
      </w:r>
      <w:r w:rsidRPr="00C24730">
        <w:rPr>
          <w:rFonts w:ascii="Times New Roman" w:hAnsi="Times New Roman" w:cs="Times New Roman"/>
        </w:rPr>
        <w:tab/>
        <w:t xml:space="preserve">NCASI. </w:t>
      </w:r>
      <w:r w:rsidRPr="00C24730">
        <w:rPr>
          <w:rFonts w:ascii="Times New Roman" w:hAnsi="Times New Roman" w:cs="Times New Roman"/>
          <w:i/>
          <w:iCs/>
        </w:rPr>
        <w:t>Solid Waste Management and Disposal Practices in the US Paper Industry−1995</w:t>
      </w:r>
      <w:r w:rsidRPr="00C24730">
        <w:rPr>
          <w:rFonts w:ascii="Times New Roman" w:hAnsi="Times New Roman" w:cs="Times New Roman"/>
        </w:rPr>
        <w:t>. (1999).</w:t>
      </w:r>
    </w:p>
    <w:p w14:paraId="19CA8086"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33.</w:t>
      </w:r>
      <w:r w:rsidRPr="00C24730">
        <w:rPr>
          <w:rFonts w:ascii="Times New Roman" w:hAnsi="Times New Roman" w:cs="Times New Roman"/>
        </w:rPr>
        <w:tab/>
        <w:t xml:space="preserve">NCASI. </w:t>
      </w:r>
      <w:r w:rsidRPr="00C24730">
        <w:rPr>
          <w:rFonts w:ascii="Times New Roman" w:hAnsi="Times New Roman" w:cs="Times New Roman"/>
          <w:i/>
          <w:iCs/>
        </w:rPr>
        <w:t>Unpublished Survey Data on Solid Waste Generation Rates</w:t>
      </w:r>
      <w:r w:rsidRPr="00C24730">
        <w:rPr>
          <w:rFonts w:ascii="Times New Roman" w:hAnsi="Times New Roman" w:cs="Times New Roman"/>
        </w:rPr>
        <w:t>. (2025).</w:t>
      </w:r>
    </w:p>
    <w:p w14:paraId="08B154D2"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34.</w:t>
      </w:r>
      <w:r w:rsidRPr="00C24730">
        <w:rPr>
          <w:rFonts w:ascii="Times New Roman" w:hAnsi="Times New Roman" w:cs="Times New Roman"/>
        </w:rPr>
        <w:tab/>
        <w:t xml:space="preserve">NCASI. </w:t>
      </w:r>
      <w:r w:rsidRPr="00C24730">
        <w:rPr>
          <w:rFonts w:ascii="Times New Roman" w:hAnsi="Times New Roman" w:cs="Times New Roman"/>
          <w:i/>
          <w:iCs/>
        </w:rPr>
        <w:t>Solid Waste Management and Disposal Practices in the US Paper Industry</w:t>
      </w:r>
      <w:r w:rsidRPr="00C24730">
        <w:rPr>
          <w:rFonts w:ascii="Times New Roman" w:hAnsi="Times New Roman" w:cs="Times New Roman"/>
        </w:rPr>
        <w:t>. (1992).</w:t>
      </w:r>
    </w:p>
    <w:p w14:paraId="160FC25A"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35.</w:t>
      </w:r>
      <w:r w:rsidRPr="00C24730">
        <w:rPr>
          <w:rFonts w:ascii="Times New Roman" w:hAnsi="Times New Roman" w:cs="Times New Roman"/>
        </w:rPr>
        <w:tab/>
        <w:t xml:space="preserve">Electric Power Research Institute (EPRI). </w:t>
      </w:r>
      <w:r w:rsidRPr="00C24730">
        <w:rPr>
          <w:rFonts w:ascii="Times New Roman" w:hAnsi="Times New Roman" w:cs="Times New Roman"/>
          <w:i/>
          <w:iCs/>
        </w:rPr>
        <w:t>Coal Ash Disposal Manual</w:t>
      </w:r>
      <w:r w:rsidRPr="00C24730">
        <w:rPr>
          <w:rFonts w:ascii="Times New Roman" w:hAnsi="Times New Roman" w:cs="Times New Roman"/>
        </w:rPr>
        <w:t>. https://doi.org/10.2172/5310803 (1979).</w:t>
      </w:r>
    </w:p>
    <w:p w14:paraId="759FA3CD"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36.</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Greenhouse Gas Inventory Guidance, Direct Emissions from   Stationary Combustion Sources</w:t>
      </w:r>
      <w:r w:rsidRPr="00C24730">
        <w:rPr>
          <w:rFonts w:ascii="Times New Roman" w:hAnsi="Times New Roman" w:cs="Times New Roman"/>
        </w:rPr>
        <w:t>. https://www.epa.gov/sites/default/files/2016-03/documents/stationaryemissions_3_2016.pdf (2016).</w:t>
      </w:r>
    </w:p>
    <w:p w14:paraId="085BD6A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37.</w:t>
      </w:r>
      <w:r w:rsidRPr="00C24730">
        <w:rPr>
          <w:rFonts w:ascii="Times New Roman" w:hAnsi="Times New Roman" w:cs="Times New Roman"/>
        </w:rPr>
        <w:tab/>
        <w:t xml:space="preserve">Someshwar, A. V. Wood and Combination Wood-Fired Boiler Ash Characterization. </w:t>
      </w:r>
      <w:r w:rsidRPr="00C24730">
        <w:rPr>
          <w:rFonts w:ascii="Times New Roman" w:hAnsi="Times New Roman" w:cs="Times New Roman"/>
          <w:i/>
          <w:iCs/>
        </w:rPr>
        <w:t>Journal of Environmental Quality</w:t>
      </w:r>
      <w:r w:rsidRPr="00C24730">
        <w:rPr>
          <w:rFonts w:ascii="Times New Roman" w:hAnsi="Times New Roman" w:cs="Times New Roman"/>
        </w:rPr>
        <w:t xml:space="preserve"> </w:t>
      </w:r>
      <w:r w:rsidRPr="00C24730">
        <w:rPr>
          <w:rFonts w:ascii="Times New Roman" w:hAnsi="Times New Roman" w:cs="Times New Roman"/>
          <w:b/>
          <w:bCs/>
        </w:rPr>
        <w:t>25</w:t>
      </w:r>
      <w:r w:rsidRPr="00C24730">
        <w:rPr>
          <w:rFonts w:ascii="Times New Roman" w:hAnsi="Times New Roman" w:cs="Times New Roman"/>
        </w:rPr>
        <w:t>, 962–972 (1996).</w:t>
      </w:r>
    </w:p>
    <w:p w14:paraId="46467CCA"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38.</w:t>
      </w:r>
      <w:r w:rsidRPr="00C24730">
        <w:rPr>
          <w:rFonts w:ascii="Times New Roman" w:hAnsi="Times New Roman" w:cs="Times New Roman"/>
        </w:rPr>
        <w:tab/>
        <w:t xml:space="preserve">RTI International. </w:t>
      </w:r>
      <w:r w:rsidRPr="00C24730">
        <w:rPr>
          <w:rFonts w:ascii="Times New Roman" w:hAnsi="Times New Roman" w:cs="Times New Roman"/>
          <w:i/>
          <w:iCs/>
        </w:rPr>
        <w:t>Review of Site-Specific Industrial Waste Degradable Organic Content Data</w:t>
      </w:r>
      <w:r w:rsidRPr="00C24730">
        <w:rPr>
          <w:rFonts w:ascii="Times New Roman" w:hAnsi="Times New Roman" w:cs="Times New Roman"/>
        </w:rPr>
        <w:t>. https://www.regulations.gov/document/EPA-HQ-OAR-2015-0526-0019 (2015).</w:t>
      </w:r>
    </w:p>
    <w:p w14:paraId="192E2D19"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39.</w:t>
      </w:r>
      <w:r w:rsidRPr="00C24730">
        <w:rPr>
          <w:rFonts w:ascii="Times New Roman" w:hAnsi="Times New Roman" w:cs="Times New Roman"/>
        </w:rPr>
        <w:tab/>
        <w:t>Consortium for Research on Renewable Industrial Materials (CORRIM). corrim.org. https://corrim.org/.</w:t>
      </w:r>
    </w:p>
    <w:p w14:paraId="1B84D826"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40.</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Documentation for Greenhouse Gas Emission and Energy Factors Used in the Waste Reduction Model (WARM) - Management Practices Chapters</w:t>
      </w:r>
      <w:r w:rsidRPr="00C24730">
        <w:rPr>
          <w:rFonts w:ascii="Times New Roman" w:hAnsi="Times New Roman" w:cs="Times New Roman"/>
        </w:rPr>
        <w:t>. https://www.epa.gov/sites/default/files/2020-12/documents/warm_management_practices_v15_10-29-2020.pdf (2020).</w:t>
      </w:r>
    </w:p>
    <w:p w14:paraId="5264E8E5"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41.</w:t>
      </w:r>
      <w:r w:rsidRPr="00C24730">
        <w:rPr>
          <w:rFonts w:ascii="Times New Roman" w:hAnsi="Times New Roman" w:cs="Times New Roman"/>
        </w:rPr>
        <w:tab/>
        <w:t xml:space="preserve">Puettmann, M., Kaestner, D. &amp; Taylor, A. </w:t>
      </w:r>
      <w:r w:rsidRPr="00C24730">
        <w:rPr>
          <w:rFonts w:ascii="Times New Roman" w:hAnsi="Times New Roman" w:cs="Times New Roman"/>
          <w:i/>
          <w:iCs/>
        </w:rPr>
        <w:t xml:space="preserve">Life Cycle Assessment </w:t>
      </w:r>
      <w:proofErr w:type="gramStart"/>
      <w:r w:rsidRPr="00C24730">
        <w:rPr>
          <w:rFonts w:ascii="Times New Roman" w:hAnsi="Times New Roman" w:cs="Times New Roman"/>
          <w:i/>
          <w:iCs/>
        </w:rPr>
        <w:t>for the Production of</w:t>
      </w:r>
      <w:proofErr w:type="gramEnd"/>
      <w:r w:rsidRPr="00C24730">
        <w:rPr>
          <w:rFonts w:ascii="Times New Roman" w:hAnsi="Times New Roman" w:cs="Times New Roman"/>
          <w:i/>
          <w:iCs/>
        </w:rPr>
        <w:t xml:space="preserve"> PNW Softwood Plywood</w:t>
      </w:r>
      <w:r w:rsidRPr="00C24730">
        <w:rPr>
          <w:rFonts w:ascii="Times New Roman" w:hAnsi="Times New Roman" w:cs="Times New Roman"/>
        </w:rPr>
        <w:t>. https://corrim.org/wp-content/uploads/2020/06/CORRIM-AWC-PNW-Plywood.pdf (2020).</w:t>
      </w:r>
    </w:p>
    <w:p w14:paraId="044770C9"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42.</w:t>
      </w:r>
      <w:r w:rsidRPr="00C24730">
        <w:rPr>
          <w:rFonts w:ascii="Times New Roman" w:hAnsi="Times New Roman" w:cs="Times New Roman"/>
        </w:rPr>
        <w:tab/>
        <w:t xml:space="preserve">Puettmann, M., Kaestner, D. &amp; Taylor, A. </w:t>
      </w:r>
      <w:r w:rsidRPr="00C24730">
        <w:rPr>
          <w:rFonts w:ascii="Times New Roman" w:hAnsi="Times New Roman" w:cs="Times New Roman"/>
          <w:i/>
          <w:iCs/>
        </w:rPr>
        <w:t xml:space="preserve">Life Cycle Assessment </w:t>
      </w:r>
      <w:proofErr w:type="gramStart"/>
      <w:r w:rsidRPr="00C24730">
        <w:rPr>
          <w:rFonts w:ascii="Times New Roman" w:hAnsi="Times New Roman" w:cs="Times New Roman"/>
          <w:i/>
          <w:iCs/>
        </w:rPr>
        <w:t>for the Production of</w:t>
      </w:r>
      <w:proofErr w:type="gramEnd"/>
      <w:r w:rsidRPr="00C24730">
        <w:rPr>
          <w:rFonts w:ascii="Times New Roman" w:hAnsi="Times New Roman" w:cs="Times New Roman"/>
          <w:i/>
          <w:iCs/>
        </w:rPr>
        <w:t xml:space="preserve"> Southeast Softwood Plywood</w:t>
      </w:r>
      <w:r w:rsidRPr="00C24730">
        <w:rPr>
          <w:rFonts w:ascii="Times New Roman" w:hAnsi="Times New Roman" w:cs="Times New Roman"/>
        </w:rPr>
        <w:t>. (2020).</w:t>
      </w:r>
    </w:p>
    <w:p w14:paraId="43BE8F75"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43.</w:t>
      </w:r>
      <w:r w:rsidRPr="00C24730">
        <w:rPr>
          <w:rFonts w:ascii="Times New Roman" w:hAnsi="Times New Roman" w:cs="Times New Roman"/>
        </w:rPr>
        <w:tab/>
        <w:t xml:space="preserve">United States Census Bureau. Commodity Flow Survey Tables. </w:t>
      </w:r>
      <w:r w:rsidRPr="00C24730">
        <w:rPr>
          <w:rFonts w:ascii="Times New Roman" w:hAnsi="Times New Roman" w:cs="Times New Roman"/>
          <w:i/>
          <w:iCs/>
        </w:rPr>
        <w:t>Census.gov</w:t>
      </w:r>
      <w:r w:rsidRPr="00C24730">
        <w:rPr>
          <w:rFonts w:ascii="Times New Roman" w:hAnsi="Times New Roman" w:cs="Times New Roman"/>
        </w:rPr>
        <w:t xml:space="preserve"> https://www.census.gov/programs-surveys/cfs/data/tables.html (2025).</w:t>
      </w:r>
    </w:p>
    <w:p w14:paraId="00925D70"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44.</w:t>
      </w:r>
      <w:r w:rsidRPr="00C24730">
        <w:rPr>
          <w:rFonts w:ascii="Times New Roman" w:hAnsi="Times New Roman" w:cs="Times New Roman"/>
        </w:rPr>
        <w:tab/>
        <w:t>United States Census Bureau. SCTG Commodity Code List. https://bhs.econ.census.gov/bhsphpext/brdsearch/scs_code.html.</w:t>
      </w:r>
    </w:p>
    <w:p w14:paraId="0A1754AD"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45.</w:t>
      </w:r>
      <w:r w:rsidRPr="00C24730">
        <w:rPr>
          <w:rFonts w:ascii="Times New Roman" w:hAnsi="Times New Roman" w:cs="Times New Roman"/>
        </w:rPr>
        <w:tab/>
        <w:t xml:space="preserve">United States Department of Transportation. </w:t>
      </w:r>
      <w:r w:rsidRPr="00C24730">
        <w:rPr>
          <w:rFonts w:ascii="Times New Roman" w:hAnsi="Times New Roman" w:cs="Times New Roman"/>
          <w:i/>
          <w:iCs/>
        </w:rPr>
        <w:t>United States 2017 Economic Census: Transportation</w:t>
      </w:r>
      <w:r w:rsidRPr="00C24730">
        <w:rPr>
          <w:rFonts w:ascii="Times New Roman" w:hAnsi="Times New Roman" w:cs="Times New Roman"/>
        </w:rPr>
        <w:t>. https://www.census.gov/content/dam/Census/library/publications/2017/econ/ec17tcf-us.pdf (2020).</w:t>
      </w:r>
    </w:p>
    <w:p w14:paraId="3C183329"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46.</w:t>
      </w:r>
      <w:r w:rsidRPr="00C24730">
        <w:rPr>
          <w:rFonts w:ascii="Times New Roman" w:hAnsi="Times New Roman" w:cs="Times New Roman"/>
        </w:rPr>
        <w:tab/>
        <w:t xml:space="preserve">United Nations Food and Agriculture Organization (FAO), I. and U. N. </w:t>
      </w:r>
      <w:r w:rsidRPr="00C24730">
        <w:rPr>
          <w:rFonts w:ascii="Times New Roman" w:hAnsi="Times New Roman" w:cs="Times New Roman"/>
          <w:i/>
          <w:iCs/>
        </w:rPr>
        <w:t>Forest Product Conversion Factors</w:t>
      </w:r>
      <w:r w:rsidRPr="00C24730">
        <w:rPr>
          <w:rFonts w:ascii="Times New Roman" w:hAnsi="Times New Roman" w:cs="Times New Roman"/>
        </w:rPr>
        <w:t xml:space="preserve">. (FAO, ITTO and United </w:t>
      </w:r>
      <w:proofErr w:type="gramStart"/>
      <w:r w:rsidRPr="00C24730">
        <w:rPr>
          <w:rFonts w:ascii="Times New Roman" w:hAnsi="Times New Roman" w:cs="Times New Roman"/>
        </w:rPr>
        <w:t>Nations ;</w:t>
      </w:r>
      <w:proofErr w:type="gramEnd"/>
      <w:r w:rsidRPr="00C24730">
        <w:rPr>
          <w:rFonts w:ascii="Times New Roman" w:hAnsi="Times New Roman" w:cs="Times New Roman"/>
        </w:rPr>
        <w:t>, 2020).</w:t>
      </w:r>
    </w:p>
    <w:p w14:paraId="076F87B9"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47.</w:t>
      </w:r>
      <w:r w:rsidRPr="00C24730">
        <w:rPr>
          <w:rFonts w:ascii="Times New Roman" w:hAnsi="Times New Roman" w:cs="Times New Roman"/>
        </w:rPr>
        <w:tab/>
        <w:t xml:space="preserve">United States Department of Transportation (US DOT). Class I Rail Freight Fuel Consumption and Travel. </w:t>
      </w:r>
      <w:r w:rsidRPr="00C24730">
        <w:rPr>
          <w:rFonts w:ascii="Times New Roman" w:hAnsi="Times New Roman" w:cs="Times New Roman"/>
          <w:i/>
          <w:iCs/>
        </w:rPr>
        <w:t>Class I Rail Freight Fuel Consumption and Travel</w:t>
      </w:r>
      <w:r w:rsidRPr="00C24730">
        <w:rPr>
          <w:rFonts w:ascii="Times New Roman" w:hAnsi="Times New Roman" w:cs="Times New Roman"/>
        </w:rPr>
        <w:t xml:space="preserve"> https://www.bts.gov/content/class-i-rail-freight-fuel-consumption-and-travel (2025).</w:t>
      </w:r>
    </w:p>
    <w:p w14:paraId="5CB67B81"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48.</w:t>
      </w:r>
      <w:r w:rsidRPr="00C24730">
        <w:rPr>
          <w:rFonts w:ascii="Times New Roman" w:hAnsi="Times New Roman" w:cs="Times New Roman"/>
        </w:rPr>
        <w:tab/>
        <w:t>Oneil, E. &amp; Puettmann, M. E. A Life-Cycle Assessment of Forest Resources of the Pacific Northwest, USA*. https://doi.org/10.13073/FPJ-D-17-00011 (2017) doi:10.13073/FPJ-D-17-00011.</w:t>
      </w:r>
    </w:p>
    <w:p w14:paraId="5FACDFA6"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49.</w:t>
      </w:r>
      <w:r w:rsidRPr="00C24730">
        <w:rPr>
          <w:rFonts w:ascii="Times New Roman" w:hAnsi="Times New Roman" w:cs="Times New Roman"/>
        </w:rPr>
        <w:tab/>
        <w:t xml:space="preserve">Puettmann, M., Kaestner, D. &amp; Taylor, A. </w:t>
      </w:r>
      <w:r w:rsidRPr="00C24730">
        <w:rPr>
          <w:rFonts w:ascii="Times New Roman" w:hAnsi="Times New Roman" w:cs="Times New Roman"/>
          <w:i/>
          <w:iCs/>
        </w:rPr>
        <w:t xml:space="preserve">Life Cycle Assessment </w:t>
      </w:r>
      <w:proofErr w:type="gramStart"/>
      <w:r w:rsidRPr="00C24730">
        <w:rPr>
          <w:rFonts w:ascii="Times New Roman" w:hAnsi="Times New Roman" w:cs="Times New Roman"/>
          <w:i/>
          <w:iCs/>
        </w:rPr>
        <w:t>for the Production of</w:t>
      </w:r>
      <w:proofErr w:type="gramEnd"/>
      <w:r w:rsidRPr="00C24730">
        <w:rPr>
          <w:rFonts w:ascii="Times New Roman" w:hAnsi="Times New Roman" w:cs="Times New Roman"/>
          <w:i/>
          <w:iCs/>
        </w:rPr>
        <w:t xml:space="preserve"> Oriented Strandboard Production</w:t>
      </w:r>
      <w:r w:rsidRPr="00C24730">
        <w:rPr>
          <w:rFonts w:ascii="Times New Roman" w:hAnsi="Times New Roman" w:cs="Times New Roman"/>
        </w:rPr>
        <w:t>. https://corrim.org/wp-content/uploads/2020/12/CORRIM-AWC-OSB-Final.pdf (2020).</w:t>
      </w:r>
    </w:p>
    <w:p w14:paraId="060CD0B4"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50.</w:t>
      </w:r>
      <w:r w:rsidRPr="00C24730">
        <w:rPr>
          <w:rFonts w:ascii="Times New Roman" w:hAnsi="Times New Roman" w:cs="Times New Roman"/>
        </w:rPr>
        <w:tab/>
        <w:t>Bergman, R. D. &amp; Bowe, S. A. Life-Cycle Inventory of Hardwood Lumber Manufacturing in the Northeast and North Central United States.</w:t>
      </w:r>
    </w:p>
    <w:p w14:paraId="34AF445C"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51.</w:t>
      </w:r>
      <w:r w:rsidRPr="00C24730">
        <w:rPr>
          <w:rFonts w:ascii="Times New Roman" w:hAnsi="Times New Roman" w:cs="Times New Roman"/>
        </w:rPr>
        <w:tab/>
        <w:t xml:space="preserve">Barrett, S., Bolding, C. &amp; Munsell, J. Characteristics of Logging Businesses across Virginia’s Diverse Physiographic Regions. </w:t>
      </w:r>
      <w:r w:rsidRPr="00C24730">
        <w:rPr>
          <w:rFonts w:ascii="Times New Roman" w:hAnsi="Times New Roman" w:cs="Times New Roman"/>
          <w:i/>
          <w:iCs/>
        </w:rPr>
        <w:t>Forests</w:t>
      </w:r>
      <w:r w:rsidRPr="00C24730">
        <w:rPr>
          <w:rFonts w:ascii="Times New Roman" w:hAnsi="Times New Roman" w:cs="Times New Roman"/>
        </w:rPr>
        <w:t xml:space="preserve"> </w:t>
      </w:r>
      <w:r w:rsidRPr="00C24730">
        <w:rPr>
          <w:rFonts w:ascii="Times New Roman" w:hAnsi="Times New Roman" w:cs="Times New Roman"/>
          <w:b/>
          <w:bCs/>
        </w:rPr>
        <w:t>8</w:t>
      </w:r>
      <w:r w:rsidRPr="00C24730">
        <w:rPr>
          <w:rFonts w:ascii="Times New Roman" w:hAnsi="Times New Roman" w:cs="Times New Roman"/>
        </w:rPr>
        <w:t>, 468 (2017).</w:t>
      </w:r>
    </w:p>
    <w:p w14:paraId="42DE5563"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52.</w:t>
      </w:r>
      <w:r w:rsidRPr="00C24730">
        <w:rPr>
          <w:rFonts w:ascii="Times New Roman" w:hAnsi="Times New Roman" w:cs="Times New Roman"/>
        </w:rPr>
        <w:tab/>
        <w:t xml:space="preserve">Conrad, J., Greene, W. &amp; Hiesl, P. The Evolution of Logging Businesses in Georgia 1987–2017 and South Carolina 2012–2017. </w:t>
      </w:r>
      <w:r w:rsidRPr="00C24730">
        <w:rPr>
          <w:rFonts w:ascii="Times New Roman" w:hAnsi="Times New Roman" w:cs="Times New Roman"/>
          <w:i/>
          <w:iCs/>
        </w:rPr>
        <w:t>Forest Science</w:t>
      </w:r>
      <w:r w:rsidRPr="00C24730">
        <w:rPr>
          <w:rFonts w:ascii="Times New Roman" w:hAnsi="Times New Roman" w:cs="Times New Roman"/>
        </w:rPr>
        <w:t xml:space="preserve"> </w:t>
      </w:r>
      <w:r w:rsidRPr="00C24730">
        <w:rPr>
          <w:rFonts w:ascii="Times New Roman" w:hAnsi="Times New Roman" w:cs="Times New Roman"/>
          <w:b/>
          <w:bCs/>
        </w:rPr>
        <w:t>64</w:t>
      </w:r>
      <w:r w:rsidRPr="00C24730">
        <w:rPr>
          <w:rFonts w:ascii="Times New Roman" w:hAnsi="Times New Roman" w:cs="Times New Roman"/>
        </w:rPr>
        <w:t>, (2018).</w:t>
      </w:r>
    </w:p>
    <w:p w14:paraId="667E9A3E"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53.</w:t>
      </w:r>
      <w:r w:rsidRPr="00C24730">
        <w:rPr>
          <w:rFonts w:ascii="Times New Roman" w:hAnsi="Times New Roman" w:cs="Times New Roman"/>
        </w:rPr>
        <w:tab/>
        <w:t xml:space="preserve">Conrad, J. L. Log truck insurance premiums, claims, and safety practices among logging businesses in the US South. </w:t>
      </w:r>
      <w:r w:rsidRPr="00C24730">
        <w:rPr>
          <w:rFonts w:ascii="Times New Roman" w:hAnsi="Times New Roman" w:cs="Times New Roman"/>
          <w:i/>
          <w:iCs/>
        </w:rPr>
        <w:t>International Journal of Forest Engineering</w:t>
      </w:r>
      <w:r w:rsidRPr="00C24730">
        <w:rPr>
          <w:rFonts w:ascii="Times New Roman" w:hAnsi="Times New Roman" w:cs="Times New Roman"/>
        </w:rPr>
        <w:t xml:space="preserve"> </w:t>
      </w:r>
      <w:r w:rsidRPr="00C24730">
        <w:rPr>
          <w:rFonts w:ascii="Times New Roman" w:hAnsi="Times New Roman" w:cs="Times New Roman"/>
          <w:b/>
          <w:bCs/>
        </w:rPr>
        <w:t>34</w:t>
      </w:r>
      <w:r w:rsidRPr="00C24730">
        <w:rPr>
          <w:rFonts w:ascii="Times New Roman" w:hAnsi="Times New Roman" w:cs="Times New Roman"/>
        </w:rPr>
        <w:t>, 204–215 (2023).</w:t>
      </w:r>
    </w:p>
    <w:p w14:paraId="21F0303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54.</w:t>
      </w:r>
      <w:r w:rsidRPr="00C24730">
        <w:rPr>
          <w:rFonts w:ascii="Times New Roman" w:hAnsi="Times New Roman" w:cs="Times New Roman"/>
        </w:rPr>
        <w:tab/>
        <w:t>Davis, S. C. &amp; Boundy, R. G. Transportation Energy Data Book: Edition 40. (2022).</w:t>
      </w:r>
    </w:p>
    <w:p w14:paraId="167672D8"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55.</w:t>
      </w:r>
      <w:r w:rsidRPr="00C24730">
        <w:rPr>
          <w:rFonts w:ascii="Times New Roman" w:hAnsi="Times New Roman" w:cs="Times New Roman"/>
        </w:rPr>
        <w:tab/>
      </w:r>
      <w:proofErr w:type="spellStart"/>
      <w:r w:rsidRPr="00C24730">
        <w:rPr>
          <w:rFonts w:ascii="Times New Roman" w:hAnsi="Times New Roman" w:cs="Times New Roman"/>
        </w:rPr>
        <w:t>LaGore</w:t>
      </w:r>
      <w:proofErr w:type="spellEnd"/>
      <w:r w:rsidRPr="00C24730">
        <w:rPr>
          <w:rFonts w:ascii="Times New Roman" w:hAnsi="Times New Roman" w:cs="Times New Roman"/>
        </w:rPr>
        <w:t>, R. What is the legal weight shippers are permitted to load cargo? https://www.inteklogistics.com/blog/what-is-legal-weight-shippers-can-load-53-trailers (2025).</w:t>
      </w:r>
    </w:p>
    <w:p w14:paraId="5920792C"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56.</w:t>
      </w:r>
      <w:r w:rsidRPr="00C24730">
        <w:rPr>
          <w:rFonts w:ascii="Times New Roman" w:hAnsi="Times New Roman" w:cs="Times New Roman"/>
        </w:rPr>
        <w:tab/>
        <w:t xml:space="preserve">Conrad, J. L. Evaluating Profitability of Individual Timber Deliveries in the US South. </w:t>
      </w:r>
      <w:r w:rsidRPr="00C24730">
        <w:rPr>
          <w:rFonts w:ascii="Times New Roman" w:hAnsi="Times New Roman" w:cs="Times New Roman"/>
          <w:i/>
          <w:iCs/>
        </w:rPr>
        <w:t>Forests</w:t>
      </w:r>
      <w:r w:rsidRPr="00C24730">
        <w:rPr>
          <w:rFonts w:ascii="Times New Roman" w:hAnsi="Times New Roman" w:cs="Times New Roman"/>
        </w:rPr>
        <w:t xml:space="preserve"> </w:t>
      </w:r>
      <w:r w:rsidRPr="00C24730">
        <w:rPr>
          <w:rFonts w:ascii="Times New Roman" w:hAnsi="Times New Roman" w:cs="Times New Roman"/>
          <w:b/>
          <w:bCs/>
        </w:rPr>
        <w:t>12</w:t>
      </w:r>
      <w:r w:rsidRPr="00C24730">
        <w:rPr>
          <w:rFonts w:ascii="Times New Roman" w:hAnsi="Times New Roman" w:cs="Times New Roman"/>
        </w:rPr>
        <w:t>, 437 (2021).</w:t>
      </w:r>
    </w:p>
    <w:p w14:paraId="4DD5695F"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57.</w:t>
      </w:r>
      <w:r w:rsidRPr="00C24730">
        <w:rPr>
          <w:rFonts w:ascii="Times New Roman" w:hAnsi="Times New Roman" w:cs="Times New Roman"/>
        </w:rPr>
        <w:tab/>
        <w:t>United States Environmental Protection Agency (EPA). Emission Factors for Greenhouse Gas Inventories. (2014).</w:t>
      </w:r>
    </w:p>
    <w:p w14:paraId="0F3839EE"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58.</w:t>
      </w:r>
      <w:r w:rsidRPr="00C24730">
        <w:rPr>
          <w:rFonts w:ascii="Times New Roman" w:hAnsi="Times New Roman" w:cs="Times New Roman"/>
        </w:rPr>
        <w:tab/>
        <w:t xml:space="preserve">Abt, K. L., Abt, R. C., Galik, C. S. &amp; Skog, K. E. </w:t>
      </w:r>
      <w:r w:rsidRPr="00C24730">
        <w:rPr>
          <w:rFonts w:ascii="Times New Roman" w:hAnsi="Times New Roman" w:cs="Times New Roman"/>
          <w:i/>
          <w:iCs/>
        </w:rPr>
        <w:t>Effect of Policies on Pellet Production and Forests in the U.S. South: A Technical Document Supporting the Forest Service Update of the 2010 RPA Assessment</w:t>
      </w:r>
      <w:r w:rsidRPr="00C24730">
        <w:rPr>
          <w:rFonts w:ascii="Times New Roman" w:hAnsi="Times New Roman" w:cs="Times New Roman"/>
        </w:rPr>
        <w:t>. SRS-GTR-202 https://www.fs.usda.gov/treesearch/pubs/47281 (2014) doi:10.2737/SRS-GTR-202.</w:t>
      </w:r>
    </w:p>
    <w:p w14:paraId="7B131FD2"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59.</w:t>
      </w:r>
      <w:r w:rsidRPr="00C24730">
        <w:rPr>
          <w:rFonts w:ascii="Times New Roman" w:hAnsi="Times New Roman" w:cs="Times New Roman"/>
        </w:rPr>
        <w:tab/>
        <w:t xml:space="preserve">Alderman, D. </w:t>
      </w:r>
      <w:proofErr w:type="gramStart"/>
      <w:r w:rsidRPr="00C24730">
        <w:rPr>
          <w:rFonts w:ascii="Times New Roman" w:hAnsi="Times New Roman" w:cs="Times New Roman"/>
        </w:rPr>
        <w:t>U.S. forest</w:t>
      </w:r>
      <w:proofErr w:type="gramEnd"/>
      <w:r w:rsidRPr="00C24730">
        <w:rPr>
          <w:rFonts w:ascii="Times New Roman" w:hAnsi="Times New Roman" w:cs="Times New Roman"/>
        </w:rPr>
        <w:t xml:space="preserve"> products annual market review and prospects, 2015-2021. </w:t>
      </w:r>
      <w:r w:rsidRPr="00C24730">
        <w:rPr>
          <w:rFonts w:ascii="Times New Roman" w:hAnsi="Times New Roman" w:cs="Times New Roman"/>
          <w:i/>
          <w:iCs/>
        </w:rPr>
        <w:t>FPL-GTR-289</w:t>
      </w:r>
      <w:r w:rsidRPr="00C24730">
        <w:rPr>
          <w:rFonts w:ascii="Times New Roman" w:hAnsi="Times New Roman" w:cs="Times New Roman"/>
        </w:rPr>
        <w:t xml:space="preserve"> </w:t>
      </w:r>
      <w:r w:rsidRPr="00C24730">
        <w:rPr>
          <w:rFonts w:ascii="Times New Roman" w:hAnsi="Times New Roman" w:cs="Times New Roman"/>
          <w:b/>
          <w:bCs/>
        </w:rPr>
        <w:t>289</w:t>
      </w:r>
      <w:r w:rsidRPr="00C24730">
        <w:rPr>
          <w:rFonts w:ascii="Times New Roman" w:hAnsi="Times New Roman" w:cs="Times New Roman"/>
        </w:rPr>
        <w:t>, 1–31 (2022).</w:t>
      </w:r>
    </w:p>
    <w:p w14:paraId="27B8BC9E"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60.</w:t>
      </w:r>
      <w:r w:rsidRPr="00C24730">
        <w:rPr>
          <w:rFonts w:ascii="Times New Roman" w:hAnsi="Times New Roman" w:cs="Times New Roman"/>
        </w:rPr>
        <w:tab/>
        <w:t xml:space="preserve">International Marine Organization (WMO). </w:t>
      </w:r>
      <w:r w:rsidRPr="00C24730">
        <w:rPr>
          <w:rFonts w:ascii="Times New Roman" w:hAnsi="Times New Roman" w:cs="Times New Roman"/>
          <w:i/>
          <w:iCs/>
        </w:rPr>
        <w:t>Fourth IMO GHG Study 2020 - Full Report and Annexes</w:t>
      </w:r>
      <w:r w:rsidRPr="00C24730">
        <w:rPr>
          <w:rFonts w:ascii="Times New Roman" w:hAnsi="Times New Roman" w:cs="Times New Roman"/>
        </w:rPr>
        <w:t>. 495 https://wwwcdn.imo.org/localresources/en/OurWork/Environment/Documents/Fourth%20IMO%20GHG%20Study%202020%20-%20Full%20report%20and%20annexes.pdf (2020).</w:t>
      </w:r>
    </w:p>
    <w:p w14:paraId="7528C0A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61.</w:t>
      </w:r>
      <w:r w:rsidRPr="00C24730">
        <w:rPr>
          <w:rFonts w:ascii="Times New Roman" w:hAnsi="Times New Roman" w:cs="Times New Roman"/>
        </w:rPr>
        <w:tab/>
        <w:t xml:space="preserve">NCASI. </w:t>
      </w:r>
      <w:r w:rsidRPr="00C24730">
        <w:rPr>
          <w:rFonts w:ascii="Times New Roman" w:hAnsi="Times New Roman" w:cs="Times New Roman"/>
          <w:i/>
          <w:iCs/>
        </w:rPr>
        <w:t>Life Cycle Assessment of US Average Corrugated Product – Final Report. Report Prepared for the Corrugated Product Alliance (CPA)</w:t>
      </w:r>
      <w:r w:rsidRPr="00C24730">
        <w:rPr>
          <w:rFonts w:ascii="Times New Roman" w:hAnsi="Times New Roman" w:cs="Times New Roman"/>
        </w:rPr>
        <w:t>. (2017).</w:t>
      </w:r>
    </w:p>
    <w:p w14:paraId="3773BCE8"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62.</w:t>
      </w:r>
      <w:r w:rsidRPr="00C24730">
        <w:rPr>
          <w:rFonts w:ascii="Times New Roman" w:hAnsi="Times New Roman" w:cs="Times New Roman"/>
        </w:rPr>
        <w:tab/>
        <w:t xml:space="preserve">NCASI. </w:t>
      </w:r>
      <w:r w:rsidRPr="00C24730">
        <w:rPr>
          <w:rFonts w:ascii="Times New Roman" w:hAnsi="Times New Roman" w:cs="Times New Roman"/>
          <w:i/>
          <w:iCs/>
        </w:rPr>
        <w:t>Life Cycle Assessment of North American Printing and Writing Paper Products [Unpublished Report]</w:t>
      </w:r>
      <w:r w:rsidRPr="00C24730">
        <w:rPr>
          <w:rFonts w:ascii="Times New Roman" w:hAnsi="Times New Roman" w:cs="Times New Roman"/>
        </w:rPr>
        <w:t>. (2010).</w:t>
      </w:r>
    </w:p>
    <w:p w14:paraId="6E22DC08"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63.</w:t>
      </w:r>
      <w:r w:rsidRPr="00C24730">
        <w:rPr>
          <w:rFonts w:ascii="Times New Roman" w:hAnsi="Times New Roman" w:cs="Times New Roman"/>
        </w:rPr>
        <w:tab/>
        <w:t>United States Department of Agriculture (USDA). FAS - Global Agricultural Trade System (GATS). https://apps.fas.usda.gov/gats/default.aspx.</w:t>
      </w:r>
    </w:p>
    <w:p w14:paraId="4A60113F"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64.</w:t>
      </w:r>
      <w:r w:rsidRPr="00C24730">
        <w:rPr>
          <w:rFonts w:ascii="Times New Roman" w:hAnsi="Times New Roman" w:cs="Times New Roman"/>
        </w:rPr>
        <w:tab/>
        <w:t xml:space="preserve">Wang, X., Padgett, J. M., De la Cruz, F. B. &amp; Barlaz, M. A. Wood Biodegradation in Laboratory-Scale Landfills. </w:t>
      </w:r>
      <w:r w:rsidRPr="00C24730">
        <w:rPr>
          <w:rFonts w:ascii="Times New Roman" w:hAnsi="Times New Roman" w:cs="Times New Roman"/>
          <w:i/>
          <w:iCs/>
        </w:rPr>
        <w:t>Environ. Sci. Technol.</w:t>
      </w:r>
      <w:r w:rsidRPr="00C24730">
        <w:rPr>
          <w:rFonts w:ascii="Times New Roman" w:hAnsi="Times New Roman" w:cs="Times New Roman"/>
        </w:rPr>
        <w:t xml:space="preserve"> </w:t>
      </w:r>
      <w:r w:rsidRPr="00C24730">
        <w:rPr>
          <w:rFonts w:ascii="Times New Roman" w:hAnsi="Times New Roman" w:cs="Times New Roman"/>
          <w:b/>
          <w:bCs/>
        </w:rPr>
        <w:t>45</w:t>
      </w:r>
      <w:r w:rsidRPr="00C24730">
        <w:rPr>
          <w:rFonts w:ascii="Times New Roman" w:hAnsi="Times New Roman" w:cs="Times New Roman"/>
        </w:rPr>
        <w:t>, 6864–6871 (2011).</w:t>
      </w:r>
    </w:p>
    <w:p w14:paraId="62827EEB"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65.</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Advancing Sustainable Materials Management: 2018 Tables and Figures</w:t>
      </w:r>
      <w:r w:rsidRPr="00C24730">
        <w:rPr>
          <w:rFonts w:ascii="Times New Roman" w:hAnsi="Times New Roman" w:cs="Times New Roman"/>
        </w:rPr>
        <w:t>. https://www.epa.gov/sites/default/files/2021-01/documents/2018_tables_and_figures_dec_2020_fnl_508.pdf (2020).</w:t>
      </w:r>
    </w:p>
    <w:p w14:paraId="434BDFD4"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66.</w:t>
      </w:r>
      <w:r w:rsidRPr="00C24730">
        <w:rPr>
          <w:rFonts w:ascii="Times New Roman" w:hAnsi="Times New Roman" w:cs="Times New Roman"/>
        </w:rPr>
        <w:tab/>
        <w:t xml:space="preserve">Staley, B. &amp; Kantner, D. Quantification of Municipal Solid Waste Management in the United States - With Comparative Analysis to Other Estimates. </w:t>
      </w:r>
      <w:r w:rsidRPr="00C24730">
        <w:rPr>
          <w:rFonts w:ascii="Times New Roman" w:hAnsi="Times New Roman" w:cs="Times New Roman"/>
          <w:i/>
          <w:iCs/>
        </w:rPr>
        <w:t>Detritus</w:t>
      </w:r>
      <w:r w:rsidRPr="00C24730">
        <w:rPr>
          <w:rFonts w:ascii="Times New Roman" w:hAnsi="Times New Roman" w:cs="Times New Roman"/>
        </w:rPr>
        <w:t xml:space="preserve"> 167 (2018) doi:10.31025/2611-4135/2018.13699.</w:t>
      </w:r>
    </w:p>
    <w:p w14:paraId="50D6956A"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67.</w:t>
      </w:r>
      <w:r w:rsidRPr="00C24730">
        <w:rPr>
          <w:rFonts w:ascii="Times New Roman" w:hAnsi="Times New Roman" w:cs="Times New Roman"/>
        </w:rPr>
        <w:tab/>
        <w:t>Bureau of Economic Analysis (BEA). Data Tools | U.S. Bureau of Economic Analysis (BEA). https://www.bea.gov/tools.</w:t>
      </w:r>
    </w:p>
    <w:p w14:paraId="532EF5B3"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68.</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Advancing Sustainable Materials Management: 2018 Fact Sheet</w:t>
      </w:r>
      <w:r w:rsidRPr="00C24730">
        <w:rPr>
          <w:rFonts w:ascii="Times New Roman" w:hAnsi="Times New Roman" w:cs="Times New Roman"/>
        </w:rPr>
        <w:t>. https://www.epa.gov/sites/default/files/2021-01/documents/2018_ff_fact_sheet_dec_2020_fnl_508.pdf (2020).</w:t>
      </w:r>
    </w:p>
    <w:p w14:paraId="4B94A6F9"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69.</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Construction and Demolition Debris Management in the United States, 2015</w:t>
      </w:r>
      <w:r w:rsidRPr="00C24730">
        <w:rPr>
          <w:rFonts w:ascii="Times New Roman" w:hAnsi="Times New Roman" w:cs="Times New Roman"/>
        </w:rPr>
        <w:t>. https://www.epa.gov/sites/default/files/2020-03/documents/final_cd-eol-management_2015_508.pdf (2020).</w:t>
      </w:r>
    </w:p>
    <w:p w14:paraId="20D67B38"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70.</w:t>
      </w:r>
      <w:r w:rsidRPr="00C24730">
        <w:rPr>
          <w:rFonts w:ascii="Times New Roman" w:hAnsi="Times New Roman" w:cs="Times New Roman"/>
        </w:rPr>
        <w:tab/>
        <w:t xml:space="preserve">Stefanie, J. W. H. O. E., Visser, A., Pol, L. W. H. &amp; </w:t>
      </w:r>
      <w:proofErr w:type="spellStart"/>
      <w:r w:rsidRPr="00C24730">
        <w:rPr>
          <w:rFonts w:ascii="Times New Roman" w:hAnsi="Times New Roman" w:cs="Times New Roman"/>
        </w:rPr>
        <w:t>Stams</w:t>
      </w:r>
      <w:proofErr w:type="spellEnd"/>
      <w:r w:rsidRPr="00C24730">
        <w:rPr>
          <w:rFonts w:ascii="Times New Roman" w:hAnsi="Times New Roman" w:cs="Times New Roman"/>
        </w:rPr>
        <w:t xml:space="preserve">, A. J. M. Sulfate reduction in methanogenic bioreactors. </w:t>
      </w:r>
      <w:r w:rsidRPr="00C24730">
        <w:rPr>
          <w:rFonts w:ascii="Times New Roman" w:hAnsi="Times New Roman" w:cs="Times New Roman"/>
          <w:i/>
          <w:iCs/>
        </w:rPr>
        <w:t xml:space="preserve">FEMS </w:t>
      </w:r>
      <w:proofErr w:type="spellStart"/>
      <w:r w:rsidRPr="00C24730">
        <w:rPr>
          <w:rFonts w:ascii="Times New Roman" w:hAnsi="Times New Roman" w:cs="Times New Roman"/>
          <w:i/>
          <w:iCs/>
        </w:rPr>
        <w:t>Microbiol</w:t>
      </w:r>
      <w:proofErr w:type="spellEnd"/>
      <w:r w:rsidRPr="00C24730">
        <w:rPr>
          <w:rFonts w:ascii="Times New Roman" w:hAnsi="Times New Roman" w:cs="Times New Roman"/>
          <w:i/>
          <w:iCs/>
        </w:rPr>
        <w:t xml:space="preserve"> Rev</w:t>
      </w:r>
      <w:r w:rsidRPr="00C24730">
        <w:rPr>
          <w:rFonts w:ascii="Times New Roman" w:hAnsi="Times New Roman" w:cs="Times New Roman"/>
        </w:rPr>
        <w:t xml:space="preserve"> </w:t>
      </w:r>
      <w:r w:rsidRPr="00C24730">
        <w:rPr>
          <w:rFonts w:ascii="Times New Roman" w:hAnsi="Times New Roman" w:cs="Times New Roman"/>
          <w:b/>
          <w:bCs/>
        </w:rPr>
        <w:t>15</w:t>
      </w:r>
      <w:r w:rsidRPr="00C24730">
        <w:rPr>
          <w:rFonts w:ascii="Times New Roman" w:hAnsi="Times New Roman" w:cs="Times New Roman"/>
        </w:rPr>
        <w:t>, 119–136 (1994).</w:t>
      </w:r>
    </w:p>
    <w:p w14:paraId="5F41E83C"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71.</w:t>
      </w:r>
      <w:r w:rsidRPr="00C24730">
        <w:rPr>
          <w:rFonts w:ascii="Times New Roman" w:hAnsi="Times New Roman" w:cs="Times New Roman"/>
        </w:rPr>
        <w:tab/>
        <w:t xml:space="preserve">United States Environmental Protection Agency. </w:t>
      </w:r>
      <w:r w:rsidRPr="00C24730">
        <w:rPr>
          <w:rFonts w:ascii="Times New Roman" w:hAnsi="Times New Roman" w:cs="Times New Roman"/>
          <w:i/>
          <w:iCs/>
        </w:rPr>
        <w:t>Best Management Practices to Prevent and Control Hydrogen Sulfide and Reduced Sulfur Compound Emissions at Landfills That Dispose of Gypsum Drywall</w:t>
      </w:r>
      <w:r w:rsidRPr="00C24730">
        <w:rPr>
          <w:rFonts w:ascii="Times New Roman" w:hAnsi="Times New Roman" w:cs="Times New Roman"/>
        </w:rPr>
        <w:t>. https://cfpub.epa.gov/si/si_public_record_report.cfm?Lab=NRMRL&amp;dirEntryId=310622 (2015).</w:t>
      </w:r>
    </w:p>
    <w:p w14:paraId="7E773E47"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72.</w:t>
      </w:r>
      <w:r w:rsidRPr="00C24730">
        <w:rPr>
          <w:rFonts w:ascii="Times New Roman" w:hAnsi="Times New Roman" w:cs="Times New Roman"/>
        </w:rPr>
        <w:tab/>
        <w:t xml:space="preserve">Staley, B. F. &amp; Barlaz, M. A. Composition of Municipal Solid Waste in the United States and Implications for Carbon Sequestration and Methane Yield. </w:t>
      </w:r>
      <w:r w:rsidRPr="00C24730">
        <w:rPr>
          <w:rFonts w:ascii="Times New Roman" w:hAnsi="Times New Roman" w:cs="Times New Roman"/>
          <w:i/>
          <w:iCs/>
        </w:rPr>
        <w:t>Journal of Environmental Engineering</w:t>
      </w:r>
      <w:r w:rsidRPr="00C24730">
        <w:rPr>
          <w:rFonts w:ascii="Times New Roman" w:hAnsi="Times New Roman" w:cs="Times New Roman"/>
        </w:rPr>
        <w:t xml:space="preserve"> </w:t>
      </w:r>
      <w:r w:rsidRPr="00C24730">
        <w:rPr>
          <w:rFonts w:ascii="Times New Roman" w:hAnsi="Times New Roman" w:cs="Times New Roman"/>
          <w:b/>
          <w:bCs/>
        </w:rPr>
        <w:t>135</w:t>
      </w:r>
      <w:r w:rsidRPr="00C24730">
        <w:rPr>
          <w:rFonts w:ascii="Times New Roman" w:hAnsi="Times New Roman" w:cs="Times New Roman"/>
        </w:rPr>
        <w:t>, 901–909 (2009).</w:t>
      </w:r>
    </w:p>
    <w:p w14:paraId="3F9D2CFE" w14:textId="77777777" w:rsidR="001B7B37" w:rsidRPr="00C24730" w:rsidRDefault="001B7B37" w:rsidP="00C24730">
      <w:pPr>
        <w:pStyle w:val="Bibliography"/>
        <w:tabs>
          <w:tab w:val="clear" w:pos="264"/>
        </w:tabs>
        <w:spacing w:line="276" w:lineRule="auto"/>
        <w:ind w:left="360" w:hanging="360"/>
        <w:rPr>
          <w:rFonts w:ascii="Times New Roman" w:hAnsi="Times New Roman" w:cs="Times New Roman"/>
        </w:rPr>
      </w:pPr>
      <w:r w:rsidRPr="00C24730">
        <w:rPr>
          <w:rFonts w:ascii="Times New Roman" w:hAnsi="Times New Roman" w:cs="Times New Roman"/>
        </w:rPr>
        <w:t>73.</w:t>
      </w:r>
      <w:r w:rsidRPr="00C24730">
        <w:rPr>
          <w:rFonts w:ascii="Times New Roman" w:hAnsi="Times New Roman" w:cs="Times New Roman"/>
        </w:rPr>
        <w:tab/>
        <w:t xml:space="preserve">United States Environmental Protection Agency (EPA). </w:t>
      </w:r>
      <w:r w:rsidRPr="00C24730">
        <w:rPr>
          <w:rFonts w:ascii="Times New Roman" w:hAnsi="Times New Roman" w:cs="Times New Roman"/>
          <w:i/>
          <w:iCs/>
        </w:rPr>
        <w:t>Quantifying Methane Emissions from Landfilled Food Waste</w:t>
      </w:r>
      <w:r w:rsidRPr="00C24730">
        <w:rPr>
          <w:rFonts w:ascii="Times New Roman" w:hAnsi="Times New Roman" w:cs="Times New Roman"/>
        </w:rPr>
        <w:t>. https://www.epa.gov/system/files/documents/2023-10/food-waste-landfill-methane-10-8-23-final_508-compliant.pdf (2023).</w:t>
      </w:r>
    </w:p>
    <w:p w14:paraId="04C2D4E6" w14:textId="606E3795" w:rsidR="001D05E2" w:rsidRPr="00C24730" w:rsidRDefault="001D05E2" w:rsidP="00C24730">
      <w:pPr>
        <w:spacing w:line="276" w:lineRule="auto"/>
        <w:ind w:left="360" w:hanging="360"/>
        <w:rPr>
          <w:rFonts w:ascii="Times New Roman" w:hAnsi="Times New Roman" w:cs="Times New Roman"/>
        </w:rPr>
      </w:pPr>
      <w:r w:rsidRPr="00C24730">
        <w:rPr>
          <w:rFonts w:ascii="Times New Roman" w:hAnsi="Times New Roman" w:cs="Times New Roman"/>
        </w:rPr>
        <w:fldChar w:fldCharType="end"/>
      </w:r>
    </w:p>
    <w:p w14:paraId="6B4D4D13" w14:textId="77777777" w:rsidR="00321DC2" w:rsidRPr="00C24730" w:rsidRDefault="00321DC2" w:rsidP="00C24730">
      <w:pPr>
        <w:spacing w:line="276" w:lineRule="auto"/>
        <w:rPr>
          <w:rFonts w:ascii="Times New Roman" w:hAnsi="Times New Roman" w:cs="Times New Roman"/>
        </w:rPr>
      </w:pPr>
    </w:p>
    <w:sectPr w:rsidR="00321DC2" w:rsidRPr="00C247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8AF08" w14:textId="77777777" w:rsidR="007E2023" w:rsidRDefault="007E2023" w:rsidP="007E2023">
      <w:pPr>
        <w:spacing w:after="0" w:line="240" w:lineRule="auto"/>
      </w:pPr>
      <w:r>
        <w:separator/>
      </w:r>
    </w:p>
  </w:endnote>
  <w:endnote w:type="continuationSeparator" w:id="0">
    <w:p w14:paraId="494AC54E" w14:textId="77777777" w:rsidR="007E2023" w:rsidRDefault="007E2023" w:rsidP="007E2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AFF" w:usb1="5000217F" w:usb2="00000021" w:usb3="00000000" w:csb0="0000019F" w:csb1="00000000"/>
  </w:font>
  <w:font w:name="Nunito-Light">
    <w:altName w:val="Nunito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248A" w14:textId="77777777" w:rsidR="001D05E2" w:rsidRDefault="001D05E2">
    <w:pPr>
      <w:jc w:val="center"/>
      <w:rPr>
        <w:rFonts w:ascii="Arial" w:hAnsi="Arial"/>
        <w:sz w:val="20"/>
      </w:rPr>
    </w:pPr>
    <w:r>
      <w:rPr>
        <w:rFonts w:ascii="Arial" w:hAnsi="Arial"/>
        <w:sz w:val="20"/>
      </w:rPr>
      <w:t>National Council for Air and Stream Improvement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E5949" w14:textId="77777777" w:rsidR="007E2023" w:rsidRDefault="007E2023" w:rsidP="007E2023">
      <w:pPr>
        <w:spacing w:after="0" w:line="240" w:lineRule="auto"/>
      </w:pPr>
      <w:r>
        <w:separator/>
      </w:r>
    </w:p>
  </w:footnote>
  <w:footnote w:type="continuationSeparator" w:id="0">
    <w:p w14:paraId="2859558F" w14:textId="77777777" w:rsidR="007E2023" w:rsidRDefault="007E2023" w:rsidP="007E2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9EAE" w14:textId="19517680" w:rsidR="000566CB" w:rsidRPr="000566CB" w:rsidRDefault="000566CB">
    <w:pPr>
      <w:pStyle w:val="Header"/>
      <w:jc w:val="center"/>
      <w:rPr>
        <w:rFonts w:ascii="Times New Roman" w:hAnsi="Times New Roman"/>
        <w:sz w:val="24"/>
        <w:szCs w:val="24"/>
      </w:rPr>
    </w:pPr>
    <w:r w:rsidRPr="000566CB">
      <w:rPr>
        <w:rFonts w:ascii="Times New Roman" w:hAnsi="Times New Roman"/>
        <w:sz w:val="24"/>
        <w:szCs w:val="24"/>
      </w:rPr>
      <w:t xml:space="preserve">Page </w:t>
    </w:r>
    <w:sdt>
      <w:sdtPr>
        <w:rPr>
          <w:rFonts w:ascii="Times New Roman" w:hAnsi="Times New Roman"/>
          <w:sz w:val="24"/>
          <w:szCs w:val="24"/>
        </w:rPr>
        <w:id w:val="-919322453"/>
        <w:docPartObj>
          <w:docPartGallery w:val="Page Numbers (Top of Page)"/>
          <w:docPartUnique/>
        </w:docPartObj>
      </w:sdtPr>
      <w:sdtEndPr>
        <w:rPr>
          <w:noProof/>
        </w:rPr>
      </w:sdtEndPr>
      <w:sdtContent>
        <w:r w:rsidRPr="000566CB">
          <w:rPr>
            <w:rFonts w:ascii="Times New Roman" w:hAnsi="Times New Roman"/>
            <w:sz w:val="24"/>
            <w:szCs w:val="24"/>
          </w:rPr>
          <w:fldChar w:fldCharType="begin"/>
        </w:r>
        <w:r w:rsidRPr="000566CB">
          <w:rPr>
            <w:rFonts w:ascii="Times New Roman" w:hAnsi="Times New Roman"/>
            <w:sz w:val="24"/>
            <w:szCs w:val="24"/>
          </w:rPr>
          <w:instrText xml:space="preserve"> PAGE   \* MERGEFORMAT </w:instrText>
        </w:r>
        <w:r w:rsidRPr="000566CB">
          <w:rPr>
            <w:rFonts w:ascii="Times New Roman" w:hAnsi="Times New Roman"/>
            <w:sz w:val="24"/>
            <w:szCs w:val="24"/>
          </w:rPr>
          <w:fldChar w:fldCharType="separate"/>
        </w:r>
        <w:r w:rsidRPr="000566CB">
          <w:rPr>
            <w:rFonts w:ascii="Times New Roman" w:hAnsi="Times New Roman"/>
            <w:noProof/>
            <w:sz w:val="24"/>
            <w:szCs w:val="24"/>
          </w:rPr>
          <w:t>2</w:t>
        </w:r>
        <w:r w:rsidRPr="000566CB">
          <w:rPr>
            <w:rFonts w:ascii="Times New Roman" w:hAnsi="Times New Roman"/>
            <w:noProof/>
            <w:sz w:val="24"/>
            <w:szCs w:val="24"/>
          </w:rPr>
          <w:fldChar w:fldCharType="end"/>
        </w:r>
      </w:sdtContent>
    </w:sdt>
  </w:p>
  <w:p w14:paraId="2492B77F" w14:textId="77777777" w:rsidR="006B6922" w:rsidRDefault="006B69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C821" w14:textId="77777777" w:rsidR="006B6922" w:rsidRPr="006B6922" w:rsidRDefault="006B6922">
    <w:pPr>
      <w:pStyle w:val="Header"/>
      <w:jc w:val="center"/>
      <w:rPr>
        <w:rFonts w:ascii="Times New Roman" w:hAnsi="Times New Roman"/>
        <w:sz w:val="24"/>
        <w:szCs w:val="24"/>
      </w:rPr>
    </w:pPr>
    <w:r w:rsidRPr="006B6922">
      <w:rPr>
        <w:rFonts w:ascii="Times New Roman" w:hAnsi="Times New Roman"/>
        <w:sz w:val="24"/>
        <w:szCs w:val="24"/>
      </w:rPr>
      <w:t xml:space="preserve">Page </w:t>
    </w:r>
    <w:sdt>
      <w:sdtPr>
        <w:rPr>
          <w:rFonts w:ascii="Times New Roman" w:hAnsi="Times New Roman"/>
          <w:sz w:val="24"/>
          <w:szCs w:val="24"/>
        </w:rPr>
        <w:id w:val="1134453843"/>
        <w:docPartObj>
          <w:docPartGallery w:val="Page Numbers (Top of Page)"/>
          <w:docPartUnique/>
        </w:docPartObj>
      </w:sdtPr>
      <w:sdtEndPr>
        <w:rPr>
          <w:noProof/>
        </w:rPr>
      </w:sdtEndPr>
      <w:sdtContent>
        <w:r w:rsidRPr="006B6922">
          <w:rPr>
            <w:rFonts w:ascii="Times New Roman" w:hAnsi="Times New Roman"/>
            <w:sz w:val="24"/>
            <w:szCs w:val="24"/>
          </w:rPr>
          <w:fldChar w:fldCharType="begin"/>
        </w:r>
        <w:r w:rsidRPr="006B6922">
          <w:rPr>
            <w:rFonts w:ascii="Times New Roman" w:hAnsi="Times New Roman"/>
            <w:sz w:val="24"/>
            <w:szCs w:val="24"/>
          </w:rPr>
          <w:instrText xml:space="preserve"> PAGE   \* MERGEFORMAT </w:instrText>
        </w:r>
        <w:r w:rsidRPr="006B6922">
          <w:rPr>
            <w:rFonts w:ascii="Times New Roman" w:hAnsi="Times New Roman"/>
            <w:sz w:val="24"/>
            <w:szCs w:val="24"/>
          </w:rPr>
          <w:fldChar w:fldCharType="separate"/>
        </w:r>
        <w:r w:rsidRPr="006B6922">
          <w:rPr>
            <w:rFonts w:ascii="Times New Roman" w:hAnsi="Times New Roman"/>
            <w:noProof/>
            <w:sz w:val="24"/>
            <w:szCs w:val="24"/>
          </w:rPr>
          <w:t>2</w:t>
        </w:r>
        <w:r w:rsidRPr="006B6922">
          <w:rPr>
            <w:rFonts w:ascii="Times New Roman" w:hAnsi="Times New Roman"/>
            <w:noProof/>
            <w:sz w:val="24"/>
            <w:szCs w:val="24"/>
          </w:rPr>
          <w:fldChar w:fldCharType="end"/>
        </w:r>
      </w:sdtContent>
    </w:sdt>
  </w:p>
  <w:p w14:paraId="70CE55DA" w14:textId="77777777" w:rsidR="006B6922" w:rsidRPr="006B6922" w:rsidRDefault="006B6922">
    <w:pPr>
      <w:pStyle w:val="Head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1E52" w14:textId="77777777" w:rsidR="001D05E2" w:rsidRDefault="001D05E2">
    <w:pPr>
      <w:tabs>
        <w:tab w:val="right" w:pos="9000"/>
      </w:tabs>
      <w:rPr>
        <w:rFonts w:ascii="Arial" w:hAnsi="Arial"/>
        <w:sz w:val="20"/>
      </w:rPr>
    </w:pPr>
    <w:r>
      <w:rPr>
        <w:rFonts w:ascii="Arial" w:hAnsi="Arial"/>
        <w:sz w:val="20"/>
      </w:rPr>
      <w:fldChar w:fldCharType="begin"/>
    </w:r>
    <w:r>
      <w:rPr>
        <w:rFonts w:ascii="Arial" w:hAnsi="Arial"/>
        <w:sz w:val="20"/>
      </w:rPr>
      <w:instrText xml:space="preserve"> PAGE </w:instrText>
    </w:r>
    <w:r>
      <w:rPr>
        <w:rFonts w:ascii="Arial" w:hAnsi="Arial"/>
        <w:sz w:val="20"/>
      </w:rPr>
      <w:fldChar w:fldCharType="separate"/>
    </w:r>
    <w:r>
      <w:rPr>
        <w:rFonts w:ascii="Arial" w:hAnsi="Arial"/>
        <w:sz w:val="20"/>
      </w:rPr>
      <w:t>2</w:t>
    </w:r>
    <w:r>
      <w:rPr>
        <w:rFonts w:ascii="Arial" w:hAnsi="Arial"/>
        <w:sz w:val="20"/>
      </w:rPr>
      <w:fldChar w:fldCharType="end"/>
    </w:r>
    <w:r>
      <w:rPr>
        <w:rFonts w:ascii="Arial" w:hAnsi="Arial"/>
        <w:sz w:val="20"/>
      </w:rPr>
      <w:tab/>
      <w:t xml:space="preserve">Technical Bulletin No.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CCB880"/>
    <w:multiLevelType w:val="hybridMultilevel"/>
    <w:tmpl w:val="5A1809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80757"/>
    <w:multiLevelType w:val="hybridMultilevel"/>
    <w:tmpl w:val="8654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B007F"/>
    <w:multiLevelType w:val="hybridMultilevel"/>
    <w:tmpl w:val="40182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57D19"/>
    <w:multiLevelType w:val="multilevel"/>
    <w:tmpl w:val="F55ECD4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2C34D45"/>
    <w:multiLevelType w:val="hybridMultilevel"/>
    <w:tmpl w:val="5BB48E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924D5D"/>
    <w:multiLevelType w:val="multilevel"/>
    <w:tmpl w:val="1BCCE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C0E33AC"/>
    <w:multiLevelType w:val="multilevel"/>
    <w:tmpl w:val="FA02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E00AE"/>
    <w:multiLevelType w:val="hybridMultilevel"/>
    <w:tmpl w:val="6E5E7E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967216"/>
    <w:multiLevelType w:val="hybridMultilevel"/>
    <w:tmpl w:val="F09C2D6E"/>
    <w:lvl w:ilvl="0" w:tplc="53F43266">
      <w:start w:val="1"/>
      <w:numFmt w:val="bullet"/>
      <w:lvlText w:val="•"/>
      <w:lvlJc w:val="left"/>
      <w:pPr>
        <w:tabs>
          <w:tab w:val="num" w:pos="720"/>
        </w:tabs>
        <w:ind w:left="720" w:hanging="360"/>
      </w:pPr>
      <w:rPr>
        <w:rFonts w:ascii="Arial" w:hAnsi="Arial" w:hint="default"/>
      </w:rPr>
    </w:lvl>
    <w:lvl w:ilvl="1" w:tplc="D1F8AED6">
      <w:start w:val="40"/>
      <w:numFmt w:val="bullet"/>
      <w:lvlText w:val="•"/>
      <w:lvlJc w:val="left"/>
      <w:pPr>
        <w:tabs>
          <w:tab w:val="num" w:pos="1440"/>
        </w:tabs>
        <w:ind w:left="1440" w:hanging="360"/>
      </w:pPr>
      <w:rPr>
        <w:rFonts w:ascii="Arial" w:hAnsi="Arial" w:hint="default"/>
      </w:rPr>
    </w:lvl>
    <w:lvl w:ilvl="2" w:tplc="F60850AE" w:tentative="1">
      <w:start w:val="1"/>
      <w:numFmt w:val="bullet"/>
      <w:lvlText w:val="•"/>
      <w:lvlJc w:val="left"/>
      <w:pPr>
        <w:tabs>
          <w:tab w:val="num" w:pos="2160"/>
        </w:tabs>
        <w:ind w:left="2160" w:hanging="360"/>
      </w:pPr>
      <w:rPr>
        <w:rFonts w:ascii="Arial" w:hAnsi="Arial" w:hint="default"/>
      </w:rPr>
    </w:lvl>
    <w:lvl w:ilvl="3" w:tplc="BD560EF8" w:tentative="1">
      <w:start w:val="1"/>
      <w:numFmt w:val="bullet"/>
      <w:lvlText w:val="•"/>
      <w:lvlJc w:val="left"/>
      <w:pPr>
        <w:tabs>
          <w:tab w:val="num" w:pos="2880"/>
        </w:tabs>
        <w:ind w:left="2880" w:hanging="360"/>
      </w:pPr>
      <w:rPr>
        <w:rFonts w:ascii="Arial" w:hAnsi="Arial" w:hint="default"/>
      </w:rPr>
    </w:lvl>
    <w:lvl w:ilvl="4" w:tplc="C0B0A2C0" w:tentative="1">
      <w:start w:val="1"/>
      <w:numFmt w:val="bullet"/>
      <w:lvlText w:val="•"/>
      <w:lvlJc w:val="left"/>
      <w:pPr>
        <w:tabs>
          <w:tab w:val="num" w:pos="3600"/>
        </w:tabs>
        <w:ind w:left="3600" w:hanging="360"/>
      </w:pPr>
      <w:rPr>
        <w:rFonts w:ascii="Arial" w:hAnsi="Arial" w:hint="default"/>
      </w:rPr>
    </w:lvl>
    <w:lvl w:ilvl="5" w:tplc="376C7320" w:tentative="1">
      <w:start w:val="1"/>
      <w:numFmt w:val="bullet"/>
      <w:lvlText w:val="•"/>
      <w:lvlJc w:val="left"/>
      <w:pPr>
        <w:tabs>
          <w:tab w:val="num" w:pos="4320"/>
        </w:tabs>
        <w:ind w:left="4320" w:hanging="360"/>
      </w:pPr>
      <w:rPr>
        <w:rFonts w:ascii="Arial" w:hAnsi="Arial" w:hint="default"/>
      </w:rPr>
    </w:lvl>
    <w:lvl w:ilvl="6" w:tplc="011601B6" w:tentative="1">
      <w:start w:val="1"/>
      <w:numFmt w:val="bullet"/>
      <w:lvlText w:val="•"/>
      <w:lvlJc w:val="left"/>
      <w:pPr>
        <w:tabs>
          <w:tab w:val="num" w:pos="5040"/>
        </w:tabs>
        <w:ind w:left="5040" w:hanging="360"/>
      </w:pPr>
      <w:rPr>
        <w:rFonts w:ascii="Arial" w:hAnsi="Arial" w:hint="default"/>
      </w:rPr>
    </w:lvl>
    <w:lvl w:ilvl="7" w:tplc="130E4D52" w:tentative="1">
      <w:start w:val="1"/>
      <w:numFmt w:val="bullet"/>
      <w:lvlText w:val="•"/>
      <w:lvlJc w:val="left"/>
      <w:pPr>
        <w:tabs>
          <w:tab w:val="num" w:pos="5760"/>
        </w:tabs>
        <w:ind w:left="5760" w:hanging="360"/>
      </w:pPr>
      <w:rPr>
        <w:rFonts w:ascii="Arial" w:hAnsi="Arial" w:hint="default"/>
      </w:rPr>
    </w:lvl>
    <w:lvl w:ilvl="8" w:tplc="A6766D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E877CA"/>
    <w:multiLevelType w:val="multilevel"/>
    <w:tmpl w:val="977E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E1E87"/>
    <w:multiLevelType w:val="hybridMultilevel"/>
    <w:tmpl w:val="F54A9C32"/>
    <w:lvl w:ilvl="0" w:tplc="BE5E8D42">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0F366D"/>
    <w:multiLevelType w:val="hybridMultilevel"/>
    <w:tmpl w:val="3832656A"/>
    <w:lvl w:ilvl="0" w:tplc="5622B76C">
      <w:start w:val="2"/>
      <w:numFmt w:val="bullet"/>
      <w:lvlText w:val="*"/>
      <w:lvlJc w:val="left"/>
      <w:pPr>
        <w:ind w:left="2070" w:hanging="360"/>
      </w:pPr>
      <w:rPr>
        <w:rFonts w:ascii="Calibri" w:eastAsiaTheme="minorHAnsi" w:hAnsi="Calibri" w:cs="Calibri"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15:restartNumberingAfterBreak="0">
    <w:nsid w:val="4D20799E"/>
    <w:multiLevelType w:val="hybridMultilevel"/>
    <w:tmpl w:val="7042FBF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30DC0"/>
    <w:multiLevelType w:val="hybridMultilevel"/>
    <w:tmpl w:val="E34EC512"/>
    <w:lvl w:ilvl="0" w:tplc="14EAABE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C28E2"/>
    <w:multiLevelType w:val="hybridMultilevel"/>
    <w:tmpl w:val="A468D0AC"/>
    <w:lvl w:ilvl="0" w:tplc="6B9A6E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BF0EBA"/>
    <w:multiLevelType w:val="hybridMultilevel"/>
    <w:tmpl w:val="4866D2E2"/>
    <w:lvl w:ilvl="0" w:tplc="DFE4E464">
      <w:start w:val="1"/>
      <w:numFmt w:val="bullet"/>
      <w:lvlText w:val="•"/>
      <w:lvlJc w:val="left"/>
      <w:pPr>
        <w:tabs>
          <w:tab w:val="num" w:pos="360"/>
        </w:tabs>
        <w:ind w:left="360" w:hanging="360"/>
      </w:pPr>
      <w:rPr>
        <w:rFonts w:ascii="Arial" w:hAnsi="Arial" w:hint="default"/>
      </w:rPr>
    </w:lvl>
    <w:lvl w:ilvl="1" w:tplc="88E67680">
      <w:start w:val="40"/>
      <w:numFmt w:val="bullet"/>
      <w:lvlText w:val="•"/>
      <w:lvlJc w:val="left"/>
      <w:pPr>
        <w:tabs>
          <w:tab w:val="num" w:pos="1080"/>
        </w:tabs>
        <w:ind w:left="1080" w:hanging="360"/>
      </w:pPr>
      <w:rPr>
        <w:rFonts w:ascii="Arial" w:hAnsi="Arial" w:hint="default"/>
      </w:rPr>
    </w:lvl>
    <w:lvl w:ilvl="2" w:tplc="A74EFD90" w:tentative="1">
      <w:start w:val="1"/>
      <w:numFmt w:val="bullet"/>
      <w:lvlText w:val="•"/>
      <w:lvlJc w:val="left"/>
      <w:pPr>
        <w:tabs>
          <w:tab w:val="num" w:pos="1800"/>
        </w:tabs>
        <w:ind w:left="1800" w:hanging="360"/>
      </w:pPr>
      <w:rPr>
        <w:rFonts w:ascii="Arial" w:hAnsi="Arial" w:hint="default"/>
      </w:rPr>
    </w:lvl>
    <w:lvl w:ilvl="3" w:tplc="11740FD2" w:tentative="1">
      <w:start w:val="1"/>
      <w:numFmt w:val="bullet"/>
      <w:lvlText w:val="•"/>
      <w:lvlJc w:val="left"/>
      <w:pPr>
        <w:tabs>
          <w:tab w:val="num" w:pos="2520"/>
        </w:tabs>
        <w:ind w:left="2520" w:hanging="360"/>
      </w:pPr>
      <w:rPr>
        <w:rFonts w:ascii="Arial" w:hAnsi="Arial" w:hint="default"/>
      </w:rPr>
    </w:lvl>
    <w:lvl w:ilvl="4" w:tplc="6E74B6BE" w:tentative="1">
      <w:start w:val="1"/>
      <w:numFmt w:val="bullet"/>
      <w:lvlText w:val="•"/>
      <w:lvlJc w:val="left"/>
      <w:pPr>
        <w:tabs>
          <w:tab w:val="num" w:pos="3240"/>
        </w:tabs>
        <w:ind w:left="3240" w:hanging="360"/>
      </w:pPr>
      <w:rPr>
        <w:rFonts w:ascii="Arial" w:hAnsi="Arial" w:hint="default"/>
      </w:rPr>
    </w:lvl>
    <w:lvl w:ilvl="5" w:tplc="2232527E" w:tentative="1">
      <w:start w:val="1"/>
      <w:numFmt w:val="bullet"/>
      <w:lvlText w:val="•"/>
      <w:lvlJc w:val="left"/>
      <w:pPr>
        <w:tabs>
          <w:tab w:val="num" w:pos="3960"/>
        </w:tabs>
        <w:ind w:left="3960" w:hanging="360"/>
      </w:pPr>
      <w:rPr>
        <w:rFonts w:ascii="Arial" w:hAnsi="Arial" w:hint="default"/>
      </w:rPr>
    </w:lvl>
    <w:lvl w:ilvl="6" w:tplc="357EAE62" w:tentative="1">
      <w:start w:val="1"/>
      <w:numFmt w:val="bullet"/>
      <w:lvlText w:val="•"/>
      <w:lvlJc w:val="left"/>
      <w:pPr>
        <w:tabs>
          <w:tab w:val="num" w:pos="4680"/>
        </w:tabs>
        <w:ind w:left="4680" w:hanging="360"/>
      </w:pPr>
      <w:rPr>
        <w:rFonts w:ascii="Arial" w:hAnsi="Arial" w:hint="default"/>
      </w:rPr>
    </w:lvl>
    <w:lvl w:ilvl="7" w:tplc="8DBAB0CA" w:tentative="1">
      <w:start w:val="1"/>
      <w:numFmt w:val="bullet"/>
      <w:lvlText w:val="•"/>
      <w:lvlJc w:val="left"/>
      <w:pPr>
        <w:tabs>
          <w:tab w:val="num" w:pos="5400"/>
        </w:tabs>
        <w:ind w:left="5400" w:hanging="360"/>
      </w:pPr>
      <w:rPr>
        <w:rFonts w:ascii="Arial" w:hAnsi="Arial" w:hint="default"/>
      </w:rPr>
    </w:lvl>
    <w:lvl w:ilvl="8" w:tplc="D54437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5D670070"/>
    <w:multiLevelType w:val="hybridMultilevel"/>
    <w:tmpl w:val="929CF752"/>
    <w:lvl w:ilvl="0" w:tplc="CCF44C96">
      <w:start w:val="26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CE32DB"/>
    <w:multiLevelType w:val="multilevel"/>
    <w:tmpl w:val="78B2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AA07C2"/>
    <w:multiLevelType w:val="hybridMultilevel"/>
    <w:tmpl w:val="90046778"/>
    <w:lvl w:ilvl="0" w:tplc="C318292A">
      <w:start w:val="1"/>
      <w:numFmt w:val="bullet"/>
      <w:lvlText w:val="•"/>
      <w:lvlJc w:val="left"/>
      <w:pPr>
        <w:tabs>
          <w:tab w:val="num" w:pos="720"/>
        </w:tabs>
        <w:ind w:left="720" w:hanging="360"/>
      </w:pPr>
      <w:rPr>
        <w:rFonts w:ascii="Arial" w:hAnsi="Arial" w:hint="default"/>
      </w:rPr>
    </w:lvl>
    <w:lvl w:ilvl="1" w:tplc="A1223396" w:tentative="1">
      <w:start w:val="1"/>
      <w:numFmt w:val="bullet"/>
      <w:lvlText w:val="•"/>
      <w:lvlJc w:val="left"/>
      <w:pPr>
        <w:tabs>
          <w:tab w:val="num" w:pos="1440"/>
        </w:tabs>
        <w:ind w:left="1440" w:hanging="360"/>
      </w:pPr>
      <w:rPr>
        <w:rFonts w:ascii="Arial" w:hAnsi="Arial" w:hint="default"/>
      </w:rPr>
    </w:lvl>
    <w:lvl w:ilvl="2" w:tplc="6FCA0C66" w:tentative="1">
      <w:start w:val="1"/>
      <w:numFmt w:val="bullet"/>
      <w:lvlText w:val="•"/>
      <w:lvlJc w:val="left"/>
      <w:pPr>
        <w:tabs>
          <w:tab w:val="num" w:pos="2160"/>
        </w:tabs>
        <w:ind w:left="2160" w:hanging="360"/>
      </w:pPr>
      <w:rPr>
        <w:rFonts w:ascii="Arial" w:hAnsi="Arial" w:hint="default"/>
      </w:rPr>
    </w:lvl>
    <w:lvl w:ilvl="3" w:tplc="28B2860C" w:tentative="1">
      <w:start w:val="1"/>
      <w:numFmt w:val="bullet"/>
      <w:lvlText w:val="•"/>
      <w:lvlJc w:val="left"/>
      <w:pPr>
        <w:tabs>
          <w:tab w:val="num" w:pos="2880"/>
        </w:tabs>
        <w:ind w:left="2880" w:hanging="360"/>
      </w:pPr>
      <w:rPr>
        <w:rFonts w:ascii="Arial" w:hAnsi="Arial" w:hint="default"/>
      </w:rPr>
    </w:lvl>
    <w:lvl w:ilvl="4" w:tplc="066EF37C" w:tentative="1">
      <w:start w:val="1"/>
      <w:numFmt w:val="bullet"/>
      <w:lvlText w:val="•"/>
      <w:lvlJc w:val="left"/>
      <w:pPr>
        <w:tabs>
          <w:tab w:val="num" w:pos="3600"/>
        </w:tabs>
        <w:ind w:left="3600" w:hanging="360"/>
      </w:pPr>
      <w:rPr>
        <w:rFonts w:ascii="Arial" w:hAnsi="Arial" w:hint="default"/>
      </w:rPr>
    </w:lvl>
    <w:lvl w:ilvl="5" w:tplc="94702AEE" w:tentative="1">
      <w:start w:val="1"/>
      <w:numFmt w:val="bullet"/>
      <w:lvlText w:val="•"/>
      <w:lvlJc w:val="left"/>
      <w:pPr>
        <w:tabs>
          <w:tab w:val="num" w:pos="4320"/>
        </w:tabs>
        <w:ind w:left="4320" w:hanging="360"/>
      </w:pPr>
      <w:rPr>
        <w:rFonts w:ascii="Arial" w:hAnsi="Arial" w:hint="default"/>
      </w:rPr>
    </w:lvl>
    <w:lvl w:ilvl="6" w:tplc="73FC0E68" w:tentative="1">
      <w:start w:val="1"/>
      <w:numFmt w:val="bullet"/>
      <w:lvlText w:val="•"/>
      <w:lvlJc w:val="left"/>
      <w:pPr>
        <w:tabs>
          <w:tab w:val="num" w:pos="5040"/>
        </w:tabs>
        <w:ind w:left="5040" w:hanging="360"/>
      </w:pPr>
      <w:rPr>
        <w:rFonts w:ascii="Arial" w:hAnsi="Arial" w:hint="default"/>
      </w:rPr>
    </w:lvl>
    <w:lvl w:ilvl="7" w:tplc="281C261A" w:tentative="1">
      <w:start w:val="1"/>
      <w:numFmt w:val="bullet"/>
      <w:lvlText w:val="•"/>
      <w:lvlJc w:val="left"/>
      <w:pPr>
        <w:tabs>
          <w:tab w:val="num" w:pos="5760"/>
        </w:tabs>
        <w:ind w:left="5760" w:hanging="360"/>
      </w:pPr>
      <w:rPr>
        <w:rFonts w:ascii="Arial" w:hAnsi="Arial" w:hint="default"/>
      </w:rPr>
    </w:lvl>
    <w:lvl w:ilvl="8" w:tplc="142082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CB5258"/>
    <w:multiLevelType w:val="multilevel"/>
    <w:tmpl w:val="6948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9159EA"/>
    <w:multiLevelType w:val="hybridMultilevel"/>
    <w:tmpl w:val="40045F26"/>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C1E9F"/>
    <w:multiLevelType w:val="hybridMultilevel"/>
    <w:tmpl w:val="CCF8C0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8E0C07"/>
    <w:multiLevelType w:val="multilevel"/>
    <w:tmpl w:val="1640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2620FD"/>
    <w:multiLevelType w:val="multilevel"/>
    <w:tmpl w:val="A75AD3E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797D0B1C"/>
    <w:multiLevelType w:val="hybridMultilevel"/>
    <w:tmpl w:val="CF5C7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F90FA8"/>
    <w:multiLevelType w:val="hybridMultilevel"/>
    <w:tmpl w:val="9D822AAE"/>
    <w:lvl w:ilvl="0" w:tplc="D5F475FE">
      <w:start w:val="1"/>
      <w:numFmt w:val="bullet"/>
      <w:lvlText w:val="•"/>
      <w:lvlJc w:val="left"/>
      <w:pPr>
        <w:tabs>
          <w:tab w:val="num" w:pos="720"/>
        </w:tabs>
        <w:ind w:left="720" w:hanging="360"/>
      </w:pPr>
      <w:rPr>
        <w:rFonts w:ascii="Arial" w:hAnsi="Arial" w:hint="default"/>
      </w:rPr>
    </w:lvl>
    <w:lvl w:ilvl="1" w:tplc="3618B404" w:tentative="1">
      <w:start w:val="1"/>
      <w:numFmt w:val="bullet"/>
      <w:lvlText w:val="•"/>
      <w:lvlJc w:val="left"/>
      <w:pPr>
        <w:tabs>
          <w:tab w:val="num" w:pos="1440"/>
        </w:tabs>
        <w:ind w:left="1440" w:hanging="360"/>
      </w:pPr>
      <w:rPr>
        <w:rFonts w:ascii="Arial" w:hAnsi="Arial" w:hint="default"/>
      </w:rPr>
    </w:lvl>
    <w:lvl w:ilvl="2" w:tplc="69B0E34A" w:tentative="1">
      <w:start w:val="1"/>
      <w:numFmt w:val="bullet"/>
      <w:lvlText w:val="•"/>
      <w:lvlJc w:val="left"/>
      <w:pPr>
        <w:tabs>
          <w:tab w:val="num" w:pos="2160"/>
        </w:tabs>
        <w:ind w:left="2160" w:hanging="360"/>
      </w:pPr>
      <w:rPr>
        <w:rFonts w:ascii="Arial" w:hAnsi="Arial" w:hint="default"/>
      </w:rPr>
    </w:lvl>
    <w:lvl w:ilvl="3" w:tplc="39CEF106" w:tentative="1">
      <w:start w:val="1"/>
      <w:numFmt w:val="bullet"/>
      <w:lvlText w:val="•"/>
      <w:lvlJc w:val="left"/>
      <w:pPr>
        <w:tabs>
          <w:tab w:val="num" w:pos="2880"/>
        </w:tabs>
        <w:ind w:left="2880" w:hanging="360"/>
      </w:pPr>
      <w:rPr>
        <w:rFonts w:ascii="Arial" w:hAnsi="Arial" w:hint="default"/>
      </w:rPr>
    </w:lvl>
    <w:lvl w:ilvl="4" w:tplc="F5E0273C" w:tentative="1">
      <w:start w:val="1"/>
      <w:numFmt w:val="bullet"/>
      <w:lvlText w:val="•"/>
      <w:lvlJc w:val="left"/>
      <w:pPr>
        <w:tabs>
          <w:tab w:val="num" w:pos="3600"/>
        </w:tabs>
        <w:ind w:left="3600" w:hanging="360"/>
      </w:pPr>
      <w:rPr>
        <w:rFonts w:ascii="Arial" w:hAnsi="Arial" w:hint="default"/>
      </w:rPr>
    </w:lvl>
    <w:lvl w:ilvl="5" w:tplc="A7AC115E" w:tentative="1">
      <w:start w:val="1"/>
      <w:numFmt w:val="bullet"/>
      <w:lvlText w:val="•"/>
      <w:lvlJc w:val="left"/>
      <w:pPr>
        <w:tabs>
          <w:tab w:val="num" w:pos="4320"/>
        </w:tabs>
        <w:ind w:left="4320" w:hanging="360"/>
      </w:pPr>
      <w:rPr>
        <w:rFonts w:ascii="Arial" w:hAnsi="Arial" w:hint="default"/>
      </w:rPr>
    </w:lvl>
    <w:lvl w:ilvl="6" w:tplc="7FEA9900" w:tentative="1">
      <w:start w:val="1"/>
      <w:numFmt w:val="bullet"/>
      <w:lvlText w:val="•"/>
      <w:lvlJc w:val="left"/>
      <w:pPr>
        <w:tabs>
          <w:tab w:val="num" w:pos="5040"/>
        </w:tabs>
        <w:ind w:left="5040" w:hanging="360"/>
      </w:pPr>
      <w:rPr>
        <w:rFonts w:ascii="Arial" w:hAnsi="Arial" w:hint="default"/>
      </w:rPr>
    </w:lvl>
    <w:lvl w:ilvl="7" w:tplc="40C88EB8" w:tentative="1">
      <w:start w:val="1"/>
      <w:numFmt w:val="bullet"/>
      <w:lvlText w:val="•"/>
      <w:lvlJc w:val="left"/>
      <w:pPr>
        <w:tabs>
          <w:tab w:val="num" w:pos="5760"/>
        </w:tabs>
        <w:ind w:left="5760" w:hanging="360"/>
      </w:pPr>
      <w:rPr>
        <w:rFonts w:ascii="Arial" w:hAnsi="Arial" w:hint="default"/>
      </w:rPr>
    </w:lvl>
    <w:lvl w:ilvl="8" w:tplc="BD0617B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9FD4423"/>
    <w:multiLevelType w:val="hybridMultilevel"/>
    <w:tmpl w:val="4B9E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D407E"/>
    <w:multiLevelType w:val="hybridMultilevel"/>
    <w:tmpl w:val="D77A1B68"/>
    <w:lvl w:ilvl="0" w:tplc="E67220C0">
      <w:start w:val="1"/>
      <w:numFmt w:val="bullet"/>
      <w:lvlText w:val="•"/>
      <w:lvlJc w:val="left"/>
      <w:pPr>
        <w:tabs>
          <w:tab w:val="num" w:pos="720"/>
        </w:tabs>
        <w:ind w:left="720" w:hanging="360"/>
      </w:pPr>
      <w:rPr>
        <w:rFonts w:ascii="Arial" w:hAnsi="Arial" w:hint="default"/>
      </w:rPr>
    </w:lvl>
    <w:lvl w:ilvl="1" w:tplc="A9F0F5B8">
      <w:start w:val="53"/>
      <w:numFmt w:val="bullet"/>
      <w:lvlText w:val="•"/>
      <w:lvlJc w:val="left"/>
      <w:pPr>
        <w:tabs>
          <w:tab w:val="num" w:pos="1440"/>
        </w:tabs>
        <w:ind w:left="1440" w:hanging="360"/>
      </w:pPr>
      <w:rPr>
        <w:rFonts w:ascii="Arial" w:hAnsi="Arial" w:hint="default"/>
      </w:rPr>
    </w:lvl>
    <w:lvl w:ilvl="2" w:tplc="5C34A318" w:tentative="1">
      <w:start w:val="1"/>
      <w:numFmt w:val="bullet"/>
      <w:lvlText w:val="•"/>
      <w:lvlJc w:val="left"/>
      <w:pPr>
        <w:tabs>
          <w:tab w:val="num" w:pos="2160"/>
        </w:tabs>
        <w:ind w:left="2160" w:hanging="360"/>
      </w:pPr>
      <w:rPr>
        <w:rFonts w:ascii="Arial" w:hAnsi="Arial" w:hint="default"/>
      </w:rPr>
    </w:lvl>
    <w:lvl w:ilvl="3" w:tplc="689C8E90" w:tentative="1">
      <w:start w:val="1"/>
      <w:numFmt w:val="bullet"/>
      <w:lvlText w:val="•"/>
      <w:lvlJc w:val="left"/>
      <w:pPr>
        <w:tabs>
          <w:tab w:val="num" w:pos="2880"/>
        </w:tabs>
        <w:ind w:left="2880" w:hanging="360"/>
      </w:pPr>
      <w:rPr>
        <w:rFonts w:ascii="Arial" w:hAnsi="Arial" w:hint="default"/>
      </w:rPr>
    </w:lvl>
    <w:lvl w:ilvl="4" w:tplc="9644309A" w:tentative="1">
      <w:start w:val="1"/>
      <w:numFmt w:val="bullet"/>
      <w:lvlText w:val="•"/>
      <w:lvlJc w:val="left"/>
      <w:pPr>
        <w:tabs>
          <w:tab w:val="num" w:pos="3600"/>
        </w:tabs>
        <w:ind w:left="3600" w:hanging="360"/>
      </w:pPr>
      <w:rPr>
        <w:rFonts w:ascii="Arial" w:hAnsi="Arial" w:hint="default"/>
      </w:rPr>
    </w:lvl>
    <w:lvl w:ilvl="5" w:tplc="F35A43FE" w:tentative="1">
      <w:start w:val="1"/>
      <w:numFmt w:val="bullet"/>
      <w:lvlText w:val="•"/>
      <w:lvlJc w:val="left"/>
      <w:pPr>
        <w:tabs>
          <w:tab w:val="num" w:pos="4320"/>
        </w:tabs>
        <w:ind w:left="4320" w:hanging="360"/>
      </w:pPr>
      <w:rPr>
        <w:rFonts w:ascii="Arial" w:hAnsi="Arial" w:hint="default"/>
      </w:rPr>
    </w:lvl>
    <w:lvl w:ilvl="6" w:tplc="CEB489E4" w:tentative="1">
      <w:start w:val="1"/>
      <w:numFmt w:val="bullet"/>
      <w:lvlText w:val="•"/>
      <w:lvlJc w:val="left"/>
      <w:pPr>
        <w:tabs>
          <w:tab w:val="num" w:pos="5040"/>
        </w:tabs>
        <w:ind w:left="5040" w:hanging="360"/>
      </w:pPr>
      <w:rPr>
        <w:rFonts w:ascii="Arial" w:hAnsi="Arial" w:hint="default"/>
      </w:rPr>
    </w:lvl>
    <w:lvl w:ilvl="7" w:tplc="81FC3494" w:tentative="1">
      <w:start w:val="1"/>
      <w:numFmt w:val="bullet"/>
      <w:lvlText w:val="•"/>
      <w:lvlJc w:val="left"/>
      <w:pPr>
        <w:tabs>
          <w:tab w:val="num" w:pos="5760"/>
        </w:tabs>
        <w:ind w:left="5760" w:hanging="360"/>
      </w:pPr>
      <w:rPr>
        <w:rFonts w:ascii="Arial" w:hAnsi="Arial" w:hint="default"/>
      </w:rPr>
    </w:lvl>
    <w:lvl w:ilvl="8" w:tplc="627CC4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B15560"/>
    <w:multiLevelType w:val="hybridMultilevel"/>
    <w:tmpl w:val="060899F4"/>
    <w:lvl w:ilvl="0" w:tplc="8CFC2858">
      <w:start w:val="26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6C2999"/>
    <w:multiLevelType w:val="multilevel"/>
    <w:tmpl w:val="37F8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C90395"/>
    <w:multiLevelType w:val="multilevel"/>
    <w:tmpl w:val="2268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4612001">
    <w:abstractNumId w:val="1"/>
  </w:num>
  <w:num w:numId="2" w16cid:durableId="1006594147">
    <w:abstractNumId w:val="2"/>
  </w:num>
  <w:num w:numId="3" w16cid:durableId="1967157138">
    <w:abstractNumId w:val="7"/>
  </w:num>
  <w:num w:numId="4" w16cid:durableId="112477806">
    <w:abstractNumId w:val="15"/>
  </w:num>
  <w:num w:numId="5" w16cid:durableId="687948613">
    <w:abstractNumId w:val="8"/>
  </w:num>
  <w:num w:numId="6" w16cid:durableId="1624847448">
    <w:abstractNumId w:val="18"/>
  </w:num>
  <w:num w:numId="7" w16cid:durableId="1564945132">
    <w:abstractNumId w:val="27"/>
  </w:num>
  <w:num w:numId="8" w16cid:durableId="1580284099">
    <w:abstractNumId w:val="3"/>
  </w:num>
  <w:num w:numId="9" w16cid:durableId="1142189988">
    <w:abstractNumId w:val="4"/>
  </w:num>
  <w:num w:numId="10" w16cid:durableId="912542064">
    <w:abstractNumId w:val="22"/>
  </w:num>
  <w:num w:numId="11" w16cid:durableId="296180145">
    <w:abstractNumId w:val="29"/>
  </w:num>
  <w:num w:numId="12" w16cid:durableId="590547632">
    <w:abstractNumId w:val="19"/>
  </w:num>
  <w:num w:numId="13" w16cid:durableId="763645206">
    <w:abstractNumId w:val="6"/>
  </w:num>
  <w:num w:numId="14" w16cid:durableId="2115243942">
    <w:abstractNumId w:val="30"/>
  </w:num>
  <w:num w:numId="15" w16cid:durableId="141780800">
    <w:abstractNumId w:val="17"/>
  </w:num>
  <w:num w:numId="16" w16cid:durableId="1228758421">
    <w:abstractNumId w:val="21"/>
  </w:num>
  <w:num w:numId="17" w16cid:durableId="1731464122">
    <w:abstractNumId w:val="9"/>
  </w:num>
  <w:num w:numId="18" w16cid:durableId="495610342">
    <w:abstractNumId w:val="0"/>
  </w:num>
  <w:num w:numId="19" w16cid:durableId="1749427400">
    <w:abstractNumId w:val="25"/>
  </w:num>
  <w:num w:numId="20" w16cid:durableId="900597133">
    <w:abstractNumId w:val="10"/>
  </w:num>
  <w:num w:numId="21" w16cid:durableId="528223134">
    <w:abstractNumId w:val="11"/>
  </w:num>
  <w:num w:numId="22" w16cid:durableId="636837517">
    <w:abstractNumId w:val="24"/>
  </w:num>
  <w:num w:numId="23" w16cid:durableId="164132750">
    <w:abstractNumId w:val="12"/>
  </w:num>
  <w:num w:numId="24" w16cid:durableId="1387411873">
    <w:abstractNumId w:val="20"/>
  </w:num>
  <w:num w:numId="25" w16cid:durableId="215747005">
    <w:abstractNumId w:val="28"/>
  </w:num>
  <w:num w:numId="26" w16cid:durableId="1540581575">
    <w:abstractNumId w:val="16"/>
  </w:num>
  <w:num w:numId="27" w16cid:durableId="1653411022">
    <w:abstractNumId w:val="26"/>
  </w:num>
  <w:num w:numId="28" w16cid:durableId="616915260">
    <w:abstractNumId w:val="13"/>
  </w:num>
  <w:num w:numId="29" w16cid:durableId="1098981942">
    <w:abstractNumId w:val="5"/>
  </w:num>
  <w:num w:numId="30" w16cid:durableId="889078916">
    <w:abstractNumId w:val="23"/>
  </w:num>
  <w:num w:numId="31" w16cid:durableId="14037994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DC2"/>
    <w:rsid w:val="00045AD2"/>
    <w:rsid w:val="000566CB"/>
    <w:rsid w:val="0008243A"/>
    <w:rsid w:val="0008489A"/>
    <w:rsid w:val="00092B8E"/>
    <w:rsid w:val="000966DA"/>
    <w:rsid w:val="000C2E47"/>
    <w:rsid w:val="0014022A"/>
    <w:rsid w:val="00161F7B"/>
    <w:rsid w:val="001A5FC7"/>
    <w:rsid w:val="001B65A7"/>
    <w:rsid w:val="001B7B37"/>
    <w:rsid w:val="001D05E2"/>
    <w:rsid w:val="002319E1"/>
    <w:rsid w:val="00234CFB"/>
    <w:rsid w:val="002534F5"/>
    <w:rsid w:val="00287D46"/>
    <w:rsid w:val="002D10B0"/>
    <w:rsid w:val="002E2C51"/>
    <w:rsid w:val="002F7F0B"/>
    <w:rsid w:val="00321DC2"/>
    <w:rsid w:val="003A773F"/>
    <w:rsid w:val="00470B6E"/>
    <w:rsid w:val="004B17BD"/>
    <w:rsid w:val="004E443D"/>
    <w:rsid w:val="00514F8B"/>
    <w:rsid w:val="0052640A"/>
    <w:rsid w:val="0053276E"/>
    <w:rsid w:val="00590ED8"/>
    <w:rsid w:val="005938A6"/>
    <w:rsid w:val="005B2D50"/>
    <w:rsid w:val="005C5959"/>
    <w:rsid w:val="005D2234"/>
    <w:rsid w:val="005E7D92"/>
    <w:rsid w:val="00632FC1"/>
    <w:rsid w:val="006B64BF"/>
    <w:rsid w:val="006B6922"/>
    <w:rsid w:val="006F74CF"/>
    <w:rsid w:val="007377EF"/>
    <w:rsid w:val="00770777"/>
    <w:rsid w:val="00775B85"/>
    <w:rsid w:val="00794CC1"/>
    <w:rsid w:val="007C128A"/>
    <w:rsid w:val="007E2023"/>
    <w:rsid w:val="0080596C"/>
    <w:rsid w:val="00843D6D"/>
    <w:rsid w:val="008B4D28"/>
    <w:rsid w:val="008E1A73"/>
    <w:rsid w:val="009576F6"/>
    <w:rsid w:val="00976631"/>
    <w:rsid w:val="00976F29"/>
    <w:rsid w:val="00A2712A"/>
    <w:rsid w:val="00A72533"/>
    <w:rsid w:val="00A86F7E"/>
    <w:rsid w:val="00AB32F6"/>
    <w:rsid w:val="00AD36AD"/>
    <w:rsid w:val="00AE2CDA"/>
    <w:rsid w:val="00B64CF6"/>
    <w:rsid w:val="00B720E4"/>
    <w:rsid w:val="00BA12B4"/>
    <w:rsid w:val="00BA22EC"/>
    <w:rsid w:val="00BF0AEF"/>
    <w:rsid w:val="00C24730"/>
    <w:rsid w:val="00CA0CAA"/>
    <w:rsid w:val="00D32A51"/>
    <w:rsid w:val="00D4391E"/>
    <w:rsid w:val="00DF627B"/>
    <w:rsid w:val="00E30599"/>
    <w:rsid w:val="00EF3178"/>
    <w:rsid w:val="00F0494D"/>
    <w:rsid w:val="00F33B23"/>
    <w:rsid w:val="00F45DAC"/>
    <w:rsid w:val="00F769E2"/>
    <w:rsid w:val="00F8257C"/>
    <w:rsid w:val="00FF4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9B487"/>
  <w15:chartTrackingRefBased/>
  <w15:docId w15:val="{0D4EB90E-E2B1-49FB-B9A4-2035BC10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D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1D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1D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21D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21D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21D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21D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1D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1D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D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21D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21D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21D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21DC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321D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321D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1D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1DC2"/>
    <w:rPr>
      <w:rFonts w:eastAsiaTheme="majorEastAsia" w:cstheme="majorBidi"/>
      <w:color w:val="272727" w:themeColor="text1" w:themeTint="D8"/>
    </w:rPr>
  </w:style>
  <w:style w:type="paragraph" w:styleId="Title">
    <w:name w:val="Title"/>
    <w:basedOn w:val="Normal"/>
    <w:next w:val="Normal"/>
    <w:link w:val="TitleChar"/>
    <w:uiPriority w:val="10"/>
    <w:qFormat/>
    <w:rsid w:val="00321D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1D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1D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1DC2"/>
    <w:pPr>
      <w:spacing w:before="160"/>
      <w:jc w:val="center"/>
    </w:pPr>
    <w:rPr>
      <w:i/>
      <w:iCs/>
      <w:color w:val="404040" w:themeColor="text1" w:themeTint="BF"/>
    </w:rPr>
  </w:style>
  <w:style w:type="character" w:customStyle="1" w:styleId="QuoteChar">
    <w:name w:val="Quote Char"/>
    <w:basedOn w:val="DefaultParagraphFont"/>
    <w:link w:val="Quote"/>
    <w:uiPriority w:val="29"/>
    <w:rsid w:val="00321DC2"/>
    <w:rPr>
      <w:i/>
      <w:iCs/>
      <w:color w:val="404040" w:themeColor="text1" w:themeTint="BF"/>
    </w:rPr>
  </w:style>
  <w:style w:type="paragraph" w:styleId="ListParagraph">
    <w:name w:val="List Paragraph"/>
    <w:basedOn w:val="Normal"/>
    <w:uiPriority w:val="34"/>
    <w:qFormat/>
    <w:rsid w:val="00321DC2"/>
    <w:pPr>
      <w:ind w:left="720"/>
      <w:contextualSpacing/>
    </w:pPr>
  </w:style>
  <w:style w:type="character" w:styleId="IntenseEmphasis">
    <w:name w:val="Intense Emphasis"/>
    <w:basedOn w:val="DefaultParagraphFont"/>
    <w:uiPriority w:val="21"/>
    <w:qFormat/>
    <w:rsid w:val="00321DC2"/>
    <w:rPr>
      <w:i/>
      <w:iCs/>
      <w:color w:val="0F4761" w:themeColor="accent1" w:themeShade="BF"/>
    </w:rPr>
  </w:style>
  <w:style w:type="paragraph" w:styleId="IntenseQuote">
    <w:name w:val="Intense Quote"/>
    <w:basedOn w:val="Normal"/>
    <w:next w:val="Normal"/>
    <w:link w:val="IntenseQuoteChar"/>
    <w:uiPriority w:val="30"/>
    <w:qFormat/>
    <w:rsid w:val="00321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1DC2"/>
    <w:rPr>
      <w:i/>
      <w:iCs/>
      <w:color w:val="0F4761" w:themeColor="accent1" w:themeShade="BF"/>
    </w:rPr>
  </w:style>
  <w:style w:type="character" w:styleId="IntenseReference">
    <w:name w:val="Intense Reference"/>
    <w:basedOn w:val="DefaultParagraphFont"/>
    <w:uiPriority w:val="32"/>
    <w:qFormat/>
    <w:rsid w:val="00321DC2"/>
    <w:rPr>
      <w:b/>
      <w:bCs/>
      <w:smallCaps/>
      <w:color w:val="0F4761" w:themeColor="accent1" w:themeShade="BF"/>
      <w:spacing w:val="5"/>
    </w:rPr>
  </w:style>
  <w:style w:type="paragraph" w:styleId="Bibliography">
    <w:name w:val="Bibliography"/>
    <w:basedOn w:val="Normal"/>
    <w:next w:val="Normal"/>
    <w:uiPriority w:val="37"/>
    <w:unhideWhenUsed/>
    <w:rsid w:val="00321DC2"/>
    <w:pPr>
      <w:tabs>
        <w:tab w:val="left" w:pos="264"/>
      </w:tabs>
      <w:spacing w:after="0" w:line="480" w:lineRule="auto"/>
      <w:ind w:left="264" w:hanging="264"/>
    </w:pPr>
  </w:style>
  <w:style w:type="table" w:styleId="TableGrid">
    <w:name w:val="Table Grid"/>
    <w:basedOn w:val="TableNormal"/>
    <w:uiPriority w:val="39"/>
    <w:rsid w:val="0032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21DC2"/>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PageNumber">
    <w:name w:val="page number"/>
    <w:basedOn w:val="DefaultParagraphFont"/>
    <w:rsid w:val="001D05E2"/>
  </w:style>
  <w:style w:type="paragraph" w:customStyle="1" w:styleId="TableTitle">
    <w:name w:val="Table Title"/>
    <w:basedOn w:val="Normal"/>
    <w:next w:val="Normal"/>
    <w:rsid w:val="001D05E2"/>
    <w:pPr>
      <w:tabs>
        <w:tab w:val="left" w:pos="-720"/>
      </w:tabs>
      <w:suppressAutoHyphens/>
      <w:spacing w:after="80" w:line="240" w:lineRule="auto"/>
      <w:jc w:val="center"/>
    </w:pPr>
    <w:rPr>
      <w:rFonts w:ascii="Times New Roman" w:eastAsia="Times New Roman" w:hAnsi="Times New Roman" w:cs="Times New Roman"/>
      <w:kern w:val="0"/>
      <w:sz w:val="22"/>
      <w:szCs w:val="20"/>
      <w14:ligatures w14:val="none"/>
    </w:rPr>
  </w:style>
  <w:style w:type="paragraph" w:customStyle="1" w:styleId="Reference">
    <w:name w:val="Reference"/>
    <w:basedOn w:val="Normal"/>
    <w:uiPriority w:val="99"/>
    <w:rsid w:val="001D05E2"/>
    <w:pPr>
      <w:tabs>
        <w:tab w:val="left" w:pos="360"/>
      </w:tabs>
      <w:spacing w:line="240" w:lineRule="auto"/>
      <w:ind w:left="360" w:hanging="360"/>
    </w:pPr>
    <w:rPr>
      <w:rFonts w:ascii="Times New Roman" w:eastAsia="Times New Roman" w:hAnsi="Times New Roman" w:cs="Times New Roman"/>
      <w:kern w:val="0"/>
      <w:sz w:val="22"/>
      <w:szCs w:val="20"/>
      <w14:ligatures w14:val="none"/>
    </w:rPr>
  </w:style>
  <w:style w:type="paragraph" w:customStyle="1" w:styleId="FigureCaption">
    <w:name w:val="Figure Caption"/>
    <w:basedOn w:val="Normal"/>
    <w:next w:val="Normal"/>
    <w:rsid w:val="001D05E2"/>
    <w:pPr>
      <w:spacing w:before="80" w:after="0" w:line="240" w:lineRule="auto"/>
      <w:jc w:val="center"/>
    </w:pPr>
    <w:rPr>
      <w:rFonts w:ascii="Times New Roman" w:eastAsia="Times New Roman" w:hAnsi="Times New Roman" w:cs="Times New Roman"/>
      <w:kern w:val="0"/>
      <w:sz w:val="22"/>
      <w:szCs w:val="20"/>
      <w14:ligatures w14:val="none"/>
    </w:rPr>
  </w:style>
  <w:style w:type="paragraph" w:styleId="Footer">
    <w:name w:val="footer"/>
    <w:basedOn w:val="Normal"/>
    <w:link w:val="FooterChar"/>
    <w:uiPriority w:val="99"/>
    <w:rsid w:val="001D05E2"/>
    <w:pPr>
      <w:spacing w:after="0" w:line="240" w:lineRule="auto"/>
      <w:jc w:val="center"/>
    </w:pPr>
    <w:rPr>
      <w:rFonts w:ascii="Arial" w:eastAsia="Times New Roman" w:hAnsi="Arial" w:cs="Times New Roman"/>
      <w:kern w:val="0"/>
      <w:sz w:val="20"/>
      <w:szCs w:val="20"/>
      <w14:ligatures w14:val="none"/>
    </w:rPr>
  </w:style>
  <w:style w:type="character" w:customStyle="1" w:styleId="FooterChar">
    <w:name w:val="Footer Char"/>
    <w:basedOn w:val="DefaultParagraphFont"/>
    <w:link w:val="Footer"/>
    <w:uiPriority w:val="99"/>
    <w:rsid w:val="001D05E2"/>
    <w:rPr>
      <w:rFonts w:ascii="Arial" w:eastAsia="Times New Roman" w:hAnsi="Arial" w:cs="Times New Roman"/>
      <w:kern w:val="0"/>
      <w:sz w:val="20"/>
      <w:szCs w:val="20"/>
      <w14:ligatures w14:val="none"/>
    </w:rPr>
  </w:style>
  <w:style w:type="paragraph" w:styleId="Header">
    <w:name w:val="header"/>
    <w:basedOn w:val="Normal"/>
    <w:link w:val="HeaderChar"/>
    <w:uiPriority w:val="99"/>
    <w:rsid w:val="001D05E2"/>
    <w:pPr>
      <w:tabs>
        <w:tab w:val="right" w:pos="9000"/>
      </w:tabs>
      <w:spacing w:after="0" w:line="240" w:lineRule="auto"/>
    </w:pPr>
    <w:rPr>
      <w:rFonts w:ascii="Arial" w:eastAsia="Times New Roman" w:hAnsi="Arial" w:cs="Times New Roman"/>
      <w:kern w:val="0"/>
      <w:sz w:val="20"/>
      <w:szCs w:val="20"/>
      <w14:ligatures w14:val="none"/>
    </w:rPr>
  </w:style>
  <w:style w:type="character" w:customStyle="1" w:styleId="HeaderChar">
    <w:name w:val="Header Char"/>
    <w:basedOn w:val="DefaultParagraphFont"/>
    <w:link w:val="Header"/>
    <w:uiPriority w:val="99"/>
    <w:rsid w:val="001D05E2"/>
    <w:rPr>
      <w:rFonts w:ascii="Arial" w:eastAsia="Times New Roman" w:hAnsi="Arial" w:cs="Times New Roman"/>
      <w:kern w:val="0"/>
      <w:sz w:val="20"/>
      <w:szCs w:val="20"/>
      <w14:ligatures w14:val="none"/>
    </w:rPr>
  </w:style>
  <w:style w:type="paragraph" w:customStyle="1" w:styleId="Contents1">
    <w:name w:val="Contents 1"/>
    <w:basedOn w:val="Normal"/>
    <w:next w:val="Contents2"/>
    <w:rsid w:val="001D05E2"/>
    <w:pPr>
      <w:tabs>
        <w:tab w:val="left" w:pos="540"/>
        <w:tab w:val="left" w:pos="1080"/>
        <w:tab w:val="right" w:leader="dot" w:pos="9000"/>
      </w:tabs>
      <w:spacing w:line="240" w:lineRule="auto"/>
      <w:ind w:left="547" w:hanging="547"/>
    </w:pPr>
    <w:rPr>
      <w:rFonts w:ascii="Times New Roman" w:eastAsia="Times New Roman" w:hAnsi="Times New Roman" w:cs="Times New Roman"/>
      <w:caps/>
      <w:kern w:val="0"/>
      <w:sz w:val="22"/>
      <w:szCs w:val="20"/>
      <w14:ligatures w14:val="none"/>
    </w:rPr>
  </w:style>
  <w:style w:type="paragraph" w:customStyle="1" w:styleId="Contents2">
    <w:name w:val="Contents 2"/>
    <w:basedOn w:val="Normal"/>
    <w:rsid w:val="001D05E2"/>
    <w:pPr>
      <w:tabs>
        <w:tab w:val="left" w:pos="540"/>
        <w:tab w:val="left" w:pos="1080"/>
        <w:tab w:val="right" w:leader="dot" w:pos="9000"/>
      </w:tabs>
      <w:spacing w:line="240" w:lineRule="auto"/>
      <w:ind w:left="1080" w:hanging="1080"/>
    </w:pPr>
    <w:rPr>
      <w:rFonts w:ascii="Times New Roman" w:eastAsia="Times New Roman" w:hAnsi="Times New Roman" w:cs="Times New Roman"/>
      <w:kern w:val="0"/>
      <w:sz w:val="22"/>
      <w:szCs w:val="20"/>
      <w14:ligatures w14:val="none"/>
    </w:rPr>
  </w:style>
  <w:style w:type="paragraph" w:customStyle="1" w:styleId="Title2">
    <w:name w:val="Title 2"/>
    <w:basedOn w:val="Normal"/>
    <w:next w:val="Normal"/>
    <w:rsid w:val="001D05E2"/>
    <w:pPr>
      <w:suppressAutoHyphens/>
      <w:spacing w:after="280" w:line="240" w:lineRule="auto"/>
      <w:jc w:val="center"/>
    </w:pPr>
    <w:rPr>
      <w:rFonts w:ascii="Times New Roman" w:eastAsia="Times New Roman" w:hAnsi="Times New Roman" w:cs="Times New Roman"/>
      <w:caps/>
      <w:kern w:val="28"/>
      <w:szCs w:val="20"/>
      <w14:ligatures w14:val="none"/>
    </w:rPr>
  </w:style>
  <w:style w:type="paragraph" w:styleId="FootnoteText">
    <w:name w:val="footnote text"/>
    <w:basedOn w:val="Normal"/>
    <w:link w:val="FootnoteTextChar"/>
    <w:uiPriority w:val="99"/>
    <w:rsid w:val="001D05E2"/>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1D05E2"/>
    <w:rPr>
      <w:rFonts w:ascii="Times New Roman" w:eastAsia="Times New Roman" w:hAnsi="Times New Roman" w:cs="Times New Roman"/>
      <w:kern w:val="0"/>
      <w:sz w:val="20"/>
      <w:szCs w:val="20"/>
      <w14:ligatures w14:val="none"/>
    </w:rPr>
  </w:style>
  <w:style w:type="character" w:styleId="FootnoteReference">
    <w:name w:val="footnote reference"/>
    <w:uiPriority w:val="99"/>
    <w:rsid w:val="001D05E2"/>
    <w:rPr>
      <w:rFonts w:ascii="Times New Roman" w:hAnsi="Times New Roman"/>
      <w:sz w:val="16"/>
      <w:vertAlign w:val="superscript"/>
    </w:rPr>
  </w:style>
  <w:style w:type="character" w:styleId="Hyperlink">
    <w:name w:val="Hyperlink"/>
    <w:uiPriority w:val="99"/>
    <w:rsid w:val="001D05E2"/>
    <w:rPr>
      <w:rFonts w:cs="Times New Roman"/>
      <w:color w:val="0000FF"/>
      <w:u w:val="single"/>
    </w:rPr>
  </w:style>
  <w:style w:type="character" w:styleId="CommentReference">
    <w:name w:val="annotation reference"/>
    <w:basedOn w:val="DefaultParagraphFont"/>
    <w:uiPriority w:val="99"/>
    <w:semiHidden/>
    <w:unhideWhenUsed/>
    <w:rsid w:val="001D05E2"/>
    <w:rPr>
      <w:sz w:val="16"/>
      <w:szCs w:val="16"/>
    </w:rPr>
  </w:style>
  <w:style w:type="paragraph" w:styleId="CommentText">
    <w:name w:val="annotation text"/>
    <w:basedOn w:val="Normal"/>
    <w:link w:val="CommentTextChar"/>
    <w:uiPriority w:val="99"/>
    <w:unhideWhenUsed/>
    <w:rsid w:val="001D05E2"/>
    <w:pPr>
      <w:autoSpaceDE w:val="0"/>
      <w:autoSpaceDN w:val="0"/>
      <w:spacing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1D05E2"/>
    <w:rPr>
      <w:rFonts w:ascii="Times New Roman" w:eastAsia="Times New Roman" w:hAnsi="Times New Roman" w:cs="Times New Roman"/>
      <w:kern w:val="0"/>
      <w:sz w:val="20"/>
      <w:szCs w:val="20"/>
      <w14:ligatures w14:val="none"/>
    </w:rPr>
  </w:style>
  <w:style w:type="paragraph" w:styleId="Caption">
    <w:name w:val="caption"/>
    <w:basedOn w:val="Normal"/>
    <w:next w:val="Normal"/>
    <w:uiPriority w:val="35"/>
    <w:unhideWhenUsed/>
    <w:qFormat/>
    <w:rsid w:val="001D05E2"/>
    <w:pPr>
      <w:spacing w:after="200" w:line="240" w:lineRule="auto"/>
    </w:pPr>
    <w:rPr>
      <w:rFonts w:ascii="Times New Roman" w:eastAsia="Times New Roman" w:hAnsi="Times New Roman" w:cs="Times New Roman"/>
      <w:i/>
      <w:iCs/>
      <w:color w:val="0E2841" w:themeColor="text2"/>
      <w:kern w:val="0"/>
      <w:sz w:val="18"/>
      <w:szCs w:val="18"/>
      <w14:ligatures w14:val="none"/>
    </w:rPr>
  </w:style>
  <w:style w:type="table" w:customStyle="1" w:styleId="TableGrid1">
    <w:name w:val="Table Grid1"/>
    <w:basedOn w:val="TableNormal"/>
    <w:next w:val="TableGrid"/>
    <w:uiPriority w:val="39"/>
    <w:rsid w:val="001D05E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D05E2"/>
    <w:pPr>
      <w:autoSpaceDE/>
      <w:autoSpaceDN/>
    </w:pPr>
    <w:rPr>
      <w:b/>
      <w:bCs/>
    </w:rPr>
  </w:style>
  <w:style w:type="character" w:customStyle="1" w:styleId="CommentSubjectChar">
    <w:name w:val="Comment Subject Char"/>
    <w:basedOn w:val="CommentTextChar"/>
    <w:link w:val="CommentSubject"/>
    <w:uiPriority w:val="99"/>
    <w:semiHidden/>
    <w:rsid w:val="001D05E2"/>
    <w:rPr>
      <w:rFonts w:ascii="Times New Roman" w:eastAsia="Times New Roman" w:hAnsi="Times New Roman" w:cs="Times New Roman"/>
      <w:b/>
      <w:bCs/>
      <w:kern w:val="0"/>
      <w:sz w:val="20"/>
      <w:szCs w:val="20"/>
      <w14:ligatures w14:val="none"/>
    </w:rPr>
  </w:style>
  <w:style w:type="table" w:customStyle="1" w:styleId="GridTable4-Accent51">
    <w:name w:val="Grid Table 4 - Accent 51"/>
    <w:basedOn w:val="TableNormal"/>
    <w:next w:val="GridTable4-Accent5"/>
    <w:uiPriority w:val="49"/>
    <w:rsid w:val="001D05E2"/>
    <w:pPr>
      <w:spacing w:after="0" w:line="240" w:lineRule="auto"/>
    </w:pPr>
    <w:rPr>
      <w:sz w:val="22"/>
      <w:szCs w:val="22"/>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leGrid11">
    <w:name w:val="Table Grid11"/>
    <w:basedOn w:val="TableNormal"/>
    <w:next w:val="TableGrid"/>
    <w:uiPriority w:val="39"/>
    <w:rsid w:val="001D05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D05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05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1D05E2"/>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styleId="UnresolvedMention">
    <w:name w:val="Unresolved Mention"/>
    <w:basedOn w:val="DefaultParagraphFont"/>
    <w:uiPriority w:val="99"/>
    <w:semiHidden/>
    <w:unhideWhenUsed/>
    <w:rsid w:val="001D05E2"/>
    <w:rPr>
      <w:color w:val="605E5C"/>
      <w:shd w:val="clear" w:color="auto" w:fill="E1DFDD"/>
    </w:rPr>
  </w:style>
  <w:style w:type="numbering" w:customStyle="1" w:styleId="NoList1">
    <w:name w:val="No List1"/>
    <w:next w:val="NoList"/>
    <w:uiPriority w:val="99"/>
    <w:semiHidden/>
    <w:unhideWhenUsed/>
    <w:rsid w:val="001D05E2"/>
  </w:style>
  <w:style w:type="character" w:styleId="FollowedHyperlink">
    <w:name w:val="FollowedHyperlink"/>
    <w:basedOn w:val="DefaultParagraphFont"/>
    <w:uiPriority w:val="99"/>
    <w:semiHidden/>
    <w:unhideWhenUsed/>
    <w:rsid w:val="001D05E2"/>
    <w:rPr>
      <w:color w:val="96607D" w:themeColor="followedHyperlink"/>
      <w:u w:val="single"/>
    </w:rPr>
  </w:style>
  <w:style w:type="paragraph" w:styleId="NormalWeb">
    <w:name w:val="Normal (Web)"/>
    <w:basedOn w:val="Normal"/>
    <w:uiPriority w:val="99"/>
    <w:unhideWhenUsed/>
    <w:rsid w:val="001D05E2"/>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TMLAddress">
    <w:name w:val="HTML Address"/>
    <w:basedOn w:val="Normal"/>
    <w:link w:val="HTMLAddressChar"/>
    <w:uiPriority w:val="99"/>
    <w:semiHidden/>
    <w:unhideWhenUsed/>
    <w:rsid w:val="001D05E2"/>
    <w:pPr>
      <w:spacing w:after="0" w:line="240" w:lineRule="auto"/>
    </w:pPr>
    <w:rPr>
      <w:rFonts w:ascii="Times New Roman" w:eastAsia="Times New Roman" w:hAnsi="Times New Roman" w:cs="Times New Roman"/>
      <w:i/>
      <w:iCs/>
      <w:kern w:val="0"/>
      <w14:ligatures w14:val="none"/>
    </w:rPr>
  </w:style>
  <w:style w:type="character" w:customStyle="1" w:styleId="HTMLAddressChar">
    <w:name w:val="HTML Address Char"/>
    <w:basedOn w:val="DefaultParagraphFont"/>
    <w:link w:val="HTMLAddress"/>
    <w:uiPriority w:val="99"/>
    <w:semiHidden/>
    <w:rsid w:val="001D05E2"/>
    <w:rPr>
      <w:rFonts w:ascii="Times New Roman" w:eastAsia="Times New Roman" w:hAnsi="Times New Roman" w:cs="Times New Roman"/>
      <w:i/>
      <w:iCs/>
      <w:kern w:val="0"/>
      <w14:ligatures w14:val="none"/>
    </w:rPr>
  </w:style>
  <w:style w:type="character" w:customStyle="1" w:styleId="byline-author">
    <w:name w:val="byline-author"/>
    <w:basedOn w:val="DefaultParagraphFont"/>
    <w:rsid w:val="001D05E2"/>
  </w:style>
  <w:style w:type="character" w:customStyle="1" w:styleId="byline-author-name">
    <w:name w:val="byline-author-name"/>
    <w:basedOn w:val="DefaultParagraphFont"/>
    <w:rsid w:val="001D05E2"/>
  </w:style>
  <w:style w:type="character" w:customStyle="1" w:styleId="byline-date">
    <w:name w:val="byline-date"/>
    <w:basedOn w:val="DefaultParagraphFont"/>
    <w:rsid w:val="001D05E2"/>
  </w:style>
  <w:style w:type="character" w:customStyle="1" w:styleId="fielditem">
    <w:name w:val="field__item"/>
    <w:basedOn w:val="DefaultParagraphFont"/>
    <w:rsid w:val="001D05E2"/>
  </w:style>
  <w:style w:type="character" w:styleId="Strong">
    <w:name w:val="Strong"/>
    <w:basedOn w:val="DefaultParagraphFont"/>
    <w:uiPriority w:val="22"/>
    <w:qFormat/>
    <w:rsid w:val="001D05E2"/>
    <w:rPr>
      <w:b/>
      <w:bCs/>
    </w:rPr>
  </w:style>
  <w:style w:type="character" w:customStyle="1" w:styleId="ff4">
    <w:name w:val="ff4"/>
    <w:basedOn w:val="DefaultParagraphFont"/>
    <w:rsid w:val="001D05E2"/>
  </w:style>
  <w:style w:type="character" w:customStyle="1" w:styleId="ff2">
    <w:name w:val="ff2"/>
    <w:basedOn w:val="DefaultParagraphFont"/>
    <w:rsid w:val="001D05E2"/>
  </w:style>
  <w:style w:type="paragraph" w:styleId="TOCHeading">
    <w:name w:val="TOC Heading"/>
    <w:basedOn w:val="Heading1"/>
    <w:next w:val="Normal"/>
    <w:uiPriority w:val="39"/>
    <w:unhideWhenUsed/>
    <w:qFormat/>
    <w:rsid w:val="001D05E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0566CB"/>
    <w:pPr>
      <w:tabs>
        <w:tab w:val="left" w:pos="540"/>
        <w:tab w:val="right" w:leader="dot" w:pos="9350"/>
      </w:tabs>
      <w:spacing w:after="100" w:line="259" w:lineRule="auto"/>
      <w:ind w:left="540" w:hanging="540"/>
    </w:pPr>
    <w:rPr>
      <w:rFonts w:ascii="Times New Roman" w:hAnsi="Times New Roman"/>
      <w:caps/>
      <w:noProof/>
      <w:kern w:val="0"/>
      <w:sz w:val="22"/>
      <w:szCs w:val="22"/>
      <w14:ligatures w14:val="none"/>
    </w:rPr>
  </w:style>
  <w:style w:type="paragraph" w:styleId="TOC2">
    <w:name w:val="toc 2"/>
    <w:basedOn w:val="Normal"/>
    <w:next w:val="Normal"/>
    <w:autoRedefine/>
    <w:uiPriority w:val="39"/>
    <w:unhideWhenUsed/>
    <w:rsid w:val="001D05E2"/>
    <w:pPr>
      <w:tabs>
        <w:tab w:val="right" w:leader="dot" w:pos="9350"/>
      </w:tabs>
      <w:spacing w:after="100" w:line="259" w:lineRule="auto"/>
      <w:ind w:left="220"/>
    </w:pPr>
    <w:rPr>
      <w:kern w:val="0"/>
      <w:sz w:val="22"/>
      <w:szCs w:val="22"/>
      <w14:ligatures w14:val="none"/>
    </w:rPr>
  </w:style>
  <w:style w:type="character" w:styleId="HTMLCite">
    <w:name w:val="HTML Cite"/>
    <w:basedOn w:val="DefaultParagraphFont"/>
    <w:uiPriority w:val="99"/>
    <w:semiHidden/>
    <w:unhideWhenUsed/>
    <w:rsid w:val="001D05E2"/>
    <w:rPr>
      <w:i/>
      <w:iCs/>
    </w:rPr>
  </w:style>
  <w:style w:type="character" w:customStyle="1" w:styleId="e24kjd">
    <w:name w:val="e24kjd"/>
    <w:basedOn w:val="DefaultParagraphFont"/>
    <w:rsid w:val="001D05E2"/>
  </w:style>
  <w:style w:type="paragraph" w:styleId="BalloonText">
    <w:name w:val="Balloon Text"/>
    <w:basedOn w:val="Normal"/>
    <w:link w:val="BalloonTextChar"/>
    <w:uiPriority w:val="99"/>
    <w:semiHidden/>
    <w:unhideWhenUsed/>
    <w:rsid w:val="001D05E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1D05E2"/>
    <w:rPr>
      <w:rFonts w:ascii="Segoe UI" w:hAnsi="Segoe UI" w:cs="Segoe UI"/>
      <w:kern w:val="0"/>
      <w:sz w:val="18"/>
      <w:szCs w:val="18"/>
      <w14:ligatures w14:val="none"/>
    </w:rPr>
  </w:style>
  <w:style w:type="paragraph" w:styleId="BodyText">
    <w:name w:val="Body Text"/>
    <w:basedOn w:val="Normal"/>
    <w:link w:val="BodyTextChar"/>
    <w:uiPriority w:val="1"/>
    <w:qFormat/>
    <w:rsid w:val="001D05E2"/>
    <w:pPr>
      <w:widowControl w:val="0"/>
      <w:autoSpaceDE w:val="0"/>
      <w:autoSpaceDN w:val="0"/>
      <w:spacing w:after="0" w:line="240" w:lineRule="auto"/>
    </w:pPr>
    <w:rPr>
      <w:rFonts w:ascii="Calibri" w:eastAsia="Calibri" w:hAnsi="Calibri" w:cs="Calibri"/>
      <w:kern w:val="0"/>
      <w:lang w:bidi="en-US"/>
      <w14:ligatures w14:val="none"/>
    </w:rPr>
  </w:style>
  <w:style w:type="character" w:customStyle="1" w:styleId="BodyTextChar">
    <w:name w:val="Body Text Char"/>
    <w:basedOn w:val="DefaultParagraphFont"/>
    <w:link w:val="BodyText"/>
    <w:uiPriority w:val="1"/>
    <w:rsid w:val="001D05E2"/>
    <w:rPr>
      <w:rFonts w:ascii="Calibri" w:eastAsia="Calibri" w:hAnsi="Calibri" w:cs="Calibri"/>
      <w:kern w:val="0"/>
      <w:lang w:bidi="en-US"/>
      <w14:ligatures w14:val="none"/>
    </w:rPr>
  </w:style>
  <w:style w:type="paragraph" w:styleId="Revision">
    <w:name w:val="Revision"/>
    <w:hidden/>
    <w:uiPriority w:val="99"/>
    <w:semiHidden/>
    <w:rsid w:val="001D05E2"/>
    <w:pPr>
      <w:spacing w:after="0" w:line="240" w:lineRule="auto"/>
    </w:pPr>
    <w:rPr>
      <w:kern w:val="0"/>
      <w:sz w:val="22"/>
      <w:szCs w:val="22"/>
      <w14:ligatures w14:val="none"/>
    </w:rPr>
  </w:style>
  <w:style w:type="paragraph" w:styleId="TOC3">
    <w:name w:val="toc 3"/>
    <w:basedOn w:val="Normal"/>
    <w:next w:val="Normal"/>
    <w:autoRedefine/>
    <w:uiPriority w:val="39"/>
    <w:unhideWhenUsed/>
    <w:rsid w:val="001D05E2"/>
    <w:pPr>
      <w:tabs>
        <w:tab w:val="right" w:leader="dot" w:pos="9350"/>
      </w:tabs>
      <w:spacing w:after="100" w:line="259" w:lineRule="auto"/>
      <w:ind w:left="440"/>
    </w:pPr>
    <w:rPr>
      <w:kern w:val="0"/>
      <w:sz w:val="22"/>
      <w:szCs w:val="22"/>
      <w14:ligatures w14:val="none"/>
    </w:rPr>
  </w:style>
  <w:style w:type="character" w:styleId="PlaceholderText">
    <w:name w:val="Placeholder Text"/>
    <w:basedOn w:val="DefaultParagraphFont"/>
    <w:uiPriority w:val="99"/>
    <w:semiHidden/>
    <w:rsid w:val="001D05E2"/>
    <w:rPr>
      <w:color w:val="808080"/>
    </w:rPr>
  </w:style>
  <w:style w:type="character" w:customStyle="1" w:styleId="label">
    <w:name w:val="label"/>
    <w:basedOn w:val="DefaultParagraphFont"/>
    <w:rsid w:val="001D05E2"/>
  </w:style>
  <w:style w:type="table" w:styleId="GridTable4-Accent1">
    <w:name w:val="Grid Table 4 Accent 1"/>
    <w:basedOn w:val="TableNormal"/>
    <w:uiPriority w:val="49"/>
    <w:rsid w:val="001D05E2"/>
    <w:pPr>
      <w:spacing w:after="0" w:line="240" w:lineRule="auto"/>
    </w:pPr>
    <w:rPr>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bcparagraph">
    <w:name w:val="bc_paragraph"/>
    <w:basedOn w:val="Normal"/>
    <w:rsid w:val="001D05E2"/>
    <w:pPr>
      <w:spacing w:before="100" w:beforeAutospacing="1" w:after="100" w:afterAutospacing="1" w:line="240" w:lineRule="auto"/>
    </w:pPr>
    <w:rPr>
      <w:rFonts w:ascii="Times New Roman" w:eastAsia="Times New Roman" w:hAnsi="Times New Roman" w:cs="Times New Roman"/>
      <w:kern w:val="0"/>
      <w14:ligatures w14:val="none"/>
    </w:rPr>
  </w:style>
  <w:style w:type="table" w:styleId="GridTable2-Accent1">
    <w:name w:val="Grid Table 2 Accent 1"/>
    <w:basedOn w:val="TableNormal"/>
    <w:uiPriority w:val="47"/>
    <w:rsid w:val="001D05E2"/>
    <w:pPr>
      <w:spacing w:after="0" w:line="240" w:lineRule="auto"/>
    </w:pPr>
    <w:rPr>
      <w:kern w:val="0"/>
      <w:sz w:val="22"/>
      <w:szCs w:val="22"/>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1">
    <w:name w:val="Grid Table 6 Colorful Accent 1"/>
    <w:basedOn w:val="TableNormal"/>
    <w:uiPriority w:val="51"/>
    <w:rsid w:val="001D05E2"/>
    <w:pPr>
      <w:spacing w:after="0" w:line="240" w:lineRule="auto"/>
    </w:pPr>
    <w:rPr>
      <w:color w:val="0F4761" w:themeColor="accent1" w:themeShade="BF"/>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Default">
    <w:name w:val="Default"/>
    <w:rsid w:val="001D05E2"/>
    <w:pPr>
      <w:autoSpaceDE w:val="0"/>
      <w:autoSpaceDN w:val="0"/>
      <w:adjustRightInd w:val="0"/>
      <w:spacing w:after="0" w:line="240" w:lineRule="auto"/>
    </w:pPr>
    <w:rPr>
      <w:rFonts w:ascii="Calibri" w:hAnsi="Calibri" w:cs="Calibri"/>
      <w:color w:val="000000"/>
      <w:kern w:val="0"/>
      <w14:ligatures w14:val="none"/>
    </w:rPr>
  </w:style>
  <w:style w:type="paragraph" w:customStyle="1" w:styleId="Pa13">
    <w:name w:val="Pa13"/>
    <w:basedOn w:val="Default"/>
    <w:next w:val="Default"/>
    <w:uiPriority w:val="99"/>
    <w:rsid w:val="001D05E2"/>
    <w:pPr>
      <w:spacing w:line="221" w:lineRule="atLeast"/>
    </w:pPr>
    <w:rPr>
      <w:rFonts w:ascii="Roboto Light" w:hAnsi="Roboto Light" w:cstheme="minorBidi"/>
      <w:color w:val="auto"/>
    </w:rPr>
  </w:style>
  <w:style w:type="character" w:customStyle="1" w:styleId="A6">
    <w:name w:val="A6"/>
    <w:uiPriority w:val="99"/>
    <w:rsid w:val="001D05E2"/>
    <w:rPr>
      <w:rFonts w:cs="Roboto Light"/>
      <w:i/>
      <w:iCs/>
      <w:color w:val="000000"/>
      <w:sz w:val="12"/>
      <w:szCs w:val="12"/>
    </w:rPr>
  </w:style>
  <w:style w:type="character" w:customStyle="1" w:styleId="ParagraphNCASIBrand">
    <w:name w:val="Paragraph (NCASI Brand)"/>
    <w:uiPriority w:val="99"/>
    <w:rsid w:val="001D05E2"/>
    <w:rPr>
      <w:rFonts w:ascii="Nunito-Light" w:hAnsi="Nunito-Light" w:cs="Nunito-Light"/>
      <w:color w:val="595959"/>
      <w:sz w:val="20"/>
      <w:szCs w:val="20"/>
    </w:rPr>
  </w:style>
  <w:style w:type="paragraph" w:customStyle="1" w:styleId="Style1">
    <w:name w:val="Style1"/>
    <w:basedOn w:val="Heading4"/>
    <w:link w:val="Style1Char"/>
    <w:qFormat/>
    <w:rsid w:val="001D05E2"/>
    <w:pPr>
      <w:spacing w:before="40" w:after="0" w:line="259" w:lineRule="auto"/>
    </w:pPr>
    <w:rPr>
      <w:rFonts w:asciiTheme="majorHAnsi" w:hAnsiTheme="majorHAnsi"/>
      <w:kern w:val="0"/>
      <w:sz w:val="22"/>
      <w:szCs w:val="22"/>
      <w14:ligatures w14:val="none"/>
    </w:rPr>
  </w:style>
  <w:style w:type="character" w:customStyle="1" w:styleId="Style1Char">
    <w:name w:val="Style1 Char"/>
    <w:basedOn w:val="Heading4Char"/>
    <w:link w:val="Style1"/>
    <w:rsid w:val="001D05E2"/>
    <w:rPr>
      <w:rFonts w:asciiTheme="majorHAnsi" w:eastAsiaTheme="majorEastAsia" w:hAnsiTheme="majorHAnsi" w:cstheme="majorBidi"/>
      <w:i/>
      <w:iCs/>
      <w:color w:val="0F4761" w:themeColor="accent1" w:themeShade="BF"/>
      <w:kern w:val="0"/>
      <w:sz w:val="22"/>
      <w:szCs w:val="22"/>
      <w14:ligatures w14:val="none"/>
    </w:rPr>
  </w:style>
  <w:style w:type="numbering" w:customStyle="1" w:styleId="NoList2">
    <w:name w:val="No List2"/>
    <w:next w:val="NoList"/>
    <w:uiPriority w:val="99"/>
    <w:semiHidden/>
    <w:unhideWhenUsed/>
    <w:rsid w:val="001D05E2"/>
  </w:style>
  <w:style w:type="paragraph" w:styleId="EndnoteText">
    <w:name w:val="endnote text"/>
    <w:basedOn w:val="Normal"/>
    <w:link w:val="EndnoteTextChar"/>
    <w:uiPriority w:val="99"/>
    <w:semiHidden/>
    <w:unhideWhenUsed/>
    <w:rsid w:val="001D05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05E2"/>
    <w:rPr>
      <w:sz w:val="20"/>
      <w:szCs w:val="20"/>
    </w:rPr>
  </w:style>
  <w:style w:type="character" w:styleId="EndnoteReference">
    <w:name w:val="endnote reference"/>
    <w:basedOn w:val="DefaultParagraphFont"/>
    <w:uiPriority w:val="99"/>
    <w:semiHidden/>
    <w:unhideWhenUsed/>
    <w:rsid w:val="001D05E2"/>
    <w:rPr>
      <w:vertAlign w:val="superscript"/>
    </w:rPr>
  </w:style>
  <w:style w:type="paragraph" w:customStyle="1" w:styleId="msonormal0">
    <w:name w:val="msonormal"/>
    <w:basedOn w:val="Normal"/>
    <w:rsid w:val="001D05E2"/>
    <w:pPr>
      <w:spacing w:before="100" w:beforeAutospacing="1" w:after="100" w:afterAutospacing="1" w:line="240" w:lineRule="auto"/>
      <w:ind w:left="480"/>
    </w:pPr>
    <w:rPr>
      <w:rFonts w:ascii="Times New Roman" w:eastAsia="Times New Roman" w:hAnsi="Times New Roman" w:cs="Times New Roman"/>
      <w:kern w:val="0"/>
      <w14:ligatures w14:val="none"/>
    </w:rPr>
  </w:style>
  <w:style w:type="character" w:customStyle="1" w:styleId="headingtext">
    <w:name w:val="heading_text"/>
    <w:basedOn w:val="DefaultParagraphFont"/>
    <w:rsid w:val="001D05E2"/>
  </w:style>
  <w:style w:type="paragraph" w:customStyle="1" w:styleId="reference0">
    <w:name w:val="reference"/>
    <w:basedOn w:val="Normal"/>
    <w:rsid w:val="001D05E2"/>
    <w:pPr>
      <w:spacing w:before="100" w:beforeAutospacing="1" w:after="100" w:afterAutospacing="1" w:line="240" w:lineRule="auto"/>
      <w:ind w:left="480"/>
    </w:pPr>
    <w:rPr>
      <w:rFonts w:ascii="Times New Roman" w:eastAsia="Times New Roman" w:hAnsi="Times New Roman" w:cs="Times New Roman"/>
      <w:kern w:val="0"/>
      <w14:ligatures w14:val="none"/>
    </w:rPr>
  </w:style>
  <w:style w:type="character" w:customStyle="1" w:styleId="nameperson">
    <w:name w:val="name_person"/>
    <w:basedOn w:val="DefaultParagraphFont"/>
    <w:rsid w:val="001D05E2"/>
  </w:style>
  <w:style w:type="character" w:customStyle="1" w:styleId="familyname">
    <w:name w:val="family_name"/>
    <w:basedOn w:val="DefaultParagraphFont"/>
    <w:rsid w:val="001D05E2"/>
  </w:style>
  <w:style w:type="character" w:customStyle="1" w:styleId="givenname">
    <w:name w:val="given_name"/>
    <w:basedOn w:val="DefaultParagraphFont"/>
    <w:rsid w:val="001D05E2"/>
  </w:style>
  <w:style w:type="character" w:customStyle="1" w:styleId="chgathrix">
    <w:name w:val="chga_thrix"/>
    <w:basedOn w:val="DefaultParagraphFont"/>
    <w:rsid w:val="001D05E2"/>
  </w:style>
  <w:style w:type="character" w:customStyle="1" w:styleId="year">
    <w:name w:val="year"/>
    <w:basedOn w:val="DefaultParagraphFont"/>
    <w:rsid w:val="001D05E2"/>
  </w:style>
  <w:style w:type="character" w:customStyle="1" w:styleId="source">
    <w:name w:val="source"/>
    <w:basedOn w:val="DefaultParagraphFont"/>
    <w:rsid w:val="001D05E2"/>
  </w:style>
  <w:style w:type="character" w:customStyle="1" w:styleId="booktitle">
    <w:name w:val="book_title"/>
    <w:basedOn w:val="DefaultParagraphFont"/>
    <w:rsid w:val="001D05E2"/>
  </w:style>
  <w:style w:type="character" w:customStyle="1" w:styleId="crs">
    <w:name w:val="crs"/>
    <w:basedOn w:val="DefaultParagraphFont"/>
    <w:rsid w:val="001D05E2"/>
  </w:style>
  <w:style w:type="character" w:customStyle="1" w:styleId="cr">
    <w:name w:val="cr"/>
    <w:basedOn w:val="DefaultParagraphFont"/>
    <w:rsid w:val="001D05E2"/>
  </w:style>
  <w:style w:type="character" w:customStyle="1" w:styleId="organization">
    <w:name w:val="organization"/>
    <w:basedOn w:val="DefaultParagraphFont"/>
    <w:rsid w:val="001D05E2"/>
  </w:style>
  <w:style w:type="character" w:customStyle="1" w:styleId="articletitle">
    <w:name w:val="article_title"/>
    <w:basedOn w:val="DefaultParagraphFont"/>
    <w:rsid w:val="001D05E2"/>
  </w:style>
  <w:style w:type="character" w:customStyle="1" w:styleId="miscellaneous">
    <w:name w:val="miscellaneous"/>
    <w:basedOn w:val="DefaultParagraphFont"/>
    <w:rsid w:val="001D05E2"/>
  </w:style>
  <w:style w:type="character" w:customStyle="1" w:styleId="location">
    <w:name w:val="location"/>
    <w:basedOn w:val="DefaultParagraphFont"/>
    <w:rsid w:val="001D05E2"/>
  </w:style>
  <w:style w:type="character" w:customStyle="1" w:styleId="publisher">
    <w:name w:val="publisher"/>
    <w:basedOn w:val="DefaultParagraphFont"/>
    <w:rsid w:val="001D05E2"/>
  </w:style>
  <w:style w:type="character" w:customStyle="1" w:styleId="volumenumber">
    <w:name w:val="volume_number"/>
    <w:basedOn w:val="DefaultParagraphFont"/>
    <w:rsid w:val="001D05E2"/>
  </w:style>
  <w:style w:type="character" w:customStyle="1" w:styleId="journaltitle">
    <w:name w:val="journal_title"/>
    <w:basedOn w:val="DefaultParagraphFont"/>
    <w:rsid w:val="001D05E2"/>
  </w:style>
  <w:style w:type="character" w:customStyle="1" w:styleId="issuenumber">
    <w:name w:val="issue_number"/>
    <w:basedOn w:val="DefaultParagraphFont"/>
    <w:rsid w:val="001D05E2"/>
  </w:style>
  <w:style w:type="character" w:customStyle="1" w:styleId="pagenumbers">
    <w:name w:val="page_numbers"/>
    <w:basedOn w:val="DefaultParagraphFont"/>
    <w:rsid w:val="001D05E2"/>
  </w:style>
  <w:style w:type="character" w:customStyle="1" w:styleId="Hyperlink1">
    <w:name w:val="Hyperlink1"/>
    <w:basedOn w:val="DefaultParagraphFont"/>
    <w:rsid w:val="001D05E2"/>
  </w:style>
  <w:style w:type="character" w:customStyle="1" w:styleId="edition">
    <w:name w:val="edition"/>
    <w:basedOn w:val="DefaultParagraphFont"/>
    <w:rsid w:val="001D05E2"/>
  </w:style>
  <w:style w:type="character" w:customStyle="1" w:styleId="cross-reference">
    <w:name w:val="cross-reference"/>
    <w:basedOn w:val="DefaultParagraphFont"/>
    <w:rsid w:val="001D05E2"/>
  </w:style>
  <w:style w:type="table" w:customStyle="1" w:styleId="TableGrid12">
    <w:name w:val="Table Grid12"/>
    <w:basedOn w:val="TableNormal"/>
    <w:next w:val="TableGrid"/>
    <w:uiPriority w:val="39"/>
    <w:rsid w:val="001D05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
    <w:name w:val="Grid Table 4 - Accent 52"/>
    <w:basedOn w:val="TableNormal"/>
    <w:next w:val="GridTable4-Accent5"/>
    <w:uiPriority w:val="49"/>
    <w:rsid w:val="001D05E2"/>
    <w:pPr>
      <w:spacing w:after="0" w:line="240" w:lineRule="auto"/>
    </w:pPr>
    <w:rPr>
      <w:sz w:val="22"/>
      <w:szCs w:val="22"/>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TableGrid13">
    <w:name w:val="Table Grid13"/>
    <w:basedOn w:val="TableNormal"/>
    <w:next w:val="TableGrid"/>
    <w:uiPriority w:val="39"/>
    <w:rsid w:val="001D05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a961b29df25263e6/AAABBBdocs/2024%20Office%20Files/Revised%20US%20Profile%20update%202024/Forest%20ecosystem%20carbon.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docs.live.net/a961b29df25263e6/AAABBBdocs/2023%20Office%20Files/US%20Profile%20update%202023/paper%20and%20paperboard%20production%201990%20to%2020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d.docs.live.net/a961b29df25263e6/AAABBBdocs/2023%20Office%20Files/Profile%20update%202023/Wood%20product%20Sector%20Averages%20MECS%20June%202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Barry%20Malmberg\OneDrive%20-%20NCASI\Work\GHG%20reductions%20for%20US%20P&amp;P\MECS%20WP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Barry%20Malmberg\OneDrive%20-%20NCASI\Work\GHG%20reductions%20for%20US%20P&amp;P\Sector%20Averages%20MEC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d.docs.live.net/a961b29df25263e6/AAABBBdocs/2023%20Office%20Files/Profile%20update%202023/GHG%20pulp%20and%20paper%20Sector%20Averages%20MEC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3.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d.docs.live.net/a961b29df25263e6/AAABBBdocs/2023%20Office%20Files/Profile%20update%202023/Wood%20product%20Sector%20Averages%20MECS%20June%2028.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d.docs.live.net/a961b29df25263e6/AAABBBdocs/2023%20Office%20Files/Profile%20update%202023/GHG%20pulp%20and%20paper%20Sector%20Averages%20MEC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4.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d.docs.live.net/a961b29df25263e6/AAABBBdocs/2023%20Office%20Files/Profile%20update%202023/GHG%20pulp%20and%20paper%20Sector%20Averages%20MECS.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https://d.docs.live.net/a961b29df25263e6/AAABBBdocs/2023%20Office%20Files/Profile%20update%202023/GHG%20pulp%20and%20paper%20Sector%20Averages%20MECS.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d.docs.live.net/a961b29df25263e6/AAABBBdocs/2023%20Office%20Files/Profile%20update%202023/egrid%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d.docs.live.net/a961b29df25263e6/AAABBBdocs/2023%20Office%20Files/Profile%20update%202023/Wood%20product%20Sector%20Averages%20MECS%20June%2028.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5.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d.docs.live.net/a961b29df25263e6/AAABBBdocs/2023%20Office%20Files/Profile%20update%202023/Wood%20product%20Sector%20Averages%20MECS%20June%2028.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d.docs.live.net/a961b29df25263e6/AAABBBdocs/2023%20Office%20Files/Profile%20update%202023/GHG%20pulp%20and%20paper%20Sector%20Averages%20MEC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d.docs.live.net/a961b29df25263e6/AAABBBdocs/2023%20Office%20Files/Profile%20update%202023/Total%20industry%20profile%20June%2029.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a961b29df25263e6/AAABBBdocs/2024%20Office%20Files/Revised%20US%20Profile%20update%202024/Forest%20ecosystem%20carbon.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embeddings/oleObject6.bin"/></Relationships>
</file>

<file path=word/charts/_rels/chart4.xml.rels><?xml version="1.0" encoding="UTF-8" standalone="yes"?>
<Relationships xmlns="http://schemas.openxmlformats.org/package/2006/relationships"><Relationship Id="rId2" Type="http://schemas.openxmlformats.org/officeDocument/2006/relationships/oleObject" Target="https://d.docs.live.net/a961b29df25263e6/AAABBBdocs/2023%20Office%20Files/XLfiles%2023/GHG%20pulp%20and%20paper%20Sector%20Averages%20MEC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a961b29df25263e6/AAABBBdocs/2023%20Office%20Files/XLfiles%2023/GHG%20pulp%20and%20paper%20Sector%20Averages%20MEC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a961b29df25263e6/AAABBBdocs/2023%20Office%20Files/Profile%20update%202023/GHG%20pulp%20and%20paper%20Sector%20Averages%20MEC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arry%20Malmberg\OneDrive%20-%20NCASI\Work\Cap%20and%20Trade\Sector%20Averages%20MECS.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https://d.docs.live.net/a961b29df25263e6/AAABBBdocs/2023%20Office%20Files/Profile%20update%202023/GHG%20pulp%20and%20paper%20Sector%20Averages%20MEC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Barry%20Malmberg\OneDrive%20-%20NCASI\Work\Sustainability\Energy%20use%20pulp%20and%20paper%201972%20to%20present.xlsm"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'[Forest ecosystem carbon.xlsx]harvest'!$E$28</c:f>
              <c:strCache>
                <c:ptCount val="1"/>
                <c:pt idx="0">
                  <c:v>Annual domestic harvest, left axis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'[Forest ecosystem carbon.xlsx]harvest'!$D$29:$D$36</c:f>
              <c:numCache>
                <c:formatCode>General</c:formatCode>
                <c:ptCount val="8"/>
                <c:pt idx="0">
                  <c:v>1990</c:v>
                </c:pt>
                <c:pt idx="1">
                  <c:v>1995</c:v>
                </c:pt>
                <c:pt idx="2">
                  <c:v>2000</c:v>
                </c:pt>
                <c:pt idx="3">
                  <c:v>2005</c:v>
                </c:pt>
                <c:pt idx="4">
                  <c:v>2010</c:v>
                </c:pt>
                <c:pt idx="5">
                  <c:v>2018</c:v>
                </c:pt>
                <c:pt idx="6">
                  <c:v>2019</c:v>
                </c:pt>
                <c:pt idx="7">
                  <c:v>2020</c:v>
                </c:pt>
              </c:numCache>
            </c:numRef>
          </c:xVal>
          <c:yVal>
            <c:numRef>
              <c:f>'[Forest ecosystem carbon.xlsx]harvest'!$E$29:$E$36</c:f>
              <c:numCache>
                <c:formatCode>General</c:formatCode>
                <c:ptCount val="8"/>
                <c:pt idx="0">
                  <c:v>144.4</c:v>
                </c:pt>
                <c:pt idx="1">
                  <c:v>134.5</c:v>
                </c:pt>
                <c:pt idx="2">
                  <c:v>127.9</c:v>
                </c:pt>
                <c:pt idx="3">
                  <c:v>120.1</c:v>
                </c:pt>
                <c:pt idx="4">
                  <c:v>102.7</c:v>
                </c:pt>
                <c:pt idx="5">
                  <c:v>125.7</c:v>
                </c:pt>
                <c:pt idx="6">
                  <c:v>124.4</c:v>
                </c:pt>
                <c:pt idx="7">
                  <c:v>125.9</c:v>
                </c:pt>
              </c:numCache>
            </c:numRef>
          </c:yVal>
          <c:smooth val="0"/>
          <c:extLst>
            <c:ext xmlns:c16="http://schemas.microsoft.com/office/drawing/2014/chart" uri="{C3380CC4-5D6E-409C-BE32-E72D297353CC}">
              <c16:uniqueId val="{00000000-A44F-479E-92C4-6B5144E36E38}"/>
            </c:ext>
          </c:extLst>
        </c:ser>
        <c:dLbls>
          <c:showLegendKey val="0"/>
          <c:showVal val="0"/>
          <c:showCatName val="0"/>
          <c:showSerName val="0"/>
          <c:showPercent val="0"/>
          <c:showBubbleSize val="0"/>
        </c:dLbls>
        <c:axId val="1752432863"/>
        <c:axId val="1752429983"/>
      </c:scatterChart>
      <c:scatterChart>
        <c:scatterStyle val="lineMarker"/>
        <c:varyColors val="0"/>
        <c:ser>
          <c:idx val="1"/>
          <c:order val="1"/>
          <c:tx>
            <c:strRef>
              <c:f>'[Forest ecosystem carbon.xlsx]harvest'!$F$28</c:f>
              <c:strCache>
                <c:ptCount val="1"/>
                <c:pt idx="0">
                  <c:v>Annual change in C stocks in products in use, right axis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'[Forest ecosystem carbon.xlsx]harvest'!$D$29:$D$36</c:f>
              <c:numCache>
                <c:formatCode>General</c:formatCode>
                <c:ptCount val="8"/>
                <c:pt idx="0">
                  <c:v>1990</c:v>
                </c:pt>
                <c:pt idx="1">
                  <c:v>1995</c:v>
                </c:pt>
                <c:pt idx="2">
                  <c:v>2000</c:v>
                </c:pt>
                <c:pt idx="3">
                  <c:v>2005</c:v>
                </c:pt>
                <c:pt idx="4">
                  <c:v>2010</c:v>
                </c:pt>
                <c:pt idx="5">
                  <c:v>2018</c:v>
                </c:pt>
                <c:pt idx="6">
                  <c:v>2019</c:v>
                </c:pt>
                <c:pt idx="7">
                  <c:v>2020</c:v>
                </c:pt>
              </c:numCache>
            </c:numRef>
          </c:xVal>
          <c:yVal>
            <c:numRef>
              <c:f>'[Forest ecosystem carbon.xlsx]harvest'!$F$29:$F$36</c:f>
              <c:numCache>
                <c:formatCode>General</c:formatCode>
                <c:ptCount val="8"/>
                <c:pt idx="0">
                  <c:v>14.9</c:v>
                </c:pt>
                <c:pt idx="1">
                  <c:v>14.1</c:v>
                </c:pt>
                <c:pt idx="2">
                  <c:v>8.6999999999999993</c:v>
                </c:pt>
                <c:pt idx="3">
                  <c:v>11.6</c:v>
                </c:pt>
                <c:pt idx="4">
                  <c:v>2</c:v>
                </c:pt>
                <c:pt idx="5">
                  <c:v>7.8</c:v>
                </c:pt>
                <c:pt idx="6">
                  <c:v>6.2</c:v>
                </c:pt>
                <c:pt idx="7">
                  <c:v>8.8000000000000007</c:v>
                </c:pt>
              </c:numCache>
            </c:numRef>
          </c:yVal>
          <c:smooth val="0"/>
          <c:extLst>
            <c:ext xmlns:c16="http://schemas.microsoft.com/office/drawing/2014/chart" uri="{C3380CC4-5D6E-409C-BE32-E72D297353CC}">
              <c16:uniqueId val="{00000001-A44F-479E-92C4-6B5144E36E38}"/>
            </c:ext>
          </c:extLst>
        </c:ser>
        <c:dLbls>
          <c:showLegendKey val="0"/>
          <c:showVal val="0"/>
          <c:showCatName val="0"/>
          <c:showSerName val="0"/>
          <c:showPercent val="0"/>
          <c:showBubbleSize val="0"/>
        </c:dLbls>
        <c:axId val="1752409343"/>
        <c:axId val="1752405983"/>
      </c:scatterChart>
      <c:valAx>
        <c:axId val="1752432863"/>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429983"/>
        <c:crosses val="autoZero"/>
        <c:crossBetween val="midCat"/>
      </c:valAx>
      <c:valAx>
        <c:axId val="1752429983"/>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432863"/>
        <c:crosses val="autoZero"/>
        <c:crossBetween val="midCat"/>
      </c:valAx>
      <c:valAx>
        <c:axId val="1752405983"/>
        <c:scaling>
          <c:orientation val="minMax"/>
          <c:max val="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409343"/>
        <c:crosses val="max"/>
        <c:crossBetween val="midCat"/>
      </c:valAx>
      <c:valAx>
        <c:axId val="1752409343"/>
        <c:scaling>
          <c:orientation val="minMax"/>
        </c:scaling>
        <c:delete val="1"/>
        <c:axPos val="b"/>
        <c:numFmt formatCode="General" sourceLinked="1"/>
        <c:majorTickMark val="out"/>
        <c:minorTickMark val="none"/>
        <c:tickLblPos val="nextTo"/>
        <c:crossAx val="175240598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spPr>
            <a:ln w="19050" cap="rnd">
              <a:solidFill>
                <a:schemeClr val="accent2"/>
              </a:solidFill>
              <a:round/>
            </a:ln>
            <a:effectLst/>
          </c:spPr>
          <c:marker>
            <c:symbol val="none"/>
          </c:marker>
          <c:xVal>
            <c:numRef>
              <c:f>'[paper and paperboard production 1990 to 2020.xlsx]FAOSTAT_data_en_6-28-2023'!$J$2:$J$32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'[paper and paperboard production 1990 to 2020.xlsx]FAOSTAT_data_en_6-28-2023'!$L$2:$L$32</c:f>
              <c:numCache>
                <c:formatCode>General</c:formatCode>
                <c:ptCount val="31"/>
                <c:pt idx="0">
                  <c:v>71.965000000000003</c:v>
                </c:pt>
                <c:pt idx="1">
                  <c:v>72.724007999999998</c:v>
                </c:pt>
                <c:pt idx="2">
                  <c:v>75.160015999999999</c:v>
                </c:pt>
                <c:pt idx="3">
                  <c:v>77.250007999999994</c:v>
                </c:pt>
                <c:pt idx="4">
                  <c:v>80.944999999999993</c:v>
                </c:pt>
                <c:pt idx="5">
                  <c:v>85.525999999999996</c:v>
                </c:pt>
                <c:pt idx="6">
                  <c:v>84.046000000000006</c:v>
                </c:pt>
                <c:pt idx="7">
                  <c:v>88.510999999999996</c:v>
                </c:pt>
                <c:pt idx="8">
                  <c:v>86.468999999999994</c:v>
                </c:pt>
                <c:pt idx="9">
                  <c:v>88.67</c:v>
                </c:pt>
                <c:pt idx="10">
                  <c:v>86.252262999999999</c:v>
                </c:pt>
                <c:pt idx="11">
                  <c:v>81.248828000000003</c:v>
                </c:pt>
                <c:pt idx="12">
                  <c:v>81.879071999999994</c:v>
                </c:pt>
                <c:pt idx="13">
                  <c:v>80.712165999999996</c:v>
                </c:pt>
                <c:pt idx="14">
                  <c:v>82.084367999999998</c:v>
                </c:pt>
                <c:pt idx="15">
                  <c:v>83.697334999999995</c:v>
                </c:pt>
                <c:pt idx="16">
                  <c:v>84.316936999999996</c:v>
                </c:pt>
                <c:pt idx="17">
                  <c:v>83.915965</c:v>
                </c:pt>
                <c:pt idx="18">
                  <c:v>80.178381999999999</c:v>
                </c:pt>
                <c:pt idx="19">
                  <c:v>71.355455000000006</c:v>
                </c:pt>
                <c:pt idx="20">
                  <c:v>75.772845000000004</c:v>
                </c:pt>
                <c:pt idx="21">
                  <c:v>76.430822000000006</c:v>
                </c:pt>
                <c:pt idx="22">
                  <c:v>74.492000000000004</c:v>
                </c:pt>
                <c:pt idx="23">
                  <c:v>71.732298</c:v>
                </c:pt>
                <c:pt idx="24">
                  <c:v>73.093000000000004</c:v>
                </c:pt>
                <c:pt idx="25">
                  <c:v>72.397000000000006</c:v>
                </c:pt>
                <c:pt idx="26">
                  <c:v>71.902238999999994</c:v>
                </c:pt>
                <c:pt idx="27">
                  <c:v>72.044539</c:v>
                </c:pt>
                <c:pt idx="28">
                  <c:v>70.891067000000007</c:v>
                </c:pt>
                <c:pt idx="29">
                  <c:v>68.156809999999993</c:v>
                </c:pt>
                <c:pt idx="30">
                  <c:v>66.239000000000004</c:v>
                </c:pt>
              </c:numCache>
            </c:numRef>
          </c:yVal>
          <c:smooth val="0"/>
          <c:extLst>
            <c:ext xmlns:c16="http://schemas.microsoft.com/office/drawing/2014/chart" uri="{C3380CC4-5D6E-409C-BE32-E72D297353CC}">
              <c16:uniqueId val="{00000000-6244-4860-A628-B39A4153B495}"/>
            </c:ext>
          </c:extLst>
        </c:ser>
        <c:dLbls>
          <c:showLegendKey val="0"/>
          <c:showVal val="0"/>
          <c:showCatName val="0"/>
          <c:showSerName val="0"/>
          <c:showPercent val="0"/>
          <c:showBubbleSize val="0"/>
        </c:dLbls>
        <c:axId val="1345531791"/>
        <c:axId val="1345533231"/>
      </c:scatterChart>
      <c:valAx>
        <c:axId val="1345531791"/>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5533231"/>
        <c:crosses val="autoZero"/>
        <c:crossBetween val="midCat"/>
      </c:valAx>
      <c:valAx>
        <c:axId val="1345533231"/>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Paper and Paperboard Production</a:t>
                </a:r>
              </a:p>
            </c:rich>
          </c:tx>
          <c:layout>
            <c:manualLayout>
              <c:xMode val="edge"/>
              <c:yMode val="edge"/>
              <c:x val="1.9432879076122893E-2"/>
              <c:y val="0.150822278119905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553179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'[wood products data FAOSTAT_data_en_4-16-2023.xls]total wood plus panels'!$I$4</c:f>
              <c:strCache>
                <c:ptCount val="1"/>
                <c:pt idx="0">
                  <c:v>wood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'[wood products data FAOSTAT_data_en_4-16-2023.xls]total wood plus panels'!$H$5:$H$35</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'[wood products data FAOSTAT_data_en_4-16-2023.xls]total wood plus panels'!$I$5:$I$35</c:f>
              <c:numCache>
                <c:formatCode>0.00</c:formatCode>
                <c:ptCount val="31"/>
                <c:pt idx="0">
                  <c:v>86.1447</c:v>
                </c:pt>
                <c:pt idx="1">
                  <c:v>80.476708000000002</c:v>
                </c:pt>
                <c:pt idx="2">
                  <c:v>85.150199999999998</c:v>
                </c:pt>
                <c:pt idx="3">
                  <c:v>83.789900000000003</c:v>
                </c:pt>
                <c:pt idx="4">
                  <c:v>87.035899999999998</c:v>
                </c:pt>
                <c:pt idx="5">
                  <c:v>84.140100000000004</c:v>
                </c:pt>
                <c:pt idx="6">
                  <c:v>86.202200000000005</c:v>
                </c:pt>
                <c:pt idx="7">
                  <c:v>88.905900000000003</c:v>
                </c:pt>
                <c:pt idx="8">
                  <c:v>88.990910999999997</c:v>
                </c:pt>
                <c:pt idx="9">
                  <c:v>92.614684999999994</c:v>
                </c:pt>
                <c:pt idx="10">
                  <c:v>91.075999999999993</c:v>
                </c:pt>
                <c:pt idx="11">
                  <c:v>86.015299999999996</c:v>
                </c:pt>
                <c:pt idx="12">
                  <c:v>88.642700000000005</c:v>
                </c:pt>
                <c:pt idx="13">
                  <c:v>86.158799999999999</c:v>
                </c:pt>
                <c:pt idx="14">
                  <c:v>93.067179999999993</c:v>
                </c:pt>
                <c:pt idx="15">
                  <c:v>97.019599999999997</c:v>
                </c:pt>
                <c:pt idx="16">
                  <c:v>92.903360000000006</c:v>
                </c:pt>
                <c:pt idx="17">
                  <c:v>85.376959999999997</c:v>
                </c:pt>
                <c:pt idx="18">
                  <c:v>72.869280000000003</c:v>
                </c:pt>
                <c:pt idx="19">
                  <c:v>54.276000000000003</c:v>
                </c:pt>
                <c:pt idx="20">
                  <c:v>60.013399999999997</c:v>
                </c:pt>
                <c:pt idx="21">
                  <c:v>63.1738</c:v>
                </c:pt>
                <c:pt idx="22">
                  <c:v>67.474000000000004</c:v>
                </c:pt>
                <c:pt idx="23">
                  <c:v>71.114999999999995</c:v>
                </c:pt>
                <c:pt idx="24">
                  <c:v>75.833299999999994</c:v>
                </c:pt>
                <c:pt idx="25">
                  <c:v>76.361999999999995</c:v>
                </c:pt>
                <c:pt idx="26">
                  <c:v>78.165000000000006</c:v>
                </c:pt>
                <c:pt idx="27">
                  <c:v>80.373999999999995</c:v>
                </c:pt>
                <c:pt idx="28">
                  <c:v>81.997600000000006</c:v>
                </c:pt>
                <c:pt idx="29">
                  <c:v>82.471699999999998</c:v>
                </c:pt>
                <c:pt idx="30">
                  <c:v>79.133602999999994</c:v>
                </c:pt>
              </c:numCache>
            </c:numRef>
          </c:yVal>
          <c:smooth val="0"/>
          <c:extLst>
            <c:ext xmlns:c16="http://schemas.microsoft.com/office/drawing/2014/chart" uri="{C3380CC4-5D6E-409C-BE32-E72D297353CC}">
              <c16:uniqueId val="{00000000-391D-468E-BC49-1EAB8062E43F}"/>
            </c:ext>
          </c:extLst>
        </c:ser>
        <c:ser>
          <c:idx val="1"/>
          <c:order val="1"/>
          <c:tx>
            <c:strRef>
              <c:f>'[wood products data FAOSTAT_data_en_4-16-2023.xls]total wood plus panels'!$J$4</c:f>
              <c:strCache>
                <c:ptCount val="1"/>
                <c:pt idx="0">
                  <c:v>panels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'[wood products data FAOSTAT_data_en_4-16-2023.xls]total wood plus panels'!$H$5:$H$35</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'[wood products data FAOSTAT_data_en_4-16-2023.xls]total wood plus panels'!$J$5:$J$35</c:f>
              <c:numCache>
                <c:formatCode>0.00</c:formatCode>
                <c:ptCount val="31"/>
                <c:pt idx="0">
                  <c:v>37.040008</c:v>
                </c:pt>
                <c:pt idx="1">
                  <c:v>35.072000000000003</c:v>
                </c:pt>
                <c:pt idx="2">
                  <c:v>37.615008000000003</c:v>
                </c:pt>
                <c:pt idx="3">
                  <c:v>38.049999999999997</c:v>
                </c:pt>
                <c:pt idx="4">
                  <c:v>38.898000000000003</c:v>
                </c:pt>
                <c:pt idx="5">
                  <c:v>38.076999999999998</c:v>
                </c:pt>
                <c:pt idx="6">
                  <c:v>39.375</c:v>
                </c:pt>
                <c:pt idx="7">
                  <c:v>40.042000000000002</c:v>
                </c:pt>
                <c:pt idx="8">
                  <c:v>42.531999999999996</c:v>
                </c:pt>
                <c:pt idx="9">
                  <c:v>45.500999999999998</c:v>
                </c:pt>
                <c:pt idx="10">
                  <c:v>45.423000000000002</c:v>
                </c:pt>
                <c:pt idx="11">
                  <c:v>39.895606999999998</c:v>
                </c:pt>
                <c:pt idx="12">
                  <c:v>40.649712999999998</c:v>
                </c:pt>
                <c:pt idx="13">
                  <c:v>42.338259999999998</c:v>
                </c:pt>
                <c:pt idx="14">
                  <c:v>44.114255</c:v>
                </c:pt>
                <c:pt idx="15">
                  <c:v>44.389051000000002</c:v>
                </c:pt>
                <c:pt idx="16">
                  <c:v>43.958720999999997</c:v>
                </c:pt>
                <c:pt idx="17">
                  <c:v>40.511144999999999</c:v>
                </c:pt>
                <c:pt idx="18">
                  <c:v>35.176450000000003</c:v>
                </c:pt>
                <c:pt idx="19">
                  <c:v>33.965789000000001</c:v>
                </c:pt>
                <c:pt idx="20">
                  <c:v>32.192279999999997</c:v>
                </c:pt>
                <c:pt idx="21">
                  <c:v>31.649823000000001</c:v>
                </c:pt>
                <c:pt idx="22">
                  <c:v>31.059000000000001</c:v>
                </c:pt>
                <c:pt idx="23">
                  <c:v>33.062390000000001</c:v>
                </c:pt>
                <c:pt idx="24">
                  <c:v>35.059539999999998</c:v>
                </c:pt>
                <c:pt idx="25">
                  <c:v>35.258505</c:v>
                </c:pt>
                <c:pt idx="26">
                  <c:v>35.95673</c:v>
                </c:pt>
                <c:pt idx="27">
                  <c:v>36.20091</c:v>
                </c:pt>
                <c:pt idx="28">
                  <c:v>34.244962000000001</c:v>
                </c:pt>
                <c:pt idx="29">
                  <c:v>34.353377000000002</c:v>
                </c:pt>
                <c:pt idx="30">
                  <c:v>33.406995999999999</c:v>
                </c:pt>
              </c:numCache>
            </c:numRef>
          </c:yVal>
          <c:smooth val="0"/>
          <c:extLst>
            <c:ext xmlns:c16="http://schemas.microsoft.com/office/drawing/2014/chart" uri="{C3380CC4-5D6E-409C-BE32-E72D297353CC}">
              <c16:uniqueId val="{00000001-391D-468E-BC49-1EAB8062E43F}"/>
            </c:ext>
          </c:extLst>
        </c:ser>
        <c:ser>
          <c:idx val="2"/>
          <c:order val="2"/>
          <c:tx>
            <c:strRef>
              <c:f>'[wood products data FAOSTAT_data_en_4-16-2023.xls]total wood plus panels'!$K$4</c:f>
              <c:strCache>
                <c:ptCount val="1"/>
                <c:pt idx="0">
                  <c:v>total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'[wood products data FAOSTAT_data_en_4-16-2023.xls]total wood plus panels'!$H$5:$H$35</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'[wood products data FAOSTAT_data_en_4-16-2023.xls]total wood plus panels'!$K$5:$K$35</c:f>
              <c:numCache>
                <c:formatCode>0.00</c:formatCode>
                <c:ptCount val="31"/>
                <c:pt idx="0">
                  <c:v>123.184708</c:v>
                </c:pt>
                <c:pt idx="1">
                  <c:v>115.548708</c:v>
                </c:pt>
                <c:pt idx="2">
                  <c:v>122.765208</c:v>
                </c:pt>
                <c:pt idx="3">
                  <c:v>121.8399</c:v>
                </c:pt>
                <c:pt idx="4">
                  <c:v>125.93389999999999</c:v>
                </c:pt>
                <c:pt idx="5">
                  <c:v>122.2171</c:v>
                </c:pt>
                <c:pt idx="6">
                  <c:v>125.5772</c:v>
                </c:pt>
                <c:pt idx="7">
                  <c:v>128.9479</c:v>
                </c:pt>
                <c:pt idx="8">
                  <c:v>131.52291099999999</c:v>
                </c:pt>
                <c:pt idx="9">
                  <c:v>138.11568499999998</c:v>
                </c:pt>
                <c:pt idx="10">
                  <c:v>136.499</c:v>
                </c:pt>
                <c:pt idx="11">
                  <c:v>125.91090699999999</c:v>
                </c:pt>
                <c:pt idx="12">
                  <c:v>129.29241300000001</c:v>
                </c:pt>
                <c:pt idx="13">
                  <c:v>128.49706</c:v>
                </c:pt>
                <c:pt idx="14">
                  <c:v>137.18143499999999</c:v>
                </c:pt>
                <c:pt idx="15">
                  <c:v>141.40865099999999</c:v>
                </c:pt>
                <c:pt idx="16">
                  <c:v>136.86208099999999</c:v>
                </c:pt>
                <c:pt idx="17">
                  <c:v>125.888105</c:v>
                </c:pt>
                <c:pt idx="18">
                  <c:v>108.04573000000001</c:v>
                </c:pt>
                <c:pt idx="19">
                  <c:v>88.241789000000011</c:v>
                </c:pt>
                <c:pt idx="20">
                  <c:v>92.205680000000001</c:v>
                </c:pt>
                <c:pt idx="21">
                  <c:v>94.823622999999998</c:v>
                </c:pt>
                <c:pt idx="22">
                  <c:v>98.533000000000001</c:v>
                </c:pt>
                <c:pt idx="23">
                  <c:v>104.17739</c:v>
                </c:pt>
                <c:pt idx="24">
                  <c:v>110.89283999999999</c:v>
                </c:pt>
                <c:pt idx="25">
                  <c:v>111.62050499999999</c:v>
                </c:pt>
                <c:pt idx="26">
                  <c:v>114.12173000000001</c:v>
                </c:pt>
                <c:pt idx="27">
                  <c:v>116.57490999999999</c:v>
                </c:pt>
                <c:pt idx="28">
                  <c:v>116.24256200000001</c:v>
                </c:pt>
                <c:pt idx="29">
                  <c:v>116.82507699999999</c:v>
                </c:pt>
                <c:pt idx="30">
                  <c:v>112.54059899999999</c:v>
                </c:pt>
              </c:numCache>
            </c:numRef>
          </c:yVal>
          <c:smooth val="0"/>
          <c:extLst>
            <c:ext xmlns:c16="http://schemas.microsoft.com/office/drawing/2014/chart" uri="{C3380CC4-5D6E-409C-BE32-E72D297353CC}">
              <c16:uniqueId val="{00000002-391D-468E-BC49-1EAB8062E43F}"/>
            </c:ext>
          </c:extLst>
        </c:ser>
        <c:dLbls>
          <c:showLegendKey val="0"/>
          <c:showVal val="0"/>
          <c:showCatName val="0"/>
          <c:showSerName val="0"/>
          <c:showPercent val="0"/>
          <c:showBubbleSize val="0"/>
        </c:dLbls>
        <c:axId val="784251808"/>
        <c:axId val="784244608"/>
      </c:scatterChart>
      <c:valAx>
        <c:axId val="784251808"/>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4244608"/>
        <c:crosses val="autoZero"/>
        <c:crossBetween val="midCat"/>
      </c:valAx>
      <c:valAx>
        <c:axId val="78424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Cubic Meters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42518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'[Wood product Sector Averages MECS June 28.xlsx]FPI WP Direct Summary'!$C$20</c:f>
              <c:strCache>
                <c:ptCount val="1"/>
                <c:pt idx="0">
                  <c:v>NAICS 321 total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'[Wood product Sector Averages MECS June 28.xlsx]FPI WP Direct Summary'!$B$21:$B$28</c:f>
              <c:numCache>
                <c:formatCode>General</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28.xlsx]FPI WP Direct Summary'!$C$21:$C$28</c:f>
              <c:numCache>
                <c:formatCode>General</c:formatCode>
                <c:ptCount val="8"/>
                <c:pt idx="0">
                  <c:v>3.6152853098475215</c:v>
                </c:pt>
                <c:pt idx="1">
                  <c:v>4.6053665581788881</c:v>
                </c:pt>
                <c:pt idx="2">
                  <c:v>5.8619263011056004</c:v>
                </c:pt>
                <c:pt idx="3">
                  <c:v>4.8120144814078607</c:v>
                </c:pt>
                <c:pt idx="4">
                  <c:v>7.2573908990422549</c:v>
                </c:pt>
                <c:pt idx="5">
                  <c:v>4.444151787580485</c:v>
                </c:pt>
                <c:pt idx="6">
                  <c:v>4.1406180856460111</c:v>
                </c:pt>
                <c:pt idx="7">
                  <c:v>5.0553432992614979</c:v>
                </c:pt>
              </c:numCache>
            </c:numRef>
          </c:yVal>
          <c:smooth val="0"/>
          <c:extLst>
            <c:ext xmlns:c16="http://schemas.microsoft.com/office/drawing/2014/chart" uri="{C3380CC4-5D6E-409C-BE32-E72D297353CC}">
              <c16:uniqueId val="{00000000-4E15-42E4-AD16-551F0D8E7F3C}"/>
            </c:ext>
          </c:extLst>
        </c:ser>
        <c:ser>
          <c:idx val="1"/>
          <c:order val="1"/>
          <c:tx>
            <c:strRef>
              <c:f>'[Wood product Sector Averages MECS June 28.xlsx]FPI WP Direct Summary'!$D$20</c:f>
              <c:strCache>
                <c:ptCount val="1"/>
                <c:pt idx="0">
                  <c:v>Primary Manufacturing Sector Subsectors total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'[Wood product Sector Averages MECS June 28.xlsx]FPI WP Direct Summary'!$B$21:$B$28</c:f>
              <c:numCache>
                <c:formatCode>General</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28.xlsx]FPI WP Direct Summary'!$D$21:$D$28</c:f>
              <c:numCache>
                <c:formatCode>General</c:formatCode>
                <c:ptCount val="8"/>
                <c:pt idx="0">
                  <c:v>3.6152853098475215</c:v>
                </c:pt>
                <c:pt idx="1">
                  <c:v>4.6053665581788881</c:v>
                </c:pt>
                <c:pt idx="2">
                  <c:v>5.4759634067334968</c:v>
                </c:pt>
                <c:pt idx="3">
                  <c:v>4.4285335004172977</c:v>
                </c:pt>
                <c:pt idx="4">
                  <c:v>5.9576527844431224</c:v>
                </c:pt>
                <c:pt idx="5">
                  <c:v>3.5949248420542217</c:v>
                </c:pt>
                <c:pt idx="6">
                  <c:v>3.8136816412736452</c:v>
                </c:pt>
                <c:pt idx="7">
                  <c:v>4.7681265213729658</c:v>
                </c:pt>
              </c:numCache>
            </c:numRef>
          </c:yVal>
          <c:smooth val="0"/>
          <c:extLst>
            <c:ext xmlns:c16="http://schemas.microsoft.com/office/drawing/2014/chart" uri="{C3380CC4-5D6E-409C-BE32-E72D297353CC}">
              <c16:uniqueId val="{00000001-4E15-42E4-AD16-551F0D8E7F3C}"/>
            </c:ext>
          </c:extLst>
        </c:ser>
        <c:dLbls>
          <c:showLegendKey val="0"/>
          <c:showVal val="0"/>
          <c:showCatName val="0"/>
          <c:showSerName val="0"/>
          <c:showPercent val="0"/>
          <c:showBubbleSize val="0"/>
        </c:dLbls>
        <c:axId val="371725583"/>
        <c:axId val="371728463"/>
      </c:scatterChart>
      <c:valAx>
        <c:axId val="371725583"/>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728463"/>
        <c:crosses val="autoZero"/>
        <c:crossBetween val="midCat"/>
      </c:valAx>
      <c:valAx>
        <c:axId val="371728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r>
                  <a:rPr lang="en-US"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72558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3"/>
          <c:order val="0"/>
          <c:tx>
            <c:strRef>
              <c:f>Summary!$A$16</c:f>
              <c:strCache>
                <c:ptCount val="1"/>
                <c:pt idx="0">
                  <c:v>Biomass</c:v>
                </c:pt>
              </c:strCache>
            </c:strRef>
          </c:tx>
          <c:spPr>
            <a:solidFill>
              <a:schemeClr val="accent6"/>
            </a:solidFill>
            <a:ln>
              <a:noFill/>
            </a:ln>
            <a:effectLst/>
          </c:spPr>
          <c:invertIfNegative val="0"/>
          <c:val>
            <c:numRef>
              <c:f>Summary!$B$16:$I$16</c:f>
              <c:numCache>
                <c:formatCode>0%</c:formatCode>
                <c:ptCount val="8"/>
                <c:pt idx="0">
                  <c:v>0.70754716981132071</c:v>
                </c:pt>
                <c:pt idx="1">
                  <c:v>0.66666666666666663</c:v>
                </c:pt>
                <c:pt idx="2">
                  <c:v>0.6495726495726496</c:v>
                </c:pt>
                <c:pt idx="3">
                  <c:v>0.61066666666666669</c:v>
                </c:pt>
                <c:pt idx="4">
                  <c:v>0.53023255813953485</c:v>
                </c:pt>
                <c:pt idx="5">
                  <c:v>0.76119402985074625</c:v>
                </c:pt>
                <c:pt idx="6">
                  <c:v>0.64583333333333337</c:v>
                </c:pt>
                <c:pt idx="7">
                  <c:v>0.60362694300518138</c:v>
                </c:pt>
              </c:numCache>
            </c:numRef>
          </c:val>
          <c:extLst>
            <c:ext xmlns:c16="http://schemas.microsoft.com/office/drawing/2014/chart" uri="{C3380CC4-5D6E-409C-BE32-E72D297353CC}">
              <c16:uniqueId val="{00000000-05E6-459C-BC0B-E6A946CEFD92}"/>
            </c:ext>
          </c:extLst>
        </c:ser>
        <c:ser>
          <c:idx val="0"/>
          <c:order val="1"/>
          <c:tx>
            <c:strRef>
              <c:f>Summary!$A$13</c:f>
              <c:strCache>
                <c:ptCount val="1"/>
                <c:pt idx="0">
                  <c:v>Net Electricity</c:v>
                </c:pt>
              </c:strCache>
            </c:strRef>
          </c:tx>
          <c:spPr>
            <a:solidFill>
              <a:schemeClr val="accent1"/>
            </a:solidFill>
            <a:ln>
              <a:noFill/>
            </a:ln>
            <a:effectLst/>
          </c:spPr>
          <c:invertIfNegative val="0"/>
          <c:cat>
            <c:numRef>
              <c:f>Summary!$B$4:$I$4</c:f>
              <c:numCache>
                <c:formatCode>General</c:formatCode>
                <c:ptCount val="8"/>
                <c:pt idx="0">
                  <c:v>1991</c:v>
                </c:pt>
                <c:pt idx="1">
                  <c:v>1994</c:v>
                </c:pt>
                <c:pt idx="2">
                  <c:v>1998</c:v>
                </c:pt>
                <c:pt idx="3">
                  <c:v>2002</c:v>
                </c:pt>
                <c:pt idx="4">
                  <c:v>2006</c:v>
                </c:pt>
                <c:pt idx="5">
                  <c:v>2010</c:v>
                </c:pt>
                <c:pt idx="6">
                  <c:v>2014</c:v>
                </c:pt>
                <c:pt idx="7">
                  <c:v>2018</c:v>
                </c:pt>
              </c:numCache>
            </c:numRef>
          </c:cat>
          <c:val>
            <c:numRef>
              <c:f>Summary!$B$13:$I$13</c:f>
              <c:numCache>
                <c:formatCode>0%</c:formatCode>
                <c:ptCount val="8"/>
                <c:pt idx="0">
                  <c:v>0.14386792452830188</c:v>
                </c:pt>
                <c:pt idx="1">
                  <c:v>0.15632183908045977</c:v>
                </c:pt>
                <c:pt idx="2">
                  <c:v>0.15042735042735042</c:v>
                </c:pt>
                <c:pt idx="3">
                  <c:v>0.192</c:v>
                </c:pt>
                <c:pt idx="4">
                  <c:v>0.21162790697674419</c:v>
                </c:pt>
                <c:pt idx="5">
                  <c:v>0.11087420042643924</c:v>
                </c:pt>
                <c:pt idx="6">
                  <c:v>0.19010416666666666</c:v>
                </c:pt>
                <c:pt idx="7">
                  <c:v>0.18393782383419688</c:v>
                </c:pt>
              </c:numCache>
            </c:numRef>
          </c:val>
          <c:extLst>
            <c:ext xmlns:c16="http://schemas.microsoft.com/office/drawing/2014/chart" uri="{C3380CC4-5D6E-409C-BE32-E72D297353CC}">
              <c16:uniqueId val="{00000001-05E6-459C-BC0B-E6A946CEFD92}"/>
            </c:ext>
          </c:extLst>
        </c:ser>
        <c:ser>
          <c:idx val="1"/>
          <c:order val="2"/>
          <c:tx>
            <c:strRef>
              <c:f>Summary!$A$14</c:f>
              <c:strCache>
                <c:ptCount val="1"/>
                <c:pt idx="0">
                  <c:v>Natural Gas</c:v>
                </c:pt>
              </c:strCache>
            </c:strRef>
          </c:tx>
          <c:spPr>
            <a:solidFill>
              <a:schemeClr val="accent2"/>
            </a:solidFill>
            <a:ln>
              <a:noFill/>
            </a:ln>
            <a:effectLst/>
          </c:spPr>
          <c:invertIfNegative val="0"/>
          <c:val>
            <c:numRef>
              <c:f>Summary!$B$14:$I$14</c:f>
              <c:numCache>
                <c:formatCode>0%</c:formatCode>
                <c:ptCount val="8"/>
                <c:pt idx="0">
                  <c:v>9.6698113207547176E-2</c:v>
                </c:pt>
                <c:pt idx="1">
                  <c:v>0.1103448275862069</c:v>
                </c:pt>
                <c:pt idx="2">
                  <c:v>0.13162393162393163</c:v>
                </c:pt>
                <c:pt idx="3">
                  <c:v>0.152</c:v>
                </c:pt>
                <c:pt idx="4">
                  <c:v>0.2</c:v>
                </c:pt>
                <c:pt idx="5">
                  <c:v>7.2494669509594878E-2</c:v>
                </c:pt>
                <c:pt idx="6">
                  <c:v>0.12760416666666666</c:v>
                </c:pt>
                <c:pt idx="7">
                  <c:v>0.17357512953367876</c:v>
                </c:pt>
              </c:numCache>
            </c:numRef>
          </c:val>
          <c:extLst>
            <c:ext xmlns:c16="http://schemas.microsoft.com/office/drawing/2014/chart" uri="{C3380CC4-5D6E-409C-BE32-E72D297353CC}">
              <c16:uniqueId val="{00000002-05E6-459C-BC0B-E6A946CEFD92}"/>
            </c:ext>
          </c:extLst>
        </c:ser>
        <c:ser>
          <c:idx val="2"/>
          <c:order val="3"/>
          <c:tx>
            <c:strRef>
              <c:f>Summary!$A$15</c:f>
              <c:strCache>
                <c:ptCount val="1"/>
                <c:pt idx="0">
                  <c:v>Other Fossil Fuel</c:v>
                </c:pt>
              </c:strCache>
            </c:strRef>
          </c:tx>
          <c:spPr>
            <a:solidFill>
              <a:schemeClr val="bg1">
                <a:lumMod val="75000"/>
              </a:schemeClr>
            </a:solidFill>
            <a:ln>
              <a:noFill/>
            </a:ln>
            <a:effectLst/>
          </c:spPr>
          <c:invertIfNegative val="0"/>
          <c:val>
            <c:numRef>
              <c:f>Summary!$B$15:$I$15</c:f>
              <c:numCache>
                <c:formatCode>0%</c:formatCode>
                <c:ptCount val="8"/>
                <c:pt idx="0">
                  <c:v>5.1886792452830191E-2</c:v>
                </c:pt>
                <c:pt idx="1">
                  <c:v>6.6666666666666666E-2</c:v>
                </c:pt>
                <c:pt idx="2">
                  <c:v>6.8376068376068383E-2</c:v>
                </c:pt>
                <c:pt idx="3">
                  <c:v>4.5333333333333337E-2</c:v>
                </c:pt>
                <c:pt idx="4">
                  <c:v>5.8139534883720929E-2</c:v>
                </c:pt>
                <c:pt idx="5">
                  <c:v>5.5437100213219619E-2</c:v>
                </c:pt>
                <c:pt idx="6">
                  <c:v>3.6458333333333336E-2</c:v>
                </c:pt>
                <c:pt idx="7">
                  <c:v>3.8860103626943004E-2</c:v>
                </c:pt>
              </c:numCache>
            </c:numRef>
          </c:val>
          <c:extLst>
            <c:ext xmlns:c16="http://schemas.microsoft.com/office/drawing/2014/chart" uri="{C3380CC4-5D6E-409C-BE32-E72D297353CC}">
              <c16:uniqueId val="{00000003-05E6-459C-BC0B-E6A946CEFD92}"/>
            </c:ext>
          </c:extLst>
        </c:ser>
        <c:dLbls>
          <c:showLegendKey val="0"/>
          <c:showVal val="0"/>
          <c:showCatName val="0"/>
          <c:showSerName val="0"/>
          <c:showPercent val="0"/>
          <c:showBubbleSize val="0"/>
        </c:dLbls>
        <c:gapWidth val="150"/>
        <c:overlap val="100"/>
        <c:axId val="844944904"/>
        <c:axId val="844944544"/>
      </c:barChart>
      <c:catAx>
        <c:axId val="84494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4944544"/>
        <c:crosses val="autoZero"/>
        <c:auto val="1"/>
        <c:lblAlgn val="ctr"/>
        <c:lblOffset val="100"/>
        <c:noMultiLvlLbl val="0"/>
      </c:catAx>
      <c:valAx>
        <c:axId val="8449445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Percentage of Total On-site Energy Needs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494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22471317722839"/>
          <c:y val="4.364197989402268E-2"/>
          <c:w val="0.7924895032225775"/>
          <c:h val="0.7091752092309217"/>
        </c:manualLayout>
      </c:layout>
      <c:scatterChart>
        <c:scatterStyle val="lineMarker"/>
        <c:varyColors val="0"/>
        <c:ser>
          <c:idx val="0"/>
          <c:order val="0"/>
          <c:tx>
            <c:v>EIA MECS 322 Paper</c:v>
          </c:tx>
          <c:spPr>
            <a:ln w="19050">
              <a:solidFill>
                <a:schemeClr val="accent1"/>
              </a:solidFill>
            </a:ln>
          </c:spPr>
          <c:marker>
            <c:spPr>
              <a:ln>
                <a:noFill/>
              </a:ln>
            </c:spPr>
          </c:marker>
          <c:xVal>
            <c:numRef>
              <c:f>Summary!$C$2:$J$2</c:f>
              <c:numCache>
                <c:formatCode>General</c:formatCode>
                <c:ptCount val="8"/>
                <c:pt idx="0">
                  <c:v>1991</c:v>
                </c:pt>
                <c:pt idx="1">
                  <c:v>1994</c:v>
                </c:pt>
                <c:pt idx="2">
                  <c:v>1998</c:v>
                </c:pt>
                <c:pt idx="3">
                  <c:v>2002</c:v>
                </c:pt>
                <c:pt idx="4">
                  <c:v>2006</c:v>
                </c:pt>
                <c:pt idx="5">
                  <c:v>2010</c:v>
                </c:pt>
                <c:pt idx="6">
                  <c:v>2014</c:v>
                </c:pt>
                <c:pt idx="7">
                  <c:v>2018</c:v>
                </c:pt>
              </c:numCache>
            </c:numRef>
          </c:xVal>
          <c:yVal>
            <c:numRef>
              <c:f>Summary!$C$81:$J$81</c:f>
              <c:numCache>
                <c:formatCode>0</c:formatCode>
                <c:ptCount val="8"/>
                <c:pt idx="0">
                  <c:v>118.12078895054643</c:v>
                </c:pt>
                <c:pt idx="1">
                  <c:v>126.2022430871789</c:v>
                </c:pt>
                <c:pt idx="2">
                  <c:v>138.70030587987793</c:v>
                </c:pt>
                <c:pt idx="3">
                  <c:v>119.90622649236056</c:v>
                </c:pt>
                <c:pt idx="4">
                  <c:v>122.44359085696216</c:v>
                </c:pt>
                <c:pt idx="5">
                  <c:v>117.74423579553881</c:v>
                </c:pt>
                <c:pt idx="6">
                  <c:v>121.31578244642438</c:v>
                </c:pt>
                <c:pt idx="7">
                  <c:v>114.92579545466849</c:v>
                </c:pt>
              </c:numCache>
            </c:numRef>
          </c:yVal>
          <c:smooth val="0"/>
          <c:extLst>
            <c:ext xmlns:c16="http://schemas.microsoft.com/office/drawing/2014/chart" uri="{C3380CC4-5D6E-409C-BE32-E72D297353CC}">
              <c16:uniqueId val="{00000000-0388-4260-A9A4-716FCA1E7DFD}"/>
            </c:ext>
          </c:extLst>
        </c:ser>
        <c:ser>
          <c:idx val="1"/>
          <c:order val="1"/>
          <c:tx>
            <c:v>USEPA GHGRP 322 Paper</c:v>
          </c:tx>
          <c:spPr>
            <a:ln w="19050"/>
          </c:spPr>
          <c:marker>
            <c:spPr>
              <a:ln>
                <a:noFill/>
              </a:ln>
            </c:spPr>
          </c:marker>
          <c:xVal>
            <c:numRef>
              <c:f>Summary!$H$83:$K$83</c:f>
              <c:numCache>
                <c:formatCode>General</c:formatCode>
                <c:ptCount val="4"/>
                <c:pt idx="0">
                  <c:v>2010</c:v>
                </c:pt>
                <c:pt idx="1">
                  <c:v>2014</c:v>
                </c:pt>
                <c:pt idx="2">
                  <c:v>2018</c:v>
                </c:pt>
                <c:pt idx="3">
                  <c:v>2020</c:v>
                </c:pt>
              </c:numCache>
            </c:numRef>
          </c:xVal>
          <c:yVal>
            <c:numRef>
              <c:f>Summary!$H$100:$K$100</c:f>
              <c:numCache>
                <c:formatCode>_(* #,##0.00_);_(* \(#,##0.00\);_(* "-"??_);_(@_)</c:formatCode>
                <c:ptCount val="4"/>
                <c:pt idx="0">
                  <c:v>120.43866709999999</c:v>
                </c:pt>
                <c:pt idx="1">
                  <c:v>119.36586609999996</c:v>
                </c:pt>
                <c:pt idx="2">
                  <c:v>110.69344689999997</c:v>
                </c:pt>
                <c:pt idx="3">
                  <c:v>100.96808849999999</c:v>
                </c:pt>
              </c:numCache>
            </c:numRef>
          </c:yVal>
          <c:smooth val="0"/>
          <c:extLst>
            <c:ext xmlns:c16="http://schemas.microsoft.com/office/drawing/2014/chart" uri="{C3380CC4-5D6E-409C-BE32-E72D297353CC}">
              <c16:uniqueId val="{00000001-0388-4260-A9A4-716FCA1E7DFD}"/>
            </c:ext>
          </c:extLst>
        </c:ser>
        <c:ser>
          <c:idx val="2"/>
          <c:order val="2"/>
          <c:tx>
            <c:v>EIA MECS 321 WP</c:v>
          </c:tx>
          <c:spPr>
            <a:ln w="22225">
              <a:solidFill>
                <a:schemeClr val="accent3"/>
              </a:solidFill>
            </a:ln>
          </c:spPr>
          <c:marker>
            <c:spPr>
              <a:ln>
                <a:noFill/>
              </a:ln>
            </c:spPr>
          </c:marker>
          <c:xVal>
            <c:numRef>
              <c:f>'[MECS WPs.xlsx]Summary'!$A$21:$A$28</c:f>
              <c:numCache>
                <c:formatCode>General</c:formatCode>
                <c:ptCount val="8"/>
                <c:pt idx="0">
                  <c:v>1991</c:v>
                </c:pt>
                <c:pt idx="1">
                  <c:v>1994</c:v>
                </c:pt>
                <c:pt idx="2">
                  <c:v>1998</c:v>
                </c:pt>
                <c:pt idx="3">
                  <c:v>2002</c:v>
                </c:pt>
                <c:pt idx="4">
                  <c:v>2006</c:v>
                </c:pt>
                <c:pt idx="5">
                  <c:v>2010</c:v>
                </c:pt>
                <c:pt idx="6">
                  <c:v>2014</c:v>
                </c:pt>
                <c:pt idx="7">
                  <c:v>2018</c:v>
                </c:pt>
              </c:numCache>
            </c:numRef>
          </c:xVal>
          <c:yVal>
            <c:numRef>
              <c:f>'[MECS WPs.xlsx]Summary'!$B$21:$B$28</c:f>
              <c:numCache>
                <c:formatCode>_(* #,##0.0_);_(* \(#,##0.0\);_(* "-"??_);_(@_)</c:formatCode>
                <c:ptCount val="8"/>
                <c:pt idx="0">
                  <c:v>26.67</c:v>
                </c:pt>
                <c:pt idx="1">
                  <c:v>25.780999999999999</c:v>
                </c:pt>
                <c:pt idx="2">
                  <c:v>33.781999999999996</c:v>
                </c:pt>
                <c:pt idx="3">
                  <c:v>20.358100000000004</c:v>
                </c:pt>
                <c:pt idx="4">
                  <c:v>20.269200000000001</c:v>
                </c:pt>
                <c:pt idx="5">
                  <c:v>31.737300000000001</c:v>
                </c:pt>
                <c:pt idx="6">
                  <c:v>22.0472</c:v>
                </c:pt>
                <c:pt idx="7">
                  <c:v>20.713699999999999</c:v>
                </c:pt>
              </c:numCache>
            </c:numRef>
          </c:yVal>
          <c:smooth val="0"/>
          <c:extLst>
            <c:ext xmlns:c16="http://schemas.microsoft.com/office/drawing/2014/chart" uri="{C3380CC4-5D6E-409C-BE32-E72D297353CC}">
              <c16:uniqueId val="{00000002-0388-4260-A9A4-716FCA1E7DFD}"/>
            </c:ext>
          </c:extLst>
        </c:ser>
        <c:ser>
          <c:idx val="3"/>
          <c:order val="3"/>
          <c:tx>
            <c:strRef>
              <c:f>Summary!$B$102</c:f>
              <c:strCache>
                <c:ptCount val="1"/>
                <c:pt idx="0">
                  <c:v>Lime Kiln Biogenic Emissions, 322 Paper</c:v>
                </c:pt>
              </c:strCache>
            </c:strRef>
          </c:tx>
          <c:spPr>
            <a:ln w="19050"/>
          </c:spPr>
          <c:marker>
            <c:symbol val="circle"/>
            <c:size val="7"/>
            <c:spPr>
              <a:ln>
                <a:noFill/>
              </a:ln>
            </c:spPr>
          </c:marker>
          <c:xVal>
            <c:numRef>
              <c:f>Summary!$H$83:$K$83</c:f>
              <c:numCache>
                <c:formatCode>General</c:formatCode>
                <c:ptCount val="4"/>
                <c:pt idx="0">
                  <c:v>2010</c:v>
                </c:pt>
                <c:pt idx="1">
                  <c:v>2014</c:v>
                </c:pt>
                <c:pt idx="2">
                  <c:v>2018</c:v>
                </c:pt>
                <c:pt idx="3">
                  <c:v>2020</c:v>
                </c:pt>
              </c:numCache>
            </c:numRef>
          </c:xVal>
          <c:yVal>
            <c:numRef>
              <c:f>Summary!$H$104:$K$104</c:f>
              <c:numCache>
                <c:formatCode>_(* #,##0.0_);_(* \(#,##0.0\);_(* "-"??_);_(@_)</c:formatCode>
                <c:ptCount val="4"/>
                <c:pt idx="0">
                  <c:v>12.024437842615384</c:v>
                </c:pt>
                <c:pt idx="1">
                  <c:v>8.9758198273333356</c:v>
                </c:pt>
                <c:pt idx="2">
                  <c:v>9.1156436707179491</c:v>
                </c:pt>
                <c:pt idx="3">
                  <c:v>8.9833983453333346</c:v>
                </c:pt>
              </c:numCache>
            </c:numRef>
          </c:yVal>
          <c:smooth val="0"/>
          <c:extLst>
            <c:ext xmlns:c16="http://schemas.microsoft.com/office/drawing/2014/chart" uri="{C3380CC4-5D6E-409C-BE32-E72D297353CC}">
              <c16:uniqueId val="{00000003-0388-4260-A9A4-716FCA1E7DFD}"/>
            </c:ext>
          </c:extLst>
        </c:ser>
        <c:dLbls>
          <c:showLegendKey val="0"/>
          <c:showVal val="0"/>
          <c:showCatName val="0"/>
          <c:showSerName val="0"/>
          <c:showPercent val="0"/>
          <c:showBubbleSize val="0"/>
        </c:dLbls>
        <c:axId val="82909056"/>
        <c:axId val="82923520"/>
      </c:scatterChart>
      <c:valAx>
        <c:axId val="82909056"/>
        <c:scaling>
          <c:orientation val="minMax"/>
          <c:max val="2020"/>
          <c:min val="1990"/>
        </c:scaling>
        <c:delete val="0"/>
        <c:axPos val="b"/>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2923520"/>
        <c:crosses val="autoZero"/>
        <c:crossBetween val="midCat"/>
        <c:majorUnit val="4"/>
        <c:minorUnit val="1"/>
      </c:valAx>
      <c:valAx>
        <c:axId val="82923520"/>
        <c:scaling>
          <c:orientation val="minMax"/>
        </c:scaling>
        <c:delete val="0"/>
        <c:axPos val="l"/>
        <c:majorGridlines/>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Biogenic CO</a:t>
                </a:r>
                <a:r>
                  <a:rPr lang="en-US" b="0" baseline="-25000">
                    <a:latin typeface="Times New Roman" panose="02020603050405020304" pitchFamily="18" charset="0"/>
                    <a:cs typeface="Times New Roman" panose="02020603050405020304" pitchFamily="18" charset="0"/>
                  </a:rPr>
                  <a:t>2</a:t>
                </a:r>
                <a:r>
                  <a:rPr lang="en-US" b="0">
                    <a:latin typeface="Times New Roman" panose="02020603050405020304" pitchFamily="18" charset="0"/>
                    <a:cs typeface="Times New Roman" panose="02020603050405020304" pitchFamily="18" charset="0"/>
                  </a:rPr>
                  <a:t> Emissions</a:t>
                </a:r>
              </a:p>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 (Million Metric</a:t>
                </a:r>
                <a:r>
                  <a:rPr lang="en-US" b="0" baseline="0">
                    <a:latin typeface="Times New Roman" panose="02020603050405020304" pitchFamily="18" charset="0"/>
                    <a:cs typeface="Times New Roman" panose="02020603050405020304" pitchFamily="18" charset="0"/>
                  </a:rPr>
                  <a:t> Tons</a:t>
                </a:r>
                <a:r>
                  <a:rPr lang="en-US" b="0">
                    <a:latin typeface="Times New Roman" panose="02020603050405020304" pitchFamily="18" charset="0"/>
                    <a:cs typeface="Times New Roman" panose="02020603050405020304" pitchFamily="18" charset="0"/>
                  </a:rPr>
                  <a:t> CO</a:t>
                </a:r>
                <a:r>
                  <a:rPr lang="en-US" b="0" baseline="-25000">
                    <a:latin typeface="Times New Roman" panose="02020603050405020304" pitchFamily="18" charset="0"/>
                    <a:cs typeface="Times New Roman" panose="02020603050405020304" pitchFamily="18" charset="0"/>
                  </a:rPr>
                  <a:t>2</a:t>
                </a:r>
                <a:r>
                  <a:rPr lang="en-US" b="0">
                    <a:latin typeface="Times New Roman" panose="02020603050405020304" pitchFamily="18" charset="0"/>
                    <a:cs typeface="Times New Roman" panose="02020603050405020304" pitchFamily="18" charset="0"/>
                  </a:rPr>
                  <a:t>)</a:t>
                </a:r>
              </a:p>
            </c:rich>
          </c:tx>
          <c:layout>
            <c:manualLayout>
              <c:xMode val="edge"/>
              <c:yMode val="edge"/>
              <c:x val="2.3023186512166328E-2"/>
              <c:y val="0.26029533749319067"/>
            </c:manualLayout>
          </c:layout>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2909056"/>
        <c:crosses val="autoZero"/>
        <c:crossBetween val="midCat"/>
      </c:valAx>
    </c:plotArea>
    <c:legend>
      <c:legendPos val="b"/>
      <c:layout>
        <c:manualLayout>
          <c:xMode val="edge"/>
          <c:yMode val="edge"/>
          <c:x val="3.7389731305420885E-2"/>
          <c:y val="0.82770576437379306"/>
          <c:w val="0.91066449663224414"/>
          <c:h val="0.14870932996582975"/>
        </c:manualLayout>
      </c:layout>
      <c:overlay val="0"/>
      <c:spPr>
        <a:solidFill>
          <a:schemeClr val="bg1"/>
        </a:solidFill>
        <a:ln>
          <a:noFill/>
        </a:ln>
      </c:spPr>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3"/>
          <c:order val="2"/>
          <c:tx>
            <c:strRef>
              <c:f>'[GHG pulp and paper Sector Averages MECS.xlsx]Converting'!$L$4</c:f>
              <c:strCache>
                <c:ptCount val="1"/>
                <c:pt idx="0">
                  <c:v>Difference assigned to paper converting (left axis)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'[GHG pulp and paper Sector Averages MECS.xlsx]Converting'!$H$5:$H$12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MECS.xlsx]Converting'!$L$5:$L$12</c:f>
              <c:numCache>
                <c:formatCode>0.0</c:formatCode>
                <c:ptCount val="8"/>
                <c:pt idx="0">
                  <c:v>4.2954030167170885</c:v>
                </c:pt>
                <c:pt idx="1">
                  <c:v>5.7616418055770424</c:v>
                </c:pt>
                <c:pt idx="2">
                  <c:v>6.1283990372061226</c:v>
                </c:pt>
                <c:pt idx="3">
                  <c:v>4.3684005774757679</c:v>
                </c:pt>
                <c:pt idx="4">
                  <c:v>8.2870714537961305</c:v>
                </c:pt>
                <c:pt idx="5">
                  <c:v>3.9298120285555029</c:v>
                </c:pt>
                <c:pt idx="6">
                  <c:v>3.4155165934233906</c:v>
                </c:pt>
                <c:pt idx="7">
                  <c:v>3.8573609070411834</c:v>
                </c:pt>
              </c:numCache>
            </c:numRef>
          </c:yVal>
          <c:smooth val="0"/>
          <c:extLst>
            <c:ext xmlns:c16="http://schemas.microsoft.com/office/drawing/2014/chart" uri="{C3380CC4-5D6E-409C-BE32-E72D297353CC}">
              <c16:uniqueId val="{00000000-E915-4F36-A02A-424102BFBDA9}"/>
            </c:ext>
          </c:extLst>
        </c:ser>
        <c:dLbls>
          <c:showLegendKey val="0"/>
          <c:showVal val="0"/>
          <c:showCatName val="0"/>
          <c:showSerName val="0"/>
          <c:showPercent val="0"/>
          <c:showBubbleSize val="0"/>
        </c:dLbls>
        <c:axId val="226092768"/>
        <c:axId val="226083648"/>
      </c:scatterChart>
      <c:scatterChart>
        <c:scatterStyle val="lineMarker"/>
        <c:varyColors val="0"/>
        <c:ser>
          <c:idx val="0"/>
          <c:order val="0"/>
          <c:tx>
            <c:strRef>
              <c:f>'[GHG pulp and paper Sector Averages MECS.xlsx]Converting'!$I$4</c:f>
              <c:strCache>
                <c:ptCount val="1"/>
                <c:pt idx="0">
                  <c:v>NAICS 322 total (right axis)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'[GHG pulp and paper Sector Averages MECS.xlsx]Converting'!$H$5:$H$12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MECS.xlsx]Converting'!$I$5:$I$12</c:f>
              <c:numCache>
                <c:formatCode>0.0</c:formatCode>
                <c:ptCount val="8"/>
                <c:pt idx="0">
                  <c:v>70.838551716677813</c:v>
                </c:pt>
                <c:pt idx="1">
                  <c:v>74.72960920846748</c:v>
                </c:pt>
                <c:pt idx="2">
                  <c:v>70.984251420447066</c:v>
                </c:pt>
                <c:pt idx="3">
                  <c:v>59.440506938164788</c:v>
                </c:pt>
                <c:pt idx="4">
                  <c:v>55.311663251193472</c:v>
                </c:pt>
                <c:pt idx="5">
                  <c:v>45.133533098828146</c:v>
                </c:pt>
                <c:pt idx="6">
                  <c:v>39.849658845284857</c:v>
                </c:pt>
                <c:pt idx="7">
                  <c:v>37.874157830140391</c:v>
                </c:pt>
              </c:numCache>
            </c:numRef>
          </c:yVal>
          <c:smooth val="0"/>
          <c:extLst>
            <c:ext xmlns:c16="http://schemas.microsoft.com/office/drawing/2014/chart" uri="{C3380CC4-5D6E-409C-BE32-E72D297353CC}">
              <c16:uniqueId val="{00000001-E915-4F36-A02A-424102BFBDA9}"/>
            </c:ext>
          </c:extLst>
        </c:ser>
        <c:ser>
          <c:idx val="1"/>
          <c:order val="1"/>
          <c:tx>
            <c:strRef>
              <c:f>'[GHG pulp and paper Sector Averages MECS.xlsx]Converting'!$J$4</c:f>
              <c:strCache>
                <c:ptCount val="1"/>
                <c:pt idx="0">
                  <c:v>Sum of pulp and paper subsectors (right axis)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'[GHG pulp and paper Sector Averages MECS.xlsx]Converting'!$H$5:$H$12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MECS.xlsx]Converting'!$J$5:$J$12</c:f>
              <c:numCache>
                <c:formatCode>0.0</c:formatCode>
                <c:ptCount val="8"/>
                <c:pt idx="0">
                  <c:v>66.543148699960724</c:v>
                </c:pt>
                <c:pt idx="1">
                  <c:v>68.967967402890437</c:v>
                </c:pt>
                <c:pt idx="2">
                  <c:v>64.855852383240943</c:v>
                </c:pt>
                <c:pt idx="3">
                  <c:v>55.07210636068902</c:v>
                </c:pt>
                <c:pt idx="4">
                  <c:v>47.024591797397342</c:v>
                </c:pt>
                <c:pt idx="5">
                  <c:v>41.203721070272643</c:v>
                </c:pt>
                <c:pt idx="6">
                  <c:v>36.434142251861466</c:v>
                </c:pt>
                <c:pt idx="7">
                  <c:v>34.016796923099207</c:v>
                </c:pt>
              </c:numCache>
            </c:numRef>
          </c:yVal>
          <c:smooth val="0"/>
          <c:extLst>
            <c:ext xmlns:c16="http://schemas.microsoft.com/office/drawing/2014/chart" uri="{C3380CC4-5D6E-409C-BE32-E72D297353CC}">
              <c16:uniqueId val="{00000002-E915-4F36-A02A-424102BFBDA9}"/>
            </c:ext>
          </c:extLst>
        </c:ser>
        <c:dLbls>
          <c:showLegendKey val="0"/>
          <c:showVal val="0"/>
          <c:showCatName val="0"/>
          <c:showSerName val="0"/>
          <c:showPercent val="0"/>
          <c:showBubbleSize val="0"/>
        </c:dLbls>
        <c:axId val="1596435984"/>
        <c:axId val="1596441744"/>
      </c:scatterChart>
      <c:valAx>
        <c:axId val="226092768"/>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6083648"/>
        <c:crosses val="autoZero"/>
        <c:crossBetween val="midCat"/>
      </c:valAx>
      <c:valAx>
        <c:axId val="22608364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6092768"/>
        <c:crosses val="autoZero"/>
        <c:crossBetween val="midCat"/>
      </c:valAx>
      <c:valAx>
        <c:axId val="15964417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Milion Metric Tons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6435984"/>
        <c:crosses val="max"/>
        <c:crossBetween val="midCat"/>
      </c:valAx>
      <c:valAx>
        <c:axId val="1596435984"/>
        <c:scaling>
          <c:orientation val="minMax"/>
        </c:scaling>
        <c:delete val="1"/>
        <c:axPos val="b"/>
        <c:numFmt formatCode="General" sourceLinked="1"/>
        <c:majorTickMark val="out"/>
        <c:minorTickMark val="none"/>
        <c:tickLblPos val="nextTo"/>
        <c:crossAx val="15964417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'[GHG pulp and paper Sector Averages MECS.xlsx]Converting'!$E$4</c:f>
              <c:strCache>
                <c:ptCount val="1"/>
                <c:pt idx="0">
                  <c:v>Converting (total NAICS 322 minus subsectors)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'[GHG pulp and paper Sector Averages MECS.xlsx]Converting'!$D$5:$D$12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MECS.xlsx]Converting'!$E$5:$E$12</c:f>
              <c:numCache>
                <c:formatCode>0.0</c:formatCode>
                <c:ptCount val="8"/>
                <c:pt idx="0">
                  <c:v>4.2954030167170876</c:v>
                </c:pt>
                <c:pt idx="1">
                  <c:v>5.7554640505439494</c:v>
                </c:pt>
                <c:pt idx="2">
                  <c:v>6.0506267747758109</c:v>
                </c:pt>
                <c:pt idx="3">
                  <c:v>4.4732277256923165</c:v>
                </c:pt>
                <c:pt idx="4">
                  <c:v>8.7329976735440766</c:v>
                </c:pt>
                <c:pt idx="5">
                  <c:v>3.9230463040561907</c:v>
                </c:pt>
                <c:pt idx="6">
                  <c:v>3.4110469231687777</c:v>
                </c:pt>
                <c:pt idx="7">
                  <c:v>3.8519973027356493</c:v>
                </c:pt>
              </c:numCache>
            </c:numRef>
          </c:yVal>
          <c:smooth val="0"/>
          <c:extLst>
            <c:ext xmlns:c16="http://schemas.microsoft.com/office/drawing/2014/chart" uri="{C3380CC4-5D6E-409C-BE32-E72D297353CC}">
              <c16:uniqueId val="{00000000-B249-49C3-AC75-E47E06950053}"/>
            </c:ext>
          </c:extLst>
        </c:ser>
        <c:ser>
          <c:idx val="1"/>
          <c:order val="1"/>
          <c:tx>
            <c:strRef>
              <c:f>'[GHG pulp and paper Sector Averages MECS.xlsx]Converting'!$F$4</c:f>
              <c:strCache>
                <c:ptCount val="1"/>
                <c:pt idx="0">
                  <c:v>Printing and related support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'[GHG pulp and paper Sector Averages MECS.xlsx]Converting'!$D$5:$D$12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MECS.xlsx]Converting'!$F$5:$F$12</c:f>
              <c:numCache>
                <c:formatCode>0.0</c:formatCode>
                <c:ptCount val="8"/>
                <c:pt idx="0">
                  <c:v>2.7605002879012237</c:v>
                </c:pt>
                <c:pt idx="1">
                  <c:v>2.6445953550056456</c:v>
                </c:pt>
                <c:pt idx="2">
                  <c:v>2.3474445299525013</c:v>
                </c:pt>
                <c:pt idx="3">
                  <c:v>3.0411296473408989</c:v>
                </c:pt>
                <c:pt idx="4">
                  <c:v>2.6795103469432804</c:v>
                </c:pt>
                <c:pt idx="5">
                  <c:v>1.8692574734403038</c:v>
                </c:pt>
                <c:pt idx="6">
                  <c:v>2.1349169492804139</c:v>
                </c:pt>
                <c:pt idx="7">
                  <c:v>1.3910704169281058</c:v>
                </c:pt>
              </c:numCache>
            </c:numRef>
          </c:yVal>
          <c:smooth val="0"/>
          <c:extLst>
            <c:ext xmlns:c16="http://schemas.microsoft.com/office/drawing/2014/chart" uri="{C3380CC4-5D6E-409C-BE32-E72D297353CC}">
              <c16:uniqueId val="{00000001-B249-49C3-AC75-E47E06950053}"/>
            </c:ext>
          </c:extLst>
        </c:ser>
        <c:ser>
          <c:idx val="2"/>
          <c:order val="2"/>
          <c:tx>
            <c:strRef>
              <c:f>'[GHG pulp and paper Sector Averages MECS.xlsx]Converting'!$G$4</c:f>
              <c:strCache>
                <c:ptCount val="1"/>
                <c:pt idx="0">
                  <c:v>Total</c:v>
                </c:pt>
              </c:strCache>
            </c:strRef>
          </c:tx>
          <c:spPr>
            <a:ln w="19050" cap="rnd">
              <a:solidFill>
                <a:schemeClr val="accent3"/>
              </a:solidFill>
              <a:prstDash val="sysDash"/>
              <a:round/>
            </a:ln>
            <a:effectLst/>
          </c:spPr>
          <c:marker>
            <c:symbol val="circle"/>
            <c:size val="5"/>
            <c:spPr>
              <a:solidFill>
                <a:schemeClr val="accent3"/>
              </a:solidFill>
              <a:ln w="9525">
                <a:solidFill>
                  <a:schemeClr val="accent3"/>
                </a:solidFill>
              </a:ln>
              <a:effectLst/>
            </c:spPr>
          </c:marker>
          <c:xVal>
            <c:numRef>
              <c:f>'[GHG pulp and paper Sector Averages MECS.xlsx]Converting'!$D$5:$D$12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MECS.xlsx]Converting'!$G$5:$G$12</c:f>
              <c:numCache>
                <c:formatCode>0.0</c:formatCode>
                <c:ptCount val="8"/>
                <c:pt idx="0">
                  <c:v>7.0559033046183117</c:v>
                </c:pt>
                <c:pt idx="1">
                  <c:v>8.4000594055495945</c:v>
                </c:pt>
                <c:pt idx="2">
                  <c:v>8.3980713047283118</c:v>
                </c:pt>
                <c:pt idx="3">
                  <c:v>7.5143573730332154</c:v>
                </c:pt>
                <c:pt idx="4">
                  <c:v>11.412508020487357</c:v>
                </c:pt>
                <c:pt idx="5">
                  <c:v>5.7923037774964943</c:v>
                </c:pt>
                <c:pt idx="6">
                  <c:v>5.5459638724491915</c:v>
                </c:pt>
                <c:pt idx="7">
                  <c:v>5.2430677196637552</c:v>
                </c:pt>
              </c:numCache>
            </c:numRef>
          </c:yVal>
          <c:smooth val="0"/>
          <c:extLst>
            <c:ext xmlns:c16="http://schemas.microsoft.com/office/drawing/2014/chart" uri="{C3380CC4-5D6E-409C-BE32-E72D297353CC}">
              <c16:uniqueId val="{00000002-B249-49C3-AC75-E47E06950053}"/>
            </c:ext>
          </c:extLst>
        </c:ser>
        <c:dLbls>
          <c:showLegendKey val="0"/>
          <c:showVal val="0"/>
          <c:showCatName val="0"/>
          <c:showSerName val="0"/>
          <c:showPercent val="0"/>
          <c:showBubbleSize val="0"/>
        </c:dLbls>
        <c:axId val="214838928"/>
        <c:axId val="214848048"/>
      </c:scatterChart>
      <c:valAx>
        <c:axId val="214838928"/>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848048"/>
        <c:crosses val="autoZero"/>
        <c:crossBetween val="midCat"/>
      </c:valAx>
      <c:valAx>
        <c:axId val="21484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a:t>
                </a:r>
                <a:r>
                  <a:rPr lang="en-US" baseline="0">
                    <a:latin typeface="Times New Roman" panose="02020603050405020304" pitchFamily="18" charset="0"/>
                    <a:cs typeface="Times New Roman" panose="02020603050405020304" pitchFamily="18" charset="0"/>
                  </a:rPr>
                  <a:t> Tons</a:t>
                </a:r>
                <a:r>
                  <a:rPr lang="en-US">
                    <a:latin typeface="Times New Roman" panose="02020603050405020304" pitchFamily="18" charset="0"/>
                    <a:cs typeface="Times New Roman" panose="02020603050405020304" pitchFamily="18" charset="0"/>
                  </a:rPr>
                  <a:t>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8389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'[Wood product Sector Averages MECS June 28.xlsx]FPI WP Direct Summary'!$C$20</c:f>
              <c:strCache>
                <c:ptCount val="1"/>
                <c:pt idx="0">
                  <c:v>NAICS 321 total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'[Wood product Sector Averages MECS June 28.xlsx]FPI WP Direct Summary'!$B$21:$B$28</c:f>
              <c:numCache>
                <c:formatCode>General</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28.xlsx]FPI WP Direct Summary'!$C$21:$C$28</c:f>
              <c:numCache>
                <c:formatCode>General</c:formatCode>
                <c:ptCount val="8"/>
                <c:pt idx="0">
                  <c:v>3.6152853098475215</c:v>
                </c:pt>
                <c:pt idx="1">
                  <c:v>4.6053665581788881</c:v>
                </c:pt>
                <c:pt idx="2">
                  <c:v>5.8619263011056004</c:v>
                </c:pt>
                <c:pt idx="3">
                  <c:v>4.8120144814078607</c:v>
                </c:pt>
                <c:pt idx="4">
                  <c:v>7.2573908990422549</c:v>
                </c:pt>
                <c:pt idx="5">
                  <c:v>4.444151787580485</c:v>
                </c:pt>
                <c:pt idx="6">
                  <c:v>4.1406180856460111</c:v>
                </c:pt>
                <c:pt idx="7">
                  <c:v>5.0553432992614979</c:v>
                </c:pt>
              </c:numCache>
            </c:numRef>
          </c:yVal>
          <c:smooth val="0"/>
          <c:extLst>
            <c:ext xmlns:c16="http://schemas.microsoft.com/office/drawing/2014/chart" uri="{C3380CC4-5D6E-409C-BE32-E72D297353CC}">
              <c16:uniqueId val="{00000000-3C45-4B68-900D-C1C1D787DE4F}"/>
            </c:ext>
          </c:extLst>
        </c:ser>
        <c:ser>
          <c:idx val="1"/>
          <c:order val="1"/>
          <c:tx>
            <c:strRef>
              <c:f>'[Wood product Sector Averages MECS June 28.xlsx]FPI WP Direct Summary'!$D$20</c:f>
              <c:strCache>
                <c:ptCount val="1"/>
                <c:pt idx="0">
                  <c:v>Primary Manufacturing Sector Subsectors total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'[Wood product Sector Averages MECS June 28.xlsx]FPI WP Direct Summary'!$B$21:$B$28</c:f>
              <c:numCache>
                <c:formatCode>General</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28.xlsx]FPI WP Direct Summary'!$D$21:$D$28</c:f>
              <c:numCache>
                <c:formatCode>0.0</c:formatCode>
                <c:ptCount val="8"/>
                <c:pt idx="0">
                  <c:v>3.6152853098475215</c:v>
                </c:pt>
                <c:pt idx="1">
                  <c:v>4.6053665581788881</c:v>
                </c:pt>
                <c:pt idx="2">
                  <c:v>5.4759634067334968</c:v>
                </c:pt>
                <c:pt idx="3">
                  <c:v>4.4285335004172977</c:v>
                </c:pt>
                <c:pt idx="4">
                  <c:v>5.9576527844431224</c:v>
                </c:pt>
                <c:pt idx="5">
                  <c:v>3.5949248420542217</c:v>
                </c:pt>
                <c:pt idx="6">
                  <c:v>3.8136816412736452</c:v>
                </c:pt>
                <c:pt idx="7">
                  <c:v>4.7681265213729658</c:v>
                </c:pt>
              </c:numCache>
            </c:numRef>
          </c:yVal>
          <c:smooth val="0"/>
          <c:extLst>
            <c:ext xmlns:c16="http://schemas.microsoft.com/office/drawing/2014/chart" uri="{C3380CC4-5D6E-409C-BE32-E72D297353CC}">
              <c16:uniqueId val="{00000001-3C45-4B68-900D-C1C1D787DE4F}"/>
            </c:ext>
          </c:extLst>
        </c:ser>
        <c:ser>
          <c:idx val="2"/>
          <c:order val="2"/>
          <c:tx>
            <c:strRef>
              <c:f>'[Wood product Sector Averages MECS June 28.xlsx]FPI WP Direct Summary'!$E$20</c:f>
              <c:strCache>
                <c:ptCount val="1"/>
                <c:pt idx="0">
                  <c:v>Residual - assigned to converting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'[Wood product Sector Averages MECS June 28.xlsx]FPI WP Direct Summary'!$B$21:$B$28</c:f>
              <c:numCache>
                <c:formatCode>General</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28.xlsx]FPI WP Direct Summary'!$E$21:$E$28</c:f>
              <c:numCache>
                <c:formatCode>General</c:formatCode>
                <c:ptCount val="8"/>
                <c:pt idx="0">
                  <c:v>0</c:v>
                </c:pt>
                <c:pt idx="1">
                  <c:v>0</c:v>
                </c:pt>
                <c:pt idx="2">
                  <c:v>0.38596289437210363</c:v>
                </c:pt>
                <c:pt idx="3">
                  <c:v>0.38348098099056305</c:v>
                </c:pt>
                <c:pt idx="4">
                  <c:v>1.2997381145991325</c:v>
                </c:pt>
                <c:pt idx="5">
                  <c:v>0.84922694552626332</c:v>
                </c:pt>
                <c:pt idx="6">
                  <c:v>0.32693644437236591</c:v>
                </c:pt>
                <c:pt idx="7">
                  <c:v>0.28721677788853217</c:v>
                </c:pt>
              </c:numCache>
            </c:numRef>
          </c:yVal>
          <c:smooth val="0"/>
          <c:extLst>
            <c:ext xmlns:c16="http://schemas.microsoft.com/office/drawing/2014/chart" uri="{C3380CC4-5D6E-409C-BE32-E72D297353CC}">
              <c16:uniqueId val="{00000002-3C45-4B68-900D-C1C1D787DE4F}"/>
            </c:ext>
          </c:extLst>
        </c:ser>
        <c:dLbls>
          <c:showLegendKey val="0"/>
          <c:showVal val="0"/>
          <c:showCatName val="0"/>
          <c:showSerName val="0"/>
          <c:showPercent val="0"/>
          <c:showBubbleSize val="0"/>
        </c:dLbls>
        <c:axId val="2037587087"/>
        <c:axId val="2037582287"/>
      </c:scatterChart>
      <c:valAx>
        <c:axId val="2037587087"/>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7582287"/>
        <c:crosses val="autoZero"/>
        <c:crossBetween val="midCat"/>
      </c:valAx>
      <c:valAx>
        <c:axId val="2037582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75870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'[Wood product Sector Averages MECS June 28.xlsx]Converting'!$E$4</c:f>
              <c:strCache>
                <c:ptCount val="1"/>
                <c:pt idx="0">
                  <c:v>NAICS 321 Assigned to Converting (total NAICS 321 minus subsectors)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'[Wood product Sector Averages MECS June 28.xlsx]Converting'!$D$5:$D$12</c:f>
              <c:numCache>
                <c:formatCode>0.00</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28.xlsx]Converting'!$E$5:$E$12</c:f>
              <c:numCache>
                <c:formatCode>0.00</c:formatCode>
                <c:ptCount val="8"/>
                <c:pt idx="0">
                  <c:v>0</c:v>
                </c:pt>
                <c:pt idx="1">
                  <c:v>0</c:v>
                </c:pt>
                <c:pt idx="2">
                  <c:v>0.38596289437210374</c:v>
                </c:pt>
                <c:pt idx="3">
                  <c:v>0.3834809809905626</c:v>
                </c:pt>
                <c:pt idx="4">
                  <c:v>1.2997381145991329</c:v>
                </c:pt>
                <c:pt idx="5">
                  <c:v>0.84922694552626365</c:v>
                </c:pt>
                <c:pt idx="6">
                  <c:v>0.32693644437236574</c:v>
                </c:pt>
                <c:pt idx="7">
                  <c:v>0.28721677788853273</c:v>
                </c:pt>
              </c:numCache>
            </c:numRef>
          </c:yVal>
          <c:smooth val="0"/>
          <c:extLst>
            <c:ext xmlns:c16="http://schemas.microsoft.com/office/drawing/2014/chart" uri="{C3380CC4-5D6E-409C-BE32-E72D297353CC}">
              <c16:uniqueId val="{00000000-85C6-4C89-AD7E-0E03A6D584F8}"/>
            </c:ext>
          </c:extLst>
        </c:ser>
        <c:ser>
          <c:idx val="1"/>
          <c:order val="1"/>
          <c:tx>
            <c:strRef>
              <c:f>'[Wood product Sector Averages MECS June 28.xlsx]Converting'!$F$4</c:f>
              <c:strCache>
                <c:ptCount val="1"/>
                <c:pt idx="0">
                  <c:v>Wood Furniture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'[Wood product Sector Averages MECS June 28.xlsx]Converting'!$D$5:$D$12</c:f>
              <c:numCache>
                <c:formatCode>0.00</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28.xlsx]Converting'!$F$5:$F$12</c:f>
              <c:numCache>
                <c:formatCode>0.00</c:formatCode>
                <c:ptCount val="8"/>
                <c:pt idx="0">
                  <c:v>0.27498148958781865</c:v>
                </c:pt>
                <c:pt idx="1">
                  <c:v>0.28442337424901826</c:v>
                </c:pt>
                <c:pt idx="2">
                  <c:v>0.29548253433013888</c:v>
                </c:pt>
                <c:pt idx="3">
                  <c:v>0.2618953733454607</c:v>
                </c:pt>
                <c:pt idx="4">
                  <c:v>0.20953292903494133</c:v>
                </c:pt>
                <c:pt idx="5">
                  <c:v>0.12662997450722641</c:v>
                </c:pt>
                <c:pt idx="6">
                  <c:v>0.1444885029335459</c:v>
                </c:pt>
                <c:pt idx="7">
                  <c:v>0.1444885029335459</c:v>
                </c:pt>
              </c:numCache>
            </c:numRef>
          </c:yVal>
          <c:smooth val="0"/>
          <c:extLst>
            <c:ext xmlns:c16="http://schemas.microsoft.com/office/drawing/2014/chart" uri="{C3380CC4-5D6E-409C-BE32-E72D297353CC}">
              <c16:uniqueId val="{00000001-85C6-4C89-AD7E-0E03A6D584F8}"/>
            </c:ext>
          </c:extLst>
        </c:ser>
        <c:ser>
          <c:idx val="2"/>
          <c:order val="2"/>
          <c:tx>
            <c:strRef>
              <c:f>'[Wood product Sector Averages MECS June 28.xlsx]Converting'!$G$4</c:f>
              <c:strCache>
                <c:ptCount val="1"/>
                <c:pt idx="0">
                  <c:v>Home Construction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'[Wood product Sector Averages MECS June 28.xlsx]Converting'!$D$5:$D$12</c:f>
              <c:numCache>
                <c:formatCode>0.00</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28.xlsx]Converting'!$G$5:$G$12</c:f>
              <c:numCache>
                <c:formatCode>0.00</c:formatCode>
                <c:ptCount val="8"/>
                <c:pt idx="0">
                  <c:v>0.14461141239390085</c:v>
                </c:pt>
                <c:pt idx="1">
                  <c:v>0.18421466232715553</c:v>
                </c:pt>
                <c:pt idx="2">
                  <c:v>0.23447705204422403</c:v>
                </c:pt>
                <c:pt idx="3">
                  <c:v>0.19248057925631443</c:v>
                </c:pt>
                <c:pt idx="4">
                  <c:v>0.29029563596169022</c:v>
                </c:pt>
                <c:pt idx="5">
                  <c:v>0.17776607150321941</c:v>
                </c:pt>
                <c:pt idx="6">
                  <c:v>0.16562472342584045</c:v>
                </c:pt>
                <c:pt idx="7">
                  <c:v>0.20221373197045991</c:v>
                </c:pt>
              </c:numCache>
            </c:numRef>
          </c:yVal>
          <c:smooth val="0"/>
          <c:extLst>
            <c:ext xmlns:c16="http://schemas.microsoft.com/office/drawing/2014/chart" uri="{C3380CC4-5D6E-409C-BE32-E72D297353CC}">
              <c16:uniqueId val="{00000002-85C6-4C89-AD7E-0E03A6D584F8}"/>
            </c:ext>
          </c:extLst>
        </c:ser>
        <c:ser>
          <c:idx val="3"/>
          <c:order val="3"/>
          <c:tx>
            <c:strRef>
              <c:f>'[Wood product Sector Averages MECS June 28.xlsx]Converting'!$H$4</c:f>
              <c:strCache>
                <c:ptCount val="1"/>
                <c:pt idx="0">
                  <c:v>Total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'[Wood product Sector Averages MECS June 28.xlsx]Converting'!$D$5:$D$12</c:f>
              <c:numCache>
                <c:formatCode>0.00</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28.xlsx]Converting'!$H$5:$H$12</c:f>
              <c:numCache>
                <c:formatCode>0.00</c:formatCode>
                <c:ptCount val="8"/>
                <c:pt idx="0">
                  <c:v>0.4195929019817195</c:v>
                </c:pt>
                <c:pt idx="1">
                  <c:v>0.46863803657617376</c:v>
                </c:pt>
                <c:pt idx="2">
                  <c:v>0.91592248074646676</c:v>
                </c:pt>
                <c:pt idx="3">
                  <c:v>0.83785693359233782</c:v>
                </c:pt>
                <c:pt idx="4">
                  <c:v>1.7995666795957643</c:v>
                </c:pt>
                <c:pt idx="5">
                  <c:v>1.1536229915367096</c:v>
                </c:pt>
                <c:pt idx="6">
                  <c:v>0.63704967073175212</c:v>
                </c:pt>
                <c:pt idx="7">
                  <c:v>0.63391901279253848</c:v>
                </c:pt>
              </c:numCache>
            </c:numRef>
          </c:yVal>
          <c:smooth val="0"/>
          <c:extLst>
            <c:ext xmlns:c16="http://schemas.microsoft.com/office/drawing/2014/chart" uri="{C3380CC4-5D6E-409C-BE32-E72D297353CC}">
              <c16:uniqueId val="{00000003-85C6-4C89-AD7E-0E03A6D584F8}"/>
            </c:ext>
          </c:extLst>
        </c:ser>
        <c:dLbls>
          <c:showLegendKey val="0"/>
          <c:showVal val="0"/>
          <c:showCatName val="0"/>
          <c:showSerName val="0"/>
          <c:showPercent val="0"/>
          <c:showBubbleSize val="0"/>
        </c:dLbls>
        <c:axId val="81028255"/>
        <c:axId val="81025375"/>
      </c:scatterChart>
      <c:valAx>
        <c:axId val="81028255"/>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1025375"/>
        <c:crosses val="autoZero"/>
        <c:crossBetween val="midCat"/>
      </c:valAx>
      <c:valAx>
        <c:axId val="81025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102825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tx>
            <c:strRef>
              <c:f>'[GHG pulp and paper Sector Averages MECS.xlsx]Converting'!$G$4</c:f>
              <c:strCache>
                <c:ptCount val="1"/>
                <c:pt idx="0">
                  <c:v>Paper and Paperboard Total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'[GHG pulp and paper Sector Averages MECS.xlsx]Converting'!$D$5:$D$12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MECS.xlsx]Converting'!$G$5:$G$12</c:f>
              <c:numCache>
                <c:formatCode>0.00</c:formatCode>
                <c:ptCount val="8"/>
                <c:pt idx="0">
                  <c:v>7.0559033046183117</c:v>
                </c:pt>
                <c:pt idx="1">
                  <c:v>8.4000594055495945</c:v>
                </c:pt>
                <c:pt idx="2">
                  <c:v>8.3980713047283118</c:v>
                </c:pt>
                <c:pt idx="3">
                  <c:v>7.5143573730332154</c:v>
                </c:pt>
                <c:pt idx="4">
                  <c:v>11.412508020487357</c:v>
                </c:pt>
                <c:pt idx="5">
                  <c:v>5.7923037774964943</c:v>
                </c:pt>
                <c:pt idx="6">
                  <c:v>5.5459638724491915</c:v>
                </c:pt>
                <c:pt idx="7">
                  <c:v>5.2430677196637552</c:v>
                </c:pt>
              </c:numCache>
            </c:numRef>
          </c:yVal>
          <c:smooth val="0"/>
          <c:extLst>
            <c:ext xmlns:c16="http://schemas.microsoft.com/office/drawing/2014/chart" uri="{C3380CC4-5D6E-409C-BE32-E72D297353CC}">
              <c16:uniqueId val="{00000000-FA2B-4ED4-B554-39B4E97D2C7B}"/>
            </c:ext>
          </c:extLst>
        </c:ser>
        <c:ser>
          <c:idx val="3"/>
          <c:order val="1"/>
          <c:tx>
            <c:strRef>
              <c:f>'[GHG pulp and paper Sector Averages MECS.xlsx]Converting'!$H$4</c:f>
              <c:strCache>
                <c:ptCount val="1"/>
                <c:pt idx="0">
                  <c:v>Wood products total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'[GHG pulp and paper Sector Averages MECS.xlsx]Converting'!$D$5:$D$12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MECS.xlsx]Converting'!$H$5:$H$12</c:f>
              <c:numCache>
                <c:formatCode>0.00</c:formatCode>
                <c:ptCount val="8"/>
                <c:pt idx="0">
                  <c:v>0.4195929019817195</c:v>
                </c:pt>
                <c:pt idx="1">
                  <c:v>0.46863803657617376</c:v>
                </c:pt>
                <c:pt idx="2">
                  <c:v>0.91592248074646676</c:v>
                </c:pt>
                <c:pt idx="3">
                  <c:v>0.83785693359233782</c:v>
                </c:pt>
                <c:pt idx="4">
                  <c:v>1.7995666795957643</c:v>
                </c:pt>
                <c:pt idx="5">
                  <c:v>1.1536229915367096</c:v>
                </c:pt>
                <c:pt idx="6">
                  <c:v>0.63704967073175212</c:v>
                </c:pt>
                <c:pt idx="7">
                  <c:v>0.63391901279253848</c:v>
                </c:pt>
              </c:numCache>
            </c:numRef>
          </c:yVal>
          <c:smooth val="0"/>
          <c:extLst>
            <c:ext xmlns:c16="http://schemas.microsoft.com/office/drawing/2014/chart" uri="{C3380CC4-5D6E-409C-BE32-E72D297353CC}">
              <c16:uniqueId val="{00000001-FA2B-4ED4-B554-39B4E97D2C7B}"/>
            </c:ext>
          </c:extLst>
        </c:ser>
        <c:ser>
          <c:idx val="4"/>
          <c:order val="2"/>
          <c:tx>
            <c:strRef>
              <c:f>'[GHG pulp and paper Sector Averages MECS.xlsx]Converting'!$I$4</c:f>
              <c:strCache>
                <c:ptCount val="1"/>
                <c:pt idx="0">
                  <c:v>Forst Products Industry Total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'[GHG pulp and paper Sector Averages MECS.xlsx]Converting'!$D$5:$D$12</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MECS.xlsx]Converting'!$I$5:$I$12</c:f>
              <c:numCache>
                <c:formatCode>0.0</c:formatCode>
                <c:ptCount val="8"/>
                <c:pt idx="0">
                  <c:v>7.475496206600031</c:v>
                </c:pt>
                <c:pt idx="1">
                  <c:v>8.868697442125768</c:v>
                </c:pt>
                <c:pt idx="2">
                  <c:v>9.3139937854747785</c:v>
                </c:pt>
                <c:pt idx="3">
                  <c:v>8.3522143066255534</c:v>
                </c:pt>
                <c:pt idx="4">
                  <c:v>13.212074700083122</c:v>
                </c:pt>
                <c:pt idx="5">
                  <c:v>6.9459267690332034</c:v>
                </c:pt>
                <c:pt idx="6">
                  <c:v>6.1830135431809436</c:v>
                </c:pt>
                <c:pt idx="7">
                  <c:v>5.8769867324562934</c:v>
                </c:pt>
              </c:numCache>
            </c:numRef>
          </c:yVal>
          <c:smooth val="0"/>
          <c:extLst>
            <c:ext xmlns:c16="http://schemas.microsoft.com/office/drawing/2014/chart" uri="{C3380CC4-5D6E-409C-BE32-E72D297353CC}">
              <c16:uniqueId val="{00000002-FA2B-4ED4-B554-39B4E97D2C7B}"/>
            </c:ext>
          </c:extLst>
        </c:ser>
        <c:dLbls>
          <c:showLegendKey val="0"/>
          <c:showVal val="0"/>
          <c:showCatName val="0"/>
          <c:showSerName val="0"/>
          <c:showPercent val="0"/>
          <c:showBubbleSize val="0"/>
        </c:dLbls>
        <c:axId val="632220447"/>
        <c:axId val="632219007"/>
      </c:scatterChart>
      <c:valAx>
        <c:axId val="632220447"/>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2219007"/>
        <c:crosses val="autoZero"/>
        <c:crossBetween val="midCat"/>
      </c:valAx>
      <c:valAx>
        <c:axId val="632219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22204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Sheet2!$D$6</c:f>
              <c:strCache>
                <c:ptCount val="1"/>
                <c:pt idx="0">
                  <c:v>solid wood products in use</c:v>
                </c:pt>
              </c:strCache>
            </c:strRef>
          </c:tx>
          <c:spPr>
            <a:ln w="19050" cap="rnd">
              <a:solidFill>
                <a:schemeClr val="accent6"/>
              </a:solidFill>
              <a:prstDash val="solid"/>
              <a:round/>
            </a:ln>
            <a:effectLst/>
          </c:spPr>
          <c:marker>
            <c:symbol val="circle"/>
            <c:size val="5"/>
            <c:spPr>
              <a:solidFill>
                <a:schemeClr val="accent6"/>
              </a:solidFill>
              <a:ln w="9525">
                <a:noFill/>
              </a:ln>
              <a:effectLst/>
            </c:spPr>
          </c:marker>
          <c:xVal>
            <c:numRef>
              <c:f>Sheet2!$C$7:$C$30</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Sheet2!$D$7:$D$30</c:f>
              <c:numCache>
                <c:formatCode>General</c:formatCode>
                <c:ptCount val="24"/>
                <c:pt idx="0">
                  <c:v>14.4</c:v>
                </c:pt>
                <c:pt idx="1">
                  <c:v>11.9</c:v>
                </c:pt>
                <c:pt idx="2">
                  <c:v>12.6</c:v>
                </c:pt>
                <c:pt idx="3">
                  <c:v>12.2</c:v>
                </c:pt>
                <c:pt idx="4">
                  <c:v>12.1</c:v>
                </c:pt>
                <c:pt idx="5">
                  <c:v>11.2</c:v>
                </c:pt>
                <c:pt idx="6">
                  <c:v>11.5</c:v>
                </c:pt>
                <c:pt idx="7">
                  <c:v>11.8</c:v>
                </c:pt>
                <c:pt idx="8">
                  <c:v>11.4</c:v>
                </c:pt>
                <c:pt idx="9">
                  <c:v>12.1</c:v>
                </c:pt>
                <c:pt idx="10">
                  <c:v>11.9</c:v>
                </c:pt>
                <c:pt idx="11">
                  <c:v>10.1</c:v>
                </c:pt>
                <c:pt idx="12">
                  <c:v>10.7</c:v>
                </c:pt>
                <c:pt idx="13">
                  <c:v>9.9</c:v>
                </c:pt>
                <c:pt idx="14">
                  <c:v>11.3</c:v>
                </c:pt>
                <c:pt idx="15">
                  <c:v>11.3</c:v>
                </c:pt>
                <c:pt idx="16">
                  <c:v>10.5</c:v>
                </c:pt>
                <c:pt idx="17">
                  <c:v>8.5</c:v>
                </c:pt>
                <c:pt idx="18">
                  <c:v>2.9</c:v>
                </c:pt>
                <c:pt idx="19">
                  <c:v>-0.5</c:v>
                </c:pt>
                <c:pt idx="20">
                  <c:v>-0.2</c:v>
                </c:pt>
                <c:pt idx="21">
                  <c:v>1.2</c:v>
                </c:pt>
                <c:pt idx="22">
                  <c:v>1.7</c:v>
                </c:pt>
                <c:pt idx="23">
                  <c:v>3.1</c:v>
                </c:pt>
              </c:numCache>
            </c:numRef>
          </c:yVal>
          <c:smooth val="0"/>
          <c:extLst>
            <c:ext xmlns:c16="http://schemas.microsoft.com/office/drawing/2014/chart" uri="{C3380CC4-5D6E-409C-BE32-E72D297353CC}">
              <c16:uniqueId val="{00000000-00C2-4362-A2F7-1536083E2198}"/>
            </c:ext>
          </c:extLst>
        </c:ser>
        <c:ser>
          <c:idx val="1"/>
          <c:order val="1"/>
          <c:tx>
            <c:strRef>
              <c:f>Sheet2!$E$6</c:f>
              <c:strCache>
                <c:ptCount val="1"/>
                <c:pt idx="0">
                  <c:v>paper products in use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Sheet2!$C$7:$C$30</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Sheet2!$E$7:$E$30</c:f>
              <c:numCache>
                <c:formatCode>General</c:formatCode>
                <c:ptCount val="24"/>
                <c:pt idx="0">
                  <c:v>3.3</c:v>
                </c:pt>
                <c:pt idx="1">
                  <c:v>3.1</c:v>
                </c:pt>
                <c:pt idx="2">
                  <c:v>3.7</c:v>
                </c:pt>
                <c:pt idx="3">
                  <c:v>2.8</c:v>
                </c:pt>
                <c:pt idx="4">
                  <c:v>3.8</c:v>
                </c:pt>
                <c:pt idx="5">
                  <c:v>3.8</c:v>
                </c:pt>
                <c:pt idx="6">
                  <c:v>2.6</c:v>
                </c:pt>
                <c:pt idx="7">
                  <c:v>3</c:v>
                </c:pt>
                <c:pt idx="8">
                  <c:v>2</c:v>
                </c:pt>
                <c:pt idx="9">
                  <c:v>2</c:v>
                </c:pt>
                <c:pt idx="10">
                  <c:v>1</c:v>
                </c:pt>
                <c:pt idx="11">
                  <c:v>-1.4</c:v>
                </c:pt>
                <c:pt idx="12">
                  <c:v>-1.1000000000000001</c:v>
                </c:pt>
                <c:pt idx="13">
                  <c:v>-0.4</c:v>
                </c:pt>
                <c:pt idx="14">
                  <c:v>0.8</c:v>
                </c:pt>
                <c:pt idx="15">
                  <c:v>0.4</c:v>
                </c:pt>
                <c:pt idx="16">
                  <c:v>1.6</c:v>
                </c:pt>
                <c:pt idx="17">
                  <c:v>2.1</c:v>
                </c:pt>
                <c:pt idx="18">
                  <c:v>1</c:v>
                </c:pt>
                <c:pt idx="19">
                  <c:v>-1.3</c:v>
                </c:pt>
                <c:pt idx="20">
                  <c:v>0.1</c:v>
                </c:pt>
                <c:pt idx="21">
                  <c:v>0.8</c:v>
                </c:pt>
                <c:pt idx="22">
                  <c:v>0</c:v>
                </c:pt>
                <c:pt idx="23">
                  <c:v>-0.7</c:v>
                </c:pt>
              </c:numCache>
            </c:numRef>
          </c:yVal>
          <c:smooth val="0"/>
          <c:extLst>
            <c:ext xmlns:c16="http://schemas.microsoft.com/office/drawing/2014/chart" uri="{C3380CC4-5D6E-409C-BE32-E72D297353CC}">
              <c16:uniqueId val="{00000001-00C2-4362-A2F7-1536083E2198}"/>
            </c:ext>
          </c:extLst>
        </c:ser>
        <c:ser>
          <c:idx val="6"/>
          <c:order val="2"/>
          <c:tx>
            <c:strRef>
              <c:f>Sheet2!$J$6</c:f>
              <c:strCache>
                <c:ptCount val="1"/>
                <c:pt idx="0">
                  <c:v>solid wood products in landfills</c:v>
                </c:pt>
              </c:strCache>
            </c:strRef>
          </c:tx>
          <c:spPr>
            <a:ln w="19050" cap="rnd">
              <a:solidFill>
                <a:schemeClr val="accent5">
                  <a:lumMod val="60000"/>
                  <a:lumOff val="40000"/>
                </a:schemeClr>
              </a:solidFill>
              <a:prstDash val="sysDash"/>
              <a:round/>
            </a:ln>
            <a:effectLst/>
          </c:spPr>
          <c:marker>
            <c:symbol val="circle"/>
            <c:size val="5"/>
            <c:spPr>
              <a:solidFill>
                <a:schemeClr val="accent5">
                  <a:lumMod val="60000"/>
                  <a:lumOff val="40000"/>
                </a:schemeClr>
              </a:solidFill>
              <a:ln w="9525">
                <a:noFill/>
              </a:ln>
              <a:effectLst/>
            </c:spPr>
          </c:marker>
          <c:xVal>
            <c:numRef>
              <c:f>Sheet2!$C$7:$C$30</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Sheet2!$J$7:$J$30</c:f>
              <c:numCache>
                <c:formatCode>General</c:formatCode>
                <c:ptCount val="24"/>
                <c:pt idx="0">
                  <c:v>9.9</c:v>
                </c:pt>
                <c:pt idx="1">
                  <c:v>11.1</c:v>
                </c:pt>
                <c:pt idx="2">
                  <c:v>9.5</c:v>
                </c:pt>
                <c:pt idx="3">
                  <c:v>9.6999999999999993</c:v>
                </c:pt>
                <c:pt idx="4">
                  <c:v>9.8000000000000007</c:v>
                </c:pt>
                <c:pt idx="5">
                  <c:v>10.7</c:v>
                </c:pt>
                <c:pt idx="6">
                  <c:v>10.6</c:v>
                </c:pt>
                <c:pt idx="7">
                  <c:v>10.3</c:v>
                </c:pt>
                <c:pt idx="8">
                  <c:v>10.199999999999999</c:v>
                </c:pt>
                <c:pt idx="9">
                  <c:v>10.6</c:v>
                </c:pt>
                <c:pt idx="10">
                  <c:v>10.7</c:v>
                </c:pt>
                <c:pt idx="11">
                  <c:v>10.7</c:v>
                </c:pt>
                <c:pt idx="12">
                  <c:v>11.1</c:v>
                </c:pt>
                <c:pt idx="13">
                  <c:v>11</c:v>
                </c:pt>
                <c:pt idx="14">
                  <c:v>11.3</c:v>
                </c:pt>
                <c:pt idx="15">
                  <c:v>11.5</c:v>
                </c:pt>
                <c:pt idx="16">
                  <c:v>11.6</c:v>
                </c:pt>
                <c:pt idx="17">
                  <c:v>11.6</c:v>
                </c:pt>
                <c:pt idx="18">
                  <c:v>11.4</c:v>
                </c:pt>
                <c:pt idx="19">
                  <c:v>11.2</c:v>
                </c:pt>
                <c:pt idx="20">
                  <c:v>11.3</c:v>
                </c:pt>
                <c:pt idx="21">
                  <c:v>11.4</c:v>
                </c:pt>
                <c:pt idx="22">
                  <c:v>11.5</c:v>
                </c:pt>
                <c:pt idx="23">
                  <c:v>11.6</c:v>
                </c:pt>
              </c:numCache>
            </c:numRef>
          </c:yVal>
          <c:smooth val="0"/>
          <c:extLst>
            <c:ext xmlns:c16="http://schemas.microsoft.com/office/drawing/2014/chart" uri="{C3380CC4-5D6E-409C-BE32-E72D297353CC}">
              <c16:uniqueId val="{00000002-00C2-4362-A2F7-1536083E2198}"/>
            </c:ext>
          </c:extLst>
        </c:ser>
        <c:ser>
          <c:idx val="7"/>
          <c:order val="3"/>
          <c:tx>
            <c:strRef>
              <c:f>Sheet2!$K$6</c:f>
              <c:strCache>
                <c:ptCount val="1"/>
                <c:pt idx="0">
                  <c:v>paper products in landfills</c:v>
                </c:pt>
              </c:strCache>
            </c:strRef>
          </c:tx>
          <c:spPr>
            <a:ln w="19050" cap="rnd">
              <a:solidFill>
                <a:schemeClr val="accent2">
                  <a:lumMod val="60000"/>
                </a:schemeClr>
              </a:solidFill>
              <a:prstDash val="sysDash"/>
              <a:round/>
            </a:ln>
            <a:effectLst/>
          </c:spPr>
          <c:marker>
            <c:symbol val="circle"/>
            <c:size val="5"/>
            <c:spPr>
              <a:solidFill>
                <a:schemeClr val="accent2">
                  <a:lumMod val="60000"/>
                </a:schemeClr>
              </a:solidFill>
              <a:ln w="9525">
                <a:solidFill>
                  <a:schemeClr val="accent2">
                    <a:lumMod val="60000"/>
                  </a:schemeClr>
                </a:solidFill>
              </a:ln>
              <a:effectLst/>
            </c:spPr>
          </c:marker>
          <c:xVal>
            <c:numRef>
              <c:f>Sheet2!$C$7:$C$30</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xVal>
          <c:yVal>
            <c:numRef>
              <c:f>Sheet2!$K$7:$K$30</c:f>
              <c:numCache>
                <c:formatCode>General</c:formatCode>
                <c:ptCount val="24"/>
                <c:pt idx="0">
                  <c:v>8.3000000000000007</c:v>
                </c:pt>
                <c:pt idx="1">
                  <c:v>7.7</c:v>
                </c:pt>
                <c:pt idx="2">
                  <c:v>7.9</c:v>
                </c:pt>
                <c:pt idx="3">
                  <c:v>8.3000000000000007</c:v>
                </c:pt>
                <c:pt idx="4">
                  <c:v>7.7</c:v>
                </c:pt>
                <c:pt idx="5">
                  <c:v>6.5</c:v>
                </c:pt>
                <c:pt idx="6">
                  <c:v>6</c:v>
                </c:pt>
                <c:pt idx="7">
                  <c:v>6.9</c:v>
                </c:pt>
                <c:pt idx="8">
                  <c:v>7.5</c:v>
                </c:pt>
                <c:pt idx="9">
                  <c:v>7.8</c:v>
                </c:pt>
                <c:pt idx="10">
                  <c:v>7.3</c:v>
                </c:pt>
                <c:pt idx="11">
                  <c:v>6</c:v>
                </c:pt>
                <c:pt idx="12">
                  <c:v>6.1</c:v>
                </c:pt>
                <c:pt idx="13">
                  <c:v>5.0999999999999996</c:v>
                </c:pt>
                <c:pt idx="14">
                  <c:v>5</c:v>
                </c:pt>
                <c:pt idx="15">
                  <c:v>4.8</c:v>
                </c:pt>
                <c:pt idx="16">
                  <c:v>5.7</c:v>
                </c:pt>
                <c:pt idx="17">
                  <c:v>5.7</c:v>
                </c:pt>
                <c:pt idx="18">
                  <c:v>5.7</c:v>
                </c:pt>
                <c:pt idx="19">
                  <c:v>5.4</c:v>
                </c:pt>
                <c:pt idx="20">
                  <c:v>5.3</c:v>
                </c:pt>
                <c:pt idx="21">
                  <c:v>5.4</c:v>
                </c:pt>
                <c:pt idx="22">
                  <c:v>5.4</c:v>
                </c:pt>
                <c:pt idx="23">
                  <c:v>5.4</c:v>
                </c:pt>
              </c:numCache>
            </c:numRef>
          </c:yVal>
          <c:smooth val="0"/>
          <c:extLst>
            <c:ext xmlns:c16="http://schemas.microsoft.com/office/drawing/2014/chart" uri="{C3380CC4-5D6E-409C-BE32-E72D297353CC}">
              <c16:uniqueId val="{00000003-00C2-4362-A2F7-1536083E2198}"/>
            </c:ext>
          </c:extLst>
        </c:ser>
        <c:dLbls>
          <c:showLegendKey val="0"/>
          <c:showVal val="0"/>
          <c:showCatName val="0"/>
          <c:showSerName val="0"/>
          <c:showPercent val="0"/>
          <c:showBubbleSize val="0"/>
        </c:dLbls>
        <c:axId val="349208543"/>
        <c:axId val="349202783"/>
      </c:scatterChart>
      <c:valAx>
        <c:axId val="349208543"/>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202783"/>
        <c:crosses val="autoZero"/>
        <c:crossBetween val="midCat"/>
      </c:valAx>
      <c:valAx>
        <c:axId val="349202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Stock Change, Million Metric Tons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2085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'[Total industry profile June 29.xlsx]Fuel Combustion Scope 1'!$A$3</c:f>
              <c:strCache>
                <c:ptCount val="1"/>
                <c:pt idx="0">
                  <c:v>Pulp, Paper and Paperboard</c:v>
                </c:pt>
              </c:strCache>
            </c:strRef>
          </c:tx>
          <c:spPr>
            <a:solidFill>
              <a:schemeClr val="accent1"/>
            </a:solidFill>
            <a:ln>
              <a:noFill/>
            </a:ln>
            <a:effectLst/>
          </c:spPr>
          <c:invertIfNegative val="0"/>
          <c:cat>
            <c:numRef>
              <c:f>'[Total industry profile June 29.xlsx]Fuel Combustion Scope 1'!$B$2:$D$2</c:f>
              <c:numCache>
                <c:formatCode>General</c:formatCode>
                <c:ptCount val="3"/>
                <c:pt idx="0">
                  <c:v>1990</c:v>
                </c:pt>
                <c:pt idx="1">
                  <c:v>2005</c:v>
                </c:pt>
                <c:pt idx="2">
                  <c:v>2020</c:v>
                </c:pt>
              </c:numCache>
            </c:numRef>
          </c:cat>
          <c:val>
            <c:numRef>
              <c:f>'[Total industry profile June 29.xlsx]Fuel Combustion Scope 1'!$B$3:$D$3</c:f>
              <c:numCache>
                <c:formatCode>General</c:formatCode>
                <c:ptCount val="3"/>
                <c:pt idx="0">
                  <c:v>66.928389251400191</c:v>
                </c:pt>
                <c:pt idx="1">
                  <c:v>55.219020467118369</c:v>
                </c:pt>
                <c:pt idx="2">
                  <c:v>32.997856112131785</c:v>
                </c:pt>
              </c:numCache>
            </c:numRef>
          </c:val>
          <c:extLst>
            <c:ext xmlns:c16="http://schemas.microsoft.com/office/drawing/2014/chart" uri="{C3380CC4-5D6E-409C-BE32-E72D297353CC}">
              <c16:uniqueId val="{00000000-D7FA-4980-B6A0-58B845460439}"/>
            </c:ext>
          </c:extLst>
        </c:ser>
        <c:ser>
          <c:idx val="1"/>
          <c:order val="1"/>
          <c:tx>
            <c:strRef>
              <c:f>'[Total industry profile June 29.xlsx]Fuel Combustion Scope 1'!$A$4</c:f>
              <c:strCache>
                <c:ptCount val="1"/>
                <c:pt idx="0">
                  <c:v>Wood Products</c:v>
                </c:pt>
              </c:strCache>
            </c:strRef>
          </c:tx>
          <c:spPr>
            <a:solidFill>
              <a:schemeClr val="accent2"/>
            </a:solidFill>
            <a:ln>
              <a:noFill/>
            </a:ln>
            <a:effectLst/>
          </c:spPr>
          <c:invertIfNegative val="0"/>
          <c:cat>
            <c:numRef>
              <c:f>'[Total industry profile June 29.xlsx]Fuel Combustion Scope 1'!$B$2:$D$2</c:f>
              <c:numCache>
                <c:formatCode>General</c:formatCode>
                <c:ptCount val="3"/>
                <c:pt idx="0">
                  <c:v>1990</c:v>
                </c:pt>
                <c:pt idx="1">
                  <c:v>2005</c:v>
                </c:pt>
                <c:pt idx="2">
                  <c:v>2020</c:v>
                </c:pt>
              </c:numCache>
            </c:numRef>
          </c:cat>
          <c:val>
            <c:numRef>
              <c:f>'[Total industry profile June 29.xlsx]Fuel Combustion Scope 1'!$B$4:$D$4</c:f>
              <c:numCache>
                <c:formatCode>General</c:formatCode>
                <c:ptCount val="3"/>
                <c:pt idx="0">
                  <c:v>3.6152853098475215</c:v>
                </c:pt>
                <c:pt idx="1">
                  <c:v>5.9576527844431224</c:v>
                </c:pt>
                <c:pt idx="2">
                  <c:v>4.7681265213729658</c:v>
                </c:pt>
              </c:numCache>
            </c:numRef>
          </c:val>
          <c:extLst>
            <c:ext xmlns:c16="http://schemas.microsoft.com/office/drawing/2014/chart" uri="{C3380CC4-5D6E-409C-BE32-E72D297353CC}">
              <c16:uniqueId val="{00000001-D7FA-4980-B6A0-58B845460439}"/>
            </c:ext>
          </c:extLst>
        </c:ser>
        <c:ser>
          <c:idx val="2"/>
          <c:order val="2"/>
          <c:tx>
            <c:strRef>
              <c:f>'[Total industry profile June 29.xlsx]Fuel Combustion Scope 1'!$A$5</c:f>
              <c:strCache>
                <c:ptCount val="1"/>
                <c:pt idx="0">
                  <c:v>Converting</c:v>
                </c:pt>
              </c:strCache>
            </c:strRef>
          </c:tx>
          <c:spPr>
            <a:solidFill>
              <a:schemeClr val="accent3"/>
            </a:solidFill>
            <a:ln>
              <a:noFill/>
            </a:ln>
            <a:effectLst/>
          </c:spPr>
          <c:invertIfNegative val="0"/>
          <c:cat>
            <c:numRef>
              <c:f>'[Total industry profile June 29.xlsx]Fuel Combustion Scope 1'!$B$2:$D$2</c:f>
              <c:numCache>
                <c:formatCode>General</c:formatCode>
                <c:ptCount val="3"/>
                <c:pt idx="0">
                  <c:v>1990</c:v>
                </c:pt>
                <c:pt idx="1">
                  <c:v>2005</c:v>
                </c:pt>
                <c:pt idx="2">
                  <c:v>2020</c:v>
                </c:pt>
              </c:numCache>
            </c:numRef>
          </c:cat>
          <c:val>
            <c:numRef>
              <c:f>'[Total industry profile June 29.xlsx]Fuel Combustion Scope 1'!$B$5:$D$5</c:f>
              <c:numCache>
                <c:formatCode>General</c:formatCode>
                <c:ptCount val="3"/>
                <c:pt idx="0">
                  <c:v>7.475496206600031</c:v>
                </c:pt>
                <c:pt idx="1">
                  <c:v>13.212074700083122</c:v>
                </c:pt>
                <c:pt idx="2">
                  <c:v>5.8769867324562934</c:v>
                </c:pt>
              </c:numCache>
            </c:numRef>
          </c:val>
          <c:extLst>
            <c:ext xmlns:c16="http://schemas.microsoft.com/office/drawing/2014/chart" uri="{C3380CC4-5D6E-409C-BE32-E72D297353CC}">
              <c16:uniqueId val="{00000002-D7FA-4980-B6A0-58B845460439}"/>
            </c:ext>
          </c:extLst>
        </c:ser>
        <c:dLbls>
          <c:showLegendKey val="0"/>
          <c:showVal val="0"/>
          <c:showCatName val="0"/>
          <c:showSerName val="0"/>
          <c:showPercent val="0"/>
          <c:showBubbleSize val="0"/>
        </c:dLbls>
        <c:gapWidth val="150"/>
        <c:overlap val="100"/>
        <c:axId val="838721167"/>
        <c:axId val="838720207"/>
      </c:barChart>
      <c:catAx>
        <c:axId val="83872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8720207"/>
        <c:crosses val="autoZero"/>
        <c:auto val="1"/>
        <c:lblAlgn val="ctr"/>
        <c:lblOffset val="100"/>
        <c:noMultiLvlLbl val="0"/>
      </c:catAx>
      <c:valAx>
        <c:axId val="838720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Milltion Metric Tons CO</a:t>
                </a:r>
                <a:r>
                  <a:rPr lang="en-US" baseline="-25000">
                    <a:latin typeface="Times New Roman" panose="02020603050405020304" pitchFamily="18" charset="0"/>
                    <a:cs typeface="Times New Roman" panose="02020603050405020304" pitchFamily="18" charset="0"/>
                  </a:rPr>
                  <a:t>2</a:t>
                </a:r>
                <a:r>
                  <a:rPr lang="en-US"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872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0124525169179"/>
          <c:y val="3.0937983405990719E-2"/>
          <c:w val="0.81860210243548703"/>
          <c:h val="0.68785408760125577"/>
        </c:manualLayout>
      </c:layout>
      <c:scatterChart>
        <c:scatterStyle val="lineMarker"/>
        <c:varyColors val="0"/>
        <c:ser>
          <c:idx val="0"/>
          <c:order val="0"/>
          <c:tx>
            <c:strRef>
              <c:f>'[GHG pulp and paper Sector Averages MECS.xlsx]P and P Indirect'!$C$8</c:f>
              <c:strCache>
                <c:ptCount val="1"/>
                <c:pt idx="0">
                  <c:v>AF&amp;PA/API - Purchased Electricity</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xVal>
            <c:numRef>
              <c:f>'[GHG pulp and paper Sector Averages MECS.xlsx]P and P Indirect'!$D$7:$N$7</c:f>
              <c:numCache>
                <c:formatCode>General</c:formatCode>
                <c:ptCount val="11"/>
                <c:pt idx="0">
                  <c:v>1990</c:v>
                </c:pt>
                <c:pt idx="1">
                  <c:v>1991</c:v>
                </c:pt>
                <c:pt idx="2">
                  <c:v>1994</c:v>
                </c:pt>
                <c:pt idx="3">
                  <c:v>1998</c:v>
                </c:pt>
                <c:pt idx="4">
                  <c:v>2002</c:v>
                </c:pt>
                <c:pt idx="5">
                  <c:v>2005</c:v>
                </c:pt>
                <c:pt idx="6">
                  <c:v>2006</c:v>
                </c:pt>
                <c:pt idx="7">
                  <c:v>2010</c:v>
                </c:pt>
                <c:pt idx="8">
                  <c:v>2014</c:v>
                </c:pt>
                <c:pt idx="9">
                  <c:v>2018</c:v>
                </c:pt>
                <c:pt idx="10">
                  <c:v>2020</c:v>
                </c:pt>
              </c:numCache>
            </c:numRef>
          </c:xVal>
          <c:yVal>
            <c:numRef>
              <c:f>'[GHG pulp and paper Sector Averages MECS.xlsx]P and P Indirect'!$D$8:$N$8</c:f>
              <c:numCache>
                <c:formatCode>General</c:formatCode>
                <c:ptCount val="11"/>
                <c:pt idx="0">
                  <c:v>30.599959538210435</c:v>
                </c:pt>
                <c:pt idx="1">
                  <c:v>30.927540969035103</c:v>
                </c:pt>
                <c:pt idx="2">
                  <c:v>32.237866692333789</c:v>
                </c:pt>
                <c:pt idx="4">
                  <c:v>29.89859720562486</c:v>
                </c:pt>
                <c:pt idx="5">
                  <c:v>29.888980796533517</c:v>
                </c:pt>
                <c:pt idx="6">
                  <c:v>30.43744661411494</c:v>
                </c:pt>
                <c:pt idx="7">
                  <c:v>23.316625270652249</c:v>
                </c:pt>
                <c:pt idx="8">
                  <c:v>19.689798226233261</c:v>
                </c:pt>
                <c:pt idx="9">
                  <c:v>15.857299472526613</c:v>
                </c:pt>
                <c:pt idx="10">
                  <c:v>14.589288413279856</c:v>
                </c:pt>
              </c:numCache>
            </c:numRef>
          </c:yVal>
          <c:smooth val="0"/>
          <c:extLst>
            <c:ext xmlns:c16="http://schemas.microsoft.com/office/drawing/2014/chart" uri="{C3380CC4-5D6E-409C-BE32-E72D297353CC}">
              <c16:uniqueId val="{00000000-165B-405C-B561-561F1F89913A}"/>
            </c:ext>
          </c:extLst>
        </c:ser>
        <c:ser>
          <c:idx val="1"/>
          <c:order val="1"/>
          <c:tx>
            <c:strRef>
              <c:f>'[GHG pulp and paper Sector Averages MECS.xlsx]P and P Indirect'!$C$9</c:f>
              <c:strCache>
                <c:ptCount val="1"/>
                <c:pt idx="0">
                  <c:v>AF&amp;PA/API - Net Electricity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'[GHG pulp and paper Sector Averages MECS.xlsx]P and P Indirect'!$D$7:$N$7</c:f>
              <c:numCache>
                <c:formatCode>General</c:formatCode>
                <c:ptCount val="11"/>
                <c:pt idx="0">
                  <c:v>1990</c:v>
                </c:pt>
                <c:pt idx="1">
                  <c:v>1991</c:v>
                </c:pt>
                <c:pt idx="2">
                  <c:v>1994</c:v>
                </c:pt>
                <c:pt idx="3">
                  <c:v>1998</c:v>
                </c:pt>
                <c:pt idx="4">
                  <c:v>2002</c:v>
                </c:pt>
                <c:pt idx="5">
                  <c:v>2005</c:v>
                </c:pt>
                <c:pt idx="6">
                  <c:v>2006</c:v>
                </c:pt>
                <c:pt idx="7">
                  <c:v>2010</c:v>
                </c:pt>
                <c:pt idx="8">
                  <c:v>2014</c:v>
                </c:pt>
                <c:pt idx="9">
                  <c:v>2018</c:v>
                </c:pt>
                <c:pt idx="10">
                  <c:v>2020</c:v>
                </c:pt>
              </c:numCache>
            </c:numRef>
          </c:xVal>
          <c:yVal>
            <c:numRef>
              <c:f>'[GHG pulp and paper Sector Averages MECS.xlsx]P and P Indirect'!$D$9:$N$9</c:f>
              <c:numCache>
                <c:formatCode>General</c:formatCode>
                <c:ptCount val="11"/>
                <c:pt idx="0">
                  <c:v>24.125408905440466</c:v>
                </c:pt>
                <c:pt idx="1">
                  <c:v>23.913444450200974</c:v>
                </c:pt>
                <c:pt idx="2">
                  <c:v>26.225783961904533</c:v>
                </c:pt>
                <c:pt idx="4">
                  <c:v>27.27667362796544</c:v>
                </c:pt>
                <c:pt idx="5">
                  <c:v>24.415475753744669</c:v>
                </c:pt>
                <c:pt idx="6">
                  <c:v>26.659467752983815</c:v>
                </c:pt>
                <c:pt idx="7">
                  <c:v>19.916038674779244</c:v>
                </c:pt>
                <c:pt idx="8">
                  <c:v>17.060056986350435</c:v>
                </c:pt>
                <c:pt idx="9">
                  <c:v>13.121159923850261</c:v>
                </c:pt>
                <c:pt idx="10">
                  <c:v>11.666662057660535</c:v>
                </c:pt>
              </c:numCache>
            </c:numRef>
          </c:yVal>
          <c:smooth val="0"/>
          <c:extLst>
            <c:ext xmlns:c16="http://schemas.microsoft.com/office/drawing/2014/chart" uri="{C3380CC4-5D6E-409C-BE32-E72D297353CC}">
              <c16:uniqueId val="{00000001-165B-405C-B561-561F1F89913A}"/>
            </c:ext>
          </c:extLst>
        </c:ser>
        <c:ser>
          <c:idx val="2"/>
          <c:order val="2"/>
          <c:tx>
            <c:strRef>
              <c:f>'[GHG pulp and paper Sector Averages MECS.xlsx]P and P Indirect'!$C$10</c:f>
              <c:strCache>
                <c:ptCount val="1"/>
                <c:pt idx="0">
                  <c:v>AF&amp;PA/API - Purchased Electricity and Steam</c:v>
                </c:pt>
              </c:strCache>
            </c:strRef>
          </c:tx>
          <c:spPr>
            <a:ln w="19050" cap="rnd">
              <a:solidFill>
                <a:schemeClr val="accent3"/>
              </a:solidFill>
              <a:round/>
            </a:ln>
            <a:effectLst/>
          </c:spPr>
          <c:marker>
            <c:symbol val="star"/>
            <c:size val="5"/>
            <c:spPr>
              <a:noFill/>
              <a:ln w="9525">
                <a:solidFill>
                  <a:schemeClr val="accent3"/>
                </a:solidFill>
              </a:ln>
              <a:effectLst/>
            </c:spPr>
          </c:marker>
          <c:xVal>
            <c:numRef>
              <c:f>'[GHG pulp and paper Sector Averages MECS.xlsx]P and P Indirect'!$D$7:$N$7</c:f>
              <c:numCache>
                <c:formatCode>General</c:formatCode>
                <c:ptCount val="11"/>
                <c:pt idx="0">
                  <c:v>1990</c:v>
                </c:pt>
                <c:pt idx="1">
                  <c:v>1991</c:v>
                </c:pt>
                <c:pt idx="2">
                  <c:v>1994</c:v>
                </c:pt>
                <c:pt idx="3">
                  <c:v>1998</c:v>
                </c:pt>
                <c:pt idx="4">
                  <c:v>2002</c:v>
                </c:pt>
                <c:pt idx="5">
                  <c:v>2005</c:v>
                </c:pt>
                <c:pt idx="6">
                  <c:v>2006</c:v>
                </c:pt>
                <c:pt idx="7">
                  <c:v>2010</c:v>
                </c:pt>
                <c:pt idx="8">
                  <c:v>2014</c:v>
                </c:pt>
                <c:pt idx="9">
                  <c:v>2018</c:v>
                </c:pt>
                <c:pt idx="10">
                  <c:v>2020</c:v>
                </c:pt>
              </c:numCache>
            </c:numRef>
          </c:xVal>
          <c:yVal>
            <c:numRef>
              <c:f>'[GHG pulp and paper Sector Averages MECS.xlsx]P and P Indirect'!$D$10:$N$10</c:f>
              <c:numCache>
                <c:formatCode>General</c:formatCode>
                <c:ptCount val="11"/>
                <c:pt idx="0">
                  <c:v>32.335610709982909</c:v>
                </c:pt>
                <c:pt idx="1">
                  <c:v>32.999417760470308</c:v>
                </c:pt>
                <c:pt idx="2">
                  <c:v>35.986355200356449</c:v>
                </c:pt>
                <c:pt idx="4">
                  <c:v>34.561425764049353</c:v>
                </c:pt>
                <c:pt idx="5">
                  <c:v>32.99728279951006</c:v>
                </c:pt>
                <c:pt idx="6">
                  <c:v>32.404800127143112</c:v>
                </c:pt>
                <c:pt idx="7">
                  <c:v>26.398009786640749</c:v>
                </c:pt>
                <c:pt idx="8">
                  <c:v>21.455888492444895</c:v>
                </c:pt>
                <c:pt idx="9">
                  <c:v>18.01885363227219</c:v>
                </c:pt>
                <c:pt idx="10">
                  <c:v>16.521767792343734</c:v>
                </c:pt>
              </c:numCache>
            </c:numRef>
          </c:yVal>
          <c:smooth val="0"/>
          <c:extLst>
            <c:ext xmlns:c16="http://schemas.microsoft.com/office/drawing/2014/chart" uri="{C3380CC4-5D6E-409C-BE32-E72D297353CC}">
              <c16:uniqueId val="{00000002-165B-405C-B561-561F1F89913A}"/>
            </c:ext>
          </c:extLst>
        </c:ser>
        <c:ser>
          <c:idx val="3"/>
          <c:order val="3"/>
          <c:tx>
            <c:strRef>
              <c:f>'[GHG pulp and paper Sector Averages MECS.xlsx]P and P Indirect'!$C$11</c:f>
              <c:strCache>
                <c:ptCount val="1"/>
                <c:pt idx="0">
                  <c:v>MECS - Purchased Electricity</c:v>
                </c:pt>
              </c:strCache>
            </c:strRef>
          </c:tx>
          <c:spPr>
            <a:ln w="19050" cap="rnd">
              <a:solidFill>
                <a:schemeClr val="accent4"/>
              </a:solidFill>
              <a:prstDash val="sysDash"/>
              <a:round/>
            </a:ln>
            <a:effectLst/>
          </c:spPr>
          <c:marker>
            <c:symbol val="triangle"/>
            <c:size val="5"/>
            <c:spPr>
              <a:solidFill>
                <a:schemeClr val="accent4"/>
              </a:solidFill>
              <a:ln w="9525">
                <a:solidFill>
                  <a:schemeClr val="accent4"/>
                </a:solidFill>
              </a:ln>
              <a:effectLst/>
            </c:spPr>
          </c:marker>
          <c:xVal>
            <c:numRef>
              <c:f>'[GHG pulp and paper Sector Averages MECS.xlsx]P and P Indirect'!$D$7:$N$7</c:f>
              <c:numCache>
                <c:formatCode>General</c:formatCode>
                <c:ptCount val="11"/>
                <c:pt idx="0">
                  <c:v>1990</c:v>
                </c:pt>
                <c:pt idx="1">
                  <c:v>1991</c:v>
                </c:pt>
                <c:pt idx="2">
                  <c:v>1994</c:v>
                </c:pt>
                <c:pt idx="3">
                  <c:v>1998</c:v>
                </c:pt>
                <c:pt idx="4">
                  <c:v>2002</c:v>
                </c:pt>
                <c:pt idx="5">
                  <c:v>2005</c:v>
                </c:pt>
                <c:pt idx="6">
                  <c:v>2006</c:v>
                </c:pt>
                <c:pt idx="7">
                  <c:v>2010</c:v>
                </c:pt>
                <c:pt idx="8">
                  <c:v>2014</c:v>
                </c:pt>
                <c:pt idx="9">
                  <c:v>2018</c:v>
                </c:pt>
                <c:pt idx="10">
                  <c:v>2020</c:v>
                </c:pt>
              </c:numCache>
            </c:numRef>
          </c:xVal>
          <c:yVal>
            <c:numRef>
              <c:f>'[GHG pulp and paper Sector Averages MECS.xlsx]P and P Indirect'!$D$11:$N$11</c:f>
              <c:numCache>
                <c:formatCode>General</c:formatCode>
                <c:ptCount val="11"/>
                <c:pt idx="1">
                  <c:v>34.057314224802681</c:v>
                </c:pt>
                <c:pt idx="2">
                  <c:v>37.123905860473549</c:v>
                </c:pt>
                <c:pt idx="3">
                  <c:v>38.089443563911821</c:v>
                </c:pt>
                <c:pt idx="4">
                  <c:v>35.014952720674948</c:v>
                </c:pt>
                <c:pt idx="6">
                  <c:v>35.804651999999997</c:v>
                </c:pt>
                <c:pt idx="7">
                  <c:v>30.744209999999999</c:v>
                </c:pt>
                <c:pt idx="8">
                  <c:v>25.081639255555555</c:v>
                </c:pt>
                <c:pt idx="9" formatCode="0.00000">
                  <c:v>18.717736800000001</c:v>
                </c:pt>
              </c:numCache>
            </c:numRef>
          </c:yVal>
          <c:smooth val="0"/>
          <c:extLst>
            <c:ext xmlns:c16="http://schemas.microsoft.com/office/drawing/2014/chart" uri="{C3380CC4-5D6E-409C-BE32-E72D297353CC}">
              <c16:uniqueId val="{00000003-165B-405C-B561-561F1F89913A}"/>
            </c:ext>
          </c:extLst>
        </c:ser>
        <c:ser>
          <c:idx val="4"/>
          <c:order val="4"/>
          <c:tx>
            <c:strRef>
              <c:f>'[GHG pulp and paper Sector Averages MECS.xlsx]P and P Indirect'!$C$12</c:f>
              <c:strCache>
                <c:ptCount val="1"/>
                <c:pt idx="0">
                  <c:v>MECS - Net Electricity</c:v>
                </c:pt>
              </c:strCache>
            </c:strRef>
          </c:tx>
          <c:spPr>
            <a:ln w="19050" cap="rnd">
              <a:solidFill>
                <a:schemeClr val="accent5"/>
              </a:solidFill>
              <a:prstDash val="sysDash"/>
              <a:round/>
            </a:ln>
            <a:effectLst/>
          </c:spPr>
          <c:marker>
            <c:symbol val="circle"/>
            <c:size val="5"/>
            <c:spPr>
              <a:solidFill>
                <a:schemeClr val="accent5"/>
              </a:solidFill>
              <a:ln w="9525">
                <a:solidFill>
                  <a:schemeClr val="accent5"/>
                </a:solidFill>
              </a:ln>
              <a:effectLst/>
            </c:spPr>
          </c:marker>
          <c:xVal>
            <c:numRef>
              <c:f>'[GHG pulp and paper Sector Averages MECS.xlsx]P and P Indirect'!$D$7:$N$7</c:f>
              <c:numCache>
                <c:formatCode>General</c:formatCode>
                <c:ptCount val="11"/>
                <c:pt idx="0">
                  <c:v>1990</c:v>
                </c:pt>
                <c:pt idx="1">
                  <c:v>1991</c:v>
                </c:pt>
                <c:pt idx="2">
                  <c:v>1994</c:v>
                </c:pt>
                <c:pt idx="3">
                  <c:v>1998</c:v>
                </c:pt>
                <c:pt idx="4">
                  <c:v>2002</c:v>
                </c:pt>
                <c:pt idx="5">
                  <c:v>2005</c:v>
                </c:pt>
                <c:pt idx="6">
                  <c:v>2006</c:v>
                </c:pt>
                <c:pt idx="7">
                  <c:v>2010</c:v>
                </c:pt>
                <c:pt idx="8">
                  <c:v>2014</c:v>
                </c:pt>
                <c:pt idx="9">
                  <c:v>2018</c:v>
                </c:pt>
                <c:pt idx="10">
                  <c:v>2020</c:v>
                </c:pt>
              </c:numCache>
            </c:numRef>
          </c:xVal>
          <c:yVal>
            <c:numRef>
              <c:f>'[GHG pulp and paper Sector Averages MECS.xlsx]P and P Indirect'!$D$12:$N$12</c:f>
              <c:numCache>
                <c:formatCode>General</c:formatCode>
                <c:ptCount val="11"/>
                <c:pt idx="1">
                  <c:v>30.06041365214627</c:v>
                </c:pt>
                <c:pt idx="2">
                  <c:v>32.758143082467086</c:v>
                </c:pt>
                <c:pt idx="3">
                  <c:v>36.499269728177836</c:v>
                </c:pt>
                <c:pt idx="4">
                  <c:v>32.764826581100579</c:v>
                </c:pt>
                <c:pt idx="6">
                  <c:v>33.473991409805556</c:v>
                </c:pt>
                <c:pt idx="7">
                  <c:v>27.341186210611117</c:v>
                </c:pt>
                <c:pt idx="8">
                  <c:v>22.105090562595837</c:v>
                </c:pt>
                <c:pt idx="9">
                  <c:v>16.608513348058331</c:v>
                </c:pt>
              </c:numCache>
            </c:numRef>
          </c:yVal>
          <c:smooth val="0"/>
          <c:extLst>
            <c:ext xmlns:c16="http://schemas.microsoft.com/office/drawing/2014/chart" uri="{C3380CC4-5D6E-409C-BE32-E72D297353CC}">
              <c16:uniqueId val="{00000004-165B-405C-B561-561F1F89913A}"/>
            </c:ext>
          </c:extLst>
        </c:ser>
        <c:dLbls>
          <c:showLegendKey val="0"/>
          <c:showVal val="0"/>
          <c:showCatName val="0"/>
          <c:showSerName val="0"/>
          <c:showPercent val="0"/>
          <c:showBubbleSize val="0"/>
        </c:dLbls>
        <c:axId val="728684800"/>
        <c:axId val="728680000"/>
      </c:scatterChart>
      <c:valAx>
        <c:axId val="728684800"/>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8680000"/>
        <c:crosses val="autoZero"/>
        <c:crossBetween val="midCat"/>
      </c:valAx>
      <c:valAx>
        <c:axId val="72868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8684800"/>
        <c:crosses val="autoZero"/>
        <c:crossBetween val="midCat"/>
      </c:valAx>
      <c:spPr>
        <a:noFill/>
        <a:ln>
          <a:noFill/>
        </a:ln>
        <a:effectLst/>
      </c:spPr>
    </c:plotArea>
    <c:legend>
      <c:legendPos val="b"/>
      <c:layout>
        <c:manualLayout>
          <c:xMode val="edge"/>
          <c:yMode val="edge"/>
          <c:x val="0.19954039985868552"/>
          <c:y val="0.77384510661425332"/>
          <c:w val="0.6425914360371574"/>
          <c:h val="0.19934071312383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5"/>
          <c:order val="0"/>
          <c:tx>
            <c:strRef>
              <c:f>'[GHG pulp and paper Sector Averages MECS.xlsx]Summary'!$B$27</c:f>
              <c:strCache>
                <c:ptCount val="1"/>
                <c:pt idx="0">
                  <c:v>MECS - Sums of Pulp and Paper - Net Purchases</c:v>
                </c:pt>
              </c:strCache>
            </c:strRef>
          </c:tx>
          <c:spPr>
            <a:ln w="19050">
              <a:prstDash val="sysDash"/>
            </a:ln>
          </c:spPr>
          <c:xVal>
            <c:numRef>
              <c:f>'[GHG pulp and paper Sector Averages MECS.xlsx]Summary'!$C$20:$J$20</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MECS.xlsx]Summary'!$C$27:$J$27</c:f>
              <c:numCache>
                <c:formatCode>0.000</c:formatCode>
                <c:ptCount val="8"/>
                <c:pt idx="0">
                  <c:v>0.38068407774847679</c:v>
                </c:pt>
                <c:pt idx="1">
                  <c:v>0.39158198145578588</c:v>
                </c:pt>
                <c:pt idx="2">
                  <c:v>0.39221222574874098</c:v>
                </c:pt>
                <c:pt idx="3">
                  <c:v>0.36036182277791823</c:v>
                </c:pt>
                <c:pt idx="4">
                  <c:v>0.36468514274222985</c:v>
                </c:pt>
                <c:pt idx="5">
                  <c:v>0.32853326669923688</c:v>
                </c:pt>
                <c:pt idx="6">
                  <c:v>0.27648921259020282</c:v>
                </c:pt>
                <c:pt idx="7">
                  <c:v>0.21187839112520773</c:v>
                </c:pt>
              </c:numCache>
            </c:numRef>
          </c:yVal>
          <c:smooth val="0"/>
          <c:extLst>
            <c:ext xmlns:c16="http://schemas.microsoft.com/office/drawing/2014/chart" uri="{C3380CC4-5D6E-409C-BE32-E72D297353CC}">
              <c16:uniqueId val="{00000000-E195-4A01-BC87-D111108D8A2F}"/>
            </c:ext>
          </c:extLst>
        </c:ser>
        <c:ser>
          <c:idx val="2"/>
          <c:order val="1"/>
          <c:tx>
            <c:strRef>
              <c:f>'[GHG pulp and paper Sector Averages MECS.xlsx]Summary'!$B$98</c:f>
              <c:strCache>
                <c:ptCount val="1"/>
                <c:pt idx="0">
                  <c:v>AF&amp;PA/API - Net Purchased Electricity Emissions</c:v>
                </c:pt>
              </c:strCache>
            </c:strRef>
          </c:tx>
          <c:spPr>
            <a:ln w="19050">
              <a:prstDash val="sysDash"/>
            </a:ln>
          </c:spPr>
          <c:xVal>
            <c:numRef>
              <c:f>'[GHG pulp and paper Sector Averages MECS.xlsx]Summary'!$C$84:$L$84</c:f>
              <c:numCache>
                <c:formatCode>General</c:formatCode>
                <c:ptCount val="10"/>
                <c:pt idx="0">
                  <c:v>1990</c:v>
                </c:pt>
                <c:pt idx="1">
                  <c:v>1991</c:v>
                </c:pt>
                <c:pt idx="2">
                  <c:v>1994</c:v>
                </c:pt>
                <c:pt idx="3">
                  <c:v>2002</c:v>
                </c:pt>
                <c:pt idx="4">
                  <c:v>2005</c:v>
                </c:pt>
                <c:pt idx="5">
                  <c:v>2006</c:v>
                </c:pt>
                <c:pt idx="6">
                  <c:v>2010</c:v>
                </c:pt>
                <c:pt idx="7">
                  <c:v>2014</c:v>
                </c:pt>
                <c:pt idx="8">
                  <c:v>2018</c:v>
                </c:pt>
                <c:pt idx="9">
                  <c:v>2020</c:v>
                </c:pt>
              </c:numCache>
            </c:numRef>
          </c:xVal>
          <c:yVal>
            <c:numRef>
              <c:f>'[GHG pulp and paper Sector Averages MECS.xlsx]Summary'!$C$98:$L$98</c:f>
              <c:numCache>
                <c:formatCode>0.00</c:formatCode>
                <c:ptCount val="10"/>
                <c:pt idx="0">
                  <c:v>0.29829323219296289</c:v>
                </c:pt>
                <c:pt idx="1">
                  <c:v>0.28840032623037787</c:v>
                </c:pt>
                <c:pt idx="2">
                  <c:v>0.29319149757816809</c:v>
                </c:pt>
                <c:pt idx="3">
                  <c:v>0.30174801381036598</c:v>
                </c:pt>
                <c:pt idx="4" formatCode="_(* #,##0.00_);_(* \(#,##0.00\);_(* &quot;-&quot;??_);_(@_)">
                  <c:v>0.2625082657420128</c:v>
                </c:pt>
                <c:pt idx="5">
                  <c:v>0.28620837687594047</c:v>
                </c:pt>
                <c:pt idx="6">
                  <c:v>0.23740901938131048</c:v>
                </c:pt>
                <c:pt idx="7">
                  <c:v>0.21148323586165346</c:v>
                </c:pt>
                <c:pt idx="8">
                  <c:v>0.16575495061181253</c:v>
                </c:pt>
                <c:pt idx="9">
                  <c:v>0.15225793052767733</c:v>
                </c:pt>
              </c:numCache>
            </c:numRef>
          </c:yVal>
          <c:smooth val="0"/>
          <c:extLst>
            <c:ext xmlns:c16="http://schemas.microsoft.com/office/drawing/2014/chart" uri="{C3380CC4-5D6E-409C-BE32-E72D297353CC}">
              <c16:uniqueId val="{00000001-E195-4A01-BC87-D111108D8A2F}"/>
            </c:ext>
          </c:extLst>
        </c:ser>
        <c:ser>
          <c:idx val="0"/>
          <c:order val="2"/>
          <c:tx>
            <c:strRef>
              <c:f>'[GHG pulp and paper Sector Averages MECS.xlsx]Summary'!$B$28</c:f>
              <c:strCache>
                <c:ptCount val="1"/>
                <c:pt idx="0">
                  <c:v>MECS - Sums of Pulp and Paper - Gross Purchases</c:v>
                </c:pt>
              </c:strCache>
            </c:strRef>
          </c:tx>
          <c:spPr>
            <a:ln w="19050"/>
          </c:spPr>
          <c:xVal>
            <c:numRef>
              <c:f>'[GHG pulp and paper Sector Averages MECS.xlsx]Summary'!$C$20:$J$20</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MECS.xlsx]Summary'!$C$28:$J$28</c:f>
              <c:numCache>
                <c:formatCode>0.000</c:formatCode>
                <c:ptCount val="8"/>
                <c:pt idx="0">
                  <c:v>0.43130069353963796</c:v>
                </c:pt>
                <c:pt idx="1">
                  <c:v>0.44376912878199321</c:v>
                </c:pt>
                <c:pt idx="2">
                  <c:v>0.40929984487332705</c:v>
                </c:pt>
                <c:pt idx="3">
                  <c:v>0.3851096893698624</c:v>
                </c:pt>
                <c:pt idx="4">
                  <c:v>0.39007671554910378</c:v>
                </c:pt>
                <c:pt idx="5">
                  <c:v>0.36942419636011781</c:v>
                </c:pt>
                <c:pt idx="6">
                  <c:v>0.31371971395468973</c:v>
                </c:pt>
                <c:pt idx="7">
                  <c:v>0.23878621015485038</c:v>
                </c:pt>
              </c:numCache>
            </c:numRef>
          </c:yVal>
          <c:smooth val="0"/>
          <c:extLst>
            <c:ext xmlns:c16="http://schemas.microsoft.com/office/drawing/2014/chart" uri="{C3380CC4-5D6E-409C-BE32-E72D297353CC}">
              <c16:uniqueId val="{00000002-E195-4A01-BC87-D111108D8A2F}"/>
            </c:ext>
          </c:extLst>
        </c:ser>
        <c:ser>
          <c:idx val="1"/>
          <c:order val="3"/>
          <c:tx>
            <c:strRef>
              <c:f>'[GHG pulp and paper Sector Averages MECS.xlsx]Summary'!$B$94</c:f>
              <c:strCache>
                <c:ptCount val="1"/>
                <c:pt idx="0">
                  <c:v>AF&amp;PA/API - Purchased Electricity Emissions</c:v>
                </c:pt>
              </c:strCache>
            </c:strRef>
          </c:tx>
          <c:spPr>
            <a:ln w="19050"/>
          </c:spPr>
          <c:xVal>
            <c:numRef>
              <c:f>'[GHG pulp and paper Sector Averages MECS.xlsx]Summary'!$C$84:$L$84</c:f>
              <c:numCache>
                <c:formatCode>General</c:formatCode>
                <c:ptCount val="10"/>
                <c:pt idx="0">
                  <c:v>1990</c:v>
                </c:pt>
                <c:pt idx="1">
                  <c:v>1991</c:v>
                </c:pt>
                <c:pt idx="2">
                  <c:v>1994</c:v>
                </c:pt>
                <c:pt idx="3">
                  <c:v>2002</c:v>
                </c:pt>
                <c:pt idx="4">
                  <c:v>2005</c:v>
                </c:pt>
                <c:pt idx="5">
                  <c:v>2006</c:v>
                </c:pt>
                <c:pt idx="6">
                  <c:v>2010</c:v>
                </c:pt>
                <c:pt idx="7">
                  <c:v>2014</c:v>
                </c:pt>
                <c:pt idx="8">
                  <c:v>2018</c:v>
                </c:pt>
                <c:pt idx="9">
                  <c:v>2020</c:v>
                </c:pt>
              </c:numCache>
            </c:numRef>
          </c:xVal>
          <c:yVal>
            <c:numRef>
              <c:f>'[GHG pulp and paper Sector Averages MECS.xlsx]Summary'!$C$94:$L$94</c:f>
              <c:numCache>
                <c:formatCode>0.00</c:formatCode>
                <c:ptCount val="10"/>
                <c:pt idx="0">
                  <c:v>0.37834636798915738</c:v>
                </c:pt>
                <c:pt idx="1">
                  <c:v>0.37299155809811158</c:v>
                </c:pt>
                <c:pt idx="2">
                  <c:v>0.36040365572981276</c:v>
                </c:pt>
                <c:pt idx="3">
                  <c:v>0.33075302529791634</c:v>
                </c:pt>
                <c:pt idx="4" formatCode="_(* #,##0.00_);_(* \(#,##0.00\);_(* &quot;-&quot;??_);_(@_)">
                  <c:v>0.32139658553123041</c:v>
                </c:pt>
                <c:pt idx="5">
                  <c:v>0.3267676711474824</c:v>
                </c:pt>
                <c:pt idx="6">
                  <c:v>0.27794569146910897</c:v>
                </c:pt>
                <c:pt idx="7">
                  <c:v>0.24408255175691826</c:v>
                </c:pt>
                <c:pt idx="8">
                  <c:v>0.20031962922178048</c:v>
                </c:pt>
                <c:pt idx="9">
                  <c:v>0.19040020621998258</c:v>
                </c:pt>
              </c:numCache>
            </c:numRef>
          </c:yVal>
          <c:smooth val="0"/>
          <c:extLst>
            <c:ext xmlns:c16="http://schemas.microsoft.com/office/drawing/2014/chart" uri="{C3380CC4-5D6E-409C-BE32-E72D297353CC}">
              <c16:uniqueId val="{00000003-E195-4A01-BC87-D111108D8A2F}"/>
            </c:ext>
          </c:extLst>
        </c:ser>
        <c:dLbls>
          <c:showLegendKey val="0"/>
          <c:showVal val="0"/>
          <c:showCatName val="0"/>
          <c:showSerName val="0"/>
          <c:showPercent val="0"/>
          <c:showBubbleSize val="0"/>
        </c:dLbls>
        <c:axId val="82909056"/>
        <c:axId val="82923520"/>
      </c:scatterChart>
      <c:valAx>
        <c:axId val="82909056"/>
        <c:scaling>
          <c:orientation val="minMax"/>
          <c:max val="2020"/>
          <c:min val="1990"/>
        </c:scaling>
        <c:delete val="0"/>
        <c:axPos val="b"/>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2923520"/>
        <c:crosses val="autoZero"/>
        <c:crossBetween val="midCat"/>
        <c:majorUnit val="5"/>
        <c:minorUnit val="1"/>
      </c:valAx>
      <c:valAx>
        <c:axId val="82923520"/>
        <c:scaling>
          <c:orientation val="minMax"/>
        </c:scaling>
        <c:delete val="0"/>
        <c:axPos val="l"/>
        <c:majorGridlines/>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Net Purchased Electricity GHG Emissions</a:t>
                </a:r>
              </a:p>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 (Metric</a:t>
                </a:r>
                <a:r>
                  <a:rPr lang="en-US" b="0" baseline="0">
                    <a:latin typeface="Times New Roman" panose="02020603050405020304" pitchFamily="18" charset="0"/>
                    <a:cs typeface="Times New Roman" panose="02020603050405020304" pitchFamily="18" charset="0"/>
                  </a:rPr>
                  <a:t> Ton</a:t>
                </a:r>
                <a:r>
                  <a:rPr lang="en-US" b="0">
                    <a:latin typeface="Times New Roman" panose="02020603050405020304" pitchFamily="18" charset="0"/>
                    <a:cs typeface="Times New Roman" panose="02020603050405020304" pitchFamily="18" charset="0"/>
                  </a:rPr>
                  <a:t> CO</a:t>
                </a:r>
                <a:r>
                  <a:rPr lang="en-US" b="0" baseline="-25000">
                    <a:latin typeface="Times New Roman" panose="02020603050405020304" pitchFamily="18" charset="0"/>
                    <a:cs typeface="Times New Roman" panose="02020603050405020304" pitchFamily="18" charset="0"/>
                  </a:rPr>
                  <a:t>2</a:t>
                </a:r>
                <a:r>
                  <a:rPr lang="en-US" b="0">
                    <a:latin typeface="Times New Roman" panose="02020603050405020304" pitchFamily="18" charset="0"/>
                    <a:cs typeface="Times New Roman" panose="02020603050405020304" pitchFamily="18" charset="0"/>
                  </a:rPr>
                  <a:t>/Metric Ton Production)</a:t>
                </a:r>
              </a:p>
            </c:rich>
          </c:tx>
          <c:layout>
            <c:manualLayout>
              <c:xMode val="edge"/>
              <c:yMode val="edge"/>
              <c:x val="1.2477286493034522E-2"/>
              <c:y val="4.9767095629826265E-2"/>
            </c:manualLayout>
          </c:layout>
          <c:overlay val="0"/>
        </c:title>
        <c:numFmt formatCode="0.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2909056"/>
        <c:crosses val="autoZero"/>
        <c:crossBetween val="midCat"/>
      </c:valAx>
    </c:plotArea>
    <c:legend>
      <c:legendPos val="b"/>
      <c:layout>
        <c:manualLayout>
          <c:xMode val="edge"/>
          <c:yMode val="edge"/>
          <c:x val="9.1665657177468204E-2"/>
          <c:y val="0.82964837226011368"/>
          <c:w val="0.8914548421831886"/>
          <c:h val="0.14403006599388937"/>
        </c:manualLayout>
      </c:layout>
      <c:overlay val="0"/>
      <c:spPr>
        <a:solidFill>
          <a:schemeClr val="bg1"/>
        </a:solidFill>
        <a:ln>
          <a:noFill/>
        </a:ln>
      </c:spPr>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87131499866868"/>
          <c:y val="5.2035803016363152E-2"/>
          <c:w val="0.73758693206827397"/>
          <c:h val="0.83822415250922822"/>
        </c:manualLayout>
      </c:layout>
      <c:scatterChart>
        <c:scatterStyle val="lineMarker"/>
        <c:varyColors val="0"/>
        <c:ser>
          <c:idx val="3"/>
          <c:order val="0"/>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'[egrid data.xlsx]Sheet1'!$A$5:$A$35</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'[egrid data.xlsx]Sheet1'!$E$5:$E$35</c:f>
              <c:numCache>
                <c:formatCode>General</c:formatCode>
                <c:ptCount val="31"/>
                <c:pt idx="1">
                  <c:v>657.5</c:v>
                </c:pt>
                <c:pt idx="4">
                  <c:v>657.5</c:v>
                </c:pt>
                <c:pt idx="8">
                  <c:v>645.29999999999995</c:v>
                </c:pt>
                <c:pt idx="12">
                  <c:v>631.6</c:v>
                </c:pt>
                <c:pt idx="15">
                  <c:v>606.31018999999992</c:v>
                </c:pt>
                <c:pt idx="17">
                  <c:v>589.68334799999991</c:v>
                </c:pt>
                <c:pt idx="20">
                  <c:v>561.99025599999993</c:v>
                </c:pt>
                <c:pt idx="22">
                  <c:v>518.24009199999989</c:v>
                </c:pt>
                <c:pt idx="24">
                  <c:v>513.02817200000004</c:v>
                </c:pt>
                <c:pt idx="26">
                  <c:v>455.792846</c:v>
                </c:pt>
                <c:pt idx="28">
                  <c:v>432.6</c:v>
                </c:pt>
                <c:pt idx="29">
                  <c:v>403.64141200000006</c:v>
                </c:pt>
                <c:pt idx="30">
                  <c:v>373.36142799999999</c:v>
                </c:pt>
              </c:numCache>
            </c:numRef>
          </c:yVal>
          <c:smooth val="0"/>
          <c:extLst>
            <c:ext xmlns:c16="http://schemas.microsoft.com/office/drawing/2014/chart" uri="{C3380CC4-5D6E-409C-BE32-E72D297353CC}">
              <c16:uniqueId val="{00000000-2C70-4133-AD0A-655A9A598FAF}"/>
            </c:ext>
          </c:extLst>
        </c:ser>
        <c:dLbls>
          <c:showLegendKey val="0"/>
          <c:showVal val="0"/>
          <c:showCatName val="0"/>
          <c:showSerName val="0"/>
          <c:showPercent val="0"/>
          <c:showBubbleSize val="0"/>
        </c:dLbls>
        <c:axId val="981707872"/>
        <c:axId val="981705472"/>
      </c:scatterChart>
      <c:valAx>
        <c:axId val="981707872"/>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1705472"/>
        <c:crosses val="autoZero"/>
        <c:crossBetween val="midCat"/>
      </c:valAx>
      <c:valAx>
        <c:axId val="981705472"/>
        <c:scaling>
          <c:orientation val="minMax"/>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US Emission Factor for Purchased Electricity, kg CO</a:t>
                </a:r>
                <a:r>
                  <a:rPr lang="en-US" baseline="-25000">
                    <a:latin typeface="Times New Roman" panose="02020603050405020304" pitchFamily="18" charset="0"/>
                    <a:cs typeface="Times New Roman" panose="02020603050405020304" pitchFamily="18" charset="0"/>
                  </a:rPr>
                  <a:t>2</a:t>
                </a:r>
                <a:r>
                  <a:rPr lang="en-US"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e</a:t>
                </a:r>
                <a:r>
                  <a:rPr lang="en-US">
                    <a:latin typeface="Times New Roman" panose="02020603050405020304" pitchFamily="18" charset="0"/>
                    <a:cs typeface="Times New Roman" panose="02020603050405020304" pitchFamily="18" charset="0"/>
                  </a:rPr>
                  <a:t>/MWh</a:t>
                </a:r>
              </a:p>
            </c:rich>
          </c:tx>
          <c:layout>
            <c:manualLayout>
              <c:xMode val="edge"/>
              <c:yMode val="edge"/>
              <c:x val="4.1407867494824016E-2"/>
              <c:y val="0.12669432969914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1707872"/>
        <c:crosses val="autoZero"/>
        <c:crossBetween val="midCat"/>
      </c:valAx>
      <c:spPr>
        <a:noFill/>
        <a:ln>
          <a:noFill/>
        </a:ln>
        <a:effectLst/>
      </c:spPr>
    </c:plotArea>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53011839311342"/>
          <c:y val="4.6423990269903827E-2"/>
          <c:w val="0.68858302184238329"/>
          <c:h val="0.65625776779364742"/>
        </c:manualLayout>
      </c:layout>
      <c:scatterChart>
        <c:scatterStyle val="lineMarker"/>
        <c:varyColors val="0"/>
        <c:ser>
          <c:idx val="4"/>
          <c:order val="0"/>
          <c:tx>
            <c:strRef>
              <c:f>'[Wood product Sector Averages MECS June 28.xlsx]FPI WP Indirect Summary'!$E$18</c:f>
              <c:strCache>
                <c:ptCount val="1"/>
                <c:pt idx="0">
                  <c:v>Gross Purchased Electricity</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'[Wood product Sector Averages MECS June 28.xlsx]FPI WP Indirect Summary'!$C$19:$C$49</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'[Wood product Sector Averages MECS June 28.xlsx]FPI WP Indirect Summary'!$E$19:$E$48</c:f>
              <c:numCache>
                <c:formatCode>_(* #,##0.0_);_(* \(#,##0.0\);_(* "-"??_);_(@_)</c:formatCode>
                <c:ptCount val="30"/>
                <c:pt idx="1">
                  <c:v>12.629965422298827</c:v>
                </c:pt>
                <c:pt idx="4">
                  <c:v>13.103257232986836</c:v>
                </c:pt>
                <c:pt idx="8">
                  <c:v>13.906612198584778</c:v>
                </c:pt>
                <c:pt idx="12">
                  <c:v>13.399996788533068</c:v>
                </c:pt>
                <c:pt idx="16">
                  <c:v>16.193242000000001</c:v>
                </c:pt>
                <c:pt idx="20">
                  <c:v>8.8751040000000003</c:v>
                </c:pt>
                <c:pt idx="24">
                  <c:v>11.035060199999998</c:v>
                </c:pt>
                <c:pt idx="28">
                  <c:v>9.2174081999999995</c:v>
                </c:pt>
              </c:numCache>
            </c:numRef>
          </c:yVal>
          <c:smooth val="0"/>
          <c:extLst>
            <c:ext xmlns:c16="http://schemas.microsoft.com/office/drawing/2014/chart" uri="{C3380CC4-5D6E-409C-BE32-E72D297353CC}">
              <c16:uniqueId val="{00000000-8071-45A7-828F-4D456DC1B0C9}"/>
            </c:ext>
          </c:extLst>
        </c:ser>
        <c:ser>
          <c:idx val="1"/>
          <c:order val="2"/>
          <c:tx>
            <c:strRef>
              <c:f>'[Wood product Sector Averages MECS June 28.xlsx]FPI WP Indirect Summary'!$F$18</c:f>
              <c:strCache>
                <c:ptCount val="1"/>
                <c:pt idx="0">
                  <c:v>Net Electricity Consumption</c:v>
                </c:pt>
              </c:strCache>
            </c:strRef>
          </c:tx>
          <c:spPr>
            <a:ln w="19050" cap="rnd">
              <a:solidFill>
                <a:schemeClr val="tx1"/>
              </a:solidFill>
              <a:prstDash val="sysDash"/>
              <a:round/>
            </a:ln>
            <a:effectLst/>
          </c:spPr>
          <c:marker>
            <c:symbol val="circle"/>
            <c:size val="5"/>
            <c:spPr>
              <a:solidFill>
                <a:schemeClr val="tx1"/>
              </a:solidFill>
              <a:ln w="9525">
                <a:solidFill>
                  <a:schemeClr val="tx1"/>
                </a:solidFill>
              </a:ln>
              <a:effectLst/>
            </c:spPr>
          </c:marker>
          <c:xVal>
            <c:numRef>
              <c:f>'[Wood product Sector Averages MECS June 28.xlsx]FPI WP Indirect Summary'!$C$19:$C$49</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'[Wood product Sector Averages MECS June 28.xlsx]FPI WP Indirect Summary'!$F$19:$F$49</c:f>
              <c:numCache>
                <c:formatCode>_(* #,##0.0_);_(* \(#,##0.0\);_(* "-"??_);_(@_)</c:formatCode>
                <c:ptCount val="31"/>
                <c:pt idx="1">
                  <c:v>11.754392517826421</c:v>
                </c:pt>
                <c:pt idx="4">
                  <c:v>13.103257232986836</c:v>
                </c:pt>
                <c:pt idx="8">
                  <c:v>13.616307877869454</c:v>
                </c:pt>
                <c:pt idx="12">
                  <c:v>13.142953035356729</c:v>
                </c:pt>
                <c:pt idx="16">
                  <c:v>15.7730849575</c:v>
                </c:pt>
                <c:pt idx="20">
                  <c:v>8.4000029924166668</c:v>
                </c:pt>
                <c:pt idx="24">
                  <c:v>10.674943723293612</c:v>
                </c:pt>
                <c:pt idx="28">
                  <c:v>8.8747781249166646</c:v>
                </c:pt>
              </c:numCache>
            </c:numRef>
          </c:yVal>
          <c:smooth val="0"/>
          <c:extLst>
            <c:ext xmlns:c16="http://schemas.microsoft.com/office/drawing/2014/chart" uri="{C3380CC4-5D6E-409C-BE32-E72D297353CC}">
              <c16:uniqueId val="{00000001-8071-45A7-828F-4D456DC1B0C9}"/>
            </c:ext>
          </c:extLst>
        </c:ser>
        <c:dLbls>
          <c:showLegendKey val="0"/>
          <c:showVal val="0"/>
          <c:showCatName val="0"/>
          <c:showSerName val="0"/>
          <c:showPercent val="0"/>
          <c:showBubbleSize val="0"/>
        </c:dLbls>
        <c:axId val="1150862031"/>
        <c:axId val="1150860591"/>
      </c:scatterChart>
      <c:scatterChart>
        <c:scatterStyle val="lineMarker"/>
        <c:varyColors val="0"/>
        <c:ser>
          <c:idx val="0"/>
          <c:order val="1"/>
          <c:tx>
            <c:strRef>
              <c:f>'[Wood product Sector Averages MECS June 28.xlsx]FPI WP Indirect Summary'!$D$18</c:f>
              <c:strCache>
                <c:ptCount val="1"/>
                <c:pt idx="0">
                  <c:v>m3 wood products (right axis)</c:v>
                </c:pt>
              </c:strCache>
            </c:strRef>
          </c:tx>
          <c:spPr>
            <a:ln w="19050"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xVal>
            <c:numRef>
              <c:f>'[Wood product Sector Averages MECS June 28.xlsx]FPI WP Indirect Summary'!$C$19:$C$49</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'[Wood product Sector Averages MECS June 28.xlsx]FPI WP Indirect Summary'!$D$19:$D$49</c:f>
              <c:numCache>
                <c:formatCode>_(* #,##0_);_(* \(#,##0\);_(* "-"??_);_(@_)</c:formatCode>
                <c:ptCount val="31"/>
                <c:pt idx="0">
                  <c:v>123184708</c:v>
                </c:pt>
                <c:pt idx="1">
                  <c:v>115548708</c:v>
                </c:pt>
                <c:pt idx="2">
                  <c:v>122765208</c:v>
                </c:pt>
                <c:pt idx="3">
                  <c:v>121839900</c:v>
                </c:pt>
                <c:pt idx="4">
                  <c:v>125933900</c:v>
                </c:pt>
                <c:pt idx="5">
                  <c:v>122217100</c:v>
                </c:pt>
                <c:pt idx="6">
                  <c:v>125577200</c:v>
                </c:pt>
                <c:pt idx="7">
                  <c:v>128947900</c:v>
                </c:pt>
                <c:pt idx="8">
                  <c:v>131522911</c:v>
                </c:pt>
                <c:pt idx="9">
                  <c:v>138115685</c:v>
                </c:pt>
                <c:pt idx="10">
                  <c:v>136499000</c:v>
                </c:pt>
                <c:pt idx="11">
                  <c:v>125910907</c:v>
                </c:pt>
                <c:pt idx="12">
                  <c:v>129292413</c:v>
                </c:pt>
                <c:pt idx="13">
                  <c:v>128497060</c:v>
                </c:pt>
                <c:pt idx="14">
                  <c:v>137181435</c:v>
                </c:pt>
                <c:pt idx="15">
                  <c:v>141408651</c:v>
                </c:pt>
                <c:pt idx="16">
                  <c:v>136862081</c:v>
                </c:pt>
                <c:pt idx="17">
                  <c:v>125888105</c:v>
                </c:pt>
                <c:pt idx="18">
                  <c:v>108045730</c:v>
                </c:pt>
                <c:pt idx="19">
                  <c:v>88241789</c:v>
                </c:pt>
                <c:pt idx="20">
                  <c:v>92205680</c:v>
                </c:pt>
                <c:pt idx="21">
                  <c:v>94823623</c:v>
                </c:pt>
                <c:pt idx="22">
                  <c:v>98533000</c:v>
                </c:pt>
                <c:pt idx="23">
                  <c:v>104177390</c:v>
                </c:pt>
                <c:pt idx="24">
                  <c:v>110892840</c:v>
                </c:pt>
                <c:pt idx="25">
                  <c:v>111620505</c:v>
                </c:pt>
                <c:pt idx="26">
                  <c:v>114121730</c:v>
                </c:pt>
                <c:pt idx="27">
                  <c:v>116574910</c:v>
                </c:pt>
                <c:pt idx="28">
                  <c:v>116242562</c:v>
                </c:pt>
                <c:pt idx="29">
                  <c:v>116825077</c:v>
                </c:pt>
                <c:pt idx="30">
                  <c:v>112540599</c:v>
                </c:pt>
              </c:numCache>
            </c:numRef>
          </c:yVal>
          <c:smooth val="0"/>
          <c:extLst>
            <c:ext xmlns:c16="http://schemas.microsoft.com/office/drawing/2014/chart" uri="{C3380CC4-5D6E-409C-BE32-E72D297353CC}">
              <c16:uniqueId val="{00000002-8071-45A7-828F-4D456DC1B0C9}"/>
            </c:ext>
          </c:extLst>
        </c:ser>
        <c:dLbls>
          <c:showLegendKey val="0"/>
          <c:showVal val="0"/>
          <c:showCatName val="0"/>
          <c:showSerName val="0"/>
          <c:showPercent val="0"/>
          <c:showBubbleSize val="0"/>
        </c:dLbls>
        <c:axId val="752059999"/>
        <c:axId val="752064799"/>
      </c:scatterChart>
      <c:valAx>
        <c:axId val="1150862031"/>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0860591"/>
        <c:crosses val="autoZero"/>
        <c:crossBetween val="midCat"/>
      </c:valAx>
      <c:valAx>
        <c:axId val="115086059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Ttons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0_);_(* \(#,##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0862031"/>
        <c:crosses val="autoZero"/>
        <c:crossBetween val="midCat"/>
      </c:valAx>
      <c:valAx>
        <c:axId val="752064799"/>
        <c:scaling>
          <c:orientation val="minMax"/>
          <c:min val="70000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Cubic MMeters of Wood Product Output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2059999"/>
        <c:crosses val="max"/>
        <c:crossBetween val="midCat"/>
      </c:valAx>
      <c:valAx>
        <c:axId val="752059999"/>
        <c:scaling>
          <c:orientation val="minMax"/>
        </c:scaling>
        <c:delete val="1"/>
        <c:axPos val="b"/>
        <c:numFmt formatCode="General" sourceLinked="1"/>
        <c:majorTickMark val="out"/>
        <c:minorTickMark val="none"/>
        <c:tickLblPos val="nextTo"/>
        <c:crossAx val="752064799"/>
        <c:crosses val="autoZero"/>
        <c:crossBetween val="midCat"/>
      </c:valAx>
      <c:spPr>
        <a:noFill/>
        <a:ln>
          <a:noFill/>
        </a:ln>
        <a:effectLst/>
      </c:spPr>
    </c:plotArea>
    <c:legend>
      <c:legendPos val="b"/>
      <c:layout>
        <c:manualLayout>
          <c:xMode val="edge"/>
          <c:yMode val="edge"/>
          <c:x val="0.16435118102053936"/>
          <c:y val="0.79741760323273136"/>
          <c:w val="0.57839291472083909"/>
          <c:h val="0.174777184785426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28902707973308"/>
          <c:y val="5.0976489876404817E-2"/>
          <c:w val="0.75777214039306307"/>
          <c:h val="0.64267125844938178"/>
        </c:manualLayout>
      </c:layout>
      <c:scatterChart>
        <c:scatterStyle val="lineMarker"/>
        <c:varyColors val="0"/>
        <c:ser>
          <c:idx val="0"/>
          <c:order val="0"/>
          <c:tx>
            <c:strRef>
              <c:f>'[GHG pulp and paper Sector Averages MECS.xlsx]Converting'!$E$17</c:f>
              <c:strCache>
                <c:ptCount val="1"/>
                <c:pt idx="0">
                  <c:v>Converting (total NAICS 322 minus subsectors)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'[GHG pulp and paper Sector Averages MECS.xlsx]Converting'!$D$18:$D$25</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MECS.xlsx]Converting'!$E$18:$E$25</c:f>
              <c:numCache>
                <c:formatCode>0.0</c:formatCode>
                <c:ptCount val="8"/>
                <c:pt idx="0">
                  <c:v>7.854524802685293</c:v>
                </c:pt>
                <c:pt idx="1">
                  <c:v>9.8967275514832611</c:v>
                </c:pt>
                <c:pt idx="2">
                  <c:v>9.3160298970334754</c:v>
                </c:pt>
                <c:pt idx="3">
                  <c:v>5.4225299283316692</c:v>
                </c:pt>
                <c:pt idx="4">
                  <c:v>9.9650719999999993</c:v>
                </c:pt>
                <c:pt idx="5">
                  <c:v>7.06274392</c:v>
                </c:pt>
                <c:pt idx="6">
                  <c:v>6.9800271138888892</c:v>
                </c:pt>
                <c:pt idx="7">
                  <c:v>5.4870984000000007</c:v>
                </c:pt>
              </c:numCache>
            </c:numRef>
          </c:yVal>
          <c:smooth val="0"/>
          <c:extLst>
            <c:ext xmlns:c16="http://schemas.microsoft.com/office/drawing/2014/chart" uri="{C3380CC4-5D6E-409C-BE32-E72D297353CC}">
              <c16:uniqueId val="{00000000-AF83-4096-8A91-63BC24227C1A}"/>
            </c:ext>
          </c:extLst>
        </c:ser>
        <c:ser>
          <c:idx val="1"/>
          <c:order val="1"/>
          <c:tx>
            <c:strRef>
              <c:f>'[GHG pulp and paper Sector Averages MECS.xlsx]Converting'!$F$17</c:f>
              <c:strCache>
                <c:ptCount val="1"/>
                <c:pt idx="0">
                  <c:v>Printing and printing support (NAICS 323)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'[GHG pulp and paper Sector Averages MECS.xlsx]Converting'!$D$18:$D$25</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MECS.xlsx]Converting'!$F$18:$F$25</c:f>
              <c:numCache>
                <c:formatCode>0.0</c:formatCode>
                <c:ptCount val="8"/>
                <c:pt idx="0">
                  <c:v>10.212832843357385</c:v>
                </c:pt>
                <c:pt idx="1">
                  <c:v>11.369002599209166</c:v>
                </c:pt>
                <c:pt idx="2">
                  <c:v>9.6448847468241947</c:v>
                </c:pt>
                <c:pt idx="3">
                  <c:v>9.2556007291244562</c:v>
                </c:pt>
                <c:pt idx="4">
                  <c:v>7.88654247875</c:v>
                </c:pt>
                <c:pt idx="5">
                  <c:v>7.7411792283055538</c:v>
                </c:pt>
                <c:pt idx="6">
                  <c:v>7.3683635208652785</c:v>
                </c:pt>
                <c:pt idx="7">
                  <c:v>4.3106065178166677</c:v>
                </c:pt>
              </c:numCache>
            </c:numRef>
          </c:yVal>
          <c:smooth val="0"/>
          <c:extLst>
            <c:ext xmlns:c16="http://schemas.microsoft.com/office/drawing/2014/chart" uri="{C3380CC4-5D6E-409C-BE32-E72D297353CC}">
              <c16:uniqueId val="{00000001-AF83-4096-8A91-63BC24227C1A}"/>
            </c:ext>
          </c:extLst>
        </c:ser>
        <c:ser>
          <c:idx val="2"/>
          <c:order val="2"/>
          <c:tx>
            <c:strRef>
              <c:f>'[GHG pulp and paper Sector Averages MECS.xlsx]Converting'!$G$17</c:f>
              <c:strCache>
                <c:ptCount val="1"/>
                <c:pt idx="0">
                  <c:v>Total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'[GHG pulp and paper Sector Averages MECS.xlsx]Converting'!$D$18:$D$25</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MECS.xlsx]Converting'!$G$18:$G$25</c:f>
              <c:numCache>
                <c:formatCode>0.0</c:formatCode>
                <c:ptCount val="8"/>
                <c:pt idx="0">
                  <c:v>18.067357646042677</c:v>
                </c:pt>
                <c:pt idx="1">
                  <c:v>21.265730150692427</c:v>
                </c:pt>
                <c:pt idx="2">
                  <c:v>18.96091464385767</c:v>
                </c:pt>
                <c:pt idx="3">
                  <c:v>14.678130657456126</c:v>
                </c:pt>
                <c:pt idx="4">
                  <c:v>17.851614478750001</c:v>
                </c:pt>
                <c:pt idx="5">
                  <c:v>14.803923148305554</c:v>
                </c:pt>
                <c:pt idx="6">
                  <c:v>14.348390634754168</c:v>
                </c:pt>
                <c:pt idx="7">
                  <c:v>9.7977049178166684</c:v>
                </c:pt>
              </c:numCache>
            </c:numRef>
          </c:yVal>
          <c:smooth val="0"/>
          <c:extLst>
            <c:ext xmlns:c16="http://schemas.microsoft.com/office/drawing/2014/chart" uri="{C3380CC4-5D6E-409C-BE32-E72D297353CC}">
              <c16:uniqueId val="{00000002-AF83-4096-8A91-63BC24227C1A}"/>
            </c:ext>
          </c:extLst>
        </c:ser>
        <c:dLbls>
          <c:showLegendKey val="0"/>
          <c:showVal val="0"/>
          <c:showCatName val="0"/>
          <c:showSerName val="0"/>
          <c:showPercent val="0"/>
          <c:showBubbleSize val="0"/>
        </c:dLbls>
        <c:axId val="1349417055"/>
        <c:axId val="1349417535"/>
      </c:scatterChart>
      <c:valAx>
        <c:axId val="1349417055"/>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9417535"/>
        <c:crosses val="autoZero"/>
        <c:crossBetween val="midCat"/>
      </c:valAx>
      <c:valAx>
        <c:axId val="13494175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p>
            </c:rich>
          </c:tx>
          <c:layout>
            <c:manualLayout>
              <c:xMode val="edge"/>
              <c:yMode val="edge"/>
              <c:x val="4.7347209000754599E-2"/>
              <c:y val="0.149879332812758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9417055"/>
        <c:crosses val="autoZero"/>
        <c:crossBetween val="midCat"/>
      </c:valAx>
      <c:spPr>
        <a:noFill/>
        <a:ln>
          <a:noFill/>
        </a:ln>
        <a:effectLst/>
      </c:spPr>
    </c:plotArea>
    <c:legend>
      <c:legendPos val="b"/>
      <c:layout>
        <c:manualLayout>
          <c:xMode val="edge"/>
          <c:yMode val="edge"/>
          <c:x val="0.1550315212405762"/>
          <c:y val="0.77857428118725081"/>
          <c:w val="0.72608299188515524"/>
          <c:h val="0.19557072007932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51625185034447"/>
          <c:y val="4.5605306799336651E-2"/>
          <c:w val="0.79957156251675299"/>
          <c:h val="0.64677139238192238"/>
        </c:manualLayout>
      </c:layout>
      <c:scatterChart>
        <c:scatterStyle val="lineMarker"/>
        <c:varyColors val="0"/>
        <c:ser>
          <c:idx val="0"/>
          <c:order val="0"/>
          <c:tx>
            <c:strRef>
              <c:f>'[Wood product Sector Averages MECS June 28.xlsx]Converting'!$E$17</c:f>
              <c:strCache>
                <c:ptCount val="1"/>
                <c:pt idx="0">
                  <c:v>Converting (total NAICS 321 minus subsectors)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'[Wood product Sector Averages MECS June 28.xlsx]Converting'!$D$20:$D$25</c:f>
              <c:numCache>
                <c:formatCode>0</c:formatCode>
                <c:ptCount val="6"/>
                <c:pt idx="0">
                  <c:v>1998</c:v>
                </c:pt>
                <c:pt idx="1">
                  <c:v>2002</c:v>
                </c:pt>
                <c:pt idx="2">
                  <c:v>2006</c:v>
                </c:pt>
                <c:pt idx="3">
                  <c:v>2010</c:v>
                </c:pt>
                <c:pt idx="4">
                  <c:v>2014</c:v>
                </c:pt>
                <c:pt idx="5">
                  <c:v>2018</c:v>
                </c:pt>
              </c:numCache>
            </c:numRef>
          </c:xVal>
          <c:yVal>
            <c:numRef>
              <c:f>'[Wood product Sector Averages MECS June 28.xlsx]Converting'!$E$20:$E$25</c:f>
              <c:numCache>
                <c:formatCode>0.00</c:formatCode>
                <c:ptCount val="6"/>
                <c:pt idx="0">
                  <c:v>0.17745433411956818</c:v>
                </c:pt>
                <c:pt idx="1">
                  <c:v>0.19580480812845868</c:v>
                </c:pt>
                <c:pt idx="2">
                  <c:v>0.217672</c:v>
                </c:pt>
                <c:pt idx="3">
                  <c:v>0.21749399999999999</c:v>
                </c:pt>
                <c:pt idx="4">
                  <c:v>0.20059082</c:v>
                </c:pt>
                <c:pt idx="5">
                  <c:v>0.1964004</c:v>
                </c:pt>
              </c:numCache>
            </c:numRef>
          </c:yVal>
          <c:smooth val="0"/>
          <c:extLst>
            <c:ext xmlns:c16="http://schemas.microsoft.com/office/drawing/2014/chart" uri="{C3380CC4-5D6E-409C-BE32-E72D297353CC}">
              <c16:uniqueId val="{00000000-85F2-4791-9609-D5A104E68868}"/>
            </c:ext>
          </c:extLst>
        </c:ser>
        <c:ser>
          <c:idx val="1"/>
          <c:order val="1"/>
          <c:tx>
            <c:strRef>
              <c:f>'[Wood product Sector Averages MECS June 28.xlsx]Converting'!$F$17</c:f>
              <c:strCache>
                <c:ptCount val="1"/>
                <c:pt idx="0">
                  <c:v>Furniture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'[Wood product Sector Averages MECS June 28.xlsx]Converting'!$D$18:$D$25</c:f>
              <c:numCache>
                <c:formatCode>0</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28.xlsx]Converting'!$F$18:$F$25</c:f>
              <c:numCache>
                <c:formatCode>0.00</c:formatCode>
                <c:ptCount val="8"/>
                <c:pt idx="0">
                  <c:v>0.54288086691133297</c:v>
                </c:pt>
                <c:pt idx="1">
                  <c:v>0.73791134321878327</c:v>
                </c:pt>
                <c:pt idx="2">
                  <c:v>0.94196357397086006</c:v>
                </c:pt>
                <c:pt idx="3" formatCode="0.00000">
                  <c:v>0.75494232240475201</c:v>
                </c:pt>
                <c:pt idx="4" formatCode="0.00000">
                  <c:v>0.93102232921775996</c:v>
                </c:pt>
                <c:pt idx="5" formatCode="0.00000">
                  <c:v>0.46846630448160004</c:v>
                </c:pt>
                <c:pt idx="6" formatCode="0.00000">
                  <c:v>0.43729439201855519</c:v>
                </c:pt>
                <c:pt idx="7" formatCode="0.00000">
                  <c:v>0.33944604715847693</c:v>
                </c:pt>
              </c:numCache>
            </c:numRef>
          </c:yVal>
          <c:smooth val="0"/>
          <c:extLst>
            <c:ext xmlns:c16="http://schemas.microsoft.com/office/drawing/2014/chart" uri="{C3380CC4-5D6E-409C-BE32-E72D297353CC}">
              <c16:uniqueId val="{00000001-85F2-4791-9609-D5A104E68868}"/>
            </c:ext>
          </c:extLst>
        </c:ser>
        <c:ser>
          <c:idx val="2"/>
          <c:order val="2"/>
          <c:tx>
            <c:strRef>
              <c:f>'[Wood product Sector Averages MECS June 28.xlsx]Converting'!$G$17</c:f>
              <c:strCache>
                <c:ptCount val="1"/>
                <c:pt idx="0">
                  <c:v>Home Construction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'[Wood product Sector Averages MECS June 28.xlsx]Converting'!$D$18:$D$25</c:f>
              <c:numCache>
                <c:formatCode>0</c:formatCode>
                <c:ptCount val="8"/>
                <c:pt idx="0">
                  <c:v>1991</c:v>
                </c:pt>
                <c:pt idx="1">
                  <c:v>1994</c:v>
                </c:pt>
                <c:pt idx="2">
                  <c:v>1998</c:v>
                </c:pt>
                <c:pt idx="3">
                  <c:v>2002</c:v>
                </c:pt>
                <c:pt idx="4">
                  <c:v>2006</c:v>
                </c:pt>
                <c:pt idx="5">
                  <c:v>2010</c:v>
                </c:pt>
                <c:pt idx="6">
                  <c:v>2014</c:v>
                </c:pt>
                <c:pt idx="7">
                  <c:v>2018</c:v>
                </c:pt>
              </c:numCache>
            </c:numRef>
          </c:xVal>
          <c:yVal>
            <c:numRef>
              <c:f>'[Wood product Sector Averages MECS June 28.xlsx]Converting'!$G$18:$G$25</c:f>
              <c:numCache>
                <c:formatCode>0.00</c:formatCode>
                <c:ptCount val="8"/>
                <c:pt idx="0">
                  <c:v>0.50519861689195311</c:v>
                </c:pt>
                <c:pt idx="1">
                  <c:v>0.52413028931947347</c:v>
                </c:pt>
                <c:pt idx="2">
                  <c:v>0.56336266130817392</c:v>
                </c:pt>
                <c:pt idx="3">
                  <c:v>0.54383206386646099</c:v>
                </c:pt>
                <c:pt idx="4">
                  <c:v>0.65643655999999995</c:v>
                </c:pt>
                <c:pt idx="5">
                  <c:v>0.34258835733777782</c:v>
                </c:pt>
                <c:pt idx="6">
                  <c:v>0.44942604079999998</c:v>
                </c:pt>
                <c:pt idx="7">
                  <c:v>0.37655234399999998</c:v>
                </c:pt>
              </c:numCache>
            </c:numRef>
          </c:yVal>
          <c:smooth val="0"/>
          <c:extLst>
            <c:ext xmlns:c16="http://schemas.microsoft.com/office/drawing/2014/chart" uri="{C3380CC4-5D6E-409C-BE32-E72D297353CC}">
              <c16:uniqueId val="{00000002-85F2-4791-9609-D5A104E68868}"/>
            </c:ext>
          </c:extLst>
        </c:ser>
        <c:ser>
          <c:idx val="3"/>
          <c:order val="3"/>
          <c:tx>
            <c:strRef>
              <c:f>'[Wood product Sector Averages MECS June 28.xlsx]Converting'!$H$17</c:f>
              <c:strCache>
                <c:ptCount val="1"/>
                <c:pt idx="0">
                  <c:v>Total</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'[Wood product Sector Averages MECS June 28.xlsx]Converting'!$D$20:$D$25</c:f>
              <c:numCache>
                <c:formatCode>0</c:formatCode>
                <c:ptCount val="6"/>
                <c:pt idx="0">
                  <c:v>1998</c:v>
                </c:pt>
                <c:pt idx="1">
                  <c:v>2002</c:v>
                </c:pt>
                <c:pt idx="2">
                  <c:v>2006</c:v>
                </c:pt>
                <c:pt idx="3">
                  <c:v>2010</c:v>
                </c:pt>
                <c:pt idx="4">
                  <c:v>2014</c:v>
                </c:pt>
                <c:pt idx="5">
                  <c:v>2018</c:v>
                </c:pt>
              </c:numCache>
            </c:numRef>
          </c:xVal>
          <c:yVal>
            <c:numRef>
              <c:f>'[Wood product Sector Averages MECS June 28.xlsx]Converting'!$H$20:$H$25</c:f>
              <c:numCache>
                <c:formatCode>0.00</c:formatCode>
                <c:ptCount val="6"/>
                <c:pt idx="0">
                  <c:v>1.6827805693986022</c:v>
                </c:pt>
                <c:pt idx="1">
                  <c:v>1.4945791943996718</c:v>
                </c:pt>
                <c:pt idx="2">
                  <c:v>1.80513088921776</c:v>
                </c:pt>
                <c:pt idx="3">
                  <c:v>1.0285486618193778</c:v>
                </c:pt>
                <c:pt idx="4">
                  <c:v>1.0873112528185551</c:v>
                </c:pt>
                <c:pt idx="5">
                  <c:v>0.912398791158477</c:v>
                </c:pt>
              </c:numCache>
            </c:numRef>
          </c:yVal>
          <c:smooth val="0"/>
          <c:extLst>
            <c:ext xmlns:c16="http://schemas.microsoft.com/office/drawing/2014/chart" uri="{C3380CC4-5D6E-409C-BE32-E72D297353CC}">
              <c16:uniqueId val="{00000003-85F2-4791-9609-D5A104E68868}"/>
            </c:ext>
          </c:extLst>
        </c:ser>
        <c:dLbls>
          <c:showLegendKey val="0"/>
          <c:showVal val="0"/>
          <c:showCatName val="0"/>
          <c:showSerName val="0"/>
          <c:showPercent val="0"/>
          <c:showBubbleSize val="0"/>
        </c:dLbls>
        <c:axId val="1180347807"/>
        <c:axId val="1180357407"/>
      </c:scatterChart>
      <c:valAx>
        <c:axId val="1180347807"/>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0357407"/>
        <c:crosses val="autoZero"/>
        <c:crossBetween val="midCat"/>
      </c:valAx>
      <c:valAx>
        <c:axId val="1180357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p>
            </c:rich>
          </c:tx>
          <c:layout>
            <c:manualLayout>
              <c:xMode val="edge"/>
              <c:yMode val="edge"/>
              <c:x val="3.9474318992401662E-2"/>
              <c:y val="0.160688682571394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0347807"/>
        <c:crosses val="autoZero"/>
        <c:crossBetween val="midCat"/>
      </c:valAx>
      <c:spPr>
        <a:noFill/>
        <a:ln>
          <a:noFill/>
        </a:ln>
        <a:effectLst/>
      </c:spPr>
    </c:plotArea>
    <c:legend>
      <c:legendPos val="b"/>
      <c:layout>
        <c:manualLayout>
          <c:xMode val="edge"/>
          <c:yMode val="edge"/>
          <c:x val="5.0635267406326921E-2"/>
          <c:y val="0.78638496581844719"/>
          <c:w val="0.76560925703326521"/>
          <c:h val="0.191891645332892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tx>
            <c:strRef>
              <c:f>'[GHG pulp and paper Sector Averages MECS.xlsx]Converting'!$G$17</c:f>
              <c:strCache>
                <c:ptCount val="1"/>
                <c:pt idx="0">
                  <c:v>Total Paper and Paperboard</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'[GHG pulp and paper Sector Averages MECS.xlsx]Converting'!$D$18:$D$25</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MECS.xlsx]Converting'!$G$18:$G$25</c:f>
              <c:numCache>
                <c:formatCode>0.0</c:formatCode>
                <c:ptCount val="8"/>
                <c:pt idx="0">
                  <c:v>18.067357646042677</c:v>
                </c:pt>
                <c:pt idx="1">
                  <c:v>21.265730150692427</c:v>
                </c:pt>
                <c:pt idx="2">
                  <c:v>18.96091464385767</c:v>
                </c:pt>
                <c:pt idx="3">
                  <c:v>14.678130657456126</c:v>
                </c:pt>
                <c:pt idx="4">
                  <c:v>17.851614478750001</c:v>
                </c:pt>
                <c:pt idx="5">
                  <c:v>14.803923148305554</c:v>
                </c:pt>
                <c:pt idx="6">
                  <c:v>14.348390634754168</c:v>
                </c:pt>
                <c:pt idx="7">
                  <c:v>9.7977049178166684</c:v>
                </c:pt>
              </c:numCache>
            </c:numRef>
          </c:yVal>
          <c:smooth val="0"/>
          <c:extLst>
            <c:ext xmlns:c16="http://schemas.microsoft.com/office/drawing/2014/chart" uri="{C3380CC4-5D6E-409C-BE32-E72D297353CC}">
              <c16:uniqueId val="{00000000-A565-4D04-B2EC-FE06FD927627}"/>
            </c:ext>
          </c:extLst>
        </c:ser>
        <c:ser>
          <c:idx val="3"/>
          <c:order val="1"/>
          <c:tx>
            <c:strRef>
              <c:f>'[GHG pulp and paper Sector Averages MECS.xlsx]Converting'!$H$17</c:f>
              <c:strCache>
                <c:ptCount val="1"/>
                <c:pt idx="0">
                  <c:v>Total Wood Products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'[GHG pulp and paper Sector Averages MECS.xlsx]Converting'!$D$18:$D$25</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MECS.xlsx]Converting'!$H$18:$H$25</c:f>
              <c:numCache>
                <c:formatCode>0.00</c:formatCode>
                <c:ptCount val="8"/>
                <c:pt idx="0">
                  <c:v>1.0480794838032861</c:v>
                </c:pt>
                <c:pt idx="1">
                  <c:v>1.2620416325382569</c:v>
                </c:pt>
                <c:pt idx="2">
                  <c:v>1.6827805693986022</c:v>
                </c:pt>
                <c:pt idx="3">
                  <c:v>1.4945791943996718</c:v>
                </c:pt>
                <c:pt idx="4">
                  <c:v>1.80513088921776</c:v>
                </c:pt>
                <c:pt idx="5">
                  <c:v>1.0285486618193778</c:v>
                </c:pt>
                <c:pt idx="6">
                  <c:v>1.0873112528185551</c:v>
                </c:pt>
                <c:pt idx="7">
                  <c:v>0.912398791158477</c:v>
                </c:pt>
              </c:numCache>
            </c:numRef>
          </c:yVal>
          <c:smooth val="0"/>
          <c:extLst>
            <c:ext xmlns:c16="http://schemas.microsoft.com/office/drawing/2014/chart" uri="{C3380CC4-5D6E-409C-BE32-E72D297353CC}">
              <c16:uniqueId val="{00000001-A565-4D04-B2EC-FE06FD927627}"/>
            </c:ext>
          </c:extLst>
        </c:ser>
        <c:ser>
          <c:idx val="0"/>
          <c:order val="2"/>
          <c:tx>
            <c:strRef>
              <c:f>'[GHG pulp and paper Sector Averages MECS.xlsx]Converting'!$I$17</c:f>
              <c:strCache>
                <c:ptCount val="1"/>
                <c:pt idx="0">
                  <c:v>Forest Products Industry Total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'[GHG pulp and paper Sector Averages MECS.xlsx]Converting'!$D$18:$D$25</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MECS.xlsx]Converting'!$I$18:$I$25</c:f>
              <c:numCache>
                <c:formatCode>0.0</c:formatCode>
                <c:ptCount val="8"/>
                <c:pt idx="0">
                  <c:v>19.115437129845962</c:v>
                </c:pt>
                <c:pt idx="1">
                  <c:v>22.527771783230683</c:v>
                </c:pt>
                <c:pt idx="2">
                  <c:v>20.643695213256272</c:v>
                </c:pt>
                <c:pt idx="3">
                  <c:v>16.172709851855799</c:v>
                </c:pt>
                <c:pt idx="4">
                  <c:v>19.656745367967762</c:v>
                </c:pt>
                <c:pt idx="5">
                  <c:v>15.832471810124932</c:v>
                </c:pt>
                <c:pt idx="6">
                  <c:v>15.435701887572723</c:v>
                </c:pt>
                <c:pt idx="7">
                  <c:v>10.710103708975145</c:v>
                </c:pt>
              </c:numCache>
            </c:numRef>
          </c:yVal>
          <c:smooth val="0"/>
          <c:extLst>
            <c:ext xmlns:c16="http://schemas.microsoft.com/office/drawing/2014/chart" uri="{C3380CC4-5D6E-409C-BE32-E72D297353CC}">
              <c16:uniqueId val="{00000002-A565-4D04-B2EC-FE06FD927627}"/>
            </c:ext>
          </c:extLst>
        </c:ser>
        <c:dLbls>
          <c:showLegendKey val="0"/>
          <c:showVal val="0"/>
          <c:showCatName val="0"/>
          <c:showSerName val="0"/>
          <c:showPercent val="0"/>
          <c:showBubbleSize val="0"/>
        </c:dLbls>
        <c:axId val="1633010400"/>
        <c:axId val="1633011360"/>
      </c:scatterChart>
      <c:valAx>
        <c:axId val="1633010400"/>
        <c:scaling>
          <c:orientation val="minMax"/>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3011360"/>
        <c:crosses val="autoZero"/>
        <c:crossBetween val="midCat"/>
      </c:valAx>
      <c:valAx>
        <c:axId val="163301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301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90048118985126"/>
          <c:y val="5.0925925925925923E-2"/>
          <c:w val="0.80554396325459321"/>
          <c:h val="0.66459025955088946"/>
        </c:manualLayout>
      </c:layout>
      <c:barChart>
        <c:barDir val="col"/>
        <c:grouping val="stacked"/>
        <c:varyColors val="0"/>
        <c:ser>
          <c:idx val="0"/>
          <c:order val="0"/>
          <c:tx>
            <c:strRef>
              <c:f>'[Total industry profile June 29.xlsx]Scope 2'!$A$3</c:f>
              <c:strCache>
                <c:ptCount val="1"/>
                <c:pt idx="0">
                  <c:v>Pulp, Paper and Paperboard</c:v>
                </c:pt>
              </c:strCache>
            </c:strRef>
          </c:tx>
          <c:spPr>
            <a:solidFill>
              <a:schemeClr val="accent1"/>
            </a:solidFill>
            <a:ln>
              <a:noFill/>
            </a:ln>
            <a:effectLst/>
          </c:spPr>
          <c:invertIfNegative val="0"/>
          <c:cat>
            <c:numRef>
              <c:f>'[Total industry profile June 29.xlsx]Scope 2'!$B$2:$D$2</c:f>
              <c:numCache>
                <c:formatCode>General</c:formatCode>
                <c:ptCount val="3"/>
                <c:pt idx="0">
                  <c:v>1990</c:v>
                </c:pt>
                <c:pt idx="1">
                  <c:v>2005</c:v>
                </c:pt>
                <c:pt idx="2">
                  <c:v>2020</c:v>
                </c:pt>
              </c:numCache>
            </c:numRef>
          </c:cat>
          <c:val>
            <c:numRef>
              <c:f>'[Total industry profile June 29.xlsx]Scope 2'!$B$3:$D$3</c:f>
              <c:numCache>
                <c:formatCode>0.0</c:formatCode>
                <c:ptCount val="3"/>
                <c:pt idx="0">
                  <c:v>32.299999999999997</c:v>
                </c:pt>
                <c:pt idx="1">
                  <c:v>33</c:v>
                </c:pt>
                <c:pt idx="2">
                  <c:v>16.5</c:v>
                </c:pt>
              </c:numCache>
            </c:numRef>
          </c:val>
          <c:extLst>
            <c:ext xmlns:c16="http://schemas.microsoft.com/office/drawing/2014/chart" uri="{C3380CC4-5D6E-409C-BE32-E72D297353CC}">
              <c16:uniqueId val="{00000000-9685-4072-BB9A-C7EB9B510C9D}"/>
            </c:ext>
          </c:extLst>
        </c:ser>
        <c:ser>
          <c:idx val="1"/>
          <c:order val="1"/>
          <c:tx>
            <c:strRef>
              <c:f>'[Total industry profile June 29.xlsx]Scope 2'!$A$4</c:f>
              <c:strCache>
                <c:ptCount val="1"/>
                <c:pt idx="0">
                  <c:v>Wood Products</c:v>
                </c:pt>
              </c:strCache>
            </c:strRef>
          </c:tx>
          <c:spPr>
            <a:solidFill>
              <a:schemeClr val="accent2"/>
            </a:solidFill>
            <a:ln>
              <a:noFill/>
            </a:ln>
            <a:effectLst/>
          </c:spPr>
          <c:invertIfNegative val="0"/>
          <c:cat>
            <c:numRef>
              <c:f>'[Total industry profile June 29.xlsx]Scope 2'!$B$2:$D$2</c:f>
              <c:numCache>
                <c:formatCode>General</c:formatCode>
                <c:ptCount val="3"/>
                <c:pt idx="0">
                  <c:v>1990</c:v>
                </c:pt>
                <c:pt idx="1">
                  <c:v>2005</c:v>
                </c:pt>
                <c:pt idx="2">
                  <c:v>2020</c:v>
                </c:pt>
              </c:numCache>
            </c:numRef>
          </c:cat>
          <c:val>
            <c:numRef>
              <c:f>'[Total industry profile June 29.xlsx]Scope 2'!$B$4:$D$4</c:f>
              <c:numCache>
                <c:formatCode>0.0</c:formatCode>
                <c:ptCount val="3"/>
                <c:pt idx="0">
                  <c:v>12.629965422298827</c:v>
                </c:pt>
                <c:pt idx="1">
                  <c:v>16.193242000000001</c:v>
                </c:pt>
                <c:pt idx="2">
                  <c:v>9.2174081999999995</c:v>
                </c:pt>
              </c:numCache>
            </c:numRef>
          </c:val>
          <c:extLst>
            <c:ext xmlns:c16="http://schemas.microsoft.com/office/drawing/2014/chart" uri="{C3380CC4-5D6E-409C-BE32-E72D297353CC}">
              <c16:uniqueId val="{00000001-9685-4072-BB9A-C7EB9B510C9D}"/>
            </c:ext>
          </c:extLst>
        </c:ser>
        <c:ser>
          <c:idx val="2"/>
          <c:order val="2"/>
          <c:tx>
            <c:strRef>
              <c:f>'[Total industry profile June 29.xlsx]Scope 2'!$A$5</c:f>
              <c:strCache>
                <c:ptCount val="1"/>
                <c:pt idx="0">
                  <c:v>Converting - Paper</c:v>
                </c:pt>
              </c:strCache>
            </c:strRef>
          </c:tx>
          <c:spPr>
            <a:solidFill>
              <a:schemeClr val="accent3"/>
            </a:solidFill>
            <a:ln>
              <a:noFill/>
            </a:ln>
            <a:effectLst/>
          </c:spPr>
          <c:invertIfNegative val="0"/>
          <c:cat>
            <c:numRef>
              <c:f>'[Total industry profile June 29.xlsx]Scope 2'!$B$2:$D$2</c:f>
              <c:numCache>
                <c:formatCode>General</c:formatCode>
                <c:ptCount val="3"/>
                <c:pt idx="0">
                  <c:v>1990</c:v>
                </c:pt>
                <c:pt idx="1">
                  <c:v>2005</c:v>
                </c:pt>
                <c:pt idx="2">
                  <c:v>2020</c:v>
                </c:pt>
              </c:numCache>
            </c:numRef>
          </c:cat>
          <c:val>
            <c:numRef>
              <c:f>'[Total industry profile June 29.xlsx]Scope 2'!$B$5:$D$5</c:f>
              <c:numCache>
                <c:formatCode>0.0</c:formatCode>
                <c:ptCount val="3"/>
                <c:pt idx="0">
                  <c:v>18.067357646042677</c:v>
                </c:pt>
                <c:pt idx="1">
                  <c:v>17.851614478750001</c:v>
                </c:pt>
                <c:pt idx="2">
                  <c:v>9.7977049178166684</c:v>
                </c:pt>
              </c:numCache>
            </c:numRef>
          </c:val>
          <c:extLst>
            <c:ext xmlns:c16="http://schemas.microsoft.com/office/drawing/2014/chart" uri="{C3380CC4-5D6E-409C-BE32-E72D297353CC}">
              <c16:uniqueId val="{00000002-9685-4072-BB9A-C7EB9B510C9D}"/>
            </c:ext>
          </c:extLst>
        </c:ser>
        <c:ser>
          <c:idx val="3"/>
          <c:order val="3"/>
          <c:tx>
            <c:strRef>
              <c:f>'[Total industry profile June 29.xlsx]Scope 2'!$A$6</c:f>
              <c:strCache>
                <c:ptCount val="1"/>
                <c:pt idx="0">
                  <c:v>Converting - Wood Products</c:v>
                </c:pt>
              </c:strCache>
            </c:strRef>
          </c:tx>
          <c:spPr>
            <a:solidFill>
              <a:schemeClr val="accent4"/>
            </a:solidFill>
            <a:ln>
              <a:noFill/>
            </a:ln>
            <a:effectLst/>
          </c:spPr>
          <c:invertIfNegative val="0"/>
          <c:cat>
            <c:numRef>
              <c:f>'[Total industry profile June 29.xlsx]Scope 2'!$B$2:$D$2</c:f>
              <c:numCache>
                <c:formatCode>General</c:formatCode>
                <c:ptCount val="3"/>
                <c:pt idx="0">
                  <c:v>1990</c:v>
                </c:pt>
                <c:pt idx="1">
                  <c:v>2005</c:v>
                </c:pt>
                <c:pt idx="2">
                  <c:v>2020</c:v>
                </c:pt>
              </c:numCache>
            </c:numRef>
          </c:cat>
          <c:val>
            <c:numRef>
              <c:f>'[Total industry profile June 29.xlsx]Scope 2'!$B$6:$D$6</c:f>
              <c:numCache>
                <c:formatCode>0.0</c:formatCode>
                <c:ptCount val="3"/>
                <c:pt idx="0">
                  <c:v>1.0480794838032861</c:v>
                </c:pt>
                <c:pt idx="1">
                  <c:v>1.80513088921776</c:v>
                </c:pt>
                <c:pt idx="2">
                  <c:v>0.912398791158477</c:v>
                </c:pt>
              </c:numCache>
            </c:numRef>
          </c:val>
          <c:extLst>
            <c:ext xmlns:c16="http://schemas.microsoft.com/office/drawing/2014/chart" uri="{C3380CC4-5D6E-409C-BE32-E72D297353CC}">
              <c16:uniqueId val="{00000003-9685-4072-BB9A-C7EB9B510C9D}"/>
            </c:ext>
          </c:extLst>
        </c:ser>
        <c:dLbls>
          <c:showLegendKey val="0"/>
          <c:showVal val="0"/>
          <c:showCatName val="0"/>
          <c:showSerName val="0"/>
          <c:showPercent val="0"/>
          <c:showBubbleSize val="0"/>
        </c:dLbls>
        <c:gapWidth val="150"/>
        <c:overlap val="100"/>
        <c:axId val="951064319"/>
        <c:axId val="951061439"/>
      </c:barChart>
      <c:catAx>
        <c:axId val="95106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1061439"/>
        <c:crosses val="autoZero"/>
        <c:auto val="1"/>
        <c:lblAlgn val="ctr"/>
        <c:lblOffset val="100"/>
        <c:noMultiLvlLbl val="0"/>
      </c:catAx>
      <c:valAx>
        <c:axId val="951061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Million Metric Tons CO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a:t>
                </a:r>
                <a:r>
                  <a:rPr lang="en-US"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e</a:t>
                </a:r>
                <a:r>
                  <a:rPr lang="en-US">
                    <a:latin typeface="Times New Roman" panose="02020603050405020304" pitchFamily="18" charset="0"/>
                    <a:cs typeface="Times New Roman" panose="02020603050405020304" pitchFamily="18" charset="0"/>
                  </a:rPr>
                  <a:t> </a:t>
                </a:r>
              </a:p>
            </c:rich>
          </c:tx>
          <c:layout>
            <c:manualLayout>
              <c:xMode val="edge"/>
              <c:yMode val="edge"/>
              <c:x val="3.3333333333333333E-2"/>
              <c:y val="0.148591426071741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106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37260246315364"/>
          <c:y val="3.6970533852610371E-2"/>
          <c:w val="0.7921658590753079"/>
          <c:h val="0.4799167924783333"/>
        </c:manualLayout>
      </c:layout>
      <c:scatterChart>
        <c:scatterStyle val="lineMarker"/>
        <c:varyColors val="0"/>
        <c:ser>
          <c:idx val="1"/>
          <c:order val="0"/>
          <c:tx>
            <c:strRef>
              <c:f>'Param. Inputs and Results'!$D$31</c:f>
              <c:strCache>
                <c:ptCount val="1"/>
                <c:pt idx="0">
                  <c:v>Sum of landfill emissions from GHGRP reports</c:v>
                </c:pt>
              </c:strCache>
            </c:strRef>
          </c:tx>
          <c:spPr>
            <a:ln w="19050" cap="rnd">
              <a:solidFill>
                <a:schemeClr val="accent2"/>
              </a:solidFill>
              <a:round/>
            </a:ln>
            <a:effectLst/>
          </c:spPr>
          <c:marker>
            <c:symbol val="none"/>
          </c:marker>
          <c:xVal>
            <c:numRef>
              <c:f>'Param. Inputs and Results'!$C$32:$C$42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'Param. Inputs and Results'!$D$32:$D$42</c:f>
              <c:numCache>
                <c:formatCode>General</c:formatCode>
                <c:ptCount val="11"/>
                <c:pt idx="0">
                  <c:v>232000</c:v>
                </c:pt>
                <c:pt idx="1">
                  <c:v>224000</c:v>
                </c:pt>
                <c:pt idx="2">
                  <c:v>204000</c:v>
                </c:pt>
                <c:pt idx="3">
                  <c:v>200000</c:v>
                </c:pt>
                <c:pt idx="4">
                  <c:v>200000</c:v>
                </c:pt>
                <c:pt idx="5">
                  <c:v>188000</c:v>
                </c:pt>
                <c:pt idx="6">
                  <c:v>172000</c:v>
                </c:pt>
                <c:pt idx="7">
                  <c:v>168000</c:v>
                </c:pt>
                <c:pt idx="8">
                  <c:v>168000</c:v>
                </c:pt>
                <c:pt idx="9">
                  <c:v>164000</c:v>
                </c:pt>
                <c:pt idx="10">
                  <c:v>160000</c:v>
                </c:pt>
              </c:numCache>
            </c:numRef>
          </c:yVal>
          <c:smooth val="0"/>
          <c:extLst>
            <c:ext xmlns:c16="http://schemas.microsoft.com/office/drawing/2014/chart" uri="{C3380CC4-5D6E-409C-BE32-E72D297353CC}">
              <c16:uniqueId val="{00000000-4DA4-4935-8C2E-1F07C3D4F9B5}"/>
            </c:ext>
          </c:extLst>
        </c:ser>
        <c:ser>
          <c:idx val="2"/>
          <c:order val="1"/>
          <c:tx>
            <c:strRef>
              <c:f>'Param. Inputs and Results'!$E$11</c:f>
              <c:strCache>
                <c:ptCount val="1"/>
                <c:pt idx="0">
                  <c:v>US EPA Inventory - based on allocation of all industrial landfill  methane emissions in US EPA inventory</c:v>
                </c:pt>
              </c:strCache>
            </c:strRef>
          </c:tx>
          <c:spPr>
            <a:ln w="19050" cap="rnd">
              <a:solidFill>
                <a:schemeClr val="accent3"/>
              </a:solidFill>
              <a:round/>
            </a:ln>
            <a:effectLst/>
          </c:spPr>
          <c:marker>
            <c:symbol val="none"/>
          </c:marker>
          <c:xVal>
            <c:numRef>
              <c:f>'Param. Inputs and Results'!$B$12:$B$18</c:f>
              <c:numCache>
                <c:formatCode>General</c:formatCode>
                <c:ptCount val="7"/>
                <c:pt idx="0">
                  <c:v>1990</c:v>
                </c:pt>
                <c:pt idx="1">
                  <c:v>1995</c:v>
                </c:pt>
                <c:pt idx="2">
                  <c:v>2000</c:v>
                </c:pt>
                <c:pt idx="3">
                  <c:v>2005</c:v>
                </c:pt>
                <c:pt idx="4">
                  <c:v>2010</c:v>
                </c:pt>
                <c:pt idx="5">
                  <c:v>2015</c:v>
                </c:pt>
                <c:pt idx="6">
                  <c:v>2020</c:v>
                </c:pt>
              </c:numCache>
            </c:numRef>
          </c:xVal>
          <c:yVal>
            <c:numRef>
              <c:f>'Param. Inputs and Results'!$E$12:$E$18</c:f>
              <c:numCache>
                <c:formatCode>General</c:formatCode>
                <c:ptCount val="7"/>
                <c:pt idx="0">
                  <c:v>289200</c:v>
                </c:pt>
                <c:pt idx="3">
                  <c:v>363400</c:v>
                </c:pt>
                <c:pt idx="6">
                  <c:v>355100</c:v>
                </c:pt>
              </c:numCache>
            </c:numRef>
          </c:yVal>
          <c:smooth val="0"/>
          <c:extLst>
            <c:ext xmlns:c16="http://schemas.microsoft.com/office/drawing/2014/chart" uri="{C3380CC4-5D6E-409C-BE32-E72D297353CC}">
              <c16:uniqueId val="{00000001-4DA4-4935-8C2E-1F07C3D4F9B5}"/>
            </c:ext>
          </c:extLst>
        </c:ser>
        <c:ser>
          <c:idx val="4"/>
          <c:order val="2"/>
          <c:tx>
            <c:strRef>
              <c:f>'Param. Inputs and Results'!$G$11</c:f>
              <c:strCache>
                <c:ptCount val="1"/>
                <c:pt idx="0">
                  <c:v>GHGRP first order model using US EPA inventory DOC and k</c:v>
                </c:pt>
              </c:strCache>
            </c:strRef>
          </c:tx>
          <c:spPr>
            <a:ln w="19050" cap="rnd">
              <a:solidFill>
                <a:srgbClr val="92D050"/>
              </a:solidFill>
              <a:prstDash val="sysDash"/>
              <a:round/>
            </a:ln>
            <a:effectLst/>
          </c:spPr>
          <c:marker>
            <c:symbol val="none"/>
          </c:marker>
          <c:xVal>
            <c:numRef>
              <c:f>'Param. Inputs and Results'!$B$12:$B$18</c:f>
              <c:numCache>
                <c:formatCode>General</c:formatCode>
                <c:ptCount val="7"/>
                <c:pt idx="0">
                  <c:v>1990</c:v>
                </c:pt>
                <c:pt idx="1">
                  <c:v>1995</c:v>
                </c:pt>
                <c:pt idx="2">
                  <c:v>2000</c:v>
                </c:pt>
                <c:pt idx="3">
                  <c:v>2005</c:v>
                </c:pt>
                <c:pt idx="4">
                  <c:v>2010</c:v>
                </c:pt>
                <c:pt idx="5">
                  <c:v>2015</c:v>
                </c:pt>
                <c:pt idx="6">
                  <c:v>2020</c:v>
                </c:pt>
              </c:numCache>
            </c:numRef>
          </c:xVal>
          <c:yVal>
            <c:numRef>
              <c:f>'Param. Inputs and Results'!$G$12:$G$18</c:f>
              <c:numCache>
                <c:formatCode>0</c:formatCode>
                <c:ptCount val="7"/>
                <c:pt idx="0">
                  <c:v>179232.72748226722</c:v>
                </c:pt>
                <c:pt idx="1">
                  <c:v>187920.44684768931</c:v>
                </c:pt>
                <c:pt idx="2">
                  <c:v>191773.76419472345</c:v>
                </c:pt>
                <c:pt idx="3">
                  <c:v>188816.03687912048</c:v>
                </c:pt>
                <c:pt idx="4">
                  <c:v>181364.9307583234</c:v>
                </c:pt>
                <c:pt idx="5">
                  <c:v>169926.47246118524</c:v>
                </c:pt>
                <c:pt idx="6">
                  <c:v>158005.94881021461</c:v>
                </c:pt>
              </c:numCache>
            </c:numRef>
          </c:yVal>
          <c:smooth val="0"/>
          <c:extLst>
            <c:ext xmlns:c16="http://schemas.microsoft.com/office/drawing/2014/chart" uri="{C3380CC4-5D6E-409C-BE32-E72D297353CC}">
              <c16:uniqueId val="{00000002-4DA4-4935-8C2E-1F07C3D4F9B5}"/>
            </c:ext>
          </c:extLst>
        </c:ser>
        <c:ser>
          <c:idx val="0"/>
          <c:order val="3"/>
          <c:tx>
            <c:strRef>
              <c:f>'Param. Inputs and Results'!$F$11</c:f>
              <c:strCache>
                <c:ptCount val="1"/>
                <c:pt idx="0">
                  <c:v>GHGRP first order model sing GHGRP default DOC and k (moderate climate)</c:v>
                </c:pt>
              </c:strCache>
            </c:strRef>
          </c:tx>
          <c:spPr>
            <a:ln w="19050" cap="rnd">
              <a:solidFill>
                <a:srgbClr val="00B0F0"/>
              </a:solidFill>
              <a:prstDash val="sysDash"/>
              <a:round/>
            </a:ln>
            <a:effectLst/>
          </c:spPr>
          <c:marker>
            <c:symbol val="none"/>
          </c:marker>
          <c:xVal>
            <c:numRef>
              <c:f>'Param. Inputs and Results'!$E$2:$E$8</c:f>
              <c:numCache>
                <c:formatCode>General</c:formatCode>
                <c:ptCount val="7"/>
                <c:pt idx="0">
                  <c:v>1990</c:v>
                </c:pt>
                <c:pt idx="1">
                  <c:v>1995</c:v>
                </c:pt>
                <c:pt idx="2">
                  <c:v>2000</c:v>
                </c:pt>
                <c:pt idx="3">
                  <c:v>2005</c:v>
                </c:pt>
                <c:pt idx="4">
                  <c:v>2010</c:v>
                </c:pt>
                <c:pt idx="5">
                  <c:v>2015</c:v>
                </c:pt>
                <c:pt idx="6">
                  <c:v>2020</c:v>
                </c:pt>
              </c:numCache>
            </c:numRef>
          </c:xVal>
          <c:yVal>
            <c:numRef>
              <c:f>'Param. Inputs and Results'!$F$12:$F$18</c:f>
              <c:numCache>
                <c:formatCode>0</c:formatCode>
                <c:ptCount val="7"/>
                <c:pt idx="0">
                  <c:v>175443.74966384267</c:v>
                </c:pt>
                <c:pt idx="1">
                  <c:v>189776.47848569235</c:v>
                </c:pt>
                <c:pt idx="2">
                  <c:v>199325.9869954091</c:v>
                </c:pt>
                <c:pt idx="3">
                  <c:v>202286.91820559418</c:v>
                </c:pt>
                <c:pt idx="4">
                  <c:v>200373.32830509363</c:v>
                </c:pt>
                <c:pt idx="5">
                  <c:v>193822.06222544759</c:v>
                </c:pt>
                <c:pt idx="6">
                  <c:v>185557.90973493742</c:v>
                </c:pt>
              </c:numCache>
            </c:numRef>
          </c:yVal>
          <c:smooth val="0"/>
          <c:extLst>
            <c:ext xmlns:c16="http://schemas.microsoft.com/office/drawing/2014/chart" uri="{C3380CC4-5D6E-409C-BE32-E72D297353CC}">
              <c16:uniqueId val="{00000003-4DA4-4935-8C2E-1F07C3D4F9B5}"/>
            </c:ext>
          </c:extLst>
        </c:ser>
        <c:ser>
          <c:idx val="3"/>
          <c:order val="4"/>
          <c:tx>
            <c:strRef>
              <c:f>'Param. Inputs and Results'!$F$1</c:f>
              <c:strCache>
                <c:ptCount val="1"/>
                <c:pt idx="0">
                  <c:v>Step-wise modeling</c:v>
                </c:pt>
              </c:strCache>
            </c:strRef>
          </c:tx>
          <c:spPr>
            <a:ln w="50800" cap="rnd">
              <a:solidFill>
                <a:schemeClr val="tx1"/>
              </a:solidFill>
              <a:prstDash val="sysDash"/>
              <a:round/>
            </a:ln>
            <a:effectLst/>
          </c:spPr>
          <c:marker>
            <c:symbol val="none"/>
          </c:marker>
          <c:xVal>
            <c:numRef>
              <c:f>'Param. Inputs and Results'!$E$2:$E$8</c:f>
              <c:numCache>
                <c:formatCode>General</c:formatCode>
                <c:ptCount val="7"/>
                <c:pt idx="0">
                  <c:v>1990</c:v>
                </c:pt>
                <c:pt idx="1">
                  <c:v>1995</c:v>
                </c:pt>
                <c:pt idx="2">
                  <c:v>2000</c:v>
                </c:pt>
                <c:pt idx="3">
                  <c:v>2005</c:v>
                </c:pt>
                <c:pt idx="4">
                  <c:v>2010</c:v>
                </c:pt>
                <c:pt idx="5">
                  <c:v>2015</c:v>
                </c:pt>
                <c:pt idx="6">
                  <c:v>2020</c:v>
                </c:pt>
              </c:numCache>
            </c:numRef>
          </c:xVal>
          <c:yVal>
            <c:numRef>
              <c:f>'Param. Inputs and Results'!$F$2:$F$8</c:f>
              <c:numCache>
                <c:formatCode>0</c:formatCode>
                <c:ptCount val="7"/>
                <c:pt idx="0">
                  <c:v>166681.35124792345</c:v>
                </c:pt>
                <c:pt idx="1">
                  <c:v>181305.24009713699</c:v>
                </c:pt>
                <c:pt idx="2">
                  <c:v>190796.98111219591</c:v>
                </c:pt>
                <c:pt idx="3">
                  <c:v>194165.86332505121</c:v>
                </c:pt>
                <c:pt idx="4">
                  <c:v>192939.10843488874</c:v>
                </c:pt>
                <c:pt idx="5">
                  <c:v>186971.77218198293</c:v>
                </c:pt>
                <c:pt idx="6">
                  <c:v>179883.43488471286</c:v>
                </c:pt>
              </c:numCache>
            </c:numRef>
          </c:yVal>
          <c:smooth val="0"/>
          <c:extLst>
            <c:ext xmlns:c16="http://schemas.microsoft.com/office/drawing/2014/chart" uri="{C3380CC4-5D6E-409C-BE32-E72D297353CC}">
              <c16:uniqueId val="{00000004-4DA4-4935-8C2E-1F07C3D4F9B5}"/>
            </c:ext>
          </c:extLst>
        </c:ser>
        <c:dLbls>
          <c:showLegendKey val="0"/>
          <c:showVal val="0"/>
          <c:showCatName val="0"/>
          <c:showSerName val="0"/>
          <c:showPercent val="0"/>
          <c:showBubbleSize val="0"/>
        </c:dLbls>
        <c:axId val="1034342751"/>
        <c:axId val="1034353151"/>
      </c:scatterChart>
      <c:valAx>
        <c:axId val="1034342751"/>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4353151"/>
        <c:crosses val="autoZero"/>
        <c:crossBetween val="midCat"/>
      </c:valAx>
      <c:valAx>
        <c:axId val="1034353151"/>
        <c:scaling>
          <c:orientation val="minMax"/>
          <c:min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Metric Tons of Methane</a:t>
                </a:r>
              </a:p>
            </c:rich>
          </c:tx>
          <c:layout>
            <c:manualLayout>
              <c:xMode val="edge"/>
              <c:yMode val="edge"/>
              <c:x val="2.6291079812206571E-2"/>
              <c:y val="0.2092856594405057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4342751"/>
        <c:crosses val="autoZero"/>
        <c:crossBetween val="midCat"/>
      </c:valAx>
      <c:spPr>
        <a:noFill/>
        <a:ln>
          <a:noFill/>
        </a:ln>
        <a:effectLst/>
      </c:spPr>
    </c:plotArea>
    <c:legend>
      <c:legendPos val="b"/>
      <c:layout>
        <c:manualLayout>
          <c:xMode val="edge"/>
          <c:yMode val="edge"/>
          <c:x val="3.6851234941786125E-2"/>
          <c:y val="0.64726746223931786"/>
          <c:w val="0.93057086614173223"/>
          <c:h val="0.319920091454963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tx>
            <c:strRef>
              <c:f>'[Forest ecosystem and product carbon.xlsx]harvest and products'!$K$28</c:f>
              <c:strCache>
                <c:ptCount val="1"/>
                <c:pt idx="0">
                  <c:v>Total  Change in Stocks of Stored Product Carbon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'[Forest ecosystem and product carbon.xlsx]harvest and products'!$H$29:$H$36</c:f>
              <c:numCache>
                <c:formatCode>General</c:formatCode>
                <c:ptCount val="8"/>
                <c:pt idx="0">
                  <c:v>1990</c:v>
                </c:pt>
                <c:pt idx="1">
                  <c:v>1995</c:v>
                </c:pt>
                <c:pt idx="2">
                  <c:v>2000</c:v>
                </c:pt>
                <c:pt idx="3">
                  <c:v>2005</c:v>
                </c:pt>
                <c:pt idx="4">
                  <c:v>2010</c:v>
                </c:pt>
                <c:pt idx="5">
                  <c:v>2018</c:v>
                </c:pt>
                <c:pt idx="6">
                  <c:v>2019</c:v>
                </c:pt>
                <c:pt idx="7">
                  <c:v>2020</c:v>
                </c:pt>
              </c:numCache>
            </c:numRef>
          </c:xVal>
          <c:yVal>
            <c:numRef>
              <c:f>'[Forest ecosystem and product carbon.xlsx]harvest and products'!$K$29:$K$36</c:f>
              <c:numCache>
                <c:formatCode>General</c:formatCode>
                <c:ptCount val="8"/>
                <c:pt idx="0">
                  <c:v>33.700000000000003</c:v>
                </c:pt>
                <c:pt idx="1">
                  <c:v>30.6</c:v>
                </c:pt>
                <c:pt idx="2">
                  <c:v>25.5</c:v>
                </c:pt>
                <c:pt idx="3">
                  <c:v>28.9</c:v>
                </c:pt>
                <c:pt idx="4">
                  <c:v>18.8</c:v>
                </c:pt>
                <c:pt idx="5">
                  <c:v>25.6</c:v>
                </c:pt>
                <c:pt idx="6">
                  <c:v>23.7</c:v>
                </c:pt>
                <c:pt idx="7">
                  <c:v>26.400000000000002</c:v>
                </c:pt>
              </c:numCache>
            </c:numRef>
          </c:yVal>
          <c:smooth val="0"/>
          <c:extLst>
            <c:ext xmlns:c16="http://schemas.microsoft.com/office/drawing/2014/chart" uri="{C3380CC4-5D6E-409C-BE32-E72D297353CC}">
              <c16:uniqueId val="{00000000-691B-4B1B-A12A-B0901B814A86}"/>
            </c:ext>
          </c:extLst>
        </c:ser>
        <c:ser>
          <c:idx val="1"/>
          <c:order val="1"/>
          <c:tx>
            <c:strRef>
              <c:f>'[Forest ecosystem and product carbon.xlsx]harvest and products'!$J$28</c:f>
              <c:strCache>
                <c:ptCount val="1"/>
                <c:pt idx="0">
                  <c:v>Change in C Stocks in Products In Landfills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'[Forest ecosystem and product carbon.xlsx]harvest and products'!$H$29:$H$36</c:f>
              <c:numCache>
                <c:formatCode>General</c:formatCode>
                <c:ptCount val="8"/>
                <c:pt idx="0">
                  <c:v>1990</c:v>
                </c:pt>
                <c:pt idx="1">
                  <c:v>1995</c:v>
                </c:pt>
                <c:pt idx="2">
                  <c:v>2000</c:v>
                </c:pt>
                <c:pt idx="3">
                  <c:v>2005</c:v>
                </c:pt>
                <c:pt idx="4">
                  <c:v>2010</c:v>
                </c:pt>
                <c:pt idx="5">
                  <c:v>2018</c:v>
                </c:pt>
                <c:pt idx="6">
                  <c:v>2019</c:v>
                </c:pt>
                <c:pt idx="7">
                  <c:v>2020</c:v>
                </c:pt>
              </c:numCache>
            </c:numRef>
          </c:xVal>
          <c:yVal>
            <c:numRef>
              <c:f>'[Forest ecosystem and product carbon.xlsx]harvest and products'!$J$29:$J$36</c:f>
              <c:numCache>
                <c:formatCode>General</c:formatCode>
                <c:ptCount val="8"/>
                <c:pt idx="0">
                  <c:v>18.8</c:v>
                </c:pt>
                <c:pt idx="1">
                  <c:v>16.5</c:v>
                </c:pt>
                <c:pt idx="2">
                  <c:v>16.8</c:v>
                </c:pt>
                <c:pt idx="3">
                  <c:v>17.3</c:v>
                </c:pt>
                <c:pt idx="4">
                  <c:v>16.8</c:v>
                </c:pt>
                <c:pt idx="5">
                  <c:v>17.8</c:v>
                </c:pt>
                <c:pt idx="6">
                  <c:v>17.5</c:v>
                </c:pt>
                <c:pt idx="7">
                  <c:v>17.600000000000001</c:v>
                </c:pt>
              </c:numCache>
            </c:numRef>
          </c:yVal>
          <c:smooth val="0"/>
          <c:extLst>
            <c:ext xmlns:c16="http://schemas.microsoft.com/office/drawing/2014/chart" uri="{C3380CC4-5D6E-409C-BE32-E72D297353CC}">
              <c16:uniqueId val="{00000001-691B-4B1B-A12A-B0901B814A86}"/>
            </c:ext>
          </c:extLst>
        </c:ser>
        <c:ser>
          <c:idx val="0"/>
          <c:order val="2"/>
          <c:tx>
            <c:strRef>
              <c:f>'[Forest ecosystem and product carbon.xlsx]harvest and products'!$I$28</c:f>
              <c:strCache>
                <c:ptCount val="1"/>
                <c:pt idx="0">
                  <c:v>Change in C Stocks in Products In Use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'[Forest ecosystem and product carbon.xlsx]harvest and products'!$H$29:$H$36</c:f>
              <c:numCache>
                <c:formatCode>General</c:formatCode>
                <c:ptCount val="8"/>
                <c:pt idx="0">
                  <c:v>1990</c:v>
                </c:pt>
                <c:pt idx="1">
                  <c:v>1995</c:v>
                </c:pt>
                <c:pt idx="2">
                  <c:v>2000</c:v>
                </c:pt>
                <c:pt idx="3">
                  <c:v>2005</c:v>
                </c:pt>
                <c:pt idx="4">
                  <c:v>2010</c:v>
                </c:pt>
                <c:pt idx="5">
                  <c:v>2018</c:v>
                </c:pt>
                <c:pt idx="6">
                  <c:v>2019</c:v>
                </c:pt>
                <c:pt idx="7">
                  <c:v>2020</c:v>
                </c:pt>
              </c:numCache>
            </c:numRef>
          </c:xVal>
          <c:yVal>
            <c:numRef>
              <c:f>'[Forest ecosystem and product carbon.xlsx]harvest and products'!$I$29:$I$36</c:f>
              <c:numCache>
                <c:formatCode>General</c:formatCode>
                <c:ptCount val="8"/>
                <c:pt idx="0">
                  <c:v>14.9</c:v>
                </c:pt>
                <c:pt idx="1">
                  <c:v>14.1</c:v>
                </c:pt>
                <c:pt idx="2">
                  <c:v>8.6999999999999993</c:v>
                </c:pt>
                <c:pt idx="3">
                  <c:v>11.6</c:v>
                </c:pt>
                <c:pt idx="4">
                  <c:v>2</c:v>
                </c:pt>
                <c:pt idx="5">
                  <c:v>7.8</c:v>
                </c:pt>
                <c:pt idx="6">
                  <c:v>6.2</c:v>
                </c:pt>
                <c:pt idx="7">
                  <c:v>8.8000000000000007</c:v>
                </c:pt>
              </c:numCache>
            </c:numRef>
          </c:yVal>
          <c:smooth val="0"/>
          <c:extLst>
            <c:ext xmlns:c16="http://schemas.microsoft.com/office/drawing/2014/chart" uri="{C3380CC4-5D6E-409C-BE32-E72D297353CC}">
              <c16:uniqueId val="{00000002-691B-4B1B-A12A-B0901B814A86}"/>
            </c:ext>
          </c:extLst>
        </c:ser>
        <c:dLbls>
          <c:showLegendKey val="0"/>
          <c:showVal val="0"/>
          <c:showCatName val="0"/>
          <c:showSerName val="0"/>
          <c:showPercent val="0"/>
          <c:showBubbleSize val="0"/>
        </c:dLbls>
        <c:axId val="1752448703"/>
        <c:axId val="1752449663"/>
      </c:scatterChart>
      <c:valAx>
        <c:axId val="1752448703"/>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449663"/>
        <c:crosses val="autoZero"/>
        <c:crossBetween val="midCat"/>
      </c:valAx>
      <c:valAx>
        <c:axId val="1752449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Million Metric Tons C</a:t>
                </a:r>
              </a:p>
            </c:rich>
          </c:tx>
          <c:layout>
            <c:manualLayout>
              <c:xMode val="edge"/>
              <c:yMode val="edge"/>
              <c:x val="1.9444444444444445E-2"/>
              <c:y val="0.13728164187809858"/>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44870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'Productin and SW factors'!$W$6</c:f>
              <c:strCache>
                <c:ptCount val="1"/>
                <c:pt idx="0">
                  <c:v>US EPA, wet metric tons from Table A219 in EPA 2024b </c:v>
                </c:pt>
              </c:strCache>
            </c:strRef>
          </c:tx>
          <c:spPr>
            <a:solidFill>
              <a:schemeClr val="accent1"/>
            </a:solidFill>
            <a:ln>
              <a:noFill/>
            </a:ln>
            <a:effectLst/>
          </c:spPr>
          <c:invertIfNegative val="0"/>
          <c:cat>
            <c:numRef>
              <c:f>'Productin and SW factors'!$V$7:$V$9</c:f>
              <c:numCache>
                <c:formatCode>General</c:formatCode>
                <c:ptCount val="3"/>
                <c:pt idx="0">
                  <c:v>1990</c:v>
                </c:pt>
                <c:pt idx="1">
                  <c:v>2005</c:v>
                </c:pt>
                <c:pt idx="2">
                  <c:v>2020</c:v>
                </c:pt>
              </c:numCache>
            </c:numRef>
          </c:cat>
          <c:val>
            <c:numRef>
              <c:f>'Productin and SW factors'!$W$7:$W$9</c:f>
              <c:numCache>
                <c:formatCode>General</c:formatCode>
                <c:ptCount val="3"/>
                <c:pt idx="0">
                  <c:v>6500000</c:v>
                </c:pt>
                <c:pt idx="1">
                  <c:v>6900000</c:v>
                </c:pt>
                <c:pt idx="2">
                  <c:v>5900000</c:v>
                </c:pt>
              </c:numCache>
            </c:numRef>
          </c:val>
          <c:extLst>
            <c:ext xmlns:c16="http://schemas.microsoft.com/office/drawing/2014/chart" uri="{C3380CC4-5D6E-409C-BE32-E72D297353CC}">
              <c16:uniqueId val="{00000000-1E3C-468C-A9E6-AC76A69484E2}"/>
            </c:ext>
          </c:extLst>
        </c:ser>
        <c:ser>
          <c:idx val="1"/>
          <c:order val="1"/>
          <c:tx>
            <c:strRef>
              <c:f>'Productin and SW factors'!$X$6</c:f>
              <c:strCache>
                <c:ptCount val="1"/>
                <c:pt idx="0">
                  <c:v>US EPA, dry metric tons if data in Table A219 in US EPA 2024b is wet metric tons at 30% solids</c:v>
                </c:pt>
              </c:strCache>
            </c:strRef>
          </c:tx>
          <c:spPr>
            <a:solidFill>
              <a:schemeClr val="accent2"/>
            </a:solidFill>
            <a:ln>
              <a:noFill/>
            </a:ln>
            <a:effectLst/>
          </c:spPr>
          <c:invertIfNegative val="0"/>
          <c:cat>
            <c:numRef>
              <c:f>'Productin and SW factors'!$V$7:$V$9</c:f>
              <c:numCache>
                <c:formatCode>General</c:formatCode>
                <c:ptCount val="3"/>
                <c:pt idx="0">
                  <c:v>1990</c:v>
                </c:pt>
                <c:pt idx="1">
                  <c:v>2005</c:v>
                </c:pt>
                <c:pt idx="2">
                  <c:v>2020</c:v>
                </c:pt>
              </c:numCache>
            </c:numRef>
          </c:cat>
          <c:val>
            <c:numRef>
              <c:f>'Productin and SW factors'!$X$7:$X$9</c:f>
              <c:numCache>
                <c:formatCode>General</c:formatCode>
                <c:ptCount val="3"/>
                <c:pt idx="0">
                  <c:v>1950000</c:v>
                </c:pt>
                <c:pt idx="1">
                  <c:v>2070000</c:v>
                </c:pt>
                <c:pt idx="2">
                  <c:v>1770000</c:v>
                </c:pt>
              </c:numCache>
            </c:numRef>
          </c:val>
          <c:extLst>
            <c:ext xmlns:c16="http://schemas.microsoft.com/office/drawing/2014/chart" uri="{C3380CC4-5D6E-409C-BE32-E72D297353CC}">
              <c16:uniqueId val="{00000001-1E3C-468C-A9E6-AC76A69484E2}"/>
            </c:ext>
          </c:extLst>
        </c:ser>
        <c:ser>
          <c:idx val="2"/>
          <c:order val="2"/>
          <c:tx>
            <c:strRef>
              <c:f>'Productin and SW factors'!$Y$6</c:f>
              <c:strCache>
                <c:ptCount val="1"/>
                <c:pt idx="0">
                  <c:v>US EPA, dry metric tons if data in Table A219 in US EPA 2024b is wet metric tons at 40% solids</c:v>
                </c:pt>
              </c:strCache>
            </c:strRef>
          </c:tx>
          <c:spPr>
            <a:solidFill>
              <a:schemeClr val="accent3"/>
            </a:solidFill>
            <a:ln>
              <a:noFill/>
            </a:ln>
            <a:effectLst/>
          </c:spPr>
          <c:invertIfNegative val="0"/>
          <c:cat>
            <c:numRef>
              <c:f>'Productin and SW factors'!$V$7:$V$9</c:f>
              <c:numCache>
                <c:formatCode>General</c:formatCode>
                <c:ptCount val="3"/>
                <c:pt idx="0">
                  <c:v>1990</c:v>
                </c:pt>
                <c:pt idx="1">
                  <c:v>2005</c:v>
                </c:pt>
                <c:pt idx="2">
                  <c:v>2020</c:v>
                </c:pt>
              </c:numCache>
            </c:numRef>
          </c:cat>
          <c:val>
            <c:numRef>
              <c:f>'Productin and SW factors'!$Y$7:$Y$9</c:f>
              <c:numCache>
                <c:formatCode>General</c:formatCode>
                <c:ptCount val="3"/>
                <c:pt idx="0">
                  <c:v>2600000</c:v>
                </c:pt>
                <c:pt idx="1">
                  <c:v>2760000</c:v>
                </c:pt>
                <c:pt idx="2">
                  <c:v>2360000</c:v>
                </c:pt>
              </c:numCache>
            </c:numRef>
          </c:val>
          <c:extLst>
            <c:ext xmlns:c16="http://schemas.microsoft.com/office/drawing/2014/chart" uri="{C3380CC4-5D6E-409C-BE32-E72D297353CC}">
              <c16:uniqueId val="{00000002-1E3C-468C-A9E6-AC76A69484E2}"/>
            </c:ext>
          </c:extLst>
        </c:ser>
        <c:ser>
          <c:idx val="3"/>
          <c:order val="3"/>
          <c:tx>
            <c:strRef>
              <c:f>'Productin and SW factors'!$Z$6</c:f>
              <c:strCache>
                <c:ptCount val="1"/>
                <c:pt idx="0">
                  <c:v>US EPA, dry metric tons if data in Table A219 in US EPA 2024b is wet metric tons at 50% solids</c:v>
                </c:pt>
              </c:strCache>
            </c:strRef>
          </c:tx>
          <c:spPr>
            <a:solidFill>
              <a:schemeClr val="accent4"/>
            </a:solidFill>
            <a:ln>
              <a:noFill/>
            </a:ln>
            <a:effectLst/>
          </c:spPr>
          <c:invertIfNegative val="0"/>
          <c:cat>
            <c:numRef>
              <c:f>'Productin and SW factors'!$V$7:$V$9</c:f>
              <c:numCache>
                <c:formatCode>General</c:formatCode>
                <c:ptCount val="3"/>
                <c:pt idx="0">
                  <c:v>1990</c:v>
                </c:pt>
                <c:pt idx="1">
                  <c:v>2005</c:v>
                </c:pt>
                <c:pt idx="2">
                  <c:v>2020</c:v>
                </c:pt>
              </c:numCache>
            </c:numRef>
          </c:cat>
          <c:val>
            <c:numRef>
              <c:f>'Productin and SW factors'!$Z$7:$Z$9</c:f>
              <c:numCache>
                <c:formatCode>General</c:formatCode>
                <c:ptCount val="3"/>
                <c:pt idx="0">
                  <c:v>3250000</c:v>
                </c:pt>
                <c:pt idx="1">
                  <c:v>3450000</c:v>
                </c:pt>
                <c:pt idx="2">
                  <c:v>2950000</c:v>
                </c:pt>
              </c:numCache>
            </c:numRef>
          </c:val>
          <c:extLst>
            <c:ext xmlns:c16="http://schemas.microsoft.com/office/drawing/2014/chart" uri="{C3380CC4-5D6E-409C-BE32-E72D297353CC}">
              <c16:uniqueId val="{00000003-1E3C-468C-A9E6-AC76A69484E2}"/>
            </c:ext>
          </c:extLst>
        </c:ser>
        <c:ser>
          <c:idx val="4"/>
          <c:order val="4"/>
          <c:tx>
            <c:strRef>
              <c:f>'Productin and SW factors'!$AA$6</c:f>
              <c:strCache>
                <c:ptCount val="1"/>
                <c:pt idx="0">
                  <c:v>NCASI, dry metric tons</c:v>
                </c:pt>
              </c:strCache>
            </c:strRef>
          </c:tx>
          <c:spPr>
            <a:solidFill>
              <a:schemeClr val="accent5"/>
            </a:solidFill>
            <a:ln>
              <a:noFill/>
            </a:ln>
            <a:effectLst/>
          </c:spPr>
          <c:invertIfNegative val="0"/>
          <c:cat>
            <c:numRef>
              <c:f>'Productin and SW factors'!$V$7:$V$9</c:f>
              <c:numCache>
                <c:formatCode>General</c:formatCode>
                <c:ptCount val="3"/>
                <c:pt idx="0">
                  <c:v>1990</c:v>
                </c:pt>
                <c:pt idx="1">
                  <c:v>2005</c:v>
                </c:pt>
                <c:pt idx="2">
                  <c:v>2020</c:v>
                </c:pt>
              </c:numCache>
            </c:numRef>
          </c:cat>
          <c:val>
            <c:numRef>
              <c:f>'Productin and SW factors'!$AA$7:$AA$9</c:f>
              <c:numCache>
                <c:formatCode>General</c:formatCode>
                <c:ptCount val="3"/>
                <c:pt idx="0">
                  <c:v>2251554.0571428565</c:v>
                </c:pt>
                <c:pt idx="1">
                  <c:v>1754022.5714285711</c:v>
                </c:pt>
                <c:pt idx="2">
                  <c:v>1193975.9999999998</c:v>
                </c:pt>
              </c:numCache>
            </c:numRef>
          </c:val>
          <c:extLst>
            <c:ext xmlns:c16="http://schemas.microsoft.com/office/drawing/2014/chart" uri="{C3380CC4-5D6E-409C-BE32-E72D297353CC}">
              <c16:uniqueId val="{00000004-1E3C-468C-A9E6-AC76A69484E2}"/>
            </c:ext>
          </c:extLst>
        </c:ser>
        <c:dLbls>
          <c:showLegendKey val="0"/>
          <c:showVal val="0"/>
          <c:showCatName val="0"/>
          <c:showSerName val="0"/>
          <c:showPercent val="0"/>
          <c:showBubbleSize val="0"/>
        </c:dLbls>
        <c:gapWidth val="219"/>
        <c:overlap val="-27"/>
        <c:axId val="146409008"/>
        <c:axId val="146409488"/>
      </c:barChart>
      <c:catAx>
        <c:axId val="14640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09488"/>
        <c:crosses val="autoZero"/>
        <c:auto val="1"/>
        <c:lblAlgn val="ctr"/>
        <c:lblOffset val="100"/>
        <c:noMultiLvlLbl val="0"/>
      </c:catAx>
      <c:valAx>
        <c:axId val="14640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Metric Tons Waste Landfilled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0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1A8B-4BEA-AC51-2DC56FBA74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8B-4BEA-AC51-2DC56FBA74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8B-4BEA-AC51-2DC56FBA747A}"/>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1A8B-4BEA-AC51-2DC56FBA747A}"/>
              </c:ext>
            </c:extLst>
          </c:dPt>
          <c:dLbls>
            <c:dLbl>
              <c:idx val="0"/>
              <c:layout>
                <c:manualLayout>
                  <c:x val="-0.23813687861881586"/>
                  <c:y val="-3.05500298809670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8B-4BEA-AC51-2DC56FBA747A}"/>
                </c:ext>
              </c:extLst>
            </c:dLbl>
            <c:dLbl>
              <c:idx val="1"/>
              <c:layout>
                <c:manualLayout>
                  <c:x val="-2.1600765092408727E-2"/>
                  <c:y val="-6.7892779122680394E-2"/>
                </c:manualLayout>
              </c:layout>
              <c:showLegendKey val="0"/>
              <c:showVal val="1"/>
              <c:showCatName val="1"/>
              <c:showSerName val="0"/>
              <c:showPercent val="0"/>
              <c:showBubbleSize val="0"/>
              <c:extLst>
                <c:ext xmlns:c15="http://schemas.microsoft.com/office/drawing/2012/chart" uri="{CE6537A1-D6FC-4f65-9D91-7224C49458BB}">
                  <c15:layout>
                    <c:manualLayout>
                      <c:w val="0.24873637640720775"/>
                      <c:h val="0.19018842622838084"/>
                    </c:manualLayout>
                  </c15:layout>
                </c:ext>
                <c:ext xmlns:c16="http://schemas.microsoft.com/office/drawing/2014/chart" uri="{C3380CC4-5D6E-409C-BE32-E72D297353CC}">
                  <c16:uniqueId val="{00000003-1A8B-4BEA-AC51-2DC56FBA747A}"/>
                </c:ext>
              </c:extLst>
            </c:dLbl>
            <c:dLbl>
              <c:idx val="2"/>
              <c:layout>
                <c:manualLayout>
                  <c:x val="-2.0870419588718603E-2"/>
                  <c:y val="-0.229506928446171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8B-4BEA-AC51-2DC56FBA747A}"/>
                </c:ext>
              </c:extLst>
            </c:dLbl>
            <c:dLbl>
              <c:idx val="3"/>
              <c:layout>
                <c:manualLayout>
                  <c:x val="0.18750037948726442"/>
                  <c:y val="0.200090258914142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8B-4BEA-AC51-2DC56FBA747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industry profile Aug 21.xlsx]Solid Waste management'!$A$5:$A$8</c:f>
              <c:strCache>
                <c:ptCount val="4"/>
                <c:pt idx="0">
                  <c:v>Pulp and paper WWTR</c:v>
                </c:pt>
                <c:pt idx="1">
                  <c:v>Pulp and paper boiler ash</c:v>
                </c:pt>
                <c:pt idx="2">
                  <c:v>Pulp and paper recovery area wastes</c:v>
                </c:pt>
                <c:pt idx="3">
                  <c:v>Pulp and paper other waste</c:v>
                </c:pt>
              </c:strCache>
            </c:strRef>
          </c:cat>
          <c:val>
            <c:numRef>
              <c:f>'[Total industry profile Aug 21.xlsx]Solid Waste management'!$E$5:$E$8</c:f>
              <c:numCache>
                <c:formatCode>0.0%</c:formatCode>
                <c:ptCount val="4"/>
                <c:pt idx="0">
                  <c:v>0.52974982736840559</c:v>
                </c:pt>
                <c:pt idx="1">
                  <c:v>0.15043692791197838</c:v>
                </c:pt>
                <c:pt idx="2">
                  <c:v>3.355461001780357E-2</c:v>
                </c:pt>
                <c:pt idx="3">
                  <c:v>0.28625863470181251</c:v>
                </c:pt>
              </c:numCache>
            </c:numRef>
          </c:val>
          <c:extLst>
            <c:ext xmlns:c16="http://schemas.microsoft.com/office/drawing/2014/chart" uri="{C3380CC4-5D6E-409C-BE32-E72D297353CC}">
              <c16:uniqueId val="{00000008-1A8B-4BEA-AC51-2DC56FBA747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98088383446023"/>
          <c:y val="4.2031104961209716E-2"/>
          <c:w val="0.75662725482039139"/>
          <c:h val="0.73967347586241328"/>
        </c:manualLayout>
      </c:layout>
      <c:scatterChart>
        <c:scatterStyle val="lineMarker"/>
        <c:varyColors val="0"/>
        <c:ser>
          <c:idx val="0"/>
          <c:order val="0"/>
          <c:tx>
            <c:v>NAICS 3221, MECS</c:v>
          </c:tx>
          <c:spPr>
            <a:ln w="25400">
              <a:solidFill>
                <a:srgbClr val="4472C4"/>
              </a:solidFill>
            </a:ln>
          </c:spPr>
          <c:marker>
            <c:spPr>
              <a:solidFill>
                <a:srgbClr val="44546A"/>
              </a:solidFill>
            </c:spPr>
          </c:marker>
          <c:dPt>
            <c:idx val="3"/>
            <c:bubble3D val="0"/>
            <c:spPr>
              <a:ln w="19050">
                <a:solidFill>
                  <a:srgbClr val="4472C4"/>
                </a:solidFill>
              </a:ln>
            </c:spPr>
            <c:extLst>
              <c:ext xmlns:c16="http://schemas.microsoft.com/office/drawing/2014/chart" uri="{C3380CC4-5D6E-409C-BE32-E72D297353CC}">
                <c16:uniqueId val="{00000001-E5BF-477C-B2F7-A7B13CA07E83}"/>
              </c:ext>
            </c:extLst>
          </c:dPt>
          <c:xVal>
            <c:numRef>
              <c:f>Summary!$C$56:$J$56</c:f>
              <c:numCache>
                <c:formatCode>General</c:formatCode>
                <c:ptCount val="8"/>
                <c:pt idx="0">
                  <c:v>1991</c:v>
                </c:pt>
                <c:pt idx="1">
                  <c:v>1994</c:v>
                </c:pt>
                <c:pt idx="2">
                  <c:v>1998</c:v>
                </c:pt>
                <c:pt idx="3">
                  <c:v>2002</c:v>
                </c:pt>
                <c:pt idx="4">
                  <c:v>2006</c:v>
                </c:pt>
                <c:pt idx="5">
                  <c:v>2010</c:v>
                </c:pt>
                <c:pt idx="6">
                  <c:v>2014</c:v>
                </c:pt>
                <c:pt idx="7">
                  <c:v>2018</c:v>
                </c:pt>
              </c:numCache>
            </c:numRef>
          </c:xVal>
          <c:yVal>
            <c:numRef>
              <c:f>Summary!$C$63:$J$63</c:f>
              <c:numCache>
                <c:formatCode>_(* #,##0.00_);_(* \(#,##0.00\);_(* "-"??_);_(@_)</c:formatCode>
                <c:ptCount val="8"/>
                <c:pt idx="0">
                  <c:v>66.543148699960724</c:v>
                </c:pt>
                <c:pt idx="1">
                  <c:v>68.967967402890437</c:v>
                </c:pt>
                <c:pt idx="2">
                  <c:v>64.855852383240943</c:v>
                </c:pt>
                <c:pt idx="3">
                  <c:v>55.07210636068902</c:v>
                </c:pt>
                <c:pt idx="4">
                  <c:v>47.070068421701187</c:v>
                </c:pt>
                <c:pt idx="5">
                  <c:v>41.203721070272643</c:v>
                </c:pt>
                <c:pt idx="6">
                  <c:v>36.434142251861466</c:v>
                </c:pt>
                <c:pt idx="7">
                  <c:v>34.016796923099207</c:v>
                </c:pt>
              </c:numCache>
            </c:numRef>
          </c:yVal>
          <c:smooth val="0"/>
          <c:extLst>
            <c:ext xmlns:c16="http://schemas.microsoft.com/office/drawing/2014/chart" uri="{C3380CC4-5D6E-409C-BE32-E72D297353CC}">
              <c16:uniqueId val="{00000002-E5BF-477C-B2F7-A7B13CA07E83}"/>
            </c:ext>
          </c:extLst>
        </c:ser>
        <c:ser>
          <c:idx val="1"/>
          <c:order val="1"/>
          <c:tx>
            <c:v>EPA</c:v>
          </c:tx>
          <c:spPr>
            <a:ln w="19050">
              <a:solidFill>
                <a:srgbClr val="92D050"/>
              </a:solidFill>
            </a:ln>
          </c:spPr>
          <c:marker>
            <c:symbol val="square"/>
            <c:size val="5"/>
            <c:spPr>
              <a:solidFill>
                <a:srgbClr val="92D050"/>
              </a:solidFill>
              <a:ln>
                <a:solidFill>
                  <a:srgbClr val="92D050"/>
                </a:solidFill>
              </a:ln>
            </c:spPr>
          </c:marker>
          <c:xVal>
            <c:numRef>
              <c:f>Summary!$H$74:$K$74</c:f>
              <c:numCache>
                <c:formatCode>General</c:formatCode>
                <c:ptCount val="4"/>
                <c:pt idx="0">
                  <c:v>2010</c:v>
                </c:pt>
                <c:pt idx="1">
                  <c:v>2014</c:v>
                </c:pt>
                <c:pt idx="2">
                  <c:v>2018</c:v>
                </c:pt>
                <c:pt idx="3">
                  <c:v>2020</c:v>
                </c:pt>
              </c:numCache>
            </c:numRef>
          </c:xVal>
          <c:yVal>
            <c:numRef>
              <c:f>Summary!$H$82:$K$82</c:f>
              <c:numCache>
                <c:formatCode>_(* #,##0.0_);_(* \(#,##0.0\);_(* "-"??_);_(@_)</c:formatCode>
                <c:ptCount val="4"/>
                <c:pt idx="0">
                  <c:v>46.516094227999986</c:v>
                </c:pt>
                <c:pt idx="1">
                  <c:v>38.870869290000002</c:v>
                </c:pt>
                <c:pt idx="2">
                  <c:v>35.496901262000002</c:v>
                </c:pt>
                <c:pt idx="3">
                  <c:v>34.86986009799999</c:v>
                </c:pt>
              </c:numCache>
            </c:numRef>
          </c:yVal>
          <c:smooth val="0"/>
          <c:extLst>
            <c:ext xmlns:c16="http://schemas.microsoft.com/office/drawing/2014/chart" uri="{C3380CC4-5D6E-409C-BE32-E72D297353CC}">
              <c16:uniqueId val="{00000003-E5BF-477C-B2F7-A7B13CA07E83}"/>
            </c:ext>
          </c:extLst>
        </c:ser>
        <c:ser>
          <c:idx val="2"/>
          <c:order val="2"/>
          <c:tx>
            <c:v>AF&amp;PA/API</c:v>
          </c:tx>
          <c:spPr>
            <a:ln w="19050">
              <a:solidFill>
                <a:srgbClr val="FF0000"/>
              </a:solidFill>
            </a:ln>
          </c:spPr>
          <c:marker>
            <c:symbol val="circle"/>
            <c:size val="5"/>
            <c:spPr>
              <a:solidFill>
                <a:srgbClr val="FF0000"/>
              </a:solidFill>
              <a:ln>
                <a:noFill/>
              </a:ln>
            </c:spPr>
          </c:marker>
          <c:xVal>
            <c:numRef>
              <c:f>Summary!$C$84:$L$84</c:f>
              <c:numCache>
                <c:formatCode>General</c:formatCode>
                <c:ptCount val="10"/>
                <c:pt idx="0">
                  <c:v>1990</c:v>
                </c:pt>
                <c:pt idx="1">
                  <c:v>1991</c:v>
                </c:pt>
                <c:pt idx="2">
                  <c:v>1994</c:v>
                </c:pt>
                <c:pt idx="3">
                  <c:v>2002</c:v>
                </c:pt>
                <c:pt idx="4">
                  <c:v>2005</c:v>
                </c:pt>
                <c:pt idx="5">
                  <c:v>2006</c:v>
                </c:pt>
                <c:pt idx="6">
                  <c:v>2010</c:v>
                </c:pt>
                <c:pt idx="7">
                  <c:v>2014</c:v>
                </c:pt>
                <c:pt idx="8">
                  <c:v>2018</c:v>
                </c:pt>
                <c:pt idx="9">
                  <c:v>2020</c:v>
                </c:pt>
              </c:numCache>
            </c:numRef>
          </c:xVal>
          <c:yVal>
            <c:numRef>
              <c:f>Summary!$C$91:$L$91</c:f>
              <c:numCache>
                <c:formatCode>_(* #,##0.0_);_(* \(#,##0.0\);_(* "-"??_);_(@_)</c:formatCode>
                <c:ptCount val="10"/>
                <c:pt idx="0">
                  <c:v>66.928389251400191</c:v>
                </c:pt>
                <c:pt idx="1">
                  <c:v>68.773052304732943</c:v>
                </c:pt>
                <c:pt idx="2">
                  <c:v>68.314277848563123</c:v>
                </c:pt>
                <c:pt idx="3">
                  <c:v>59.234131626081805</c:v>
                </c:pt>
                <c:pt idx="4">
                  <c:v>55.219020467118369</c:v>
                </c:pt>
                <c:pt idx="5">
                  <c:v>52.479313032861057</c:v>
                </c:pt>
                <c:pt idx="6">
                  <c:v>42.954427971189332</c:v>
                </c:pt>
                <c:pt idx="7">
                  <c:v>36.976582758402088</c:v>
                </c:pt>
                <c:pt idx="8">
                  <c:v>32.360442794884257</c:v>
                </c:pt>
                <c:pt idx="9">
                  <c:v>32.997856112131785</c:v>
                </c:pt>
              </c:numCache>
            </c:numRef>
          </c:yVal>
          <c:smooth val="0"/>
          <c:extLst>
            <c:ext xmlns:c16="http://schemas.microsoft.com/office/drawing/2014/chart" uri="{C3380CC4-5D6E-409C-BE32-E72D297353CC}">
              <c16:uniqueId val="{00000004-E5BF-477C-B2F7-A7B13CA07E83}"/>
            </c:ext>
          </c:extLst>
        </c:ser>
        <c:dLbls>
          <c:showLegendKey val="0"/>
          <c:showVal val="0"/>
          <c:showCatName val="0"/>
          <c:showSerName val="0"/>
          <c:showPercent val="0"/>
          <c:showBubbleSize val="0"/>
        </c:dLbls>
        <c:axId val="82909056"/>
        <c:axId val="82923520"/>
      </c:scatterChart>
      <c:valAx>
        <c:axId val="82909056"/>
        <c:scaling>
          <c:orientation val="minMax"/>
          <c:max val="2020"/>
          <c:min val="1990"/>
        </c:scaling>
        <c:delete val="0"/>
        <c:axPos val="b"/>
        <c:majorGridlines/>
        <c:min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82923520"/>
        <c:crosses val="autoZero"/>
        <c:crossBetween val="midCat"/>
        <c:majorUnit val="5"/>
        <c:minorUnit val="5"/>
      </c:valAx>
      <c:valAx>
        <c:axId val="82923520"/>
        <c:scaling>
          <c:orientation val="minMax"/>
          <c:min val="20"/>
        </c:scaling>
        <c:delete val="0"/>
        <c:axPos val="l"/>
        <c:majorGridlines/>
        <c:title>
          <c:tx>
            <c:rich>
              <a:bodyPr rot="-5400000" vert="horz"/>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Direct GHG Emissions (Million Metric Tons CO</a:t>
                </a:r>
                <a:r>
                  <a:rPr lang="en-US" sz="1100" b="0" baseline="-25000">
                    <a:latin typeface="Times New Roman" panose="02020603050405020304" pitchFamily="18" charset="0"/>
                    <a:cs typeface="Times New Roman" panose="02020603050405020304" pitchFamily="18" charset="0"/>
                  </a:rPr>
                  <a:t>2</a:t>
                </a:r>
                <a:r>
                  <a:rPr lang="en-US" sz="1100" b="0" baseline="0">
                    <a:latin typeface="Times New Roman" panose="02020603050405020304" pitchFamily="18" charset="0"/>
                    <a:cs typeface="Times New Roman" panose="02020603050405020304" pitchFamily="18" charset="0"/>
                  </a:rPr>
                  <a:t>e)</a:t>
                </a:r>
              </a:p>
            </c:rich>
          </c:tx>
          <c:layout>
            <c:manualLayout>
              <c:xMode val="edge"/>
              <c:yMode val="edge"/>
              <c:x val="2.5656560593834105E-2"/>
              <c:y val="1.6164843783972697E-2"/>
            </c:manualLayout>
          </c:layout>
          <c:overlay val="0"/>
        </c:title>
        <c:numFmt formatCode="#,##0" sourceLinked="0"/>
        <c:majorTickMark val="out"/>
        <c:minorTickMark val="none"/>
        <c:tickLblPos val="nextTo"/>
        <c:txPr>
          <a:bodyPr/>
          <a:lstStyle/>
          <a:p>
            <a:pPr>
              <a:defRPr sz="1100">
                <a:latin typeface="+mn-lt"/>
              </a:defRPr>
            </a:pPr>
            <a:endParaRPr lang="en-US"/>
          </a:p>
        </c:txPr>
        <c:crossAx val="82909056"/>
        <c:crosses val="autoZero"/>
        <c:crossBetween val="midCat"/>
      </c:valAx>
    </c:plotArea>
    <c:legend>
      <c:legendPos val="b"/>
      <c:overlay val="0"/>
      <c:txPr>
        <a:bodyPr/>
        <a:lstStyle/>
        <a:p>
          <a:pPr>
            <a:defRPr sz="11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02190306425976"/>
          <c:y val="5.0951186064832378E-2"/>
          <c:w val="0.75198942973369454"/>
          <c:h val="0.73564029994456281"/>
        </c:manualLayout>
      </c:layout>
      <c:scatterChart>
        <c:scatterStyle val="lineMarker"/>
        <c:varyColors val="0"/>
        <c:ser>
          <c:idx val="0"/>
          <c:order val="0"/>
          <c:tx>
            <c:strRef>
              <c:f>'[GHG pulp and paper Sector Averages MECS.xlsx]Summary'!$D$135</c:f>
              <c:strCache>
                <c:ptCount val="1"/>
                <c:pt idx="0">
                  <c:v>AF&amp;PA/API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'[GHG pulp and paper Sector Averages MECS.xlsx]Summary'!$C$136:$C$146</c:f>
              <c:numCache>
                <c:formatCode>General</c:formatCode>
                <c:ptCount val="11"/>
                <c:pt idx="0">
                  <c:v>1990</c:v>
                </c:pt>
                <c:pt idx="1">
                  <c:v>1991</c:v>
                </c:pt>
                <c:pt idx="2">
                  <c:v>1994</c:v>
                </c:pt>
                <c:pt idx="3">
                  <c:v>1998</c:v>
                </c:pt>
                <c:pt idx="4">
                  <c:v>2002</c:v>
                </c:pt>
                <c:pt idx="5">
                  <c:v>2005</c:v>
                </c:pt>
                <c:pt idx="6">
                  <c:v>2006</c:v>
                </c:pt>
                <c:pt idx="7">
                  <c:v>2010</c:v>
                </c:pt>
                <c:pt idx="8">
                  <c:v>2014</c:v>
                </c:pt>
                <c:pt idx="9">
                  <c:v>2018</c:v>
                </c:pt>
                <c:pt idx="10">
                  <c:v>2020</c:v>
                </c:pt>
              </c:numCache>
            </c:numRef>
          </c:xVal>
          <c:yVal>
            <c:numRef>
              <c:f>'[GHG pulp and paper Sector Averages MECS.xlsx]Summary'!$D$136:$D$146</c:f>
              <c:numCache>
                <c:formatCode>0.00</c:formatCode>
                <c:ptCount val="11"/>
                <c:pt idx="0">
                  <c:v>0.82752112652344789</c:v>
                </c:pt>
                <c:pt idx="1">
                  <c:v>0.82941504984143455</c:v>
                </c:pt>
                <c:pt idx="2">
                  <c:v>0.76372036990335845</c:v>
                </c:pt>
                <c:pt idx="4">
                  <c:v>0.65527717241983852</c:v>
                </c:pt>
                <c:pt idx="5" formatCode="_(* #,##0.00_);_(* \(#,##0.00\);_(* &quot;-&quot;??_);_(@_)">
                  <c:v>0.59383696100343952</c:v>
                </c:pt>
                <c:pt idx="6">
                  <c:v>0.56340280840822343</c:v>
                </c:pt>
                <c:pt idx="7">
                  <c:v>0.51203800059090965</c:v>
                </c:pt>
                <c:pt idx="8">
                  <c:v>0.45837636744960836</c:v>
                </c:pt>
                <c:pt idx="9">
                  <c:v>0.40879792376226465</c:v>
                </c:pt>
                <c:pt idx="10">
                  <c:v>0.43064455774602928</c:v>
                </c:pt>
              </c:numCache>
            </c:numRef>
          </c:yVal>
          <c:smooth val="0"/>
          <c:extLst>
            <c:ext xmlns:c16="http://schemas.microsoft.com/office/drawing/2014/chart" uri="{C3380CC4-5D6E-409C-BE32-E72D297353CC}">
              <c16:uniqueId val="{00000000-EAB8-45EE-9F24-EA0C527A1F5F}"/>
            </c:ext>
          </c:extLst>
        </c:ser>
        <c:ser>
          <c:idx val="1"/>
          <c:order val="1"/>
          <c:tx>
            <c:strRef>
              <c:f>'[GHG pulp and paper Sector Averages MECS.xlsx]Summary'!$E$135</c:f>
              <c:strCache>
                <c:ptCount val="1"/>
                <c:pt idx="0">
                  <c:v>EIA MECS 3221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'[GHG pulp and paper Sector Averages MECS.xlsx]Summary'!$C$136:$C$146</c:f>
              <c:numCache>
                <c:formatCode>General</c:formatCode>
                <c:ptCount val="11"/>
                <c:pt idx="0">
                  <c:v>1990</c:v>
                </c:pt>
                <c:pt idx="1">
                  <c:v>1991</c:v>
                </c:pt>
                <c:pt idx="2">
                  <c:v>1994</c:v>
                </c:pt>
                <c:pt idx="3">
                  <c:v>1998</c:v>
                </c:pt>
                <c:pt idx="4">
                  <c:v>2002</c:v>
                </c:pt>
                <c:pt idx="5">
                  <c:v>2005</c:v>
                </c:pt>
                <c:pt idx="6">
                  <c:v>2006</c:v>
                </c:pt>
                <c:pt idx="7">
                  <c:v>2010</c:v>
                </c:pt>
                <c:pt idx="8">
                  <c:v>2014</c:v>
                </c:pt>
                <c:pt idx="9">
                  <c:v>2018</c:v>
                </c:pt>
                <c:pt idx="10">
                  <c:v>2020</c:v>
                </c:pt>
              </c:numCache>
            </c:numRef>
          </c:xVal>
          <c:yVal>
            <c:numRef>
              <c:f>'[GHG pulp and paper Sector Averages MECS.xlsx]Summary'!$E$136:$E$146</c:f>
              <c:numCache>
                <c:formatCode>General</c:formatCode>
                <c:ptCount val="11"/>
                <c:pt idx="1">
                  <c:v>0.84270021984596477</c:v>
                </c:pt>
                <c:pt idx="2">
                  <c:v>0.82442442676356886</c:v>
                </c:pt>
                <c:pt idx="3">
                  <c:v>0.69692512769440085</c:v>
                </c:pt>
                <c:pt idx="4">
                  <c:v>0.60570699445742815</c:v>
                </c:pt>
                <c:pt idx="6">
                  <c:v>0.51280871800147043</c:v>
                </c:pt>
                <c:pt idx="7">
                  <c:v>0.49510628321338956</c:v>
                </c:pt>
                <c:pt idx="8">
                  <c:v>0.45571617424912519</c:v>
                </c:pt>
                <c:pt idx="9">
                  <c:v>0.43395962373367886</c:v>
                </c:pt>
              </c:numCache>
            </c:numRef>
          </c:yVal>
          <c:smooth val="0"/>
          <c:extLst>
            <c:ext xmlns:c16="http://schemas.microsoft.com/office/drawing/2014/chart" uri="{C3380CC4-5D6E-409C-BE32-E72D297353CC}">
              <c16:uniqueId val="{00000001-EAB8-45EE-9F24-EA0C527A1F5F}"/>
            </c:ext>
          </c:extLst>
        </c:ser>
        <c:dLbls>
          <c:showLegendKey val="0"/>
          <c:showVal val="0"/>
          <c:showCatName val="0"/>
          <c:showSerName val="0"/>
          <c:showPercent val="0"/>
          <c:showBubbleSize val="0"/>
        </c:dLbls>
        <c:axId val="750786143"/>
        <c:axId val="750795263"/>
      </c:scatterChart>
      <c:valAx>
        <c:axId val="750786143"/>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0795263"/>
        <c:crosses val="autoZero"/>
        <c:crossBetween val="midCat"/>
      </c:valAx>
      <c:valAx>
        <c:axId val="750795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Metric Ton CO</a:t>
                </a:r>
                <a:r>
                  <a:rPr lang="en-US" baseline="-25000">
                    <a:latin typeface="Times New Roman" panose="02020603050405020304" pitchFamily="18" charset="0"/>
                    <a:cs typeface="Times New Roman" panose="02020603050405020304" pitchFamily="18" charset="0"/>
                  </a:rPr>
                  <a:t>2</a:t>
                </a:r>
                <a:r>
                  <a:rPr lang="en-US">
                    <a:latin typeface="Times New Roman" panose="02020603050405020304" pitchFamily="18" charset="0"/>
                    <a:cs typeface="Times New Roman" panose="02020603050405020304" pitchFamily="18" charset="0"/>
                  </a:rPr>
                  <a:t>eq. per Metric Ton Product</a:t>
                </a:r>
              </a:p>
            </c:rich>
          </c:tx>
          <c:layout>
            <c:manualLayout>
              <c:xMode val="edge"/>
              <c:yMode val="edge"/>
              <c:x val="8.3477494908238727E-3"/>
              <c:y val="4.5749545379100025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07861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2335800097959"/>
          <c:y val="5.0951186064832378E-2"/>
          <c:w val="0.75784423709828996"/>
          <c:h val="0.73564029994456281"/>
        </c:manualLayout>
      </c:layout>
      <c:scatterChart>
        <c:scatterStyle val="lineMarker"/>
        <c:varyColors val="0"/>
        <c:ser>
          <c:idx val="0"/>
          <c:order val="0"/>
          <c:tx>
            <c:strRef>
              <c:f>'[GHG pulp and paper Sector Averages MECS.xlsx]Summary'!$N$105</c:f>
              <c:strCache>
                <c:ptCount val="1"/>
                <c:pt idx="0">
                  <c:v>AF&amp;PA/API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'[GHG pulp and paper Sector Averages MECS.xlsx]Summary'!$M$106:$M$136</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'[GHG pulp and paper Sector Averages MECS.xlsx]Summary'!$N$106:$N$136</c:f>
              <c:numCache>
                <c:formatCode>General</c:formatCode>
                <c:ptCount val="31"/>
                <c:pt idx="0">
                  <c:v>0.55400000000000005</c:v>
                </c:pt>
                <c:pt idx="5">
                  <c:v>0.56399999999999995</c:v>
                </c:pt>
                <c:pt idx="10">
                  <c:v>0.55500000000000005</c:v>
                </c:pt>
                <c:pt idx="14">
                  <c:v>0.59299999999999997</c:v>
                </c:pt>
                <c:pt idx="16">
                  <c:v>0.64100000000000001</c:v>
                </c:pt>
                <c:pt idx="20">
                  <c:v>0.65200000000000002</c:v>
                </c:pt>
                <c:pt idx="24">
                  <c:v>0.66300000000000003</c:v>
                </c:pt>
                <c:pt idx="28">
                  <c:v>0.65300000000000002</c:v>
                </c:pt>
              </c:numCache>
            </c:numRef>
          </c:yVal>
          <c:smooth val="0"/>
          <c:extLst>
            <c:ext xmlns:c16="http://schemas.microsoft.com/office/drawing/2014/chart" uri="{C3380CC4-5D6E-409C-BE32-E72D297353CC}">
              <c16:uniqueId val="{00000000-643D-4045-BD6F-87C745E96203}"/>
            </c:ext>
          </c:extLst>
        </c:ser>
        <c:ser>
          <c:idx val="1"/>
          <c:order val="1"/>
          <c:tx>
            <c:strRef>
              <c:f>'[GHG pulp and paper Sector Averages MECS.xlsx]Summary'!$O$105</c:f>
              <c:strCache>
                <c:ptCount val="1"/>
                <c:pt idx="0">
                  <c:v>MECS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'[GHG pulp and paper Sector Averages MECS.xlsx]Summary'!$M$106:$M$136</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'[GHG pulp and paper Sector Averages MECS.xlsx]Summary'!$O$106:$O$136</c:f>
              <c:numCache>
                <c:formatCode>General</c:formatCode>
                <c:ptCount val="31"/>
                <c:pt idx="1">
                  <c:v>0.53467465753424659</c:v>
                </c:pt>
                <c:pt idx="4">
                  <c:v>0.53780832996360695</c:v>
                </c:pt>
                <c:pt idx="8">
                  <c:v>0.5536070147469111</c:v>
                </c:pt>
                <c:pt idx="12">
                  <c:v>0.56867145421903054</c:v>
                </c:pt>
                <c:pt idx="16">
                  <c:v>0.58488714425907751</c:v>
                </c:pt>
                <c:pt idx="20">
                  <c:v>0.62525050100200397</c:v>
                </c:pt>
                <c:pt idx="24">
                  <c:v>0.64851235501765003</c:v>
                </c:pt>
                <c:pt idx="28">
                  <c:v>0.63319458896982306</c:v>
                </c:pt>
              </c:numCache>
            </c:numRef>
          </c:yVal>
          <c:smooth val="0"/>
          <c:extLst>
            <c:ext xmlns:c16="http://schemas.microsoft.com/office/drawing/2014/chart" uri="{C3380CC4-5D6E-409C-BE32-E72D297353CC}">
              <c16:uniqueId val="{00000001-643D-4045-BD6F-87C745E96203}"/>
            </c:ext>
          </c:extLst>
        </c:ser>
        <c:dLbls>
          <c:showLegendKey val="0"/>
          <c:showVal val="0"/>
          <c:showCatName val="0"/>
          <c:showSerName val="0"/>
          <c:showPercent val="0"/>
          <c:showBubbleSize val="0"/>
        </c:dLbls>
        <c:axId val="271209199"/>
        <c:axId val="281324207"/>
      </c:scatterChart>
      <c:valAx>
        <c:axId val="271209199"/>
        <c:scaling>
          <c:orientation val="minMax"/>
          <c:max val="202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1324207"/>
        <c:crosses val="autoZero"/>
        <c:crossBetween val="midCat"/>
      </c:valAx>
      <c:valAx>
        <c:axId val="281324207"/>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Fracttion of Total Energy from Biomass</a:t>
                </a:r>
              </a:p>
            </c:rich>
          </c:tx>
          <c:layout>
            <c:manualLayout>
              <c:xMode val="edge"/>
              <c:yMode val="edge"/>
              <c:x val="4.7250353338098489E-2"/>
              <c:y val="5.095118606483237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12091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Summary!$B$51</c:f>
              <c:strCache>
                <c:ptCount val="1"/>
                <c:pt idx="0">
                  <c:v>Biomass</c:v>
                </c:pt>
              </c:strCache>
            </c:strRef>
          </c:tx>
          <c:spPr>
            <a:solidFill>
              <a:schemeClr val="accent5"/>
            </a:solidFill>
            <a:ln>
              <a:solidFill>
                <a:schemeClr val="tx1"/>
              </a:solidFill>
            </a:ln>
            <a:effectLst/>
          </c:spPr>
          <c:invertIfNegative val="0"/>
          <c:cat>
            <c:numRef>
              <c:f>Summary!$C$46:$J$46</c:f>
              <c:numCache>
                <c:formatCode>General</c:formatCode>
                <c:ptCount val="8"/>
                <c:pt idx="0">
                  <c:v>1991</c:v>
                </c:pt>
                <c:pt idx="1">
                  <c:v>1994</c:v>
                </c:pt>
                <c:pt idx="2">
                  <c:v>1998</c:v>
                </c:pt>
                <c:pt idx="3">
                  <c:v>2002</c:v>
                </c:pt>
                <c:pt idx="4">
                  <c:v>2006</c:v>
                </c:pt>
                <c:pt idx="5">
                  <c:v>2010</c:v>
                </c:pt>
                <c:pt idx="6">
                  <c:v>2014</c:v>
                </c:pt>
                <c:pt idx="7">
                  <c:v>2018</c:v>
                </c:pt>
              </c:numCache>
            </c:numRef>
          </c:cat>
          <c:val>
            <c:numRef>
              <c:f>Summary!$C$51:$J$51</c:f>
              <c:numCache>
                <c:formatCode>0.00</c:formatCode>
                <c:ptCount val="8"/>
                <c:pt idx="0">
                  <c:v>0.53467465753424659</c:v>
                </c:pt>
                <c:pt idx="1">
                  <c:v>0.53780832996360695</c:v>
                </c:pt>
                <c:pt idx="2">
                  <c:v>0.5536070147469111</c:v>
                </c:pt>
                <c:pt idx="3">
                  <c:v>0.56867145421903054</c:v>
                </c:pt>
                <c:pt idx="4">
                  <c:v>0.58488714425907751</c:v>
                </c:pt>
                <c:pt idx="5">
                  <c:v>0.62525050100200397</c:v>
                </c:pt>
                <c:pt idx="6">
                  <c:v>0.64851235501765003</c:v>
                </c:pt>
                <c:pt idx="7">
                  <c:v>0.63319458896982306</c:v>
                </c:pt>
              </c:numCache>
            </c:numRef>
          </c:val>
          <c:extLst>
            <c:ext xmlns:c16="http://schemas.microsoft.com/office/drawing/2014/chart" uri="{C3380CC4-5D6E-409C-BE32-E72D297353CC}">
              <c16:uniqueId val="{00000000-BDB5-40EC-B3B0-C1B31FAD94C5}"/>
            </c:ext>
          </c:extLst>
        </c:ser>
        <c:ser>
          <c:idx val="1"/>
          <c:order val="1"/>
          <c:tx>
            <c:strRef>
              <c:f>Summary!$B$48</c:f>
              <c:strCache>
                <c:ptCount val="1"/>
                <c:pt idx="0">
                  <c:v>Natural Gas</c:v>
                </c:pt>
              </c:strCache>
            </c:strRef>
          </c:tx>
          <c:spPr>
            <a:solidFill>
              <a:schemeClr val="accent2"/>
            </a:solidFill>
            <a:ln>
              <a:solidFill>
                <a:schemeClr val="tx1"/>
              </a:solidFill>
            </a:ln>
            <a:effectLst/>
          </c:spPr>
          <c:invertIfNegative val="0"/>
          <c:cat>
            <c:numRef>
              <c:f>Summary!$C$46:$J$46</c:f>
              <c:numCache>
                <c:formatCode>General</c:formatCode>
                <c:ptCount val="8"/>
                <c:pt idx="0">
                  <c:v>1991</c:v>
                </c:pt>
                <c:pt idx="1">
                  <c:v>1994</c:v>
                </c:pt>
                <c:pt idx="2">
                  <c:v>1998</c:v>
                </c:pt>
                <c:pt idx="3">
                  <c:v>2002</c:v>
                </c:pt>
                <c:pt idx="4">
                  <c:v>2006</c:v>
                </c:pt>
                <c:pt idx="5">
                  <c:v>2010</c:v>
                </c:pt>
                <c:pt idx="6">
                  <c:v>2014</c:v>
                </c:pt>
                <c:pt idx="7">
                  <c:v>2018</c:v>
                </c:pt>
              </c:numCache>
            </c:numRef>
          </c:cat>
          <c:val>
            <c:numRef>
              <c:f>Summary!$C$48:$J$48</c:f>
              <c:numCache>
                <c:formatCode>0.00</c:formatCode>
                <c:ptCount val="8"/>
                <c:pt idx="0">
                  <c:v>0.20419520547945205</c:v>
                </c:pt>
                <c:pt idx="1">
                  <c:v>0.19894864536999596</c:v>
                </c:pt>
                <c:pt idx="2">
                  <c:v>0.20127540852929454</c:v>
                </c:pt>
                <c:pt idx="3">
                  <c:v>0.1947935368043088</c:v>
                </c:pt>
                <c:pt idx="4">
                  <c:v>0.16535819430814525</c:v>
                </c:pt>
                <c:pt idx="5">
                  <c:v>0.16833667334669339</c:v>
                </c:pt>
                <c:pt idx="6">
                  <c:v>0.19415027735753909</c:v>
                </c:pt>
                <c:pt idx="7">
                  <c:v>0.26378772112382937</c:v>
                </c:pt>
              </c:numCache>
            </c:numRef>
          </c:val>
          <c:extLst>
            <c:ext xmlns:c16="http://schemas.microsoft.com/office/drawing/2014/chart" uri="{C3380CC4-5D6E-409C-BE32-E72D297353CC}">
              <c16:uniqueId val="{00000001-BDB5-40EC-B3B0-C1B31FAD94C5}"/>
            </c:ext>
          </c:extLst>
        </c:ser>
        <c:ser>
          <c:idx val="2"/>
          <c:order val="2"/>
          <c:tx>
            <c:strRef>
              <c:f>Summary!$B$49</c:f>
              <c:strCache>
                <c:ptCount val="1"/>
                <c:pt idx="0">
                  <c:v>Coal</c:v>
                </c:pt>
              </c:strCache>
            </c:strRef>
          </c:tx>
          <c:spPr>
            <a:solidFill>
              <a:schemeClr val="accent3"/>
            </a:solidFill>
            <a:ln>
              <a:solidFill>
                <a:schemeClr val="tx1"/>
              </a:solidFill>
            </a:ln>
            <a:effectLst/>
          </c:spPr>
          <c:invertIfNegative val="0"/>
          <c:cat>
            <c:numRef>
              <c:f>Summary!$C$46:$J$46</c:f>
              <c:numCache>
                <c:formatCode>General</c:formatCode>
                <c:ptCount val="8"/>
                <c:pt idx="0">
                  <c:v>1991</c:v>
                </c:pt>
                <c:pt idx="1">
                  <c:v>1994</c:v>
                </c:pt>
                <c:pt idx="2">
                  <c:v>1998</c:v>
                </c:pt>
                <c:pt idx="3">
                  <c:v>2002</c:v>
                </c:pt>
                <c:pt idx="4">
                  <c:v>2006</c:v>
                </c:pt>
                <c:pt idx="5">
                  <c:v>2010</c:v>
                </c:pt>
                <c:pt idx="6">
                  <c:v>2014</c:v>
                </c:pt>
                <c:pt idx="7">
                  <c:v>2018</c:v>
                </c:pt>
              </c:numCache>
            </c:numRef>
          </c:cat>
          <c:val>
            <c:numRef>
              <c:f>Summary!$C$49:$J$49</c:f>
              <c:numCache>
                <c:formatCode>0.00</c:formatCode>
                <c:ptCount val="8"/>
                <c:pt idx="0">
                  <c:v>0.12671232876712329</c:v>
                </c:pt>
                <c:pt idx="1">
                  <c:v>0.12252325111200971</c:v>
                </c:pt>
                <c:pt idx="2">
                  <c:v>0.10522120366679952</c:v>
                </c:pt>
                <c:pt idx="3">
                  <c:v>0.1059245960502693</c:v>
                </c:pt>
                <c:pt idx="4">
                  <c:v>0.10549558390578999</c:v>
                </c:pt>
                <c:pt idx="5">
                  <c:v>0.10195390781563127</c:v>
                </c:pt>
                <c:pt idx="6">
                  <c:v>7.0600100857286935E-2</c:v>
                </c:pt>
                <c:pt idx="7">
                  <c:v>2.7055150884495317E-2</c:v>
                </c:pt>
              </c:numCache>
            </c:numRef>
          </c:val>
          <c:extLst>
            <c:ext xmlns:c16="http://schemas.microsoft.com/office/drawing/2014/chart" uri="{C3380CC4-5D6E-409C-BE32-E72D297353CC}">
              <c16:uniqueId val="{00000002-BDB5-40EC-B3B0-C1B31FAD94C5}"/>
            </c:ext>
          </c:extLst>
        </c:ser>
        <c:ser>
          <c:idx val="3"/>
          <c:order val="3"/>
          <c:tx>
            <c:strRef>
              <c:f>Summary!$B$50</c:f>
              <c:strCache>
                <c:ptCount val="1"/>
                <c:pt idx="0">
                  <c:v>Other Fossil Fuel</c:v>
                </c:pt>
              </c:strCache>
            </c:strRef>
          </c:tx>
          <c:spPr>
            <a:solidFill>
              <a:schemeClr val="accent4"/>
            </a:solidFill>
            <a:ln>
              <a:solidFill>
                <a:schemeClr val="tx1"/>
              </a:solidFill>
            </a:ln>
            <a:effectLst/>
          </c:spPr>
          <c:invertIfNegative val="0"/>
          <c:cat>
            <c:numRef>
              <c:f>Summary!$C$46:$J$46</c:f>
              <c:numCache>
                <c:formatCode>General</c:formatCode>
                <c:ptCount val="8"/>
                <c:pt idx="0">
                  <c:v>1991</c:v>
                </c:pt>
                <c:pt idx="1">
                  <c:v>1994</c:v>
                </c:pt>
                <c:pt idx="2">
                  <c:v>1998</c:v>
                </c:pt>
                <c:pt idx="3">
                  <c:v>2002</c:v>
                </c:pt>
                <c:pt idx="4">
                  <c:v>2006</c:v>
                </c:pt>
                <c:pt idx="5">
                  <c:v>2010</c:v>
                </c:pt>
                <c:pt idx="6">
                  <c:v>2014</c:v>
                </c:pt>
                <c:pt idx="7">
                  <c:v>2018</c:v>
                </c:pt>
              </c:numCache>
            </c:numRef>
          </c:cat>
          <c:val>
            <c:numRef>
              <c:f>Summary!$C$50:$J$50</c:f>
              <c:numCache>
                <c:formatCode>0.00</c:formatCode>
                <c:ptCount val="8"/>
                <c:pt idx="0">
                  <c:v>6.9135273972602745E-2</c:v>
                </c:pt>
                <c:pt idx="1">
                  <c:v>6.9955519611807515E-2</c:v>
                </c:pt>
                <c:pt idx="2">
                  <c:v>6.2973296133917889E-2</c:v>
                </c:pt>
                <c:pt idx="3">
                  <c:v>5.1166965888689409E-2</c:v>
                </c:pt>
                <c:pt idx="4">
                  <c:v>5.1030421982335622E-2</c:v>
                </c:pt>
                <c:pt idx="5">
                  <c:v>2.1042084168336674E-2</c:v>
                </c:pt>
                <c:pt idx="6">
                  <c:v>1.1598587997982855E-2</c:v>
                </c:pt>
                <c:pt idx="7">
                  <c:v>7.804370447450572E-3</c:v>
                </c:pt>
              </c:numCache>
            </c:numRef>
          </c:val>
          <c:extLst>
            <c:ext xmlns:c16="http://schemas.microsoft.com/office/drawing/2014/chart" uri="{C3380CC4-5D6E-409C-BE32-E72D297353CC}">
              <c16:uniqueId val="{00000003-BDB5-40EC-B3B0-C1B31FAD94C5}"/>
            </c:ext>
          </c:extLst>
        </c:ser>
        <c:ser>
          <c:idx val="0"/>
          <c:order val="4"/>
          <c:tx>
            <c:strRef>
              <c:f>Summary!$B$47</c:f>
              <c:strCache>
                <c:ptCount val="1"/>
                <c:pt idx="0">
                  <c:v>Net Electricity</c:v>
                </c:pt>
              </c:strCache>
            </c:strRef>
          </c:tx>
          <c:spPr>
            <a:solidFill>
              <a:schemeClr val="accent1"/>
            </a:solidFill>
            <a:ln>
              <a:solidFill>
                <a:schemeClr val="tx1"/>
              </a:solidFill>
            </a:ln>
            <a:effectLst/>
          </c:spPr>
          <c:invertIfNegative val="0"/>
          <c:cat>
            <c:numRef>
              <c:f>Summary!$C$46:$J$46</c:f>
              <c:numCache>
                <c:formatCode>General</c:formatCode>
                <c:ptCount val="8"/>
                <c:pt idx="0">
                  <c:v>1991</c:v>
                </c:pt>
                <c:pt idx="1">
                  <c:v>1994</c:v>
                </c:pt>
                <c:pt idx="2">
                  <c:v>1998</c:v>
                </c:pt>
                <c:pt idx="3">
                  <c:v>2002</c:v>
                </c:pt>
                <c:pt idx="4">
                  <c:v>2006</c:v>
                </c:pt>
                <c:pt idx="5">
                  <c:v>2010</c:v>
                </c:pt>
                <c:pt idx="6">
                  <c:v>2014</c:v>
                </c:pt>
                <c:pt idx="7">
                  <c:v>2018</c:v>
                </c:pt>
              </c:numCache>
            </c:numRef>
          </c:cat>
          <c:val>
            <c:numRef>
              <c:f>Summary!$C$47:$J$47</c:f>
              <c:numCache>
                <c:formatCode>0.00</c:formatCode>
                <c:ptCount val="8"/>
                <c:pt idx="0">
                  <c:v>6.6780821917808222E-2</c:v>
                </c:pt>
                <c:pt idx="1">
                  <c:v>6.8742418115649004E-2</c:v>
                </c:pt>
                <c:pt idx="2">
                  <c:v>7.6923076923076927E-2</c:v>
                </c:pt>
                <c:pt idx="3">
                  <c:v>7.9443447037701981E-2</c:v>
                </c:pt>
                <c:pt idx="4">
                  <c:v>9.3719332679097156E-2</c:v>
                </c:pt>
                <c:pt idx="5">
                  <c:v>8.3166332665330661E-2</c:v>
                </c:pt>
                <c:pt idx="6">
                  <c:v>7.4130105900151289E-2</c:v>
                </c:pt>
                <c:pt idx="7">
                  <c:v>6.815816857440167E-2</c:v>
                </c:pt>
              </c:numCache>
            </c:numRef>
          </c:val>
          <c:extLst>
            <c:ext xmlns:c16="http://schemas.microsoft.com/office/drawing/2014/chart" uri="{C3380CC4-5D6E-409C-BE32-E72D297353CC}">
              <c16:uniqueId val="{00000004-BDB5-40EC-B3B0-C1B31FAD94C5}"/>
            </c:ext>
          </c:extLst>
        </c:ser>
        <c:dLbls>
          <c:showLegendKey val="0"/>
          <c:showVal val="0"/>
          <c:showCatName val="0"/>
          <c:showSerName val="0"/>
          <c:showPercent val="0"/>
          <c:showBubbleSize val="0"/>
        </c:dLbls>
        <c:gapWidth val="150"/>
        <c:overlap val="100"/>
        <c:axId val="599939288"/>
        <c:axId val="599936008"/>
      </c:barChart>
      <c:catAx>
        <c:axId val="59993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9936008"/>
        <c:crosses val="autoZero"/>
        <c:auto val="1"/>
        <c:lblAlgn val="ctr"/>
        <c:lblOffset val="100"/>
        <c:noMultiLvlLbl val="0"/>
      </c:catAx>
      <c:valAx>
        <c:axId val="5999360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Percentage of Total On-site Energy Needs</a:t>
                </a:r>
              </a:p>
            </c:rich>
          </c:tx>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993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1">
              <a:lumMod val="65000"/>
              <a:lumOff val="35000"/>
            </a:schemeClr>
          </a:solidFill>
          <a:latin typeface="+mn-lt"/>
          <a:ea typeface="+mn-ea"/>
          <a:cs typeface="+mn-cs"/>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91153404030775"/>
          <c:y val="4.2031104961209716E-2"/>
          <c:w val="0.74769664442168948"/>
          <c:h val="0.72967245662875213"/>
        </c:manualLayout>
      </c:layout>
      <c:scatterChart>
        <c:scatterStyle val="lineMarker"/>
        <c:varyColors val="0"/>
        <c:ser>
          <c:idx val="1"/>
          <c:order val="0"/>
          <c:tx>
            <c:strRef>
              <c:f>'[GHG pulp and paper Sector Averages MECS.xlsx]Summary'!$A$54</c:f>
              <c:strCache>
                <c:ptCount val="1"/>
                <c:pt idx="0">
                  <c:v>MECS</c:v>
                </c:pt>
              </c:strCache>
            </c:strRef>
          </c:tx>
          <c:spPr>
            <a:ln w="19050"/>
          </c:spPr>
          <c:xVal>
            <c:numRef>
              <c:f>'[GHG pulp and paper Sector Averages MECS.xlsx]Summary'!$C$53:$J$53</c:f>
              <c:numCache>
                <c:formatCode>General</c:formatCode>
                <c:ptCount val="8"/>
                <c:pt idx="0">
                  <c:v>1991</c:v>
                </c:pt>
                <c:pt idx="1">
                  <c:v>1994</c:v>
                </c:pt>
                <c:pt idx="2">
                  <c:v>1998</c:v>
                </c:pt>
                <c:pt idx="3">
                  <c:v>2002</c:v>
                </c:pt>
                <c:pt idx="4">
                  <c:v>2006</c:v>
                </c:pt>
                <c:pt idx="5">
                  <c:v>2010</c:v>
                </c:pt>
                <c:pt idx="6">
                  <c:v>2014</c:v>
                </c:pt>
                <c:pt idx="7">
                  <c:v>2018</c:v>
                </c:pt>
              </c:numCache>
            </c:numRef>
          </c:xVal>
          <c:yVal>
            <c:numRef>
              <c:f>'[GHG pulp and paper Sector Averages MECS.xlsx]Summary'!$C$54:$J$54</c:f>
              <c:numCache>
                <c:formatCode>0.00</c:formatCode>
                <c:ptCount val="8"/>
                <c:pt idx="0" formatCode="0.0">
                  <c:v>26.837545343500533</c:v>
                </c:pt>
                <c:pt idx="1">
                  <c:v>26.818083156117012</c:v>
                </c:pt>
                <c:pt idx="2">
                  <c:v>24.458949800739983</c:v>
                </c:pt>
                <c:pt idx="3">
                  <c:v>22.23034897857038</c:v>
                </c:pt>
                <c:pt idx="4">
                  <c:v>20.142572822543055</c:v>
                </c:pt>
                <c:pt idx="5">
                  <c:v>21.75818819598069</c:v>
                </c:pt>
                <c:pt idx="6">
                  <c:v>22.501361655773426</c:v>
                </c:pt>
                <c:pt idx="7">
                  <c:v>22.243825660255077</c:v>
                </c:pt>
              </c:numCache>
            </c:numRef>
          </c:yVal>
          <c:smooth val="0"/>
          <c:extLst>
            <c:ext xmlns:c16="http://schemas.microsoft.com/office/drawing/2014/chart" uri="{C3380CC4-5D6E-409C-BE32-E72D297353CC}">
              <c16:uniqueId val="{00000000-C566-4412-9CD5-63BED0B1AFD6}"/>
            </c:ext>
          </c:extLst>
        </c:ser>
        <c:ser>
          <c:idx val="0"/>
          <c:order val="1"/>
          <c:tx>
            <c:strRef>
              <c:f>'[GHG pulp and paper Sector Averages MECS.xlsx]Summary'!$I$105</c:f>
              <c:strCache>
                <c:ptCount val="1"/>
                <c:pt idx="0">
                  <c:v>AF&amp;PA/API</c:v>
                </c:pt>
              </c:strCache>
            </c:strRef>
          </c:tx>
          <c:spPr>
            <a:ln w="19050"/>
          </c:spPr>
          <c:xVal>
            <c:numRef>
              <c:f>'[GHG pulp and paper Sector Averages MECS.xlsx]Summary'!$I$106:$I$136</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'[GHG pulp and paper Sector Averages MECS.xlsx]Summary'!$J$106:$J$136</c:f>
              <c:numCache>
                <c:formatCode>General</c:formatCode>
                <c:ptCount val="31"/>
                <c:pt idx="0">
                  <c:v>27</c:v>
                </c:pt>
                <c:pt idx="1">
                  <c:v>28</c:v>
                </c:pt>
                <c:pt idx="2">
                  <c:v>27</c:v>
                </c:pt>
                <c:pt idx="3">
                  <c:v>27</c:v>
                </c:pt>
                <c:pt idx="4">
                  <c:v>26</c:v>
                </c:pt>
                <c:pt idx="5">
                  <c:v>26</c:v>
                </c:pt>
                <c:pt idx="6">
                  <c:v>26</c:v>
                </c:pt>
                <c:pt idx="7">
                  <c:v>26</c:v>
                </c:pt>
                <c:pt idx="9">
                  <c:v>27</c:v>
                </c:pt>
                <c:pt idx="10">
                  <c:v>24</c:v>
                </c:pt>
                <c:pt idx="12">
                  <c:v>25</c:v>
                </c:pt>
                <c:pt idx="14">
                  <c:v>23</c:v>
                </c:pt>
                <c:pt idx="16">
                  <c:v>24</c:v>
                </c:pt>
                <c:pt idx="18">
                  <c:v>24</c:v>
                </c:pt>
                <c:pt idx="20">
                  <c:v>24</c:v>
                </c:pt>
                <c:pt idx="22">
                  <c:v>23</c:v>
                </c:pt>
                <c:pt idx="24">
                  <c:v>23</c:v>
                </c:pt>
                <c:pt idx="26">
                  <c:v>23</c:v>
                </c:pt>
                <c:pt idx="28">
                  <c:v>22</c:v>
                </c:pt>
              </c:numCache>
            </c:numRef>
          </c:yVal>
          <c:smooth val="0"/>
          <c:extLst>
            <c:ext xmlns:c16="http://schemas.microsoft.com/office/drawing/2014/chart" uri="{C3380CC4-5D6E-409C-BE32-E72D297353CC}">
              <c16:uniqueId val="{00000001-C566-4412-9CD5-63BED0B1AFD6}"/>
            </c:ext>
          </c:extLst>
        </c:ser>
        <c:dLbls>
          <c:showLegendKey val="0"/>
          <c:showVal val="0"/>
          <c:showCatName val="0"/>
          <c:showSerName val="0"/>
          <c:showPercent val="0"/>
          <c:showBubbleSize val="0"/>
        </c:dLbls>
        <c:axId val="82909056"/>
        <c:axId val="82923520"/>
      </c:scatterChart>
      <c:valAx>
        <c:axId val="82909056"/>
        <c:scaling>
          <c:orientation val="minMax"/>
          <c:max val="2020"/>
          <c:min val="1990"/>
        </c:scaling>
        <c:delete val="0"/>
        <c:axPos val="b"/>
        <c:majorGridlines/>
        <c:minorGridlines/>
        <c:numFmt formatCode="General" sourceLinked="1"/>
        <c:majorTickMark val="out"/>
        <c:minorTickMark val="none"/>
        <c:tickLblPos val="nextTo"/>
        <c:spPr>
          <a:ln>
            <a:prstDash val="sysDot"/>
          </a:ln>
        </c:spPr>
        <c:txPr>
          <a:bodyPr/>
          <a:lstStyle/>
          <a:p>
            <a:pPr>
              <a:defRPr sz="1200">
                <a:latin typeface="Times New Roman" panose="02020603050405020304" pitchFamily="18" charset="0"/>
                <a:cs typeface="Times New Roman" panose="02020603050405020304" pitchFamily="18" charset="0"/>
              </a:defRPr>
            </a:pPr>
            <a:endParaRPr lang="en-US"/>
          </a:p>
        </c:txPr>
        <c:crossAx val="82923520"/>
        <c:crosses val="autoZero"/>
        <c:crossBetween val="midCat"/>
        <c:majorUnit val="5"/>
        <c:minorUnit val="1"/>
      </c:valAx>
      <c:valAx>
        <c:axId val="82923520"/>
        <c:scaling>
          <c:orientation val="minMax"/>
          <c:min val="0"/>
        </c:scaling>
        <c:delete val="0"/>
        <c:axPos val="l"/>
        <c:majorGridlines/>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Fenceline Energy Intensity</a:t>
                </a:r>
              </a:p>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Million BTU HHV per Short Ton Productoin</a:t>
                </a:r>
              </a:p>
            </c:rich>
          </c:tx>
          <c:layout>
            <c:manualLayout>
              <c:xMode val="edge"/>
              <c:yMode val="edge"/>
              <c:x val="1.5434199435203818E-2"/>
              <c:y val="0.14596591696516609"/>
            </c:manualLayout>
          </c:layout>
          <c:overlay val="0"/>
        </c:title>
        <c:numFmt formatCode="#,##0"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82909056"/>
        <c:crosses val="autoZero"/>
        <c:crossBetween val="midCat"/>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span"/>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19685039370078"/>
          <c:y val="7.900550226951579E-2"/>
          <c:w val="0.71869309041648399"/>
          <c:h val="0.66980405744183602"/>
        </c:manualLayout>
      </c:layout>
      <c:barChart>
        <c:barDir val="col"/>
        <c:grouping val="stacked"/>
        <c:varyColors val="0"/>
        <c:ser>
          <c:idx val="0"/>
          <c:order val="0"/>
          <c:tx>
            <c:v>Biomass and hydroelectricity</c:v>
          </c:tx>
          <c:spPr>
            <a:ln w="6350">
              <a:solidFill>
                <a:schemeClr val="tx1"/>
              </a:solidFill>
            </a:ln>
          </c:spPr>
          <c:invertIfNegative val="0"/>
          <c:cat>
            <c:numRef>
              <c:f>'Energy Use &amp; Intensity Data'!$C$110:$AG$110</c:f>
              <c:numCache>
                <c:formatCode>General</c:formatCode>
                <c:ptCount val="31"/>
                <c:pt idx="0">
                  <c:v>1972</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2002</c:v>
                </c:pt>
                <c:pt idx="23">
                  <c:v>2004</c:v>
                </c:pt>
                <c:pt idx="24">
                  <c:v>2006</c:v>
                </c:pt>
                <c:pt idx="25">
                  <c:v>2008</c:v>
                </c:pt>
                <c:pt idx="26">
                  <c:v>2010</c:v>
                </c:pt>
                <c:pt idx="27">
                  <c:v>2012</c:v>
                </c:pt>
                <c:pt idx="28">
                  <c:v>2014</c:v>
                </c:pt>
                <c:pt idx="29">
                  <c:v>2016</c:v>
                </c:pt>
                <c:pt idx="30">
                  <c:v>2018</c:v>
                </c:pt>
              </c:numCache>
            </c:numRef>
          </c:cat>
          <c:val>
            <c:numRef>
              <c:f>'Energy Use &amp; Intensity Data'!$C$135:$AG$135</c:f>
              <c:numCache>
                <c:formatCode>0.0</c:formatCode>
                <c:ptCount val="31"/>
                <c:pt idx="0">
                  <c:v>13.032307692307693</c:v>
                </c:pt>
                <c:pt idx="1">
                  <c:v>14.471006346328195</c:v>
                </c:pt>
                <c:pt idx="2">
                  <c:v>15.289735599622288</c:v>
                </c:pt>
                <c:pt idx="3">
                  <c:v>15.262632124352329</c:v>
                </c:pt>
                <c:pt idx="4">
                  <c:v>15.513388429752066</c:v>
                </c:pt>
                <c:pt idx="5">
                  <c:v>15.425369059656218</c:v>
                </c:pt>
                <c:pt idx="6">
                  <c:v>15.479619852164729</c:v>
                </c:pt>
                <c:pt idx="7">
                  <c:v>15.325102249488753</c:v>
                </c:pt>
                <c:pt idx="8">
                  <c:v>15.784666258136873</c:v>
                </c:pt>
                <c:pt idx="9">
                  <c:v>15.316336815099872</c:v>
                </c:pt>
                <c:pt idx="10">
                  <c:v>15.471814424986871</c:v>
                </c:pt>
                <c:pt idx="11">
                  <c:v>15.428706030150753</c:v>
                </c:pt>
                <c:pt idx="12">
                  <c:v>15.85995623632385</c:v>
                </c:pt>
                <c:pt idx="13">
                  <c:v>15.160788381742735</c:v>
                </c:pt>
                <c:pt idx="14">
                  <c:v>14.900614754098362</c:v>
                </c:pt>
                <c:pt idx="15">
                  <c:v>14.711967545638945</c:v>
                </c:pt>
                <c:pt idx="16">
                  <c:v>14.563563563563561</c:v>
                </c:pt>
                <c:pt idx="17">
                  <c:v>14.735236220472441</c:v>
                </c:pt>
                <c:pt idx="18">
                  <c:v>14.828760643330181</c:v>
                </c:pt>
                <c:pt idx="20">
                  <c:v>15.329161451814766</c:v>
                </c:pt>
                <c:pt idx="21">
                  <c:v>13.778829716073465</c:v>
                </c:pt>
                <c:pt idx="22">
                  <c:v>14.737245850615796</c:v>
                </c:pt>
                <c:pt idx="23">
                  <c:v>14.048822509312895</c:v>
                </c:pt>
                <c:pt idx="24">
                  <c:v>15.294474436332685</c:v>
                </c:pt>
                <c:pt idx="25">
                  <c:v>15.892765230735021</c:v>
                </c:pt>
                <c:pt idx="26">
                  <c:v>15.681675417715507</c:v>
                </c:pt>
                <c:pt idx="27">
                  <c:v>15.417233758376936</c:v>
                </c:pt>
                <c:pt idx="28">
                  <c:v>15.727325866351809</c:v>
                </c:pt>
                <c:pt idx="29">
                  <c:v>15.598329257596294</c:v>
                </c:pt>
                <c:pt idx="30">
                  <c:v>14.700078349781062</c:v>
                </c:pt>
              </c:numCache>
            </c:numRef>
          </c:val>
          <c:extLst>
            <c:ext xmlns:c16="http://schemas.microsoft.com/office/drawing/2014/chart" uri="{C3380CC4-5D6E-409C-BE32-E72D297353CC}">
              <c16:uniqueId val="{00000000-BEAF-4D76-9EE3-56A9B6021E7C}"/>
            </c:ext>
          </c:extLst>
        </c:ser>
        <c:ser>
          <c:idx val="1"/>
          <c:order val="1"/>
          <c:tx>
            <c:v>Fossil fuels and net purchased electrcity and steam</c:v>
          </c:tx>
          <c:spPr>
            <a:ln w="6350">
              <a:solidFill>
                <a:schemeClr val="tx1"/>
              </a:solidFill>
            </a:ln>
          </c:spPr>
          <c:invertIfNegative val="0"/>
          <c:cat>
            <c:numRef>
              <c:f>'Energy Use &amp; Intensity Data'!$C$110:$AG$110</c:f>
              <c:numCache>
                <c:formatCode>General</c:formatCode>
                <c:ptCount val="31"/>
                <c:pt idx="0">
                  <c:v>1972</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2002</c:v>
                </c:pt>
                <c:pt idx="23">
                  <c:v>2004</c:v>
                </c:pt>
                <c:pt idx="24">
                  <c:v>2006</c:v>
                </c:pt>
                <c:pt idx="25">
                  <c:v>2008</c:v>
                </c:pt>
                <c:pt idx="26">
                  <c:v>2010</c:v>
                </c:pt>
                <c:pt idx="27">
                  <c:v>2012</c:v>
                </c:pt>
                <c:pt idx="28">
                  <c:v>2014</c:v>
                </c:pt>
                <c:pt idx="29">
                  <c:v>2016</c:v>
                </c:pt>
                <c:pt idx="30">
                  <c:v>2018</c:v>
                </c:pt>
              </c:numCache>
            </c:numRef>
          </c:cat>
          <c:val>
            <c:numRef>
              <c:f>'Energy Use &amp; Intensity Data'!$C$136:$AG$136</c:f>
              <c:numCache>
                <c:formatCode>0.0</c:formatCode>
                <c:ptCount val="31"/>
                <c:pt idx="0">
                  <c:v>19.16</c:v>
                </c:pt>
                <c:pt idx="1">
                  <c:v>15.230317316409794</c:v>
                </c:pt>
                <c:pt idx="2">
                  <c:v>14.918290840415489</c:v>
                </c:pt>
                <c:pt idx="3">
                  <c:v>13.931689119170983</c:v>
                </c:pt>
                <c:pt idx="4">
                  <c:v>12.794710743801652</c:v>
                </c:pt>
                <c:pt idx="5">
                  <c:v>12.295025278058644</c:v>
                </c:pt>
                <c:pt idx="6">
                  <c:v>11.999999999999998</c:v>
                </c:pt>
                <c:pt idx="7">
                  <c:v>11.402990797546012</c:v>
                </c:pt>
                <c:pt idx="8">
                  <c:v>11.632693174854609</c:v>
                </c:pt>
                <c:pt idx="9">
                  <c:v>11.342083562396923</c:v>
                </c:pt>
                <c:pt idx="10">
                  <c:v>11.682915135048747</c:v>
                </c:pt>
                <c:pt idx="11">
                  <c:v>11.785489949748744</c:v>
                </c:pt>
                <c:pt idx="12">
                  <c:v>11.929978118161923</c:v>
                </c:pt>
                <c:pt idx="13">
                  <c:v>11.644190871369293</c:v>
                </c:pt>
                <c:pt idx="14">
                  <c:v>11.699795081967215</c:v>
                </c:pt>
                <c:pt idx="15">
                  <c:v>11.317444219066939</c:v>
                </c:pt>
                <c:pt idx="16">
                  <c:v>11.03003003003003</c:v>
                </c:pt>
                <c:pt idx="17">
                  <c:v>11.281496062992129</c:v>
                </c:pt>
                <c:pt idx="18">
                  <c:v>11.552507095553452</c:v>
                </c:pt>
                <c:pt idx="20">
                  <c:v>11.657071339173967</c:v>
                </c:pt>
                <c:pt idx="21">
                  <c:v>10.557593602252844</c:v>
                </c:pt>
                <c:pt idx="22">
                  <c:v>10.079060414462349</c:v>
                </c:pt>
                <c:pt idx="23">
                  <c:v>9.1999015331485019</c:v>
                </c:pt>
                <c:pt idx="24">
                  <c:v>8.3961350087441673</c:v>
                </c:pt>
                <c:pt idx="25">
                  <c:v>8.294862688053934</c:v>
                </c:pt>
                <c:pt idx="26">
                  <c:v>8.0148394271542731</c:v>
                </c:pt>
                <c:pt idx="27">
                  <c:v>7.7593322009293697</c:v>
                </c:pt>
                <c:pt idx="28">
                  <c:v>7.6135076298674882</c:v>
                </c:pt>
                <c:pt idx="29">
                  <c:v>7.582611358882537</c:v>
                </c:pt>
                <c:pt idx="30">
                  <c:v>7.6156877140420915</c:v>
                </c:pt>
              </c:numCache>
            </c:numRef>
          </c:val>
          <c:extLst>
            <c:ext xmlns:c16="http://schemas.microsoft.com/office/drawing/2014/chart" uri="{C3380CC4-5D6E-409C-BE32-E72D297353CC}">
              <c16:uniqueId val="{00000001-BEAF-4D76-9EE3-56A9B6021E7C}"/>
            </c:ext>
          </c:extLst>
        </c:ser>
        <c:dLbls>
          <c:showLegendKey val="0"/>
          <c:showVal val="0"/>
          <c:showCatName val="0"/>
          <c:showSerName val="0"/>
          <c:showPercent val="0"/>
          <c:showBubbleSize val="0"/>
        </c:dLbls>
        <c:gapWidth val="150"/>
        <c:overlap val="100"/>
        <c:axId val="86661376"/>
        <c:axId val="86679552"/>
      </c:barChart>
      <c:catAx>
        <c:axId val="86661376"/>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6679552"/>
        <c:crosses val="autoZero"/>
        <c:auto val="1"/>
        <c:lblAlgn val="ctr"/>
        <c:lblOffset val="100"/>
        <c:noMultiLvlLbl val="0"/>
      </c:catAx>
      <c:valAx>
        <c:axId val="86679552"/>
        <c:scaling>
          <c:orientation val="minMax"/>
        </c:scaling>
        <c:delete val="0"/>
        <c:axPos val="l"/>
        <c:majorGridlines/>
        <c:title>
          <c:tx>
            <c:rich>
              <a:bodyPr rot="-5400000" vert="horz"/>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Million BTU</a:t>
                </a:r>
                <a:r>
                  <a:rPr lang="en-US" sz="1100" b="0" baseline="0">
                    <a:latin typeface="Times New Roman" panose="02020603050405020304" pitchFamily="18" charset="0"/>
                    <a:cs typeface="Times New Roman" panose="02020603050405020304" pitchFamily="18" charset="0"/>
                  </a:rPr>
                  <a:t> HHV/st final production</a:t>
                </a:r>
                <a:endParaRPr lang="en-US" sz="1100" b="0">
                  <a:latin typeface="Times New Roman" panose="02020603050405020304" pitchFamily="18" charset="0"/>
                  <a:cs typeface="Times New Roman" panose="02020603050405020304" pitchFamily="18" charset="0"/>
                </a:endParaRPr>
              </a:p>
            </c:rich>
          </c:tx>
          <c:layout>
            <c:manualLayout>
              <c:xMode val="edge"/>
              <c:yMode val="edge"/>
              <c:x val="4.6680664916885432E-2"/>
              <c:y val="0.13218012842734278"/>
            </c:manualLayout>
          </c:layout>
          <c:overlay val="0"/>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6661376"/>
        <c:crosses val="autoZero"/>
        <c:crossBetween val="between"/>
      </c:valAx>
    </c:plotArea>
    <c:legend>
      <c:legendPos val="b"/>
      <c:overlay val="0"/>
      <c:spPr>
        <a:solidFill>
          <a:schemeClr val="bg1"/>
        </a:solidFill>
        <a:ln>
          <a:noFill/>
        </a:ln>
      </c:spPr>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801F6C6-6D77-4536-A323-8311627A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84</Pages>
  <Words>53382</Words>
  <Characters>304284</Characters>
  <Application>Microsoft Office Word</Application>
  <DocSecurity>0</DocSecurity>
  <Lines>2535</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Miner Admin</dc:creator>
  <cp:keywords/>
  <dc:description/>
  <cp:lastModifiedBy>R Miner Admin</cp:lastModifiedBy>
  <cp:revision>4</cp:revision>
  <dcterms:created xsi:type="dcterms:W3CDTF">2025-12-05T16:52:00Z</dcterms:created>
  <dcterms:modified xsi:type="dcterms:W3CDTF">2025-12-05T17:20:00Z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id="JhMXnauI"/&gt;&lt;style id="http://www.zotero.org/styles/nature" hasBibliography="1" bibliographyStyleHasBeenSet="1"/&gt;&lt;prefs&gt;&lt;pref name="fieldType" value="Field"/&gt;&lt;/prefs&gt;&lt;/data&gt;</vt:lpwstr>
  </property>
</Properties>
</file>