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E00F58" w14:textId="77925CBC" w:rsidR="00A92590" w:rsidRDefault="00A92590" w:rsidP="00806849">
      <w:pPr>
        <w:spacing w:line="480" w:lineRule="auto"/>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Supplementary Material</w:t>
      </w:r>
    </w:p>
    <w:p w14:paraId="411CD895" w14:textId="38FFEAD0" w:rsidR="00806849" w:rsidRPr="00A92590" w:rsidRDefault="00806849" w:rsidP="00806849">
      <w:pPr>
        <w:spacing w:line="480" w:lineRule="auto"/>
        <w:rPr>
          <w:rFonts w:ascii="Times New Roman" w:eastAsia="Arial Unicode MS" w:hAnsi="Times New Roman" w:cs="Times New Roman"/>
          <w:b/>
          <w:bCs/>
          <w:sz w:val="24"/>
          <w:szCs w:val="24"/>
        </w:rPr>
      </w:pPr>
      <w:r w:rsidRPr="00A92590">
        <w:rPr>
          <w:rFonts w:ascii="Times New Roman" w:eastAsia="Arial Unicode MS" w:hAnsi="Times New Roman" w:cs="Times New Roman"/>
          <w:b/>
          <w:bCs/>
          <w:sz w:val="24"/>
          <w:szCs w:val="24"/>
        </w:rPr>
        <w:t>Computed tomography (CT) scan protocol</w:t>
      </w:r>
    </w:p>
    <w:p w14:paraId="0AADAFB6" w14:textId="22D9E6E1" w:rsidR="00806849" w:rsidRPr="00A92590" w:rsidRDefault="00806849" w:rsidP="00806849">
      <w:pPr>
        <w:spacing w:line="480" w:lineRule="auto"/>
        <w:rPr>
          <w:rFonts w:ascii="Times New Roman" w:eastAsia="Arial Unicode MS" w:hAnsi="Times New Roman" w:cs="Times New Roman"/>
          <w:sz w:val="24"/>
          <w:szCs w:val="24"/>
        </w:rPr>
      </w:pPr>
      <w:r w:rsidRPr="00A92590">
        <w:rPr>
          <w:rFonts w:ascii="Times New Roman" w:eastAsia="Arial Unicode MS" w:hAnsi="Times New Roman" w:cs="Times New Roman"/>
          <w:sz w:val="24"/>
          <w:szCs w:val="24"/>
        </w:rPr>
        <w:t xml:space="preserve">All scans were performed with the patient in the supine position during end-inspiration. Based on availability, three CT scanners (uCT780, United Imaging; or </w:t>
      </w:r>
      <w:proofErr w:type="spellStart"/>
      <w:r w:rsidRPr="00A92590">
        <w:rPr>
          <w:rFonts w:ascii="Times New Roman" w:eastAsia="Arial Unicode MS" w:hAnsi="Times New Roman" w:cs="Times New Roman"/>
          <w:sz w:val="24"/>
          <w:szCs w:val="24"/>
        </w:rPr>
        <w:t>Somatom</w:t>
      </w:r>
      <w:proofErr w:type="spellEnd"/>
      <w:r w:rsidRPr="00A92590">
        <w:rPr>
          <w:rFonts w:ascii="Times New Roman" w:eastAsia="Arial Unicode MS" w:hAnsi="Times New Roman" w:cs="Times New Roman"/>
          <w:sz w:val="24"/>
          <w:szCs w:val="24"/>
        </w:rPr>
        <w:t xml:space="preserve"> Force, Siemens Healthcare; or </w:t>
      </w:r>
      <w:proofErr w:type="spellStart"/>
      <w:r w:rsidRPr="00A92590">
        <w:rPr>
          <w:rFonts w:ascii="Times New Roman" w:eastAsia="Arial Unicode MS" w:hAnsi="Times New Roman" w:cs="Times New Roman"/>
          <w:sz w:val="24"/>
          <w:szCs w:val="24"/>
        </w:rPr>
        <w:t>Nru</w:t>
      </w:r>
      <w:proofErr w:type="spellEnd"/>
      <w:r w:rsidRPr="00A92590">
        <w:rPr>
          <w:rFonts w:ascii="Times New Roman" w:eastAsia="Arial Unicode MS" w:hAnsi="Times New Roman" w:cs="Times New Roman"/>
          <w:sz w:val="24"/>
          <w:szCs w:val="24"/>
        </w:rPr>
        <w:t xml:space="preserve"> VIZ128) were used for chest CT examinations. No standard CT protocol was applied owing to the retrospective design of our study, but the quality of images was evaluated by both technologists and radiologists (see below). 5-mm slices of CT images were used in our analysis.</w:t>
      </w:r>
    </w:p>
    <w:p w14:paraId="1C7B079A" w14:textId="36DF6BD3" w:rsidR="009A0A19" w:rsidRDefault="009A0A19" w:rsidP="00806849">
      <w:pPr>
        <w:spacing w:line="480" w:lineRule="auto"/>
        <w:rPr>
          <w:rFonts w:ascii="Times New Roman" w:eastAsia="Arial Unicode MS" w:hAnsi="Times New Roman" w:cs="Times New Roman"/>
          <w:sz w:val="24"/>
          <w:szCs w:val="24"/>
        </w:rPr>
      </w:pPr>
    </w:p>
    <w:p w14:paraId="0DC7D4D1" w14:textId="70F4AC1E" w:rsidR="009A0A19" w:rsidRPr="00A92590" w:rsidRDefault="00A92590" w:rsidP="009A0A19">
      <w:pPr>
        <w:spacing w:line="480" w:lineRule="auto"/>
        <w:rPr>
          <w:rFonts w:ascii="Times New Roman" w:eastAsia="Arial Unicode MS" w:hAnsi="Times New Roman" w:cs="Times New Roman"/>
          <w:b/>
          <w:bCs/>
          <w:sz w:val="24"/>
          <w:szCs w:val="24"/>
        </w:rPr>
      </w:pPr>
      <w:r>
        <w:rPr>
          <w:rFonts w:ascii="Times New Roman" w:eastAsia="Arial Unicode MS" w:hAnsi="Times New Roman" w:cs="Times New Roman"/>
          <w:b/>
          <w:bCs/>
          <w:sz w:val="24"/>
          <w:szCs w:val="24"/>
        </w:rPr>
        <w:t>Computed tomography (</w:t>
      </w:r>
      <w:r w:rsidR="009A0A19" w:rsidRPr="00A92590">
        <w:rPr>
          <w:rFonts w:ascii="Times New Roman" w:eastAsia="Arial Unicode MS" w:hAnsi="Times New Roman" w:cs="Times New Roman"/>
          <w:b/>
          <w:bCs/>
          <w:sz w:val="24"/>
          <w:szCs w:val="24"/>
        </w:rPr>
        <w:t>CT</w:t>
      </w:r>
      <w:r>
        <w:rPr>
          <w:rFonts w:ascii="Times New Roman" w:eastAsia="Arial Unicode MS" w:hAnsi="Times New Roman" w:cs="Times New Roman"/>
          <w:b/>
          <w:bCs/>
          <w:sz w:val="24"/>
          <w:szCs w:val="24"/>
        </w:rPr>
        <w:t>)</w:t>
      </w:r>
      <w:r w:rsidR="009A0A19" w:rsidRPr="00A92590">
        <w:rPr>
          <w:rFonts w:ascii="Times New Roman" w:eastAsia="Arial Unicode MS" w:hAnsi="Times New Roman" w:cs="Times New Roman"/>
          <w:b/>
          <w:bCs/>
          <w:sz w:val="24"/>
          <w:szCs w:val="24"/>
        </w:rPr>
        <w:t xml:space="preserve"> data interpretation and analysis</w:t>
      </w:r>
    </w:p>
    <w:p w14:paraId="463C0A60" w14:textId="77777777" w:rsidR="009A0A19" w:rsidRPr="009A0A19" w:rsidRDefault="009A0A19" w:rsidP="009A0A19">
      <w:pPr>
        <w:spacing w:line="480" w:lineRule="auto"/>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Image collection and analysis were performed using the PACS database system. All CT images were independently reviewed and interpreted by two different radiologists, each with over 10-years of experience (YWJ and LL), and the average of the two scores was determined. To settle disagreements between the interpretations of the two primary radiologists, a third senior radiologist with 20 years of experience adjudicated a final decision; a Bland-Altman analysis of the agreement between the two blinded reviewers for both intensity-weighted (IWS) and area-based scoring (ABS) is shown in Supplementary Figure 1. The use of both scoring methods on a single patient does not impact on the radiation dose of patients nor examination cost. Given the retrospective nature of the study, no negative controls were examined.</w:t>
      </w:r>
    </w:p>
    <w:p w14:paraId="0866E46A" w14:textId="1E034668" w:rsidR="009A0A19" w:rsidRPr="009A0A19" w:rsidRDefault="009A0A19" w:rsidP="00A92590">
      <w:pPr>
        <w:spacing w:line="480" w:lineRule="auto"/>
        <w:ind w:firstLine="420"/>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 xml:space="preserve">For each of the 42 patients, CT scans were evaluated using two semi-quantitative scoring systems and compared to assess the severity of lung abnormalities and the time </w:t>
      </w:r>
      <w:r w:rsidRPr="009A0A19">
        <w:rPr>
          <w:rFonts w:ascii="Times New Roman" w:eastAsia="Arial Unicode MS" w:hAnsi="Times New Roman" w:cs="Times New Roman"/>
          <w:sz w:val="24"/>
          <w:szCs w:val="24"/>
        </w:rPr>
        <w:lastRenderedPageBreak/>
        <w:t xml:space="preserve">course of recovery: (1) Area-Based Scoring (ABS) and (2) Intensity-weighted scoring (IWS). Both scoring systems were modified from previous systems [16, 17]. </w:t>
      </w:r>
      <w:r w:rsidR="008931B4" w:rsidRPr="008931B4">
        <w:rPr>
          <w:rFonts w:ascii="Times New Roman" w:eastAsia="Arial Unicode MS" w:hAnsi="Times New Roman" w:cs="Times New Roman"/>
          <w:sz w:val="24"/>
          <w:szCs w:val="24"/>
        </w:rPr>
        <w:t>In order to evaluate the rate of change in CT score over time, we defined a relative change of CT score as follows: relative CT score change of week n = [(CT score of week n+1) – (CT score of week n)]/CT score of week n.</w:t>
      </w:r>
      <w:r w:rsidR="008931B4">
        <w:rPr>
          <w:rFonts w:ascii="Times New Roman" w:eastAsia="Arial Unicode MS" w:hAnsi="Times New Roman" w:cs="Times New Roman"/>
          <w:sz w:val="24"/>
          <w:szCs w:val="24"/>
        </w:rPr>
        <w:t xml:space="preserve"> </w:t>
      </w:r>
      <w:r w:rsidRPr="009A0A19">
        <w:rPr>
          <w:rFonts w:ascii="Times New Roman" w:eastAsia="Arial Unicode MS" w:hAnsi="Times New Roman" w:cs="Times New Roman"/>
          <w:sz w:val="24"/>
          <w:szCs w:val="24"/>
        </w:rPr>
        <w:t xml:space="preserve">Specific scoring method was also listed in supplementary material. Specifically, for the ABS system, the extent score of each of the five lobes of the lung were evaluated using a semi-quantitative system and attributed scores (0-5) based on the percentage of parenchymal opacification as follows: (1) score of 0 for 0%; (2) score 1 for less than 5%; (3) score 2 for 5% to 24%; (4) score 3 for 25%-49%; (5) score 4 for 50%-74; and (6) score 5 for greater than 75% involvement, for a maximal severity score of 25 points. </w:t>
      </w:r>
    </w:p>
    <w:p w14:paraId="6E555A52" w14:textId="77777777" w:rsidR="009A0A19" w:rsidRPr="009A0A19" w:rsidRDefault="009A0A19" w:rsidP="00A92590">
      <w:pPr>
        <w:spacing w:line="480" w:lineRule="auto"/>
        <w:ind w:firstLine="420"/>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 xml:space="preserve">For the IWS system, intensity was graded as follows: (1) Grade 1 corresponded to mild and pure ground-glass opacity (GGO), with GGO defined as hazy increased lung attention and preserved bronchial and vascular margins; (2) Grade 2 corresponded to GGO with a crazy-paving (CP) pattern; (3) Grade 3 corresponded to GGO with mixed consolidation (GMC); and (4) Grade 4, corresponded to completed consolidation. Consolidation was defined as opacity with obscurities of the margins of vessels and airway walls [18]. For each lobe, the total score was calculated from the following equation: </w:t>
      </w:r>
    </w:p>
    <w:p w14:paraId="5B76F53F" w14:textId="77777777" w:rsidR="009A0A19" w:rsidRPr="009A0A19" w:rsidRDefault="009A0A19" w:rsidP="00A92590">
      <w:pPr>
        <w:spacing w:line="480" w:lineRule="auto"/>
        <w:ind w:left="851" w:right="851"/>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(Extent score of Grade 1 x 1) + (Extent score of Grade 2 x 2) + (Extent score of Grade 3 x 3) + (Extent score of Grade 4 x 4)</w:t>
      </w:r>
    </w:p>
    <w:p w14:paraId="7DAB5CA8" w14:textId="77777777" w:rsidR="009A0A19" w:rsidRPr="009A0A19" w:rsidRDefault="009A0A19" w:rsidP="009A0A19">
      <w:pPr>
        <w:spacing w:line="480" w:lineRule="auto"/>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 xml:space="preserve">where Grade 1 (mild and pure GGO) = 1 point; Grade 2 (GGO with CP) = 2 points; </w:t>
      </w:r>
      <w:r w:rsidRPr="009A0A19">
        <w:rPr>
          <w:rFonts w:ascii="Times New Roman" w:eastAsia="Arial Unicode MS" w:hAnsi="Times New Roman" w:cs="Times New Roman"/>
          <w:sz w:val="24"/>
          <w:szCs w:val="24"/>
        </w:rPr>
        <w:lastRenderedPageBreak/>
        <w:t>Grade 3 (GGO with consolidation) = 3 points; and Grade 4 (complete consolidation) = 4 points.</w:t>
      </w:r>
    </w:p>
    <w:p w14:paraId="34383F11" w14:textId="320E9304" w:rsidR="009A0A19" w:rsidRPr="00330AF6" w:rsidRDefault="009A0A19" w:rsidP="00A92590">
      <w:pPr>
        <w:spacing w:line="480" w:lineRule="auto"/>
        <w:ind w:firstLine="420"/>
        <w:rPr>
          <w:rFonts w:ascii="Times New Roman" w:eastAsia="Arial Unicode MS" w:hAnsi="Times New Roman" w:cs="Times New Roman"/>
          <w:sz w:val="24"/>
          <w:szCs w:val="24"/>
        </w:rPr>
      </w:pPr>
      <w:r w:rsidRPr="009A0A19">
        <w:rPr>
          <w:rFonts w:ascii="Times New Roman" w:eastAsia="Arial Unicode MS" w:hAnsi="Times New Roman" w:cs="Times New Roman"/>
          <w:sz w:val="24"/>
          <w:szCs w:val="24"/>
        </w:rPr>
        <w:t>The sum of 5 every-lobe score is recorded as the final lesion score of the patient, and the maximal score for a given patient was 100 points.</w:t>
      </w:r>
    </w:p>
    <w:p w14:paraId="3896F7BC" w14:textId="77777777" w:rsidR="00A92590" w:rsidRDefault="00A92590" w:rsidP="008931B4">
      <w:pPr>
        <w:spacing w:line="480" w:lineRule="auto"/>
        <w:rPr>
          <w:rFonts w:ascii="Times New Roman" w:eastAsia="Arial Unicode MS" w:hAnsi="Times New Roman" w:cs="Times New Roman"/>
          <w:sz w:val="24"/>
          <w:szCs w:val="24"/>
        </w:rPr>
      </w:pPr>
    </w:p>
    <w:p w14:paraId="11948B3B" w14:textId="3F70ADE2" w:rsidR="00AC24B6" w:rsidRPr="00A92590" w:rsidRDefault="00AC24B6" w:rsidP="008931B4">
      <w:pPr>
        <w:spacing w:line="480" w:lineRule="auto"/>
        <w:rPr>
          <w:rFonts w:ascii="Times New Roman" w:eastAsia="Arial Unicode MS" w:hAnsi="Times New Roman" w:cs="Times New Roman"/>
          <w:b/>
          <w:bCs/>
          <w:sz w:val="24"/>
          <w:szCs w:val="24"/>
        </w:rPr>
      </w:pPr>
      <w:r w:rsidRPr="00A92590">
        <w:rPr>
          <w:rFonts w:ascii="Times New Roman" w:eastAsia="Arial Unicode MS" w:hAnsi="Times New Roman" w:cs="Times New Roman"/>
          <w:b/>
          <w:bCs/>
          <w:sz w:val="24"/>
          <w:szCs w:val="24"/>
        </w:rPr>
        <w:t xml:space="preserve">The </w:t>
      </w:r>
      <w:r w:rsidR="00A92590">
        <w:rPr>
          <w:rFonts w:ascii="Times New Roman" w:eastAsia="Arial Unicode MS" w:hAnsi="Times New Roman" w:cs="Times New Roman"/>
          <w:b/>
          <w:bCs/>
          <w:sz w:val="24"/>
          <w:szCs w:val="24"/>
        </w:rPr>
        <w:t>Area-Based Scoring (</w:t>
      </w:r>
      <w:r w:rsidRPr="00A92590">
        <w:rPr>
          <w:rFonts w:ascii="Times New Roman" w:eastAsia="Arial Unicode MS" w:hAnsi="Times New Roman" w:cs="Times New Roman"/>
          <w:b/>
          <w:bCs/>
          <w:sz w:val="24"/>
          <w:szCs w:val="24"/>
        </w:rPr>
        <w:t>ABS</w:t>
      </w:r>
      <w:r w:rsidR="00A92590">
        <w:rPr>
          <w:rFonts w:ascii="Times New Roman" w:eastAsia="Arial Unicode MS" w:hAnsi="Times New Roman" w:cs="Times New Roman"/>
          <w:b/>
          <w:bCs/>
          <w:sz w:val="24"/>
          <w:szCs w:val="24"/>
        </w:rPr>
        <w:t>)</w:t>
      </w:r>
      <w:r w:rsidRPr="00A92590">
        <w:rPr>
          <w:rFonts w:ascii="Times New Roman" w:eastAsia="Arial Unicode MS" w:hAnsi="Times New Roman" w:cs="Times New Roman"/>
          <w:b/>
          <w:bCs/>
          <w:sz w:val="24"/>
          <w:szCs w:val="24"/>
        </w:rPr>
        <w:t xml:space="preserve"> system</w:t>
      </w:r>
    </w:p>
    <w:p w14:paraId="39CDF7A1" w14:textId="7C41068F" w:rsidR="00BA161C" w:rsidRPr="008931B4" w:rsidRDefault="00AC24B6" w:rsidP="008931B4">
      <w:pPr>
        <w:spacing w:line="480" w:lineRule="auto"/>
        <w:rPr>
          <w:rFonts w:ascii="Times New Roman" w:eastAsia="Arial Unicode MS" w:hAnsi="Times New Roman" w:cs="Times New Roman"/>
          <w:sz w:val="24"/>
          <w:szCs w:val="24"/>
        </w:rPr>
      </w:pPr>
      <w:r w:rsidRPr="008931B4">
        <w:rPr>
          <w:rFonts w:ascii="Times New Roman" w:eastAsia="Arial Unicode MS" w:hAnsi="Times New Roman" w:cs="Times New Roman"/>
          <w:sz w:val="24"/>
          <w:szCs w:val="24"/>
        </w:rPr>
        <w:t>The extent score of each of the five lobes of the lung were evaluated using a semi-quantitative system and attributed scores (0-5) based on the percentage of parenchymal opacification as follows: (1) score of 0 for 0%; (2) score 1 for less than 5%; (3) score 2 for 5% to 24%; (4) score 3 for 25%-49%; (5) score 4 for 50%-74; and (6) score 5 for greater than 75% involvement, for a maximal severity score of 25 points.</w:t>
      </w:r>
    </w:p>
    <w:sectPr w:rsidR="00BA161C" w:rsidRPr="008931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C02591" w14:textId="77777777" w:rsidR="000E1D0D" w:rsidRDefault="000E1D0D" w:rsidP="00806849">
      <w:r>
        <w:separator/>
      </w:r>
    </w:p>
  </w:endnote>
  <w:endnote w:type="continuationSeparator" w:id="0">
    <w:p w14:paraId="1F383D3C" w14:textId="77777777" w:rsidR="000E1D0D" w:rsidRDefault="000E1D0D" w:rsidP="00806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Unicode MS">
    <w:altName w:val="Microsoft YaHei"/>
    <w:panose1 w:val="020B0604020202020204"/>
    <w:charset w:val="86"/>
    <w:family w:val="swiss"/>
    <w:pitch w:val="variable"/>
    <w:sig w:usb0="F7FFAFFF" w:usb1="E9DFFFFF" w:usb2="0000003F" w:usb3="00000000" w:csb0="003F01FF" w:csb1="00000000"/>
  </w:font>
  <w:font w:name="DengXian Light">
    <w:altName w:val="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2949B9" w14:textId="77777777" w:rsidR="000E1D0D" w:rsidRDefault="000E1D0D" w:rsidP="00806849">
      <w:r>
        <w:separator/>
      </w:r>
    </w:p>
  </w:footnote>
  <w:footnote w:type="continuationSeparator" w:id="0">
    <w:p w14:paraId="3D97C7F4" w14:textId="77777777" w:rsidR="000E1D0D" w:rsidRDefault="000E1D0D" w:rsidP="008068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062"/>
    <w:rsid w:val="000E1D0D"/>
    <w:rsid w:val="004835A6"/>
    <w:rsid w:val="007F7BDC"/>
    <w:rsid w:val="00806849"/>
    <w:rsid w:val="008931B4"/>
    <w:rsid w:val="009A0A19"/>
    <w:rsid w:val="00A13062"/>
    <w:rsid w:val="00A92590"/>
    <w:rsid w:val="00AC24B6"/>
    <w:rsid w:val="00BA161C"/>
    <w:rsid w:val="00BE3A35"/>
    <w:rsid w:val="00C7338B"/>
    <w:rsid w:val="00E105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E4C355"/>
  <w15:chartTrackingRefBased/>
  <w15:docId w15:val="{2B68FAAD-2C9F-4351-8349-539D60609D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849"/>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49"/>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806849"/>
    <w:rPr>
      <w:sz w:val="18"/>
      <w:szCs w:val="18"/>
    </w:rPr>
  </w:style>
  <w:style w:type="paragraph" w:styleId="Footer">
    <w:name w:val="footer"/>
    <w:basedOn w:val="Normal"/>
    <w:link w:val="FooterChar"/>
    <w:uiPriority w:val="99"/>
    <w:unhideWhenUsed/>
    <w:rsid w:val="0080684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80684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2706309">
      <w:bodyDiv w:val="1"/>
      <w:marLeft w:val="0"/>
      <w:marRight w:val="0"/>
      <w:marTop w:val="0"/>
      <w:marBottom w:val="0"/>
      <w:divBdr>
        <w:top w:val="none" w:sz="0" w:space="0" w:color="auto"/>
        <w:left w:val="none" w:sz="0" w:space="0" w:color="auto"/>
        <w:bottom w:val="none" w:sz="0" w:space="0" w:color="auto"/>
        <w:right w:val="none" w:sz="0" w:space="0" w:color="auto"/>
      </w:divBdr>
    </w:div>
    <w:div w:id="2112771826">
      <w:bodyDiv w:val="1"/>
      <w:marLeft w:val="0"/>
      <w:marRight w:val="0"/>
      <w:marTop w:val="0"/>
      <w:marBottom w:val="0"/>
      <w:divBdr>
        <w:top w:val="none" w:sz="0" w:space="0" w:color="auto"/>
        <w:left w:val="none" w:sz="0" w:space="0" w:color="auto"/>
        <w:bottom w:val="none" w:sz="0" w:space="0" w:color="auto"/>
        <w:right w:val="none" w:sz="0" w:space="0" w:color="auto"/>
      </w:divBdr>
      <w:divsChild>
        <w:div w:id="1039623060">
          <w:marLeft w:val="0"/>
          <w:marRight w:val="0"/>
          <w:marTop w:val="0"/>
          <w:marBottom w:val="360"/>
          <w:divBdr>
            <w:top w:val="none" w:sz="0" w:space="0" w:color="auto"/>
            <w:left w:val="none" w:sz="0" w:space="0" w:color="auto"/>
            <w:bottom w:val="single" w:sz="6" w:space="18" w:color="CCCCCC"/>
            <w:right w:val="none" w:sz="0" w:space="0" w:color="auto"/>
          </w:divBdr>
          <w:divsChild>
            <w:div w:id="1415711913">
              <w:marLeft w:val="0"/>
              <w:marRight w:val="0"/>
              <w:marTop w:val="0"/>
              <w:marBottom w:val="0"/>
              <w:divBdr>
                <w:top w:val="none" w:sz="0" w:space="0" w:color="auto"/>
                <w:left w:val="none" w:sz="0" w:space="0" w:color="auto"/>
                <w:bottom w:val="none" w:sz="0" w:space="0" w:color="auto"/>
                <w:right w:val="none" w:sz="0" w:space="0" w:color="auto"/>
              </w:divBdr>
            </w:div>
          </w:divsChild>
        </w:div>
        <w:div w:id="1569026236">
          <w:marLeft w:val="0"/>
          <w:marRight w:val="0"/>
          <w:marTop w:val="0"/>
          <w:marBottom w:val="360"/>
          <w:divBdr>
            <w:top w:val="none" w:sz="0" w:space="0" w:color="auto"/>
            <w:left w:val="none" w:sz="0" w:space="0" w:color="auto"/>
            <w:bottom w:val="single" w:sz="6" w:space="18" w:color="CCCCCC"/>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591</Words>
  <Characters>3369</Characters>
  <Application>Microsoft Office Word</Application>
  <DocSecurity>0</DocSecurity>
  <Lines>28</Lines>
  <Paragraphs>7</Paragraphs>
  <ScaleCrop>false</ScaleCrop>
  <Company/>
  <LinksUpToDate>false</LinksUpToDate>
  <CharactersWithSpaces>3953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sunhuan</dc:creator>
  <cp:keywords/>
  <dc:description/>
  <cp:lastModifiedBy>Robert Lakin</cp:lastModifiedBy>
  <cp:revision>2</cp:revision>
  <dcterms:created xsi:type="dcterms:W3CDTF">2021-07-25T18:18:00Z</dcterms:created>
  <dcterms:modified xsi:type="dcterms:W3CDTF">2021-07-25T18:18:00Z</dcterms:modified>
</cp:coreProperties>
</file>