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CF5B9" w14:textId="77777777" w:rsidR="00F6118E" w:rsidRPr="0014453F" w:rsidRDefault="00F6118E" w:rsidP="00F6118E">
      <w:pPr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after="240"/>
        <w:ind w:left="504" w:hanging="504"/>
        <w:rPr>
          <w:rFonts w:ascii="Times New Roman" w:eastAsia="Times New Roman" w:hAnsi="Times New Roman" w:cs="Times New Roman"/>
          <w:b/>
          <w:bCs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Supplementary figure legends: </w:t>
      </w:r>
    </w:p>
    <w:p w14:paraId="175B8E0E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>Figure S1.</w:t>
      </w:r>
      <w:r w:rsidRPr="0014453F">
        <w:rPr>
          <w:rFonts w:ascii="Times New Roman" w:eastAsia="Times New Roman" w:hAnsi="Times New Roman" w:cs="Times New Roman"/>
        </w:rPr>
        <w:t xml:space="preserve"> Maximum likelihood core-genome and SNP-based phylogenies of the 26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(A and B, respectively) and 9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(C and D, respectively) isolates. The core-genome phylogeny was based on alignment of 2715 core genes for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and 2142 core genes for C. perfringens. A gene was considered core if present in at least 99% of the genomes in the dataset. The pairwise SNP difference matrices among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and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genomes are given in Table S4. Bootstrap support values are shown on the branches. Values on the scale bars represent substitutions per SNP site for the SNP-based phylogenies and substitutions per core-genome site for the core-genome phylogenies.</w:t>
      </w:r>
    </w:p>
    <w:p w14:paraId="2E656C61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</w:rPr>
        <w:t xml:space="preserve"> </w:t>
      </w:r>
    </w:p>
    <w:p w14:paraId="03FB8F0C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>Figure S2.</w:t>
      </w:r>
      <w:r w:rsidRPr="0014453F">
        <w:rPr>
          <w:rFonts w:ascii="Times New Roman" w:eastAsia="Times New Roman" w:hAnsi="Times New Roman" w:cs="Times New Roman"/>
        </w:rPr>
        <w:t xml:space="preserve"> Virulence factors detected (as presence-absence) in WGS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(A) and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(B) isolates and grouped by their VFDB pathogenicity function. The total genes for each pathogenicity function detected in all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and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isolates, respectively, are given in brackets, the colour gradient represents the abundance of the VFs in each category for each isolate. The phylogenetic tree for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is a maximum-likelihood SNP-based and for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is a maximum-likelihood core-genome tree. ETEC: Enterotoxigenic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, EPEC: Enteropathogenic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, STEC/EHEC: Shiga toxin-producing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/Enterohemorrhagic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>, ND: not determined.</w:t>
      </w:r>
    </w:p>
    <w:p w14:paraId="64AB6F9C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</w:rPr>
        <w:t xml:space="preserve"> </w:t>
      </w:r>
    </w:p>
    <w:p w14:paraId="1FE5B2FA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>Figure S3.</w:t>
      </w:r>
      <w:r w:rsidRPr="0014453F">
        <w:rPr>
          <w:rFonts w:ascii="Times New Roman" w:eastAsia="Times New Roman" w:hAnsi="Times New Roman" w:cs="Times New Roman"/>
        </w:rPr>
        <w:t xml:space="preserve"> Distribution of high-quality base-pairs (in </w:t>
      </w:r>
      <w:proofErr w:type="spellStart"/>
      <w:r w:rsidRPr="0014453F">
        <w:rPr>
          <w:rFonts w:ascii="Times New Roman" w:eastAsia="Times New Roman" w:hAnsi="Times New Roman" w:cs="Times New Roman"/>
        </w:rPr>
        <w:t>Gbp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) among samples sequenced on </w:t>
      </w:r>
      <w:proofErr w:type="spellStart"/>
      <w:r w:rsidRPr="0014453F">
        <w:rPr>
          <w:rFonts w:ascii="Times New Roman" w:eastAsia="Times New Roman" w:hAnsi="Times New Roman" w:cs="Times New Roman"/>
        </w:rPr>
        <w:t>PromethION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P2 Solo, </w:t>
      </w:r>
      <w:proofErr w:type="spellStart"/>
      <w:r w:rsidRPr="0014453F">
        <w:rPr>
          <w:rFonts w:ascii="Times New Roman" w:eastAsia="Times New Roman" w:hAnsi="Times New Roman" w:cs="Times New Roman"/>
        </w:rPr>
        <w:t>GridION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four-plex and </w:t>
      </w:r>
      <w:proofErr w:type="spellStart"/>
      <w:r w:rsidRPr="0014453F">
        <w:rPr>
          <w:rFonts w:ascii="Times New Roman" w:eastAsia="Times New Roman" w:hAnsi="Times New Roman" w:cs="Times New Roman"/>
        </w:rPr>
        <w:t>GridION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23-plex (A). Sequencing output comparisons among platforms and approaches for the four (B) and twenty-three (C) samples.</w:t>
      </w:r>
    </w:p>
    <w:p w14:paraId="4A0FEB99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</w:rPr>
        <w:t xml:space="preserve"> </w:t>
      </w:r>
    </w:p>
    <w:p w14:paraId="5FCE310F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>Figure S4.</w:t>
      </w:r>
      <w:r w:rsidRPr="0014453F">
        <w:rPr>
          <w:rFonts w:ascii="Times New Roman" w:eastAsia="Times New Roman" w:hAnsi="Times New Roman" w:cs="Times New Roman"/>
        </w:rPr>
        <w:t xml:space="preserve"> Comparison of the alpha-diversity indices of ARGs (A) and bacterial species (B) in the diarrhoeal samples (LVK) vs. healthy pig microbiomes sequenced on </w:t>
      </w:r>
      <w:proofErr w:type="spellStart"/>
      <w:r w:rsidRPr="0014453F">
        <w:rPr>
          <w:rFonts w:ascii="Times New Roman" w:eastAsia="Times New Roman" w:hAnsi="Times New Roman" w:cs="Times New Roman"/>
        </w:rPr>
        <w:t>PromethION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. Statistical tests used (t-test or Mann-Whitney) and p-values for significance are indicated for each alpha diversity measure. p &lt; 0.05 indicates significant difference between the groups. </w:t>
      </w:r>
    </w:p>
    <w:p w14:paraId="043CFC8C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</w:rPr>
        <w:t xml:space="preserve"> </w:t>
      </w:r>
    </w:p>
    <w:p w14:paraId="32B13025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>Figure S5.</w:t>
      </w:r>
      <w:r w:rsidRPr="0014453F">
        <w:rPr>
          <w:rFonts w:ascii="Times New Roman" w:eastAsia="Times New Roman" w:hAnsi="Times New Roman" w:cs="Times New Roman"/>
        </w:rPr>
        <w:t xml:space="preserve"> </w:t>
      </w:r>
      <w:r w:rsidRPr="00C8689D">
        <w:rPr>
          <w:rFonts w:ascii="Times New Roman" w:eastAsia="Times New Roman" w:hAnsi="Times New Roman" w:cs="Times New Roman"/>
        </w:rPr>
        <w:t xml:space="preserve">Principal </w:t>
      </w:r>
      <w:r w:rsidRPr="00C8689D">
        <w:rPr>
          <w:rFonts w:ascii="Times New Roman" w:eastAsia="Times New Roman" w:hAnsi="Times New Roman" w:cs="Times New Roman"/>
          <w:lang w:val="en-US"/>
        </w:rPr>
        <w:t xml:space="preserve">coordinate </w:t>
      </w:r>
      <w:r w:rsidRPr="00C8689D">
        <w:rPr>
          <w:rFonts w:ascii="Times New Roman" w:eastAsia="Times New Roman" w:hAnsi="Times New Roman" w:cs="Times New Roman"/>
        </w:rPr>
        <w:t xml:space="preserve">analysis </w:t>
      </w:r>
      <w:r w:rsidRPr="0014453F">
        <w:rPr>
          <w:rFonts w:ascii="Times New Roman" w:eastAsia="Times New Roman" w:hAnsi="Times New Roman" w:cs="Times New Roman"/>
        </w:rPr>
        <w:t>(</w:t>
      </w:r>
      <w:proofErr w:type="spellStart"/>
      <w:r w:rsidRPr="0014453F">
        <w:rPr>
          <w:rFonts w:ascii="Times New Roman" w:eastAsia="Times New Roman" w:hAnsi="Times New Roman" w:cs="Times New Roman"/>
        </w:rPr>
        <w:t>PC</w:t>
      </w:r>
      <w:r>
        <w:rPr>
          <w:rFonts w:ascii="Times New Roman" w:eastAsia="Times New Roman" w:hAnsi="Times New Roman" w:cs="Times New Roman"/>
        </w:rPr>
        <w:t>p</w:t>
      </w:r>
      <w:r w:rsidRPr="0014453F">
        <w:rPr>
          <w:rFonts w:ascii="Times New Roman" w:eastAsia="Times New Roman" w:hAnsi="Times New Roman" w:cs="Times New Roman"/>
        </w:rPr>
        <w:t>A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) of CLR-transformed normalised depth values of bacterial species calculated at 0.1 and 0.9 coverage (A) and bacterial families calculated at 0.5 coverage from diarrhoeal and healthy pig microbiomes sequenced on </w:t>
      </w:r>
      <w:proofErr w:type="spellStart"/>
      <w:r w:rsidRPr="0014453F">
        <w:rPr>
          <w:rFonts w:ascii="Times New Roman" w:eastAsia="Times New Roman" w:hAnsi="Times New Roman" w:cs="Times New Roman"/>
        </w:rPr>
        <w:t>PromethION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P2 Solo (research-based approach). </w:t>
      </w:r>
    </w:p>
    <w:p w14:paraId="5290D880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</w:rPr>
        <w:t xml:space="preserve"> </w:t>
      </w:r>
    </w:p>
    <w:p w14:paraId="19CE9745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Figure S6. </w:t>
      </w:r>
      <w:r w:rsidRPr="0014453F">
        <w:rPr>
          <w:rFonts w:ascii="Times New Roman" w:eastAsia="Times New Roman" w:hAnsi="Times New Roman" w:cs="Times New Roman"/>
        </w:rPr>
        <w:t xml:space="preserve">(A) Top 50 most abundant bacterial species detected by the two sequencing approaches, ranked by decreasing depth values. Values in the heatmap represent log10 of normalised depth; depth was calculated at coverage of 0.5. (B) Volcano plot showing families that significantly differ between diarrheal and healthy pig microbiomes. Species with large positive effect sizes and high -log10(adjusted p-value) (top right) are strongly enriched in the diarrheal pigs, while those in the top left are depleted. Non-significant families cluster near the </w:t>
      </w:r>
      <w:proofErr w:type="spellStart"/>
      <w:r w:rsidRPr="0014453F">
        <w:rPr>
          <w:rFonts w:ascii="Times New Roman" w:eastAsia="Times New Roman" w:hAnsi="Times New Roman" w:cs="Times New Roman"/>
        </w:rPr>
        <w:t>center</w:t>
      </w:r>
      <w:proofErr w:type="spellEnd"/>
      <w:r w:rsidRPr="0014453F">
        <w:rPr>
          <w:rFonts w:ascii="Times New Roman" w:eastAsia="Times New Roman" w:hAnsi="Times New Roman" w:cs="Times New Roman"/>
        </w:rPr>
        <w:t>. Families with adjusted p-value &lt; 0.05 are considered statistically significant and are given in red.</w:t>
      </w:r>
    </w:p>
    <w:p w14:paraId="258DF3B5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</w:rPr>
        <w:t xml:space="preserve"> </w:t>
      </w:r>
    </w:p>
    <w:p w14:paraId="51CB1EB9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>Figure S7</w:t>
      </w:r>
      <w:r w:rsidRPr="0014453F">
        <w:rPr>
          <w:rFonts w:ascii="Times New Roman" w:eastAsia="Times New Roman" w:hAnsi="Times New Roman" w:cs="Times New Roman"/>
        </w:rPr>
        <w:t xml:space="preserve">. Comparison between the qPCR and metagenomics for detection of </w:t>
      </w:r>
      <w:proofErr w:type="spellStart"/>
      <w:r w:rsidRPr="0014453F">
        <w:rPr>
          <w:rFonts w:ascii="Times New Roman" w:eastAsia="Times New Roman" w:hAnsi="Times New Roman" w:cs="Times New Roman"/>
          <w:i/>
          <w:iCs/>
        </w:rPr>
        <w:t>Brachyspira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spp. and </w:t>
      </w:r>
      <w:proofErr w:type="spellStart"/>
      <w:r w:rsidRPr="0014453F">
        <w:rPr>
          <w:rFonts w:ascii="Times New Roman" w:eastAsia="Times New Roman" w:hAnsi="Times New Roman" w:cs="Times New Roman"/>
          <w:i/>
          <w:iCs/>
        </w:rPr>
        <w:t>Lawsonia</w:t>
      </w:r>
      <w:proofErr w:type="spellEnd"/>
      <w:r w:rsidRPr="0014453F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Pr="0014453F">
        <w:rPr>
          <w:rFonts w:ascii="Times New Roman" w:eastAsia="Times New Roman" w:hAnsi="Times New Roman" w:cs="Times New Roman"/>
          <w:i/>
          <w:iCs/>
        </w:rPr>
        <w:t>intracellularis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in the diarrheal pig microbiomes by the three sequencing approaches. qPCR assays were regarded as positive if Ct ≤ 35. Ct values are given in Table 1.</w:t>
      </w:r>
    </w:p>
    <w:p w14:paraId="78669358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</w:p>
    <w:p w14:paraId="122F85A4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lastRenderedPageBreak/>
        <w:t>Figure S8.</w:t>
      </w:r>
      <w:r w:rsidRPr="0014453F">
        <w:rPr>
          <w:rFonts w:ascii="Times New Roman" w:eastAsia="Times New Roman" w:hAnsi="Times New Roman" w:cs="Times New Roman"/>
        </w:rPr>
        <w:t xml:space="preserve"> Abundance of ARGs detected in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single isolates (A and C) and metagenomic samples (B) by the </w:t>
      </w:r>
      <w:proofErr w:type="spellStart"/>
      <w:r w:rsidRPr="0014453F">
        <w:rPr>
          <w:rFonts w:ascii="Times New Roman" w:eastAsia="Times New Roman" w:hAnsi="Times New Roman" w:cs="Times New Roman"/>
        </w:rPr>
        <w:t>PromethION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research-based approach; (D) plasmid replicon genes in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isolates.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pathotypes are given in colour at the tips; ETEC: Enterotoxigenic E. coli, EPEC: Enteropathogenic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, STEC/EHEC: Shiga toxin-producing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/ Enterohemorrhagic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>, ND: not determined.</w:t>
      </w:r>
    </w:p>
    <w:p w14:paraId="4426A2FE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</w:rPr>
        <w:t xml:space="preserve"> </w:t>
      </w:r>
    </w:p>
    <w:p w14:paraId="1947CFE1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>Figure S9.</w:t>
      </w:r>
      <w:r w:rsidRPr="0014453F">
        <w:rPr>
          <w:rFonts w:ascii="Times New Roman" w:eastAsia="Times New Roman" w:hAnsi="Times New Roman" w:cs="Times New Roman"/>
        </w:rPr>
        <w:t xml:space="preserve"> Abundance of beta-lactam resistance genes aggregated in gene families (A) and antibiotic classes (B) in the MG samples sequenced on P2 (research-based approach) and </w:t>
      </w:r>
      <w:proofErr w:type="spellStart"/>
      <w:r w:rsidRPr="0014453F">
        <w:rPr>
          <w:rFonts w:ascii="Times New Roman" w:eastAsia="Times New Roman" w:hAnsi="Times New Roman" w:cs="Times New Roman"/>
        </w:rPr>
        <w:t>GridION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(rapid surveillance approach, multiplexed as 4 and 23 samples) and in antibiotic classes in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isolates (C). Genes were amalgamated into antibiotic classes to which they confer resistance according to the </w:t>
      </w:r>
      <w:proofErr w:type="spellStart"/>
      <w:r w:rsidRPr="0014453F">
        <w:rPr>
          <w:rFonts w:ascii="Times New Roman" w:eastAsia="Times New Roman" w:hAnsi="Times New Roman" w:cs="Times New Roman"/>
        </w:rPr>
        <w:t>ResFinder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database. In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isolates DTU 101B, DTU 79A and DTU 88A, no beta-lactam resistance genes were detected, thus they were not included in the heatmap.</w:t>
      </w:r>
    </w:p>
    <w:p w14:paraId="72FEA9E6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</w:rPr>
        <w:t xml:space="preserve"> </w:t>
      </w:r>
    </w:p>
    <w:p w14:paraId="2EC8E17B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Figure S10. </w:t>
      </w:r>
      <w:r w:rsidRPr="0014453F">
        <w:rPr>
          <w:rFonts w:ascii="Times New Roman" w:eastAsia="Times New Roman" w:hAnsi="Times New Roman" w:cs="Times New Roman"/>
        </w:rPr>
        <w:t xml:space="preserve">Pairwise SNP distance matrix representing number of SNPs between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single isolates and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MAGs (A); Hadamard heatmap showing combined identity and coverage (i.e., ANIb * coverage) values between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single isolates and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MAGs (B), allowing interpretation of both measures simultaneously. MAG:  metagenome-assembled genome, SI:  single isolate.</w:t>
      </w:r>
    </w:p>
    <w:p w14:paraId="6B7EE826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</w:rPr>
        <w:t xml:space="preserve"> </w:t>
      </w:r>
    </w:p>
    <w:p w14:paraId="7E9CEA0B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>Figure S11.</w:t>
      </w:r>
      <w:r w:rsidRPr="0014453F">
        <w:rPr>
          <w:rFonts w:ascii="Times New Roman" w:eastAsia="Times New Roman" w:hAnsi="Times New Roman" w:cs="Times New Roman"/>
        </w:rPr>
        <w:t xml:space="preserve"> Dot plots representing gene synteny between the 6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SI and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MAGs with high nucleotide similarity, x-axis: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SI contigs used as reference, y-axis: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MAG contigs used as query. A diagonal straight line indicates synteny among the genomes. The inverted horizontal lines (inversions) indicate sequences that exist in both the SI and MAG but not in the same order, gaps - indicate sequence that exists in only one sample and repeats - a sequence that is repeated more than once in a sample. Samples LVK 43 and LVK 88 were compared at minimum 85% nucleotide identity, samples LVK 48, LVK 74, LVK 83 at minimum 95% nucleotide identity, and LVK 82 - at 80% nucleotide identity. </w:t>
      </w:r>
    </w:p>
    <w:p w14:paraId="64CBAC18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</w:p>
    <w:p w14:paraId="7495F78C" w14:textId="77777777" w:rsidR="00F6118E" w:rsidRPr="0014453F" w:rsidRDefault="00F6118E" w:rsidP="00F6118E">
      <w:pPr>
        <w:tabs>
          <w:tab w:val="left" w:pos="500"/>
        </w:tabs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>Figure S12.</w:t>
      </w:r>
      <w:r w:rsidRPr="0014453F">
        <w:rPr>
          <w:rFonts w:ascii="Times New Roman" w:eastAsia="Times New Roman" w:hAnsi="Times New Roman" w:cs="Times New Roman"/>
        </w:rPr>
        <w:t xml:space="preserve"> Principal component analysis (PCA) of CLR-transformed normalised depth values of bacterial species and families calculated at 0.5 coverage from diarrhoeal pig microbiomes sequenced on </w:t>
      </w:r>
      <w:proofErr w:type="spellStart"/>
      <w:r w:rsidRPr="0014453F">
        <w:rPr>
          <w:rFonts w:ascii="Times New Roman" w:eastAsia="Times New Roman" w:hAnsi="Times New Roman" w:cs="Times New Roman"/>
        </w:rPr>
        <w:t>PromethION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(research-based approach), </w:t>
      </w:r>
      <w:proofErr w:type="spellStart"/>
      <w:r w:rsidRPr="0014453F">
        <w:rPr>
          <w:rFonts w:ascii="Times New Roman" w:eastAsia="Times New Roman" w:hAnsi="Times New Roman" w:cs="Times New Roman"/>
        </w:rPr>
        <w:t>GridION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4-plex and 23-plex. </w:t>
      </w:r>
    </w:p>
    <w:p w14:paraId="3846A61A" w14:textId="77777777" w:rsidR="00F6118E" w:rsidRPr="0014453F" w:rsidRDefault="00F6118E" w:rsidP="00F6118E">
      <w:pPr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after="240"/>
        <w:ind w:left="504" w:hanging="504"/>
        <w:rPr>
          <w:rFonts w:ascii="Times New Roman" w:eastAsia="Times New Roman" w:hAnsi="Times New Roman" w:cs="Times New Roman"/>
          <w:b/>
          <w:bCs/>
        </w:rPr>
      </w:pPr>
    </w:p>
    <w:p w14:paraId="095F112F" w14:textId="77777777" w:rsidR="00F6118E" w:rsidRPr="0014453F" w:rsidRDefault="00F6118E" w:rsidP="00F6118E">
      <w:pPr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after="240"/>
        <w:ind w:left="504" w:hanging="504"/>
        <w:rPr>
          <w:rFonts w:ascii="Times New Roman" w:eastAsia="Times New Roman" w:hAnsi="Times New Roman" w:cs="Times New Roman"/>
          <w:b/>
          <w:bCs/>
        </w:rPr>
      </w:pPr>
      <w:r w:rsidRPr="0014453F">
        <w:rPr>
          <w:rFonts w:ascii="Times New Roman" w:eastAsia="Times New Roman" w:hAnsi="Times New Roman" w:cs="Times New Roman"/>
          <w:b/>
          <w:bCs/>
        </w:rPr>
        <w:t>Supplementary tables:</w:t>
      </w:r>
    </w:p>
    <w:p w14:paraId="1F22F478" w14:textId="77777777" w:rsidR="00F6118E" w:rsidRPr="0014453F" w:rsidRDefault="00F6118E" w:rsidP="00F6118E">
      <w:pPr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S1. </w:t>
      </w:r>
      <w:r w:rsidRPr="0014453F">
        <w:rPr>
          <w:rFonts w:ascii="Times New Roman" w:eastAsia="Times New Roman" w:hAnsi="Times New Roman" w:cs="Times New Roman"/>
        </w:rPr>
        <w:t xml:space="preserve">QC metrics (No. contigs, genome size and coverage) of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and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assemblies.</w:t>
      </w:r>
    </w:p>
    <w:p w14:paraId="1B096282" w14:textId="77777777" w:rsidR="00F6118E" w:rsidRPr="0014453F" w:rsidRDefault="00F6118E" w:rsidP="00F6118E">
      <w:pPr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S2. </w:t>
      </w:r>
      <w:r w:rsidRPr="0014453F">
        <w:rPr>
          <w:rFonts w:ascii="Times New Roman" w:eastAsia="Times New Roman" w:hAnsi="Times New Roman" w:cs="Times New Roman"/>
          <w:i/>
          <w:iCs/>
        </w:rPr>
        <w:t>In silico</w:t>
      </w:r>
      <w:r w:rsidRPr="0014453F">
        <w:rPr>
          <w:rFonts w:ascii="Times New Roman" w:eastAsia="Times New Roman" w:hAnsi="Times New Roman" w:cs="Times New Roman"/>
        </w:rPr>
        <w:t xml:space="preserve"> species identification of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and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assemblies by </w:t>
      </w:r>
      <w:proofErr w:type="spellStart"/>
      <w:r w:rsidRPr="0014453F">
        <w:rPr>
          <w:rFonts w:ascii="Times New Roman" w:eastAsia="Times New Roman" w:hAnsi="Times New Roman" w:cs="Times New Roman"/>
        </w:rPr>
        <w:t>kmerfinder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. </w:t>
      </w:r>
    </w:p>
    <w:p w14:paraId="5214D092" w14:textId="77777777" w:rsidR="00F6118E" w:rsidRPr="0014453F" w:rsidRDefault="00F6118E" w:rsidP="00F6118E">
      <w:pPr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S3. </w:t>
      </w:r>
      <w:r w:rsidRPr="0014453F">
        <w:rPr>
          <w:rFonts w:ascii="Times New Roman" w:eastAsia="Times New Roman" w:hAnsi="Times New Roman" w:cs="Times New Roman"/>
        </w:rPr>
        <w:t xml:space="preserve">Genome characteristics of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(MLST, serotype, pathotype) and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(MLST, </w:t>
      </w:r>
      <w:proofErr w:type="spellStart"/>
      <w:r w:rsidRPr="0014453F">
        <w:rPr>
          <w:rFonts w:ascii="Times New Roman" w:eastAsia="Times New Roman" w:hAnsi="Times New Roman" w:cs="Times New Roman"/>
        </w:rPr>
        <w:t>toxinotypes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) isolates. </w:t>
      </w:r>
    </w:p>
    <w:p w14:paraId="0392457D" w14:textId="77777777" w:rsidR="00F6118E" w:rsidRPr="0014453F" w:rsidRDefault="00F6118E" w:rsidP="00F6118E">
      <w:pPr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S4. </w:t>
      </w:r>
      <w:r w:rsidRPr="0014453F">
        <w:rPr>
          <w:rFonts w:ascii="Times New Roman" w:eastAsia="Times New Roman" w:hAnsi="Times New Roman" w:cs="Times New Roman"/>
        </w:rPr>
        <w:t xml:space="preserve">Pairwise SNP matrices between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and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isolates by the CSI phylogeny.</w:t>
      </w:r>
    </w:p>
    <w:p w14:paraId="1D8074B9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S5. </w:t>
      </w:r>
      <w:r w:rsidRPr="0014453F">
        <w:rPr>
          <w:rFonts w:ascii="Times New Roman" w:eastAsia="Times New Roman" w:hAnsi="Times New Roman" w:cs="Times New Roman"/>
        </w:rPr>
        <w:t xml:space="preserve">Virulence genes output (VFDB) for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and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isolates.</w:t>
      </w:r>
    </w:p>
    <w:p w14:paraId="640AAC68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lastRenderedPageBreak/>
        <w:t xml:space="preserve">Table S6. </w:t>
      </w:r>
      <w:r w:rsidRPr="0014453F">
        <w:rPr>
          <w:rFonts w:ascii="Times New Roman" w:eastAsia="Times New Roman" w:hAnsi="Times New Roman" w:cs="Times New Roman"/>
        </w:rPr>
        <w:t xml:space="preserve">Screening for plasmid replicon genes of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and </w:t>
      </w:r>
      <w:r w:rsidRPr="0014453F">
        <w:rPr>
          <w:rFonts w:ascii="Times New Roman" w:eastAsia="Times New Roman" w:hAnsi="Times New Roman" w:cs="Times New Roman"/>
          <w:i/>
          <w:iCs/>
        </w:rPr>
        <w:t>C. perfringens</w:t>
      </w:r>
      <w:r w:rsidRPr="0014453F">
        <w:rPr>
          <w:rFonts w:ascii="Times New Roman" w:eastAsia="Times New Roman" w:hAnsi="Times New Roman" w:cs="Times New Roman"/>
        </w:rPr>
        <w:t xml:space="preserve"> isolates by </w:t>
      </w:r>
      <w:proofErr w:type="spellStart"/>
      <w:r w:rsidRPr="0014453F">
        <w:rPr>
          <w:rFonts w:ascii="Times New Roman" w:eastAsia="Times New Roman" w:hAnsi="Times New Roman" w:cs="Times New Roman"/>
        </w:rPr>
        <w:t>PlasmidFinder</w:t>
      </w:r>
      <w:proofErr w:type="spellEnd"/>
      <w:r w:rsidRPr="0014453F">
        <w:rPr>
          <w:rFonts w:ascii="Times New Roman" w:eastAsia="Times New Roman" w:hAnsi="Times New Roman" w:cs="Times New Roman"/>
        </w:rPr>
        <w:t>.</w:t>
      </w:r>
    </w:p>
    <w:p w14:paraId="0884EB66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S7. </w:t>
      </w:r>
      <w:r w:rsidRPr="0014453F">
        <w:rPr>
          <w:rFonts w:ascii="Times New Roman" w:eastAsia="Times New Roman" w:hAnsi="Times New Roman" w:cs="Times New Roman"/>
        </w:rPr>
        <w:t xml:space="preserve">Sequencing output of the MG samples sequenced on </w:t>
      </w:r>
      <w:proofErr w:type="spellStart"/>
      <w:r w:rsidRPr="0014453F">
        <w:rPr>
          <w:rFonts w:ascii="Times New Roman" w:eastAsia="Times New Roman" w:hAnsi="Times New Roman" w:cs="Times New Roman"/>
        </w:rPr>
        <w:t>PromethION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P2 Solo, and on </w:t>
      </w:r>
      <w:proofErr w:type="spellStart"/>
      <w:r w:rsidRPr="0014453F">
        <w:rPr>
          <w:rFonts w:ascii="Times New Roman" w:eastAsia="Times New Roman" w:hAnsi="Times New Roman" w:cs="Times New Roman"/>
        </w:rPr>
        <w:t>GridION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as four-plex and 23-plex.</w:t>
      </w:r>
    </w:p>
    <w:p w14:paraId="6E4764D2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S8. </w:t>
      </w:r>
      <w:r w:rsidRPr="0014453F">
        <w:rPr>
          <w:rFonts w:ascii="Times New Roman" w:eastAsia="Times New Roman" w:hAnsi="Times New Roman" w:cs="Times New Roman"/>
        </w:rPr>
        <w:t xml:space="preserve">Alpha diversity indices calculated for bacteria and ARGs for the 32 </w:t>
      </w:r>
      <w:proofErr w:type="spellStart"/>
      <w:r w:rsidRPr="0014453F">
        <w:rPr>
          <w:rFonts w:ascii="Times New Roman" w:eastAsia="Times New Roman" w:hAnsi="Times New Roman" w:cs="Times New Roman"/>
        </w:rPr>
        <w:t>MtG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samples sequenced on </w:t>
      </w:r>
      <w:proofErr w:type="spellStart"/>
      <w:r w:rsidRPr="0014453F">
        <w:rPr>
          <w:rFonts w:ascii="Times New Roman" w:eastAsia="Times New Roman" w:hAnsi="Times New Roman" w:cs="Times New Roman"/>
        </w:rPr>
        <w:t>PromethION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P2 Solo. </w:t>
      </w:r>
    </w:p>
    <w:p w14:paraId="43F3B20B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S9. </w:t>
      </w:r>
      <w:r w:rsidRPr="0014453F">
        <w:rPr>
          <w:rFonts w:ascii="Times New Roman" w:eastAsia="Times New Roman" w:hAnsi="Times New Roman" w:cs="Times New Roman"/>
        </w:rPr>
        <w:t xml:space="preserve">Output of the KMA mapping of the </w:t>
      </w:r>
      <w:proofErr w:type="spellStart"/>
      <w:r w:rsidRPr="0014453F">
        <w:rPr>
          <w:rFonts w:ascii="Times New Roman" w:eastAsia="Times New Roman" w:hAnsi="Times New Roman" w:cs="Times New Roman"/>
        </w:rPr>
        <w:t>MtG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samples at various levels of multiplexing against the bacterial genomic db.</w:t>
      </w:r>
    </w:p>
    <w:p w14:paraId="77021D3E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S10. </w:t>
      </w:r>
      <w:r w:rsidRPr="0014453F">
        <w:rPr>
          <w:rFonts w:ascii="Times New Roman" w:eastAsia="Times New Roman" w:hAnsi="Times New Roman" w:cs="Times New Roman"/>
        </w:rPr>
        <w:t xml:space="preserve">Depth calculated for the top50 bacterial species for the 32 </w:t>
      </w:r>
      <w:proofErr w:type="spellStart"/>
      <w:r w:rsidRPr="0014453F">
        <w:rPr>
          <w:rFonts w:ascii="Times New Roman" w:eastAsia="Times New Roman" w:hAnsi="Times New Roman" w:cs="Times New Roman"/>
        </w:rPr>
        <w:t>MtG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samples sequenced on </w:t>
      </w:r>
      <w:proofErr w:type="spellStart"/>
      <w:r w:rsidRPr="0014453F">
        <w:rPr>
          <w:rFonts w:ascii="Times New Roman" w:eastAsia="Times New Roman" w:hAnsi="Times New Roman" w:cs="Times New Roman"/>
        </w:rPr>
        <w:t>PromethION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P2 Solo and </w:t>
      </w:r>
      <w:proofErr w:type="spellStart"/>
      <w:r w:rsidRPr="0014453F">
        <w:rPr>
          <w:rFonts w:ascii="Times New Roman" w:eastAsia="Times New Roman" w:hAnsi="Times New Roman" w:cs="Times New Roman"/>
        </w:rPr>
        <w:t>GridION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at various levels of multiplexing.</w:t>
      </w:r>
    </w:p>
    <w:p w14:paraId="2728DE25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  <w:b/>
          <w:bCs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S11. </w:t>
      </w:r>
      <w:r w:rsidRPr="0014453F">
        <w:rPr>
          <w:rFonts w:ascii="Times New Roman" w:eastAsia="Times New Roman" w:hAnsi="Times New Roman" w:cs="Times New Roman"/>
        </w:rPr>
        <w:t xml:space="preserve">Pathogenic bacteria identified for the 32 </w:t>
      </w:r>
      <w:proofErr w:type="spellStart"/>
      <w:r w:rsidRPr="0014453F">
        <w:rPr>
          <w:rFonts w:ascii="Times New Roman" w:eastAsia="Times New Roman" w:hAnsi="Times New Roman" w:cs="Times New Roman"/>
        </w:rPr>
        <w:t>MtG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samples sequenced on </w:t>
      </w:r>
      <w:proofErr w:type="spellStart"/>
      <w:r w:rsidRPr="0014453F">
        <w:rPr>
          <w:rFonts w:ascii="Times New Roman" w:eastAsia="Times New Roman" w:hAnsi="Times New Roman" w:cs="Times New Roman"/>
        </w:rPr>
        <w:t>PromethION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P2 Solo and </w:t>
      </w:r>
      <w:proofErr w:type="spellStart"/>
      <w:r w:rsidRPr="0014453F">
        <w:rPr>
          <w:rFonts w:ascii="Times New Roman" w:eastAsia="Times New Roman" w:hAnsi="Times New Roman" w:cs="Times New Roman"/>
        </w:rPr>
        <w:t>GridION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at various levels of multiplexing.</w:t>
      </w:r>
    </w:p>
    <w:p w14:paraId="65DEE66A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  <w:b/>
          <w:bCs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S12. </w:t>
      </w:r>
      <w:r w:rsidRPr="0014453F">
        <w:rPr>
          <w:rFonts w:ascii="Times New Roman" w:eastAsia="Times New Roman" w:hAnsi="Times New Roman" w:cs="Times New Roman"/>
        </w:rPr>
        <w:t xml:space="preserve">Output of the KMA mapping of the </w:t>
      </w:r>
      <w:proofErr w:type="spellStart"/>
      <w:r w:rsidRPr="0014453F">
        <w:rPr>
          <w:rFonts w:ascii="Times New Roman" w:eastAsia="Times New Roman" w:hAnsi="Times New Roman" w:cs="Times New Roman"/>
        </w:rPr>
        <w:t>MtG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samples against the eukaryote genomic db.</w:t>
      </w:r>
    </w:p>
    <w:p w14:paraId="333A5A75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  <w:b/>
          <w:bCs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S13. </w:t>
      </w:r>
      <w:r w:rsidRPr="0014453F">
        <w:rPr>
          <w:rFonts w:ascii="Times New Roman" w:eastAsia="Times New Roman" w:hAnsi="Times New Roman" w:cs="Times New Roman"/>
        </w:rPr>
        <w:t xml:space="preserve">ARGs depth calculated for the 32 </w:t>
      </w:r>
      <w:proofErr w:type="spellStart"/>
      <w:r w:rsidRPr="0014453F">
        <w:rPr>
          <w:rFonts w:ascii="Times New Roman" w:eastAsia="Times New Roman" w:hAnsi="Times New Roman" w:cs="Times New Roman"/>
        </w:rPr>
        <w:t>MtG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samples sequenced on </w:t>
      </w:r>
      <w:proofErr w:type="spellStart"/>
      <w:r w:rsidRPr="0014453F">
        <w:rPr>
          <w:rFonts w:ascii="Times New Roman" w:eastAsia="Times New Roman" w:hAnsi="Times New Roman" w:cs="Times New Roman"/>
        </w:rPr>
        <w:t>PromethION</w:t>
      </w:r>
      <w:proofErr w:type="spellEnd"/>
      <w:r w:rsidRPr="0014453F">
        <w:rPr>
          <w:rFonts w:ascii="Times New Roman" w:eastAsia="Times New Roman" w:hAnsi="Times New Roman" w:cs="Times New Roman"/>
        </w:rPr>
        <w:t xml:space="preserve"> P2 Solo at various levels of multiplexing.</w:t>
      </w:r>
    </w:p>
    <w:p w14:paraId="60AD0E32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S14. </w:t>
      </w:r>
      <w:r w:rsidRPr="0014453F">
        <w:rPr>
          <w:rFonts w:ascii="Times New Roman" w:eastAsia="Times New Roman" w:hAnsi="Times New Roman" w:cs="Times New Roman"/>
        </w:rPr>
        <w:t xml:space="preserve">Genome comparisons between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single isolates and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MAGs.</w:t>
      </w:r>
    </w:p>
    <w:p w14:paraId="6A06903E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S15. </w:t>
      </w:r>
      <w:r w:rsidRPr="0014453F">
        <w:rPr>
          <w:rFonts w:ascii="Times New Roman" w:eastAsia="Times New Roman" w:hAnsi="Times New Roman" w:cs="Times New Roman"/>
        </w:rPr>
        <w:t xml:space="preserve">Pairwise SNP matrices between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single isolates and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MAGs produced by the CSI phylogeny.</w:t>
      </w:r>
    </w:p>
    <w:p w14:paraId="18D892F0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S16. </w:t>
      </w:r>
      <w:r w:rsidRPr="0014453F">
        <w:rPr>
          <w:rFonts w:ascii="Times New Roman" w:eastAsia="Times New Roman" w:hAnsi="Times New Roman" w:cs="Times New Roman"/>
        </w:rPr>
        <w:t xml:space="preserve">Pathotyping of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MAGs.</w:t>
      </w:r>
    </w:p>
    <w:p w14:paraId="4789B0B1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  <w:b/>
          <w:bCs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S17. </w:t>
      </w:r>
      <w:r w:rsidRPr="0014453F">
        <w:rPr>
          <w:rFonts w:ascii="Times New Roman" w:eastAsia="Times New Roman" w:hAnsi="Times New Roman" w:cs="Times New Roman"/>
        </w:rPr>
        <w:t xml:space="preserve">MLST typing of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MAGs.</w:t>
      </w:r>
    </w:p>
    <w:p w14:paraId="084C564A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S18. </w:t>
      </w:r>
      <w:r w:rsidRPr="0014453F">
        <w:rPr>
          <w:rFonts w:ascii="Times New Roman" w:eastAsia="Times New Roman" w:hAnsi="Times New Roman" w:cs="Times New Roman"/>
        </w:rPr>
        <w:t xml:space="preserve">ARGs screening of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MAGs.</w:t>
      </w:r>
    </w:p>
    <w:p w14:paraId="7396FC24" w14:textId="77777777" w:rsidR="00F6118E" w:rsidRPr="0014453F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S19. </w:t>
      </w:r>
      <w:r w:rsidRPr="0014453F">
        <w:rPr>
          <w:rFonts w:ascii="Times New Roman" w:eastAsia="Times New Roman" w:hAnsi="Times New Roman" w:cs="Times New Roman"/>
        </w:rPr>
        <w:t xml:space="preserve">Plasmid replicon gene screening of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single isolates.</w:t>
      </w:r>
    </w:p>
    <w:p w14:paraId="0253F82E" w14:textId="77777777" w:rsidR="00F6118E" w:rsidRPr="003E5365" w:rsidRDefault="00F6118E" w:rsidP="00F6118E">
      <w:pPr>
        <w:tabs>
          <w:tab w:val="left" w:pos="500"/>
        </w:tabs>
        <w:spacing w:after="240"/>
        <w:rPr>
          <w:rFonts w:ascii="Times New Roman" w:eastAsia="Times New Roman" w:hAnsi="Times New Roman" w:cs="Times New Roman"/>
          <w:b/>
          <w:bCs/>
        </w:rPr>
      </w:pPr>
      <w:r w:rsidRPr="0014453F">
        <w:rPr>
          <w:rFonts w:ascii="Times New Roman" w:eastAsia="Times New Roman" w:hAnsi="Times New Roman" w:cs="Times New Roman"/>
          <w:b/>
          <w:bCs/>
        </w:rPr>
        <w:t xml:space="preserve">Table S20. </w:t>
      </w:r>
      <w:r w:rsidRPr="0014453F">
        <w:rPr>
          <w:rFonts w:ascii="Times New Roman" w:eastAsia="Times New Roman" w:hAnsi="Times New Roman" w:cs="Times New Roman"/>
        </w:rPr>
        <w:t xml:space="preserve">Plasmid replicon gene screening of the </w:t>
      </w:r>
      <w:r w:rsidRPr="0014453F">
        <w:rPr>
          <w:rFonts w:ascii="Times New Roman" w:eastAsia="Times New Roman" w:hAnsi="Times New Roman" w:cs="Times New Roman"/>
          <w:i/>
          <w:iCs/>
        </w:rPr>
        <w:t>E. coli</w:t>
      </w:r>
      <w:r w:rsidRPr="0014453F">
        <w:rPr>
          <w:rFonts w:ascii="Times New Roman" w:eastAsia="Times New Roman" w:hAnsi="Times New Roman" w:cs="Times New Roman"/>
        </w:rPr>
        <w:t xml:space="preserve"> MAGs.</w:t>
      </w:r>
    </w:p>
    <w:p w14:paraId="5FC4DCFF" w14:textId="77777777" w:rsidR="008B07A6" w:rsidRDefault="008B07A6"/>
    <w:sectPr w:rsidR="008B07A6" w:rsidSect="00F6118E">
      <w:headerReference w:type="default" r:id="rId4"/>
      <w:footerReference w:type="default" r:id="rId5"/>
      <w:pgSz w:w="11906" w:h="16838"/>
      <w:pgMar w:top="1440" w:right="1440" w:bottom="1440" w:left="1440" w:header="709" w:footer="709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C858E" w14:textId="77777777" w:rsidR="00F6118E" w:rsidRDefault="00F6118E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49D01" w14:textId="77777777" w:rsidR="00F6118E" w:rsidRDefault="00F6118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18E"/>
    <w:rsid w:val="00066677"/>
    <w:rsid w:val="003A4E89"/>
    <w:rsid w:val="00556784"/>
    <w:rsid w:val="008B07A6"/>
    <w:rsid w:val="00987B63"/>
    <w:rsid w:val="00D04604"/>
    <w:rsid w:val="00D31E7D"/>
    <w:rsid w:val="00F6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1A4EA"/>
  <w15:chartTrackingRefBased/>
  <w15:docId w15:val="{DF96D836-4ECA-4CC5-B64F-70C7A8790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18E"/>
    <w:pPr>
      <w:spacing w:after="0" w:line="240" w:lineRule="auto"/>
    </w:pPr>
    <w:rPr>
      <w:rFonts w:ascii="Aptos" w:eastAsia="Aptos" w:hAnsi="Aptos" w:cs="Aptos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118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118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118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18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118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18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18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118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118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1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11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11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11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11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1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1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11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11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11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11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118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11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118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11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118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11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11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11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118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611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1129</Words>
  <Characters>6497</Characters>
  <Application>Microsoft Office Word</Application>
  <DocSecurity>0</DocSecurity>
  <Lines>106</Lines>
  <Paragraphs>24</Paragraphs>
  <ScaleCrop>false</ScaleCrop>
  <Company/>
  <LinksUpToDate>false</LinksUpToDate>
  <CharactersWithSpaces>7602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2025-12-19T10:01:00Z</dcterms:created>
  <dcterms:modified xsi:type="dcterms:W3CDTF">2025-12-19T10:02:00Z</dcterms:modified>
</cp:coreProperties>
</file>