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90A1" w14:textId="77777777" w:rsidR="00475BBA" w:rsidRDefault="000E1B1E">
      <w:pPr>
        <w:suppressAutoHyphens w:val="0"/>
        <w:spacing w:before="720" w:after="360" w:line="480" w:lineRule="auto"/>
        <w:jc w:val="center"/>
        <w:rPr>
          <w:rFonts w:ascii="Times New Roman" w:eastAsia="Times New Roman" w:hAnsi="Times New Roman" w:cs="Times New Roman"/>
          <w:sz w:val="44"/>
          <w:szCs w:val="44"/>
          <w:lang w:val="en-GB"/>
        </w:rPr>
      </w:pPr>
      <w:r>
        <w:rPr>
          <w:rFonts w:ascii="Times New Roman" w:eastAsia="Times New Roman" w:hAnsi="Times New Roman" w:cs="Times New Roman"/>
          <w:sz w:val="44"/>
          <w:szCs w:val="44"/>
          <w:lang w:val="en-GB"/>
        </w:rPr>
        <w:t>Supplementary information: Life cycle assessment of battery cell production in the context of the EU Batteries Regulation: The influence of data aggregation and multifunctionality handling</w:t>
      </w:r>
    </w:p>
    <w:p w14:paraId="01842D2F" w14:textId="77777777" w:rsidR="00475BBA" w:rsidRDefault="000E1B1E">
      <w:pPr>
        <w:suppressAutoHyphens w:val="0"/>
        <w:spacing w:after="240" w:line="480" w:lineRule="auto"/>
        <w:jc w:val="center"/>
        <w:rPr>
          <w:rFonts w:ascii="Times" w:eastAsia="Times New Roman" w:hAnsi="Times" w:cs="Times New Roman"/>
          <w:i/>
          <w:sz w:val="24"/>
          <w:szCs w:val="20"/>
          <w:vertAlign w:val="superscript"/>
          <w:lang w:val="en-GB"/>
        </w:rPr>
      </w:pPr>
      <w:r>
        <w:rPr>
          <w:rFonts w:ascii="Times" w:eastAsia="Times New Roman" w:hAnsi="Times" w:cs="Times New Roman"/>
          <w:i/>
          <w:sz w:val="24"/>
          <w:szCs w:val="20"/>
          <w:lang w:val="en-GB"/>
        </w:rPr>
        <w:t>Jana Husmann</w:t>
      </w:r>
      <w:r>
        <w:rPr>
          <w:rFonts w:ascii="Times" w:eastAsia="Times New Roman" w:hAnsi="Times" w:cs="Times New Roman"/>
          <w:i/>
          <w:sz w:val="24"/>
          <w:szCs w:val="20"/>
          <w:vertAlign w:val="superscript"/>
          <w:lang w:val="en-GB"/>
        </w:rPr>
        <w:t>1,2</w:t>
      </w:r>
      <w:r>
        <w:rPr>
          <w:rFonts w:ascii="Times" w:eastAsia="Times New Roman" w:hAnsi="Times" w:cs="Times New Roman"/>
          <w:i/>
          <w:sz w:val="24"/>
          <w:szCs w:val="20"/>
          <w:lang w:val="en-GB"/>
        </w:rPr>
        <w:t>*, Johanna Holsten</w:t>
      </w:r>
      <w:r>
        <w:rPr>
          <w:rFonts w:ascii="Times" w:eastAsia="Times New Roman" w:hAnsi="Times" w:cs="Times New Roman"/>
          <w:i/>
          <w:sz w:val="24"/>
          <w:szCs w:val="20"/>
          <w:vertAlign w:val="superscript"/>
          <w:lang w:val="en-GB"/>
        </w:rPr>
        <w:t>1,2</w:t>
      </w:r>
      <w:r>
        <w:rPr>
          <w:rFonts w:ascii="Times" w:eastAsia="Times New Roman" w:hAnsi="Times" w:cs="Times New Roman"/>
          <w:i/>
          <w:sz w:val="24"/>
          <w:szCs w:val="20"/>
          <w:lang w:val="en-GB"/>
        </w:rPr>
        <w:t>, Gabriela Ventura Silva</w:t>
      </w:r>
      <w:r>
        <w:rPr>
          <w:rFonts w:ascii="Times" w:eastAsia="Times New Roman" w:hAnsi="Times" w:cs="Times New Roman"/>
          <w:i/>
          <w:sz w:val="24"/>
          <w:szCs w:val="20"/>
          <w:vertAlign w:val="superscript"/>
          <w:lang w:val="en-GB"/>
        </w:rPr>
        <w:t>1,2</w:t>
      </w:r>
      <w:r>
        <w:rPr>
          <w:rFonts w:ascii="Times" w:eastAsia="Times New Roman" w:hAnsi="Times" w:cs="Times New Roman"/>
          <w:i/>
          <w:sz w:val="24"/>
          <w:szCs w:val="20"/>
          <w:lang w:val="en-GB"/>
        </w:rPr>
        <w:t>, Christoph Herrmann</w:t>
      </w:r>
      <w:r>
        <w:rPr>
          <w:rFonts w:ascii="Times" w:eastAsia="Times New Roman" w:hAnsi="Times" w:cs="Times New Roman"/>
          <w:i/>
          <w:sz w:val="24"/>
          <w:szCs w:val="20"/>
          <w:vertAlign w:val="superscript"/>
          <w:lang w:val="en-GB"/>
        </w:rPr>
        <w:t>1,2</w:t>
      </w:r>
    </w:p>
    <w:p w14:paraId="46C61C7F" w14:textId="77777777" w:rsidR="00475BBA" w:rsidRDefault="000E1B1E">
      <w:pPr>
        <w:suppressAutoHyphens w:val="0"/>
        <w:spacing w:after="240" w:line="480" w:lineRule="auto"/>
        <w:jc w:val="center"/>
        <w:rPr>
          <w:rFonts w:ascii="Times" w:eastAsia="Times New Roman" w:hAnsi="Times" w:cs="Times New Roman"/>
          <w:sz w:val="24"/>
          <w:szCs w:val="20"/>
          <w:lang w:val="en-GB"/>
        </w:rPr>
      </w:pPr>
      <w:r>
        <w:rPr>
          <w:rFonts w:ascii="Times" w:eastAsia="Times New Roman" w:hAnsi="Times" w:cs="Times New Roman"/>
          <w:sz w:val="24"/>
          <w:szCs w:val="20"/>
          <w:vertAlign w:val="superscript"/>
          <w:lang w:val="en-GB"/>
        </w:rPr>
        <w:t xml:space="preserve">1 </w:t>
      </w:r>
      <w:r>
        <w:rPr>
          <w:rFonts w:ascii="Times" w:eastAsia="Times New Roman" w:hAnsi="Times" w:cs="Times New Roman"/>
          <w:sz w:val="24"/>
          <w:szCs w:val="20"/>
          <w:lang w:val="en-GB"/>
        </w:rPr>
        <w:t xml:space="preserve">Chair of Sustainable Manufacturing &amp; Life Cycle Engineering, Institute of Machine Tools and Production Technology (IWF), </w:t>
      </w:r>
      <w:proofErr w:type="spellStart"/>
      <w:r>
        <w:rPr>
          <w:rFonts w:ascii="Times" w:eastAsia="Times New Roman" w:hAnsi="Times" w:cs="Times New Roman"/>
          <w:sz w:val="24"/>
          <w:szCs w:val="20"/>
          <w:lang w:val="en-GB"/>
        </w:rPr>
        <w:t>Technische</w:t>
      </w:r>
      <w:proofErr w:type="spellEnd"/>
      <w:r>
        <w:rPr>
          <w:rFonts w:ascii="Times" w:eastAsia="Times New Roman" w:hAnsi="Times" w:cs="Times New Roman"/>
          <w:sz w:val="24"/>
          <w:szCs w:val="20"/>
          <w:lang w:val="en-GB"/>
        </w:rPr>
        <w:t xml:space="preserve"> Universität Braunschweig, Langer Kamp 19b, 38106 Braunschweig, Germany</w:t>
      </w:r>
    </w:p>
    <w:p w14:paraId="3940055C" w14:textId="77777777" w:rsidR="00475BBA" w:rsidRDefault="000E1B1E">
      <w:pPr>
        <w:suppressAutoHyphens w:val="0"/>
        <w:spacing w:after="240" w:line="480" w:lineRule="auto"/>
        <w:jc w:val="center"/>
        <w:rPr>
          <w:rFonts w:ascii="Times" w:eastAsia="Times New Roman" w:hAnsi="Times" w:cs="Times New Roman"/>
          <w:sz w:val="24"/>
          <w:szCs w:val="20"/>
        </w:rPr>
      </w:pPr>
      <w:r>
        <w:rPr>
          <w:rFonts w:ascii="Times" w:eastAsia="Times New Roman" w:hAnsi="Times" w:cs="Times New Roman"/>
          <w:sz w:val="24"/>
          <w:szCs w:val="20"/>
          <w:vertAlign w:val="superscript"/>
        </w:rPr>
        <w:t xml:space="preserve">2 </w:t>
      </w:r>
      <w:proofErr w:type="spellStart"/>
      <w:r>
        <w:rPr>
          <w:rFonts w:ascii="Times" w:eastAsia="Times New Roman" w:hAnsi="Times" w:cs="Times New Roman"/>
          <w:sz w:val="24"/>
          <w:szCs w:val="20"/>
        </w:rPr>
        <w:t>Battery</w:t>
      </w:r>
      <w:proofErr w:type="spellEnd"/>
      <w:r>
        <w:rPr>
          <w:rFonts w:ascii="Times" w:eastAsia="Times New Roman" w:hAnsi="Times" w:cs="Times New Roman"/>
          <w:sz w:val="24"/>
          <w:szCs w:val="20"/>
        </w:rPr>
        <w:t xml:space="preserve"> </w:t>
      </w:r>
      <w:proofErr w:type="spellStart"/>
      <w:r>
        <w:rPr>
          <w:rFonts w:ascii="Times" w:eastAsia="Times New Roman" w:hAnsi="Times" w:cs="Times New Roman"/>
          <w:sz w:val="24"/>
          <w:szCs w:val="20"/>
        </w:rPr>
        <w:t>LabFactory</w:t>
      </w:r>
      <w:proofErr w:type="spellEnd"/>
      <w:r>
        <w:rPr>
          <w:rFonts w:ascii="Times" w:eastAsia="Times New Roman" w:hAnsi="Times" w:cs="Times New Roman"/>
          <w:sz w:val="24"/>
          <w:szCs w:val="20"/>
        </w:rPr>
        <w:t xml:space="preserve"> Braunschweig (BLB), Technische Universität Braunschweig, Langer Kamp 19, 38106 Braunschweig, Germany</w:t>
      </w:r>
    </w:p>
    <w:p w14:paraId="681A7BD4" w14:textId="77777777" w:rsidR="00475BBA" w:rsidRDefault="000E1B1E">
      <w:pPr>
        <w:suppressAutoHyphens w:val="0"/>
        <w:spacing w:after="240" w:line="480" w:lineRule="auto"/>
        <w:jc w:val="center"/>
        <w:rPr>
          <w:rFonts w:ascii="Times" w:eastAsia="Times New Roman" w:hAnsi="Times" w:cs="Times New Roman"/>
          <w:sz w:val="24"/>
          <w:szCs w:val="20"/>
          <w:lang w:val="en-GB"/>
        </w:rPr>
      </w:pPr>
      <w:r>
        <w:rPr>
          <w:rFonts w:ascii="Times" w:eastAsia="Times New Roman" w:hAnsi="Times" w:cs="Times New Roman"/>
          <w:sz w:val="24"/>
          <w:szCs w:val="20"/>
          <w:lang w:val="en-GB"/>
        </w:rPr>
        <w:t xml:space="preserve">*Corresponding author; mail: </w:t>
      </w:r>
      <w:hyperlink r:id="rId6">
        <w:r>
          <w:rPr>
            <w:rFonts w:ascii="Times" w:eastAsia="Times New Roman" w:hAnsi="Times" w:cs="Times New Roman"/>
            <w:sz w:val="24"/>
            <w:szCs w:val="20"/>
            <w:lang w:val="en-GB"/>
          </w:rPr>
          <w:t>j.husmann@tu-braunschweig.de</w:t>
        </w:r>
      </w:hyperlink>
      <w:r>
        <w:rPr>
          <w:rFonts w:ascii="Times" w:eastAsia="Times New Roman" w:hAnsi="Times" w:cs="Times New Roman"/>
          <w:sz w:val="24"/>
          <w:szCs w:val="20"/>
          <w:lang w:val="en-GB"/>
        </w:rPr>
        <w:t>, phone: +495313912716</w:t>
      </w:r>
    </w:p>
    <w:p w14:paraId="5B0D52F3" w14:textId="77777777" w:rsidR="00475BBA" w:rsidRDefault="00475BBA">
      <w:pPr>
        <w:suppressAutoHyphens w:val="0"/>
        <w:spacing w:after="240" w:line="480" w:lineRule="auto"/>
        <w:rPr>
          <w:rFonts w:ascii="Times" w:eastAsia="Times New Roman" w:hAnsi="Times" w:cs="Times New Roman"/>
          <w:b/>
          <w:bCs/>
          <w:sz w:val="24"/>
          <w:szCs w:val="20"/>
          <w:lang w:val="en-GB"/>
        </w:rPr>
      </w:pPr>
    </w:p>
    <w:p w14:paraId="29341370" w14:textId="77777777" w:rsidR="00475BBA" w:rsidRDefault="000E1B1E">
      <w:pPr>
        <w:suppressAutoHyphens w:val="0"/>
        <w:spacing w:after="240" w:line="480" w:lineRule="auto"/>
        <w:rPr>
          <w:rFonts w:ascii="Times" w:eastAsia="Times New Roman" w:hAnsi="Times" w:cs="Times New Roman"/>
          <w:b/>
          <w:bCs/>
          <w:sz w:val="24"/>
          <w:szCs w:val="20"/>
          <w:lang w:val="en-GB"/>
        </w:rPr>
      </w:pPr>
      <w:r>
        <w:rPr>
          <w:rFonts w:ascii="Times" w:eastAsia="Times New Roman" w:hAnsi="Times" w:cs="Times New Roman"/>
          <w:b/>
          <w:bCs/>
          <w:sz w:val="24"/>
          <w:szCs w:val="20"/>
          <w:lang w:val="en-GB"/>
        </w:rPr>
        <w:t>Table of contents:</w:t>
      </w:r>
    </w:p>
    <w:p w14:paraId="4DDA7D63" w14:textId="77777777" w:rsidR="00475BBA" w:rsidRDefault="000E1B1E">
      <w:pPr>
        <w:pStyle w:val="Listenabsatz"/>
        <w:numPr>
          <w:ilvl w:val="0"/>
          <w:numId w:val="2"/>
        </w:numPr>
        <w:suppressAutoHyphens w:val="0"/>
        <w:spacing w:after="240" w:line="480" w:lineRule="auto"/>
        <w:rPr>
          <w:rFonts w:ascii="Times" w:eastAsia="Times New Roman" w:hAnsi="Times" w:cs="Times New Roman"/>
          <w:sz w:val="24"/>
          <w:szCs w:val="20"/>
          <w:lang w:val="en-GB"/>
        </w:rPr>
      </w:pPr>
      <w:r>
        <w:rPr>
          <w:rFonts w:ascii="Times" w:eastAsia="Times New Roman" w:hAnsi="Times" w:cs="Times New Roman"/>
          <w:sz w:val="24"/>
          <w:szCs w:val="20"/>
          <w:lang w:val="en-GB"/>
        </w:rPr>
        <w:t>Battery cell production simulation and calculation of environmental impacts</w:t>
      </w:r>
    </w:p>
    <w:p w14:paraId="520926AA" w14:textId="77777777" w:rsidR="00475BBA" w:rsidRDefault="000E1B1E">
      <w:pPr>
        <w:pStyle w:val="Listenabsatz"/>
        <w:numPr>
          <w:ilvl w:val="0"/>
          <w:numId w:val="2"/>
        </w:numPr>
        <w:suppressAutoHyphens w:val="0"/>
        <w:spacing w:after="240" w:line="480" w:lineRule="auto"/>
        <w:rPr>
          <w:rFonts w:ascii="Times" w:eastAsia="Times New Roman" w:hAnsi="Times" w:cs="Times New Roman"/>
          <w:sz w:val="24"/>
          <w:szCs w:val="20"/>
          <w:lang w:val="en-GB"/>
        </w:rPr>
      </w:pPr>
      <w:r>
        <w:rPr>
          <w:rFonts w:ascii="Times" w:eastAsia="Times New Roman" w:hAnsi="Times" w:cs="Times New Roman"/>
          <w:sz w:val="24"/>
          <w:szCs w:val="20"/>
          <w:lang w:val="en-GB"/>
        </w:rPr>
        <w:t>Allocation parameter</w:t>
      </w:r>
    </w:p>
    <w:p w14:paraId="441D3095" w14:textId="77777777" w:rsidR="00475BBA" w:rsidRDefault="000E1B1E">
      <w:pPr>
        <w:pStyle w:val="Listenabsatz"/>
        <w:numPr>
          <w:ilvl w:val="0"/>
          <w:numId w:val="2"/>
        </w:numPr>
        <w:suppressAutoHyphens w:val="0"/>
        <w:spacing w:after="240" w:line="480" w:lineRule="auto"/>
        <w:rPr>
          <w:rFonts w:ascii="Times" w:eastAsia="Times New Roman" w:hAnsi="Times" w:cs="Times New Roman"/>
          <w:sz w:val="24"/>
          <w:szCs w:val="20"/>
          <w:lang w:val="en-GB"/>
        </w:rPr>
      </w:pPr>
      <w:r>
        <w:rPr>
          <w:rFonts w:ascii="Times" w:eastAsia="Times New Roman" w:hAnsi="Times" w:cs="Times New Roman"/>
          <w:sz w:val="24"/>
          <w:szCs w:val="20"/>
          <w:lang w:val="en-GB"/>
        </w:rPr>
        <w:t>Benchmark with literature</w:t>
      </w:r>
    </w:p>
    <w:p w14:paraId="2EDDA264" w14:textId="77777777" w:rsidR="00475BBA" w:rsidRDefault="000E1B1E">
      <w:pPr>
        <w:pStyle w:val="Listenabsatz"/>
        <w:suppressAutoHyphens w:val="0"/>
        <w:spacing w:after="240" w:line="480" w:lineRule="auto"/>
        <w:rPr>
          <w:rFonts w:ascii="Times" w:eastAsia="Times New Roman" w:hAnsi="Times" w:cs="Times New Roman"/>
          <w:sz w:val="24"/>
          <w:szCs w:val="20"/>
          <w:lang w:val="en-GB"/>
        </w:rPr>
      </w:pPr>
      <w:r>
        <w:rPr>
          <w:rFonts w:ascii="Times" w:eastAsia="Times New Roman" w:hAnsi="Times" w:cs="Times New Roman"/>
          <w:sz w:val="24"/>
          <w:szCs w:val="20"/>
          <w:lang w:val="en-GB"/>
        </w:rPr>
        <w:t>References</w:t>
      </w:r>
    </w:p>
    <w:p w14:paraId="07AB9D24" w14:textId="77777777" w:rsidR="00475BBA" w:rsidRDefault="000E1B1E">
      <w:pPr>
        <w:suppressAutoHyphens w:val="0"/>
        <w:rPr>
          <w:rFonts w:ascii="Times" w:eastAsia="Times New Roman" w:hAnsi="Times" w:cs="Times New Roman"/>
          <w:sz w:val="24"/>
          <w:szCs w:val="20"/>
          <w:lang w:val="en-GB"/>
        </w:rPr>
      </w:pPr>
      <w:r>
        <w:br w:type="page"/>
      </w:r>
    </w:p>
    <w:p w14:paraId="5DB81424" w14:textId="77777777" w:rsidR="00475BBA" w:rsidRDefault="000E1B1E">
      <w:pPr>
        <w:pStyle w:val="Listenabsatz"/>
        <w:numPr>
          <w:ilvl w:val="0"/>
          <w:numId w:val="3"/>
        </w:numP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Battery cell production simulation and calculation of environmental impacts</w:t>
      </w:r>
    </w:p>
    <w:p w14:paraId="79E98D67"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simulation approach used to reproduce production operation was mainly </w:t>
      </w:r>
      <w:proofErr w:type="spellStart"/>
      <w:r>
        <w:rPr>
          <w:rFonts w:ascii="Times New Roman" w:hAnsi="Times New Roman" w:cs="Times New Roman"/>
          <w:sz w:val="24"/>
          <w:szCs w:val="24"/>
          <w:lang w:val="en-US"/>
        </w:rPr>
        <w:t>parametrised</w:t>
      </w:r>
      <w:proofErr w:type="spellEnd"/>
      <w:r>
        <w:rPr>
          <w:rFonts w:ascii="Times New Roman" w:hAnsi="Times New Roman" w:cs="Times New Roman"/>
          <w:sz w:val="24"/>
          <w:szCs w:val="24"/>
          <w:lang w:val="en-US"/>
        </w:rPr>
        <w:t xml:space="preserve"> with data gathered in the pilot line of the Battery </w:t>
      </w:r>
      <w:proofErr w:type="spellStart"/>
      <w:r>
        <w:rPr>
          <w:rFonts w:ascii="Times New Roman" w:hAnsi="Times New Roman" w:cs="Times New Roman"/>
          <w:sz w:val="24"/>
          <w:szCs w:val="24"/>
          <w:lang w:val="en-US"/>
        </w:rPr>
        <w:t>LabFactory</w:t>
      </w:r>
      <w:proofErr w:type="spellEnd"/>
      <w:r>
        <w:rPr>
          <w:rFonts w:ascii="Times New Roman" w:hAnsi="Times New Roman" w:cs="Times New Roman"/>
          <w:sz w:val="24"/>
          <w:szCs w:val="24"/>
          <w:lang w:val="en-US"/>
        </w:rPr>
        <w:t xml:space="preserve"> Braunschweig, as previously described in </w:t>
      </w:r>
      <w:proofErr w:type="spellStart"/>
      <w:r>
        <w:rPr>
          <w:rFonts w:ascii="Times New Roman" w:hAnsi="Times New Roman" w:cs="Times New Roman"/>
          <w:sz w:val="24"/>
          <w:szCs w:val="24"/>
          <w:lang w:val="en-US"/>
        </w:rPr>
        <w:t>Turetskyy</w:t>
      </w:r>
      <w:proofErr w:type="spellEnd"/>
      <w:r>
        <w:rPr>
          <w:rFonts w:ascii="Times New Roman" w:hAnsi="Times New Roman" w:cs="Times New Roman"/>
          <w:sz w:val="24"/>
          <w:szCs w:val="24"/>
          <w:lang w:val="en-US"/>
        </w:rPr>
        <w:t xml:space="preserve"> et al. and Ventura et al.</w:t>
      </w:r>
      <w:r>
        <w:fldChar w:fldCharType="begin"/>
      </w:r>
      <w:r>
        <w:rPr>
          <w:rFonts w:ascii="Times New Roman" w:hAnsi="Times New Roman" w:cs="Times New Roman"/>
          <w:sz w:val="24"/>
          <w:szCs w:val="24"/>
          <w:lang w:val="en-US"/>
        </w:rPr>
        <w:instrText>ADDIN CSL_CITATION {"citationItems":[{"id":"ITEM-1","itemData":{"DOI":"10.1002/ente.201900136","ISSN":"21944296","abstract":"Production chain of lithium-ion battery cells is a highly complicated system with manifold process–product interdependencies and high sensitivity to ambient conditions. This complexity makes it harder to control and regulate economic and environmental target criteria (e.g., product quality, cost, and energy demand). Therefore, it is necessary to develop a holistic system understanding and to identify and evaluate the interactions between the process steps within the production chain of battery cells and their effects on the relevant cell properties. In this study, a data-driven concept to acquire relevant data along the production line, including technical building services and cell diagnostics, is presented. Furthermore, it describes the combination of automated and manual data acquisition as well as merging of data from different sources, of different communicational protocols, and of different formats toward accessibility, convenient data management, and visualization.","author":[{"dropping-particle":"","family":"Turetskyy","given":"Artem","non-dropping-particle":"","parse-names":false,"suffix":""},{"dropping-particle":"","family":"Thiede","given":"Sebastian","non-dropping-particle":"","parse-names":false,"suffix":""},{"dropping-particle":"","family":"Thomitzek","given":"Matthias","non-dropping-particle":"","parse-names":false,"suffix":""},{"dropping-particle":"","family":"Drachenfels","given":"Nicolas","non-dropping-particle":"von","parse-names":false,"suffix":""},{"dropping-particle":"","family":"Pape","given":"Till","non-dropping-particle":"","parse-names":false,"suffix":""},{"dropping-particle":"","family":"Herrmann","given":"Christoph","non-dropping-particle":"","parse-names":false,"suffix":""}],"container-title":"Energy Technology","id":"ITEM-1","issue":"2","issued":{"date-parts":[["2020"]]},"page":"1-11","title":"Toward Data-Driven Applications in Lithium-Ion Battery Cell Manufacturing","type":"article-journal","volume":"8"},"uris":["http://www.mendeley.com/documents/?uuid=2868075e-e83f-4c1a-9839-7cd5edfcac86"]},{"id":"ITEM-2","itemData":{"DOI":"10.1016/j.procir.2021.11.171","ISSN":"22128271","abstract":"Regulative and social changes towards sustainability are promoting a significant growth of the electromobility sector. Lithium-ion batteries play a major role in this context; however its complex and energy-intensive process chain is responsible for a large part of cradle-to-gate impacts of electric vehicles. Therefore, this work discusses the influence of bottleneck reduction on the energy demand to foster energy efficiency in battery manufacturing. Based on data from the Battery LabFactory Braunschweig, a discrete event simulation is applied to identify bottlenecks and different scenarios for bottleneck reduction are analyzed. Next to improving existing process chain, the results may support the planning of new energy efficient installations.","author":[{"dropping-particle":"","family":"Ventura Silva","given":"Gabriela","non-dropping-particle":"","parse-names":false,"suffix":""},{"dropping-particle":"","family":"Thomitzek","given":"Matthias","non-dropping-particle":"","parse-names":false,"suffix":""},{"dropping-particle":"","family":"Abraham","given":"Tim","non-dropping-particle":"","parse-names":false,"suffix":""},{"dropping-particle":"","family":"Herrmann","given":"Christoph","non-dropping-particle":"","parse-names":false,"suffix":""}],"container-title":"Procedia CIRP","id":"ITEM-2","issued":{"date-parts":[["2021"]]},"page":"1017-1022","publisher":"Elsevier B.V.","title":"Bottleneck reduction strategies for energy efficiency in the battery manufacturing","type":"article-journal","volume":"104"},"uris":["http://www.mendeley.com/documents/?uuid=688933c3-4098-41cb-8c0b-01740b52c6ed"]}],"mendeley":{"formattedCitation":"&lt;sup&gt;1,2&lt;/sup&gt;","plainTextFormattedCitation":"1,2","previouslyFormattedCitation":"&lt;sup&gt;1,2&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Process parameters and power demands of processes limiting the process chain production were adapted to reproduce the conditions at larger production scales, including coating and drying speeds of 15 m/min </w:t>
      </w:r>
      <w:r>
        <w:fldChar w:fldCharType="begin"/>
      </w:r>
      <w:r>
        <w:rPr>
          <w:rFonts w:ascii="Times New Roman" w:hAnsi="Times New Roman" w:cs="Times New Roman"/>
          <w:sz w:val="24"/>
          <w:szCs w:val="24"/>
          <w:lang w:val="en-US"/>
        </w:rPr>
        <w:instrText>ADDIN CSL_CITATION {"citationItems":[{"id":"ITEM-1","itemData":{"DOI":"10.1016/j.procir.2023.09.075","ISSN":"22128271","abstract":"The production of lithium-ion battery cells is composed of heterogeneous processes, each defined by parameters that influence the properties of intermediate and final products. Due to these complex interdependencies, process variations also affect production performance. Against this background, this works proposes a process design concept that combines process and production-oriented models. The case study investigates different coating speeds and drying temperatures considering process quality criteria, throughput, machine utilisation, and total energy demand. The results show that process-specific changes affect unequally the entire process chain and highlight the importance of a comprehensive approach targeting quality and energy efficiency.","author":[{"dropping-particle":"","family":"Ventura Silva","given":"Gabriela","non-dropping-particle":"","parse-names":false,"suffix":""},{"dropping-particle":"","family":"Heckmann","given":"Thilo","non-dropping-particle":"","parse-names":false,"suffix":""},{"dropping-particle":"","family":"Abraham","given":"Tim","non-dropping-particle":"","parse-names":false,"suffix":""},{"dropping-particle":"","family":"Scharfer","given":"Philip","non-dropping-particle":"","parse-names":false,"suffix":""},{"dropping-particle":"","family":"Schabel","given":"Wilhelm","non-dropping-particle":"","parse-names":false,"suffix":""},{"dropping-particle":"","family":"Herrmann","given":"Christoph","non-dropping-particle":"","parse-names":false,"suffix":""}],"container-title":"Procedia CIRP","id":"ITEM-1","issued":{"date-parts":[["2023"]]},"page":"780-785","publisher":"Elsevier B.V.","title":"Model-based process design under consideration of production performance for battery cell production: A coating and drying study","type":"article-journal","volume":"120"},"uris":["http://www.mendeley.com/documents/?uuid=ff0ea5d2-bf8e-49a9-8238-e3ae1ffd016d"]}],"mendeley":{"formattedCitation":"&lt;sup&gt;3&lt;/sup&gt;","plainTextFormattedCitation":"3","previouslyFormattedCitation":"&lt;sup&gt;3&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laser cutting speed of 60 m/min </w:t>
      </w:r>
      <w:r>
        <w:fldChar w:fldCharType="begin"/>
      </w:r>
      <w:r>
        <w:rPr>
          <w:rFonts w:ascii="Times New Roman" w:hAnsi="Times New Roman" w:cs="Times New Roman"/>
          <w:sz w:val="24"/>
          <w:szCs w:val="24"/>
          <w:lang w:val="en-US"/>
        </w:rPr>
        <w:instrText>ADDIN CSL_CITATION {"citationItems":[{"id":"ITEM-1","itemData":{"DOI":"10.1016/j.phpro.2011.03.135","ISSN":"18753892","abstract":"E-mobility is still one of the most discussed topics within the automotive industry. Electric powered vehicles can drive emissionfree and present consequently the future propulsion. Nearly all global players in the automotive industry are making great efforts to develop cost-efficient electric drives, which are suitable for series production. The national governments support this evolution progressively. For example the mobility research programme of the Federal Republic of Germany looks at the production of Li- Ion cells in its entirety. Within this programme the cutting of electrodes for Li-Ion cells by lasers is an issue, too. This paper provides a comparative study on cutting materials relevant for Li-Ion cells with beam sources operating in a cw mode and a pulsed mode respectively. © 2011 Published by Elsevier Ltd.","author":[{"dropping-particle":"","family":"Luetke","given":"Matthias","non-dropping-particle":"","parse-names":false,"suffix":""},{"dropping-particle":"","family":"Franke","given":"Volker","non-dropping-particle":"","parse-names":false,"suffix":""},{"dropping-particle":"","family":"Techel","given":"Anja","non-dropping-particle":"","parse-names":false,"suffix":""},{"dropping-particle":"","family":"Himmer","given":"Thomas","non-dropping-particle":"","parse-names":false,"suffix":""},{"dropping-particle":"","family":"Klotzbach","given":"Udo","non-dropping-particle":"","parse-names":false,"suffix":""},{"dropping-particle":"","family":"Wetzig","given":"Andreas","non-dropping-particle":"","parse-names":false,"suffix":""},{"dropping-particle":"","family":"Beyer","given":"Eckhard","non-dropping-particle":"","parse-names":false,"suffix":""}],"container-title":"Physics Procedia","id":"ITEM-1","issue":"PART 2","issued":{"date-parts":[["2011"]]},"page":"286-291","title":"A comparative study on cutting electrodes for batteries with lasers","type":"article-journal","volume":"12"},"uris":["http://www.mendeley.com/documents/?uuid=31d726ee-f1ea-4a5c-8639-e9cbbb3a8233"]}],"mendeley":{"formattedCitation":"&lt;sup&gt;4&lt;/sup&gt;","plainTextFormattedCitation":"4","previouslyFormattedCitation":"&lt;sup&gt;4&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0FE2B0F1"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The simulation scenario considered the production of 100 MWh battery cell capacity over the entire year of 2023 in Germany. The annual production capacity was achieved with a 24/7 production and a machine availability of 95 %. In addition, the simulation approach considered non-value-adding machine states, such as idle and break times, as presented in Ventura et al.</w:t>
      </w:r>
      <w:r>
        <w:fldChar w:fldCharType="begin"/>
      </w:r>
      <w:r>
        <w:rPr>
          <w:rFonts w:ascii="Times New Roman" w:hAnsi="Times New Roman" w:cs="Times New Roman"/>
          <w:sz w:val="24"/>
          <w:szCs w:val="24"/>
          <w:lang w:val="en-US"/>
        </w:rPr>
        <w:instrText>ADDIN CSL_CITATION {"citationItems":[{"id":"ITEM-1","itemData":{"DOI":"10.1016/j.procir.2023.09.075","ISSN":"22128271","abstract":"The production of lithium-ion battery cells is composed of heterogeneous processes, each defined by parameters that influence the properties of intermediate and final products. Due to these complex interdependencies, process variations also affect production performance. Against this background, this works proposes a process design concept that combines process and production-oriented models. The case study investigates different coating speeds and drying temperatures considering process quality criteria, throughput, machine utilisation, and total energy demand. The results show that process-specific changes affect unequally the entire process chain and highlight the importance of a comprehensive approach targeting quality and energy efficiency.","author":[{"dropping-particle":"","family":"Ventura Silva","given":"Gabriela","non-dropping-particle":"","parse-names":false,"suffix":""},{"dropping-particle":"","family":"Heckmann","given":"Thilo","non-dropping-particle":"","parse-names":false,"suffix":""},{"dropping-particle":"","family":"Abraham","given":"Tim","non-dropping-particle":"","parse-names":false,"suffix":""},{"dropping-particle":"","family":"Scharfer","given":"Philip","non-dropping-particle":"","parse-names":false,"suffix":""},{"dropping-particle":"","family":"Schabel","given":"Wilhelm","non-dropping-particle":"","parse-names":false,"suffix":""},{"dropping-particle":"","family":"Herrmann","given":"Christoph","non-dropping-particle":"","parse-names":false,"suffix":""}],"container-title":"Procedia CIRP","id":"ITEM-1","issued":{"date-parts":[["2023"]]},"page":"780-785","publisher":"Elsevier B.V.","title":"Model-based process design under consideration of production performance for battery cell production: A coating and drying study","type":"article-journal","volume":"120"},"uris":["http://www.mendeley.com/documents/?uuid=ff0ea5d2-bf8e-49a9-8238-e3ae1ffd016d"]}],"mendeley":{"formattedCitation":"&lt;sup&gt;3&lt;/sup&gt;","plainTextFormattedCitation":"3","previouslyFormattedCitation":"&lt;sup&gt;3&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06AABF3B"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The dry room simulation proposed by Vogt et al.</w:t>
      </w:r>
      <w:r>
        <w:fldChar w:fldCharType="begin"/>
      </w:r>
      <w:r>
        <w:rPr>
          <w:rFonts w:ascii="Times New Roman" w:hAnsi="Times New Roman" w:cs="Times New Roman"/>
          <w:sz w:val="24"/>
          <w:szCs w:val="24"/>
          <w:lang w:val="en-US"/>
        </w:rPr>
        <w:instrText>ADDIN CSL_CITATION {"citationItems":[{"id":"ITEM-1","itemData":{"DOI":"10.1016/j.procir.2021.01.023","ISSN":"22128271","abstract":"The operation of drying rooms is an essential part of battery cell production, in order to provide a save and well conditioned environment during the cell assembly. A specially dimensioned Heating, Ventilation and Air Conditioning (HVAC) system is required to operate a dry room, which depends on a large number of parameters and accounts for a substantial part of the total energy demand in battery cell production. Therefore, a dry room significantly contributes to the energy embodied in battery cells and affects their cost and environmental footprint. In this context, model-based, quantitative analysis are of interest in order to dynamically evaluate the effects of changed of ambient conditions at different locations. In this paper, we investigate the operation of an existing drying room through a case study at the Battery LabFactory Braunschweig with a physical simulation model. We validate the model against recorded measurement data in high temporal resolution. The model is able to represent the measured data of the total energy demand over one month at an hourly time step with only 3.27 % deviation. Using the validated simulation model of the HVAC system, we examine the operation of the system at different locations regarding their economic and ecological footprint. To achieve this, we virtually relocate the system to five different locations around the world and operate it over a typical year at each location. We carry out an economic and environmental assessment for each site under consideration and for each location we report relevant KPIs that are independent from production throughput and potentially transferable to other use cases. Such investigations allow interesting findings to be derived for practical applications in brown-field applications, but also for the planning of new systems at different locations.","author":[{"dropping-particle":"","family":"Vogt","given":"Marcus","non-dropping-particle":"","parse-names":false,"suffix":""},{"dropping-particle":"","family":"Koch","given":"Klemens","non-dropping-particle":"","parse-names":false,"suffix":""},{"dropping-particle":"","family":"Turetskyy","given":"Artem","non-dropping-particle":"","parse-names":false,"suffix":""},{"dropping-particle":"","family":"Cerdas","given":"Felipe","non-dropping-particle":"","parse-names":false,"suffix":""},{"dropping-particle":"","family":"Thiede","given":"Sebastian","non-dropping-particle":"","parse-names":false,"suffix":""},{"dropping-particle":"","family":"Herrmann","given":"Christoph","non-dropping-particle":"","parse-names":false,"suffix":""}],"container-title":"Procedia CIRP","id":"ITEM-1","issued":{"date-parts":[["2021"]]},"page":"157-162","publisher":"Elsevier B.V.","title":"Model-based energy analysis of a dry room HVAC system in battery cell production","type":"article-journal","volume":"98"},"uris":["http://www.mendeley.com/documents/?uuid=86e0f9d3-31d1-469c-972d-2ce456353650"]}],"mendeley":{"formattedCitation":"&lt;sup&gt;5&lt;/sup&gt;","plainTextFormattedCitation":"5","previouslyFormattedCitation":"&lt;sup&gt;5&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was integrated to the process chain simulation, accounting for the effects of seasonal weather factors on the dry room operation and, consequently, on the energy demand associated with battery cell production. Data on the temperature and relative humidity for the year 2023 in Braunschweig, Germany, was used as input for the simulation </w:t>
      </w:r>
      <w:r>
        <w:fldChar w:fldCharType="begin"/>
      </w:r>
      <w:r>
        <w:rPr>
          <w:rFonts w:ascii="Times New Roman" w:hAnsi="Times New Roman" w:cs="Times New Roman"/>
          <w:sz w:val="24"/>
          <w:szCs w:val="24"/>
          <w:lang w:val="en-US"/>
        </w:rPr>
        <w:instrText>ADDIN CSL_CITATION {"citationItems":[{"id":"ITEM-1","itemData":{"URL":"http://climate.onebuilding.org","author":[{"dropping-particle":"","family":"Crawley","given":"Dru","non-dropping-particle":"","parse-names":false,"suffix":""},{"dropping-particle":"","family":"Lawrie","given":"Linda","non-dropping-particle":"","parse-names":false,"suffix":""}],"id":"ITEM-1","issued":{"date-parts":[["2024"]]},"title":"Development of Global Typical Meteorological Years","type":"webpage"},"uris":["http://www.mendeley.com/documents/?uuid=a3212d2e-104c-481e-9619-581f1e42ec9a"]}],"mendeley":{"formattedCitation":"&lt;sup&gt;6&lt;/sup&gt;","plainTextFormattedCitation":"6","previouslyFormattedCitation":"&lt;sup&gt;6&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Further considered parameters involved the heat losses from machine operation and number of workers inside the room, derived from the process chain simulation.</w:t>
      </w:r>
    </w:p>
    <w:p w14:paraId="5F76FE51"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overall scrap rate of 10 % was considered, which has been attributed to the process chain according to the percentages proposed by von </w:t>
      </w:r>
      <w:proofErr w:type="spellStart"/>
      <w:r>
        <w:rPr>
          <w:rFonts w:ascii="Times New Roman" w:hAnsi="Times New Roman" w:cs="Times New Roman"/>
          <w:sz w:val="24"/>
          <w:szCs w:val="24"/>
          <w:lang w:val="en-US"/>
        </w:rPr>
        <w:t>Drachenfels</w:t>
      </w:r>
      <w:proofErr w:type="spellEnd"/>
      <w:r>
        <w:rPr>
          <w:rFonts w:ascii="Times New Roman" w:hAnsi="Times New Roman" w:cs="Times New Roman"/>
          <w:sz w:val="24"/>
          <w:szCs w:val="24"/>
          <w:lang w:val="en-US"/>
        </w:rPr>
        <w:t xml:space="preserve"> et al.</w:t>
      </w:r>
      <w:r>
        <w:fldChar w:fldCharType="begin"/>
      </w:r>
      <w:r>
        <w:rPr>
          <w:rFonts w:ascii="Times New Roman" w:hAnsi="Times New Roman" w:cs="Times New Roman"/>
          <w:sz w:val="24"/>
          <w:szCs w:val="24"/>
          <w:lang w:val="en-US"/>
        </w:rPr>
        <w:instrText>ADDIN CSL_CITATION {"citationItems":[{"id":"ITEM-1","itemData":{"DOI":"10.1002/ente.202200673","ISSN":"21944296","abstract":"Battery cells and their production processes are developing continuously toward higher efficiencies. Conventional life cycle inventories (LCIs) applied in life cycle assessment (LCA) studies are either numerical or parametrized, which inhibits their application to changing developments in battery research. Therefore, this article presents an approach to develop modular material and energy flow (MEF) models for battery cell production. The modular MEF model is linked to the Brightway2 framework to generate LCI for six different innovations: 1) extrusion-based slurry preparation; 2) water-based electrode production; 3) dry coating; 4) thick electrodes; 5) change of active material; and 6) a combination of innovations. The results reveal that the modeled process and product innovations, particularly the dry coating process, can contribute to a reduction of more than 15% in CO2-eq emissions. With the presented approach, it is possible to model process and product innovations in a common environment, which enables a comparative analysis under changing model premises with reusable and adaptable models at the process level. This reduces the effort to evaluate process variations significantly and contributes to the use of LCA as an engineering tool.","author":[{"dropping-particle":"","family":"Drachenfels","given":"Nicolas","non-dropping-particle":"von","parse-names":false,"suffix":""},{"dropping-particle":"","family":"Husmann","given":"Jana","non-dropping-particle":"","parse-names":false,"suffix":""},{"dropping-particle":"","family":"Khalid","given":"Usama","non-dropping-particle":"","parse-names":false,"suffix":""},{"dropping-particle":"","family":"Cerdas","given":"Felipe","non-dropping-particle":"","parse-names":false,"suffix":""},{"dropping-particle":"","family":"Herrmann","given":"Christoph","non-dropping-particle":"","parse-names":false,"suffix":""}],"container-title":"Energy Technology","id":"ITEM-1","issued":{"date-parts":[["2022"]]},"title":"Life Cycle Assessment of the Battery Cell Production: Using a Modular Material and Energy Flow Model to Assess Product and Process Innovations","type":"article-journal"},"uris":["http://www.mendeley.com/documents/?uuid=9ea35181-faa4-4ab1-b1ab-87e823bb2513"]}],"mendeley":{"formattedCitation":"&lt;sup&gt;7&lt;/sup&gt;","plainTextFormattedCitation":"7","previouslyFormattedCitation":"&lt;sup&gt;7&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as described in Figure 1 of the publication. Further parameters related to the product (NMC pouch battery cell), such as structure and performance parameters, are presented in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REF _Ref197979921 \h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Table SI-1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730758FE" w14:textId="77777777" w:rsidR="00475BBA" w:rsidRDefault="000E1B1E">
      <w:pPr>
        <w:pStyle w:val="Beschriftung"/>
        <w:keepNext/>
        <w:rPr>
          <w:rFonts w:ascii="Times New Roman" w:hAnsi="Times New Roman" w:cs="Times New Roman"/>
          <w:sz w:val="24"/>
          <w:szCs w:val="24"/>
          <w:lang w:val="en-US"/>
        </w:rPr>
      </w:pPr>
      <w:bookmarkStart w:id="0" w:name="_Ref197979921"/>
      <w:bookmarkStart w:id="1" w:name="_Ref197979912"/>
      <w:r>
        <w:rPr>
          <w:rFonts w:ascii="Times New Roman" w:hAnsi="Times New Roman" w:cs="Times New Roman"/>
          <w:sz w:val="24"/>
          <w:szCs w:val="24"/>
          <w:lang w:val="en-US"/>
        </w:rPr>
        <w:t>Table SI-</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SEQ Tabelle \* ARABIC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w:t>
      </w:r>
      <w:r>
        <w:rPr>
          <w:rFonts w:ascii="Times New Roman" w:hAnsi="Times New Roman" w:cs="Times New Roman"/>
          <w:sz w:val="24"/>
          <w:szCs w:val="24"/>
          <w:lang w:val="en-US"/>
        </w:rPr>
        <w:fldChar w:fldCharType="end"/>
      </w:r>
      <w:bookmarkEnd w:id="0"/>
      <w:r>
        <w:rPr>
          <w:rFonts w:ascii="Times New Roman" w:hAnsi="Times New Roman" w:cs="Times New Roman"/>
          <w:sz w:val="24"/>
          <w:szCs w:val="24"/>
          <w:lang w:val="en-US"/>
        </w:rPr>
        <w:t>: Overview of the considered product-related (structure and performance) parameters.</w:t>
      </w:r>
      <w:bookmarkEnd w:id="1"/>
    </w:p>
    <w:tbl>
      <w:tblPr>
        <w:tblW w:w="5294" w:type="dxa"/>
        <w:jc w:val="center"/>
        <w:tblLayout w:type="fixed"/>
        <w:tblCellMar>
          <w:left w:w="70" w:type="dxa"/>
          <w:right w:w="70" w:type="dxa"/>
        </w:tblCellMar>
        <w:tblLook w:val="04A0" w:firstRow="1" w:lastRow="0" w:firstColumn="1" w:lastColumn="0" w:noHBand="0" w:noVBand="1"/>
      </w:tblPr>
      <w:tblGrid>
        <w:gridCol w:w="4335"/>
        <w:gridCol w:w="959"/>
      </w:tblGrid>
      <w:tr w:rsidR="00475BBA" w14:paraId="1F5D86CF"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EDF3DE" w14:textId="77777777" w:rsidR="00475BBA" w:rsidRDefault="000E1B1E">
            <w:pPr>
              <w:suppressAutoHyphens w:val="0"/>
              <w:spacing w:after="0" w:line="240" w:lineRule="auto"/>
              <w:rPr>
                <w:rFonts w:ascii="Times New Roman" w:eastAsia="Times New Roman" w:hAnsi="Times New Roman" w:cs="Times New Roman"/>
                <w:b/>
                <w:color w:val="000000"/>
                <w:sz w:val="24"/>
                <w:szCs w:val="24"/>
                <w:lang w:eastAsia="de-DE"/>
              </w:rPr>
            </w:pPr>
            <w:proofErr w:type="spellStart"/>
            <w:r>
              <w:rPr>
                <w:rFonts w:ascii="Times New Roman" w:eastAsia="Times New Roman" w:hAnsi="Times New Roman" w:cs="Times New Roman"/>
                <w:b/>
                <w:color w:val="000000"/>
                <w:sz w:val="24"/>
                <w:szCs w:val="24"/>
                <w:lang w:eastAsia="de-DE"/>
              </w:rPr>
              <w:t>Structure</w:t>
            </w:r>
            <w:proofErr w:type="spellEnd"/>
            <w:r>
              <w:rPr>
                <w:rFonts w:ascii="Times New Roman" w:eastAsia="Times New Roman" w:hAnsi="Times New Roman" w:cs="Times New Roman"/>
                <w:b/>
                <w:color w:val="000000"/>
                <w:sz w:val="24"/>
                <w:szCs w:val="24"/>
                <w:lang w:eastAsia="de-DE"/>
              </w:rPr>
              <w:t xml:space="preserve"> and </w:t>
            </w:r>
            <w:proofErr w:type="spellStart"/>
            <w:r>
              <w:rPr>
                <w:rFonts w:ascii="Times New Roman" w:eastAsia="Times New Roman" w:hAnsi="Times New Roman" w:cs="Times New Roman"/>
                <w:b/>
                <w:color w:val="000000"/>
                <w:sz w:val="24"/>
                <w:szCs w:val="24"/>
                <w:lang w:eastAsia="de-DE"/>
              </w:rPr>
              <w:t>performance</w:t>
            </w:r>
            <w:proofErr w:type="spellEnd"/>
            <w:r>
              <w:rPr>
                <w:rFonts w:ascii="Times New Roman" w:eastAsia="Times New Roman" w:hAnsi="Times New Roman" w:cs="Times New Roman"/>
                <w:b/>
                <w:color w:val="000000"/>
                <w:sz w:val="24"/>
                <w:szCs w:val="24"/>
                <w:lang w:eastAsia="de-DE"/>
              </w:rPr>
              <w:t xml:space="preserve"> </w:t>
            </w:r>
            <w:proofErr w:type="spellStart"/>
            <w:r>
              <w:rPr>
                <w:rFonts w:ascii="Times New Roman" w:eastAsia="Times New Roman" w:hAnsi="Times New Roman" w:cs="Times New Roman"/>
                <w:b/>
                <w:color w:val="000000"/>
                <w:sz w:val="24"/>
                <w:szCs w:val="24"/>
                <w:lang w:eastAsia="de-DE"/>
              </w:rPr>
              <w:t>parameters</w:t>
            </w:r>
            <w:proofErr w:type="spellEnd"/>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B1858E" w14:textId="77777777" w:rsidR="00475BBA" w:rsidRDefault="000E1B1E">
            <w:pPr>
              <w:suppressAutoHyphens w:val="0"/>
              <w:spacing w:after="0" w:line="240" w:lineRule="auto"/>
              <w:jc w:val="right"/>
              <w:rPr>
                <w:rFonts w:ascii="Times New Roman" w:eastAsia="Times New Roman" w:hAnsi="Times New Roman" w:cs="Times New Roman"/>
                <w:b/>
                <w:color w:val="000000"/>
                <w:sz w:val="24"/>
                <w:szCs w:val="24"/>
                <w:lang w:eastAsia="de-DE"/>
              </w:rPr>
            </w:pPr>
            <w:r>
              <w:rPr>
                <w:rFonts w:ascii="Times New Roman" w:eastAsia="Times New Roman" w:hAnsi="Times New Roman" w:cs="Times New Roman"/>
                <w:b/>
                <w:color w:val="000000"/>
                <w:sz w:val="24"/>
                <w:szCs w:val="24"/>
                <w:lang w:eastAsia="de-DE"/>
              </w:rPr>
              <w:t>Value</w:t>
            </w:r>
          </w:p>
        </w:tc>
      </w:tr>
      <w:tr w:rsidR="00475BBA" w14:paraId="4F9840C6"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096E2B"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proofErr w:type="spellStart"/>
            <w:r>
              <w:rPr>
                <w:rFonts w:ascii="Times New Roman" w:eastAsia="Times New Roman" w:hAnsi="Times New Roman" w:cs="Times New Roman"/>
                <w:color w:val="000000"/>
                <w:sz w:val="24"/>
                <w:szCs w:val="24"/>
                <w:lang w:eastAsia="de-DE"/>
              </w:rPr>
              <w:t>Cell</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capacity</w:t>
            </w:r>
            <w:proofErr w:type="spellEnd"/>
            <w:r>
              <w:rPr>
                <w:rFonts w:ascii="Times New Roman" w:eastAsia="Times New Roman" w:hAnsi="Times New Roman" w:cs="Times New Roman"/>
                <w:color w:val="000000"/>
                <w:sz w:val="24"/>
                <w:szCs w:val="24"/>
                <w:lang w:eastAsia="de-DE"/>
              </w:rPr>
              <w:t xml:space="preserve"> [Wh]</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D43F97"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33.3</w:t>
            </w:r>
          </w:p>
        </w:tc>
      </w:tr>
      <w:tr w:rsidR="00475BBA" w14:paraId="05FF31D0"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F9B942" w14:textId="77777777" w:rsidR="00475BBA" w:rsidRDefault="000E1B1E">
            <w:pPr>
              <w:suppressAutoHyphens w:val="0"/>
              <w:spacing w:after="0" w:line="24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Number of electrode-separator-composites [-]</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44DDD5"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15</w:t>
            </w:r>
          </w:p>
        </w:tc>
      </w:tr>
      <w:tr w:rsidR="00475BBA" w14:paraId="0A91E6CB"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26AEBD"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proofErr w:type="spellStart"/>
            <w:r>
              <w:rPr>
                <w:rFonts w:ascii="Times New Roman" w:eastAsia="Times New Roman" w:hAnsi="Times New Roman" w:cs="Times New Roman"/>
                <w:color w:val="000000"/>
                <w:sz w:val="24"/>
                <w:szCs w:val="24"/>
                <w:lang w:eastAsia="de-DE"/>
              </w:rPr>
              <w:t>Solids</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content</w:t>
            </w:r>
            <w:proofErr w:type="spellEnd"/>
            <w:r>
              <w:rPr>
                <w:rFonts w:ascii="Times New Roman" w:eastAsia="Times New Roman" w:hAnsi="Times New Roman" w:cs="Times New Roman"/>
                <w:color w:val="000000"/>
                <w:sz w:val="24"/>
                <w:szCs w:val="24"/>
                <w:lang w:eastAsia="de-DE"/>
              </w:rPr>
              <w:t xml:space="preserve"> </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0A48A7"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0.54</w:t>
            </w:r>
          </w:p>
        </w:tc>
      </w:tr>
      <w:tr w:rsidR="00475BBA" w14:paraId="70ADFAE4"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4FAF19"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 xml:space="preserve">Nominal </w:t>
            </w:r>
            <w:proofErr w:type="spellStart"/>
            <w:r>
              <w:rPr>
                <w:rFonts w:ascii="Times New Roman" w:eastAsia="Times New Roman" w:hAnsi="Times New Roman" w:cs="Times New Roman"/>
                <w:color w:val="000000"/>
                <w:sz w:val="24"/>
                <w:szCs w:val="24"/>
                <w:lang w:eastAsia="de-DE"/>
              </w:rPr>
              <w:t>grammage</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anode</w:t>
            </w:r>
            <w:proofErr w:type="spellEnd"/>
            <w:r>
              <w:rPr>
                <w:rFonts w:ascii="Times New Roman" w:eastAsia="Times New Roman" w:hAnsi="Times New Roman" w:cs="Times New Roman"/>
                <w:color w:val="000000"/>
                <w:sz w:val="24"/>
                <w:szCs w:val="24"/>
                <w:lang w:eastAsia="de-DE"/>
              </w:rPr>
              <w:t>) [mg/cm²]</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FD1224"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8.37</w:t>
            </w:r>
          </w:p>
        </w:tc>
      </w:tr>
      <w:tr w:rsidR="00475BBA" w14:paraId="609F6B16"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7EFAEE" w14:textId="77777777" w:rsidR="00475BBA" w:rsidRDefault="000E1B1E">
            <w:pPr>
              <w:suppressAutoHyphens w:val="0"/>
              <w:spacing w:after="0" w:line="240" w:lineRule="auto"/>
              <w:rPr>
                <w:rFonts w:ascii="Times New Roman" w:eastAsia="Times New Roman" w:hAnsi="Times New Roman" w:cs="Times New Roman"/>
                <w:color w:val="000000"/>
                <w:sz w:val="24"/>
                <w:szCs w:val="24"/>
                <w:lang w:val="en-GB" w:eastAsia="de-DE"/>
              </w:rPr>
            </w:pPr>
            <w:r>
              <w:rPr>
                <w:rFonts w:ascii="Times New Roman" w:eastAsia="Times New Roman" w:hAnsi="Times New Roman" w:cs="Times New Roman"/>
                <w:color w:val="000000"/>
                <w:sz w:val="24"/>
                <w:szCs w:val="24"/>
                <w:lang w:val="en-GB" w:eastAsia="de-DE"/>
              </w:rPr>
              <w:t>Density active material (anode) [g/cm³]</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6D7146"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2.2</w:t>
            </w:r>
          </w:p>
        </w:tc>
      </w:tr>
      <w:tr w:rsidR="00475BBA" w14:paraId="292C6F2F"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DC111E" w14:textId="77777777" w:rsidR="00475BBA" w:rsidRDefault="000E1B1E">
            <w:pPr>
              <w:suppressAutoHyphens w:val="0"/>
              <w:spacing w:after="0" w:line="24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Density carbon black (anode) [g/cm³]</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899BD8"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1.8</w:t>
            </w:r>
          </w:p>
        </w:tc>
      </w:tr>
      <w:tr w:rsidR="00475BBA" w14:paraId="01E1B6DB"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B21D04"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 xml:space="preserve">Density </w:t>
            </w:r>
            <w:proofErr w:type="spellStart"/>
            <w:r>
              <w:rPr>
                <w:rFonts w:ascii="Times New Roman" w:eastAsia="Times New Roman" w:hAnsi="Times New Roman" w:cs="Times New Roman"/>
                <w:color w:val="000000"/>
                <w:sz w:val="24"/>
                <w:szCs w:val="24"/>
                <w:lang w:eastAsia="de-DE"/>
              </w:rPr>
              <w:t>graphite</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anode</w:t>
            </w:r>
            <w:proofErr w:type="spellEnd"/>
            <w:r>
              <w:rPr>
                <w:rFonts w:ascii="Times New Roman" w:eastAsia="Times New Roman" w:hAnsi="Times New Roman" w:cs="Times New Roman"/>
                <w:color w:val="000000"/>
                <w:sz w:val="24"/>
                <w:szCs w:val="24"/>
                <w:lang w:eastAsia="de-DE"/>
              </w:rPr>
              <w:t>) [g/cm³]</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0FEC1B"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2.2</w:t>
            </w:r>
          </w:p>
        </w:tc>
      </w:tr>
      <w:tr w:rsidR="00475BBA" w14:paraId="4F0DD43A"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30AA60"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 xml:space="preserve">Density </w:t>
            </w:r>
            <w:proofErr w:type="spellStart"/>
            <w:r>
              <w:rPr>
                <w:rFonts w:ascii="Times New Roman" w:eastAsia="Times New Roman" w:hAnsi="Times New Roman" w:cs="Times New Roman"/>
                <w:color w:val="000000"/>
                <w:sz w:val="24"/>
                <w:szCs w:val="24"/>
                <w:lang w:eastAsia="de-DE"/>
              </w:rPr>
              <w:t>binder</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anode</w:t>
            </w:r>
            <w:proofErr w:type="spellEnd"/>
            <w:r>
              <w:rPr>
                <w:rFonts w:ascii="Times New Roman" w:eastAsia="Times New Roman" w:hAnsi="Times New Roman" w:cs="Times New Roman"/>
                <w:color w:val="000000"/>
                <w:sz w:val="24"/>
                <w:szCs w:val="24"/>
                <w:lang w:eastAsia="de-DE"/>
              </w:rPr>
              <w:t>) [g/cm³]</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51546"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1.76</w:t>
            </w:r>
          </w:p>
        </w:tc>
      </w:tr>
      <w:tr w:rsidR="00475BBA" w14:paraId="75E54B6A"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939EF1" w14:textId="77777777" w:rsidR="00475BBA" w:rsidRDefault="000E1B1E">
            <w:pPr>
              <w:suppressAutoHyphens w:val="0"/>
              <w:spacing w:after="0" w:line="24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Density solvent (anode) [g/cm³]</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4576A5"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1.03</w:t>
            </w:r>
          </w:p>
        </w:tc>
      </w:tr>
      <w:tr w:rsidR="00475BBA" w14:paraId="73CA0C81"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8B198A"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proofErr w:type="spellStart"/>
            <w:r>
              <w:rPr>
                <w:rFonts w:ascii="Times New Roman" w:eastAsia="Times New Roman" w:hAnsi="Times New Roman" w:cs="Times New Roman"/>
                <w:color w:val="000000"/>
                <w:sz w:val="24"/>
                <w:szCs w:val="24"/>
                <w:lang w:eastAsia="de-DE"/>
              </w:rPr>
              <w:t>Formulation</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active</w:t>
            </w:r>
            <w:proofErr w:type="spellEnd"/>
            <w:r>
              <w:rPr>
                <w:rFonts w:ascii="Times New Roman" w:eastAsia="Times New Roman" w:hAnsi="Times New Roman" w:cs="Times New Roman"/>
                <w:color w:val="000000"/>
                <w:sz w:val="24"/>
                <w:szCs w:val="24"/>
                <w:lang w:eastAsia="de-DE"/>
              </w:rPr>
              <w:t xml:space="preserve"> material (</w:t>
            </w:r>
            <w:proofErr w:type="spellStart"/>
            <w:r>
              <w:rPr>
                <w:rFonts w:ascii="Times New Roman" w:eastAsia="Times New Roman" w:hAnsi="Times New Roman" w:cs="Times New Roman"/>
                <w:color w:val="000000"/>
                <w:sz w:val="24"/>
                <w:szCs w:val="24"/>
                <w:lang w:eastAsia="de-DE"/>
              </w:rPr>
              <w:t>anode</w:t>
            </w:r>
            <w:proofErr w:type="spellEnd"/>
            <w:r>
              <w:rPr>
                <w:rFonts w:ascii="Times New Roman" w:eastAsia="Times New Roman" w:hAnsi="Times New Roman" w:cs="Times New Roman"/>
                <w:color w:val="000000"/>
                <w:sz w:val="24"/>
                <w:szCs w:val="24"/>
                <w:lang w:eastAsia="de-DE"/>
              </w:rPr>
              <w:t>)</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5FC30A"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0.91</w:t>
            </w:r>
          </w:p>
        </w:tc>
      </w:tr>
      <w:tr w:rsidR="00475BBA" w14:paraId="7FA91460"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4EA1B5"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proofErr w:type="spellStart"/>
            <w:r>
              <w:rPr>
                <w:rFonts w:ascii="Times New Roman" w:eastAsia="Times New Roman" w:hAnsi="Times New Roman" w:cs="Times New Roman"/>
                <w:color w:val="000000"/>
                <w:sz w:val="24"/>
                <w:szCs w:val="24"/>
                <w:lang w:eastAsia="de-DE"/>
              </w:rPr>
              <w:t>Formulation</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carbon</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black</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anode</w:t>
            </w:r>
            <w:proofErr w:type="spellEnd"/>
            <w:r>
              <w:rPr>
                <w:rFonts w:ascii="Times New Roman" w:eastAsia="Times New Roman" w:hAnsi="Times New Roman" w:cs="Times New Roman"/>
                <w:color w:val="000000"/>
                <w:sz w:val="24"/>
                <w:szCs w:val="24"/>
                <w:lang w:eastAsia="de-DE"/>
              </w:rPr>
              <w:t>)</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9E6582"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0.02</w:t>
            </w:r>
          </w:p>
        </w:tc>
      </w:tr>
      <w:tr w:rsidR="00475BBA" w14:paraId="232D5889"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7F9326"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proofErr w:type="spellStart"/>
            <w:r>
              <w:rPr>
                <w:rFonts w:ascii="Times New Roman" w:eastAsia="Times New Roman" w:hAnsi="Times New Roman" w:cs="Times New Roman"/>
                <w:color w:val="000000"/>
                <w:sz w:val="24"/>
                <w:szCs w:val="24"/>
                <w:lang w:eastAsia="de-DE"/>
              </w:rPr>
              <w:t>Formulation</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graphite</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anode</w:t>
            </w:r>
            <w:proofErr w:type="spellEnd"/>
            <w:r>
              <w:rPr>
                <w:rFonts w:ascii="Times New Roman" w:eastAsia="Times New Roman" w:hAnsi="Times New Roman" w:cs="Times New Roman"/>
                <w:color w:val="000000"/>
                <w:sz w:val="24"/>
                <w:szCs w:val="24"/>
                <w:lang w:eastAsia="de-DE"/>
              </w:rPr>
              <w:t>)</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3CDE69"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0.02</w:t>
            </w:r>
          </w:p>
        </w:tc>
      </w:tr>
      <w:tr w:rsidR="00475BBA" w14:paraId="0633A4C8"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AA32F3"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proofErr w:type="spellStart"/>
            <w:r>
              <w:rPr>
                <w:rFonts w:ascii="Times New Roman" w:eastAsia="Times New Roman" w:hAnsi="Times New Roman" w:cs="Times New Roman"/>
                <w:color w:val="000000"/>
                <w:sz w:val="24"/>
                <w:szCs w:val="24"/>
                <w:lang w:eastAsia="de-DE"/>
              </w:rPr>
              <w:t>Formulation</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binder</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anode</w:t>
            </w:r>
            <w:proofErr w:type="spellEnd"/>
            <w:r>
              <w:rPr>
                <w:rFonts w:ascii="Times New Roman" w:eastAsia="Times New Roman" w:hAnsi="Times New Roman" w:cs="Times New Roman"/>
                <w:color w:val="000000"/>
                <w:sz w:val="24"/>
                <w:szCs w:val="24"/>
                <w:lang w:eastAsia="de-DE"/>
              </w:rPr>
              <w:t>)</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714A14"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0.05</w:t>
            </w:r>
          </w:p>
        </w:tc>
      </w:tr>
      <w:tr w:rsidR="00475BBA" w14:paraId="03C89EB5"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453306" w14:textId="77777777" w:rsidR="00475BBA" w:rsidRDefault="000E1B1E">
            <w:pPr>
              <w:suppressAutoHyphens w:val="0"/>
              <w:spacing w:after="0" w:line="24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Nominal grammage (cathode) [mg/cm²]</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C320A8"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16.67</w:t>
            </w:r>
          </w:p>
        </w:tc>
      </w:tr>
      <w:tr w:rsidR="00475BBA" w14:paraId="41C58FDB"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7D38C8" w14:textId="77777777" w:rsidR="00475BBA" w:rsidRDefault="000E1B1E">
            <w:pPr>
              <w:suppressAutoHyphens w:val="0"/>
              <w:spacing w:after="0" w:line="24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Density active material (cathode) [g/cm³]</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F81EE1"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3.8</w:t>
            </w:r>
          </w:p>
        </w:tc>
      </w:tr>
      <w:tr w:rsidR="00475BBA" w14:paraId="1005B331"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2C9089" w14:textId="77777777" w:rsidR="00475BBA" w:rsidRDefault="000E1B1E">
            <w:pPr>
              <w:suppressAutoHyphens w:val="0"/>
              <w:spacing w:after="0" w:line="24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 xml:space="preserve">Density </w:t>
            </w:r>
            <w:proofErr w:type="spellStart"/>
            <w:r>
              <w:rPr>
                <w:rFonts w:ascii="Times New Roman" w:eastAsia="Times New Roman" w:hAnsi="Times New Roman" w:cs="Times New Roman"/>
                <w:color w:val="000000"/>
                <w:sz w:val="24"/>
                <w:szCs w:val="24"/>
                <w:lang w:val="en-US" w:eastAsia="de-DE"/>
              </w:rPr>
              <w:t>carbonblack</w:t>
            </w:r>
            <w:proofErr w:type="spellEnd"/>
            <w:r>
              <w:rPr>
                <w:rFonts w:ascii="Times New Roman" w:eastAsia="Times New Roman" w:hAnsi="Times New Roman" w:cs="Times New Roman"/>
                <w:color w:val="000000"/>
                <w:sz w:val="24"/>
                <w:szCs w:val="24"/>
                <w:lang w:val="en-US" w:eastAsia="de-DE"/>
              </w:rPr>
              <w:t xml:space="preserve"> (cathode) [g/cm³]</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B1B8A6"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1.8</w:t>
            </w:r>
          </w:p>
        </w:tc>
      </w:tr>
      <w:tr w:rsidR="00475BBA" w14:paraId="5F6B27BE"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B80E15" w14:textId="77777777" w:rsidR="00475BBA" w:rsidRDefault="000E1B1E">
            <w:pPr>
              <w:suppressAutoHyphens w:val="0"/>
              <w:spacing w:after="0" w:line="24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Density graphite (cathode) [g/cm³]</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0106B5"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2.2</w:t>
            </w:r>
          </w:p>
        </w:tc>
      </w:tr>
      <w:tr w:rsidR="00475BBA" w14:paraId="331461FA"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E083A2" w14:textId="77777777" w:rsidR="00475BBA" w:rsidRDefault="000E1B1E">
            <w:pPr>
              <w:suppressAutoHyphens w:val="0"/>
              <w:spacing w:after="0" w:line="24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Density binder (cathode) [g/cm³]</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26AF00"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1.76</w:t>
            </w:r>
          </w:p>
        </w:tc>
      </w:tr>
      <w:tr w:rsidR="00475BBA" w14:paraId="3596E666"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FF7888" w14:textId="77777777" w:rsidR="00475BBA" w:rsidRDefault="000E1B1E">
            <w:pPr>
              <w:suppressAutoHyphens w:val="0"/>
              <w:spacing w:after="0" w:line="24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Density solvent (cathode) [g/cm³]</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BFC289"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1.03</w:t>
            </w:r>
          </w:p>
        </w:tc>
      </w:tr>
      <w:tr w:rsidR="00475BBA" w14:paraId="5878ECE2"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11AECB"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proofErr w:type="spellStart"/>
            <w:r>
              <w:rPr>
                <w:rFonts w:ascii="Times New Roman" w:eastAsia="Times New Roman" w:hAnsi="Times New Roman" w:cs="Times New Roman"/>
                <w:color w:val="000000"/>
                <w:sz w:val="24"/>
                <w:szCs w:val="24"/>
                <w:lang w:eastAsia="de-DE"/>
              </w:rPr>
              <w:lastRenderedPageBreak/>
              <w:t>Formulation</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active</w:t>
            </w:r>
            <w:proofErr w:type="spellEnd"/>
            <w:r>
              <w:rPr>
                <w:rFonts w:ascii="Times New Roman" w:eastAsia="Times New Roman" w:hAnsi="Times New Roman" w:cs="Times New Roman"/>
                <w:color w:val="000000"/>
                <w:sz w:val="24"/>
                <w:szCs w:val="24"/>
                <w:lang w:eastAsia="de-DE"/>
              </w:rPr>
              <w:t xml:space="preserve"> material </w:t>
            </w:r>
            <w:r>
              <w:rPr>
                <w:rFonts w:ascii="Times New Roman" w:eastAsia="Times New Roman" w:hAnsi="Times New Roman" w:cs="Times New Roman"/>
                <w:color w:val="000000"/>
                <w:sz w:val="24"/>
                <w:szCs w:val="24"/>
                <w:lang w:val="en-US" w:eastAsia="de-DE"/>
              </w:rPr>
              <w:t>(cathode)</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6B967C"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0.9</w:t>
            </w:r>
          </w:p>
        </w:tc>
      </w:tr>
      <w:tr w:rsidR="00475BBA" w14:paraId="6CB43408"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249223" w14:textId="77777777" w:rsidR="00475BBA" w:rsidRDefault="000E1B1E">
            <w:pPr>
              <w:suppressAutoHyphens w:val="0"/>
              <w:spacing w:after="0" w:line="24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Formulation carbon black (cathode)</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07221B"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0.04</w:t>
            </w:r>
          </w:p>
        </w:tc>
      </w:tr>
      <w:tr w:rsidR="00475BBA" w14:paraId="060C7A4A"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3D0905"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proofErr w:type="spellStart"/>
            <w:r>
              <w:rPr>
                <w:rFonts w:ascii="Times New Roman" w:eastAsia="Times New Roman" w:hAnsi="Times New Roman" w:cs="Times New Roman"/>
                <w:color w:val="000000"/>
                <w:sz w:val="24"/>
                <w:szCs w:val="24"/>
                <w:lang w:eastAsia="de-DE"/>
              </w:rPr>
              <w:t>Formulation</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graphite</w:t>
            </w:r>
            <w:proofErr w:type="spellEnd"/>
            <w:r>
              <w:rPr>
                <w:rFonts w:ascii="Times New Roman" w:eastAsia="Times New Roman" w:hAnsi="Times New Roman" w:cs="Times New Roman"/>
                <w:color w:val="000000"/>
                <w:sz w:val="24"/>
                <w:szCs w:val="24"/>
                <w:lang w:eastAsia="de-DE"/>
              </w:rPr>
              <w:t xml:space="preserve"> </w:t>
            </w:r>
            <w:r>
              <w:rPr>
                <w:rFonts w:ascii="Times New Roman" w:eastAsia="Times New Roman" w:hAnsi="Times New Roman" w:cs="Times New Roman"/>
                <w:color w:val="000000"/>
                <w:sz w:val="24"/>
                <w:szCs w:val="24"/>
                <w:lang w:val="en-US" w:eastAsia="de-DE"/>
              </w:rPr>
              <w:t>(cathode)</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8FF73C"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0.02</w:t>
            </w:r>
          </w:p>
        </w:tc>
      </w:tr>
      <w:tr w:rsidR="00475BBA" w14:paraId="17729EE3" w14:textId="77777777">
        <w:trPr>
          <w:trHeight w:val="288"/>
          <w:jc w:val="center"/>
        </w:trPr>
        <w:tc>
          <w:tcPr>
            <w:tcW w:w="4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BC12EB" w14:textId="77777777" w:rsidR="00475BBA" w:rsidRDefault="000E1B1E">
            <w:pPr>
              <w:suppressAutoHyphens w:val="0"/>
              <w:spacing w:after="0" w:line="240" w:lineRule="auto"/>
              <w:rPr>
                <w:rFonts w:ascii="Times New Roman" w:eastAsia="Times New Roman" w:hAnsi="Times New Roman" w:cs="Times New Roman"/>
                <w:color w:val="000000"/>
                <w:sz w:val="24"/>
                <w:szCs w:val="24"/>
                <w:lang w:eastAsia="de-DE"/>
              </w:rPr>
            </w:pPr>
            <w:proofErr w:type="spellStart"/>
            <w:r>
              <w:rPr>
                <w:rFonts w:ascii="Times New Roman" w:eastAsia="Times New Roman" w:hAnsi="Times New Roman" w:cs="Times New Roman"/>
                <w:color w:val="000000"/>
                <w:sz w:val="24"/>
                <w:szCs w:val="24"/>
                <w:lang w:eastAsia="de-DE"/>
              </w:rPr>
              <w:t>Formulation</w:t>
            </w:r>
            <w:proofErr w:type="spellEnd"/>
            <w:r>
              <w:rPr>
                <w:rFonts w:ascii="Times New Roman" w:eastAsia="Times New Roman" w:hAnsi="Times New Roman" w:cs="Times New Roman"/>
                <w:color w:val="000000"/>
                <w:sz w:val="24"/>
                <w:szCs w:val="24"/>
                <w:lang w:eastAsia="de-DE"/>
              </w:rPr>
              <w:t xml:space="preserve"> </w:t>
            </w:r>
            <w:proofErr w:type="spellStart"/>
            <w:r>
              <w:rPr>
                <w:rFonts w:ascii="Times New Roman" w:eastAsia="Times New Roman" w:hAnsi="Times New Roman" w:cs="Times New Roman"/>
                <w:color w:val="000000"/>
                <w:sz w:val="24"/>
                <w:szCs w:val="24"/>
                <w:lang w:eastAsia="de-DE"/>
              </w:rPr>
              <w:t>binder</w:t>
            </w:r>
            <w:proofErr w:type="spellEnd"/>
            <w:r>
              <w:rPr>
                <w:rFonts w:ascii="Times New Roman" w:eastAsia="Times New Roman" w:hAnsi="Times New Roman" w:cs="Times New Roman"/>
                <w:color w:val="000000"/>
                <w:sz w:val="24"/>
                <w:szCs w:val="24"/>
                <w:lang w:eastAsia="de-DE"/>
              </w:rPr>
              <w:t xml:space="preserve"> </w:t>
            </w:r>
            <w:r>
              <w:rPr>
                <w:rFonts w:ascii="Times New Roman" w:eastAsia="Times New Roman" w:hAnsi="Times New Roman" w:cs="Times New Roman"/>
                <w:color w:val="000000"/>
                <w:sz w:val="24"/>
                <w:szCs w:val="24"/>
                <w:lang w:val="en-US" w:eastAsia="de-DE"/>
              </w:rPr>
              <w:t>(cathode)</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E9763" w14:textId="77777777" w:rsidR="00475BBA" w:rsidRDefault="000E1B1E">
            <w:pPr>
              <w:suppressAutoHyphens w:val="0"/>
              <w:spacing w:after="0" w:line="240" w:lineRule="auto"/>
              <w:jc w:val="right"/>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0.04</w:t>
            </w:r>
          </w:p>
        </w:tc>
      </w:tr>
    </w:tbl>
    <w:p w14:paraId="23462FED" w14:textId="77777777" w:rsidR="00475BBA" w:rsidRDefault="00475BBA">
      <w:pPr>
        <w:jc w:val="both"/>
        <w:rPr>
          <w:rFonts w:ascii="Times New Roman" w:hAnsi="Times New Roman" w:cs="Times New Roman"/>
          <w:sz w:val="24"/>
          <w:szCs w:val="24"/>
          <w:lang w:val="en-US"/>
        </w:rPr>
      </w:pPr>
    </w:p>
    <w:p w14:paraId="56A9592F"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simulation results were used to assess the environmental impacts of the produced cells. </w:t>
      </w:r>
      <w:bookmarkStart w:id="2" w:name="_Hlk215045075"/>
      <w:r>
        <w:rPr>
          <w:rFonts w:ascii="Times New Roman" w:hAnsi="Times New Roman" w:cs="Times New Roman"/>
          <w:sz w:val="24"/>
          <w:szCs w:val="24"/>
          <w:lang w:val="en-US"/>
        </w:rPr>
        <w:t xml:space="preserve">Due to the agent-based simulation approach, it was possible to trace the conditions under which each battery cell was produced. </w:t>
      </w:r>
      <w:bookmarkEnd w:id="2"/>
      <w:r>
        <w:rPr>
          <w:rFonts w:ascii="Times New Roman" w:hAnsi="Times New Roman" w:cs="Times New Roman"/>
          <w:sz w:val="24"/>
          <w:szCs w:val="24"/>
          <w:lang w:val="en-US"/>
        </w:rPr>
        <w:t xml:space="preserve">Therefore, the simulation results were further treated with a </w:t>
      </w:r>
      <w:bookmarkStart w:id="3" w:name="_Hlk215045100"/>
      <w:r>
        <w:rPr>
          <w:rFonts w:ascii="Times New Roman" w:hAnsi="Times New Roman" w:cs="Times New Roman"/>
          <w:sz w:val="24"/>
          <w:szCs w:val="24"/>
          <w:lang w:val="en-US"/>
        </w:rPr>
        <w:t>tool that calculates the environmental impacts of the cells while allowing different approaches to aggregate the data (temporal and spatial) and to handle the multifunctionality.</w:t>
      </w:r>
      <w:bookmarkEnd w:id="3"/>
    </w:p>
    <w:p w14:paraId="39CF41DB"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Within the simulation, the energy and material flows are assigned to the respective electrodes and cells. With the tool to calculate the environmental impacts, the material flows are linked to static impact values based on </w:t>
      </w:r>
      <w:proofErr w:type="spellStart"/>
      <w:r>
        <w:rPr>
          <w:rFonts w:ascii="Times New Roman" w:hAnsi="Times New Roman" w:cs="Times New Roman"/>
          <w:sz w:val="24"/>
          <w:szCs w:val="24"/>
          <w:lang w:val="en-US"/>
        </w:rPr>
        <w:t>ecoinvent</w:t>
      </w:r>
      <w:proofErr w:type="spellEnd"/>
      <w:r>
        <w:rPr>
          <w:rFonts w:ascii="Times New Roman" w:hAnsi="Times New Roman" w:cs="Times New Roman"/>
          <w:sz w:val="24"/>
          <w:szCs w:val="24"/>
          <w:lang w:val="en-US"/>
        </w:rPr>
        <w:t xml:space="preserve"> and current literature </w:t>
      </w:r>
      <w:r>
        <w:fldChar w:fldCharType="begin"/>
      </w:r>
      <w:r>
        <w:rPr>
          <w:rFonts w:ascii="Times New Roman" w:hAnsi="Times New Roman" w:cs="Times New Roman"/>
          <w:sz w:val="24"/>
          <w:szCs w:val="24"/>
          <w:lang w:val="en-US"/>
        </w:rPr>
        <w:instrText>ADDIN CSL_CITATION {"citationItems":[{"id":"ITEM-1","itemData":{"DOI":"10.1016/j.jclepro.2024.141725","ISSN":"09596526","author":[{"dropping-particle":"","family":"Kallitsis","given":"Evangelos","non-dropping-particle":"","parse-names":false,"suffix":""},{"dropping-particle":"","family":"Lindsay","given":"Jordan J.","non-dropping-particle":"","parse-names":false,"suffix":""},{"dropping-particle":"","family":"Chordia","given":"Mudit","non-dropping-particle":"","parse-names":false,"suffix":""},{"dropping-particle":"","family":"Wu","given":"Billy","non-dropping-particle":"","parse-names":false,"suffix":""},{"dropping-particle":"","family":"Offer","given":"Gregory J.","non-dropping-particle":"","parse-names":false,"suffix":""},{"dropping-particle":"","family":"Edge","given":"Jacqueline S.","non-dropping-particle":"","parse-names":false,"suffix":""}],"container-title":"Journal of Cleaner Production","id":"ITEM-1","issued":{"date-parts":[["2024"]]},"page":"141725","publisher":"Elsevier Ltd","title":"Think global act local: The dependency of global lithium-ion battery emissions on production location and material sources","type":"article-journal","volume":"449"},"uris":["http://www.mendeley.com/documents/?uuid=d12b9b3a-ed0b-477f-a2b6-fe7cd6086aa9"]}],"mendeley":{"formattedCitation":"&lt;sup&gt;8&lt;/sup&gt;","plainTextFormattedCitation":"8","previouslyFormattedCitation":"&lt;sup&gt;8&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electricity flows are linked to dynamic impact values, which reflect the energy mix at the respective time of production of the electrodes and cell. The carbon intensity of the electricity is based on retrospective hourly data for 2023 for Germany </w:t>
      </w:r>
      <w:r>
        <w:fldChar w:fldCharType="begin"/>
      </w:r>
      <w:r>
        <w:rPr>
          <w:rFonts w:ascii="Times New Roman" w:hAnsi="Times New Roman" w:cs="Times New Roman"/>
          <w:sz w:val="24"/>
          <w:szCs w:val="24"/>
          <w:lang w:val="en-US"/>
        </w:rPr>
        <w:instrText>ADDIN CSL_CITATION {"citationItems":[{"id":"ITEM-1","itemData":{"URL":"https://www.electricitymaps.com","author":[{"dropping-particle":"","family":"Electricity Maps","given":"","non-dropping-particle":"","parse-names":false,"suffix":""}],"id":"ITEM-1","issued":{"date-parts":[["2025"]]},"title":"Germany, 2023 Carbon Intensity Data","type":"webpage"},"uris":["http://www.mendeley.com/documents/?uuid=16bc3c48-fad7-422d-95b9-5e1be5f53e0f"]}],"mendeley":{"formattedCitation":"&lt;sup&gt;9&lt;/sup&gt;","plainTextFormattedCitation":"9","previouslyFormattedCitation":"&lt;sup&gt;9&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which is aggregated depending on the respective temporal resolution.</w:t>
      </w:r>
    </w:p>
    <w:p w14:paraId="5F1E49F8" w14:textId="72BE4B62"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modular structure of the calculations enables different temporal and spatial aggregations of the environmental impacts of battery cell production, e.g. the average impacts of all cells produced in one hour, day or month. As the duration of the different production processes for electrodes and cell manufacturing differs and can last over several time intervals of the respective temporal resolution, an individual dynamic average of the impacts for electricity production in this interval is calculated. Scraps are allocated (according to the respective accounting approach) based on the end of the process / process chain (e.g. for cells based on the end of the formation process). For different spatial </w:t>
      </w:r>
      <w:r w:rsidR="00E872ED">
        <w:rPr>
          <w:rFonts w:ascii="Times New Roman" w:hAnsi="Times New Roman" w:cs="Times New Roman"/>
          <w:sz w:val="24"/>
          <w:szCs w:val="24"/>
          <w:lang w:val="en-US"/>
        </w:rPr>
        <w:t>scales</w:t>
      </w:r>
      <w:r>
        <w:rPr>
          <w:rFonts w:ascii="Times New Roman" w:hAnsi="Times New Roman" w:cs="Times New Roman"/>
          <w:sz w:val="24"/>
          <w:szCs w:val="24"/>
          <w:lang w:val="en-US"/>
        </w:rPr>
        <w:t>, the climate change impacts of different process steps with spatial proximity are aggregated (e.g. area or factory-wise) assuming less resources are available for data collection (especially regarding the energy consumption).</w:t>
      </w:r>
    </w:p>
    <w:p w14:paraId="2808A003" w14:textId="095EF3C1" w:rsidR="00475BBA" w:rsidRDefault="000E1B1E">
      <w:pPr>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Besides the temporal and spatial </w:t>
      </w:r>
      <w:r w:rsidR="00E872ED">
        <w:rPr>
          <w:rFonts w:ascii="Times New Roman" w:hAnsi="Times New Roman" w:cs="Times New Roman"/>
          <w:sz w:val="24"/>
          <w:szCs w:val="24"/>
          <w:lang w:val="en-US"/>
        </w:rPr>
        <w:t>aggregations</w:t>
      </w:r>
      <w:r>
        <w:rPr>
          <w:rFonts w:ascii="Times New Roman" w:hAnsi="Times New Roman" w:cs="Times New Roman"/>
          <w:sz w:val="24"/>
          <w:szCs w:val="24"/>
          <w:lang w:val="en-US"/>
        </w:rPr>
        <w:t xml:space="preserve">, the tool also allows for calculating the impacts of the battery cells while </w:t>
      </w:r>
      <w:bookmarkStart w:id="4" w:name="_Hlk215045519"/>
      <w:r>
        <w:rPr>
          <w:rFonts w:ascii="Times New Roman" w:hAnsi="Times New Roman" w:cs="Times New Roman"/>
          <w:sz w:val="24"/>
          <w:szCs w:val="24"/>
          <w:lang w:val="en-US"/>
        </w:rPr>
        <w:t xml:space="preserve">solving the multifunctionality in four different ways: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cut-off, ii) CFF, iii) CFF PS and iv) allocation. </w:t>
      </w:r>
      <w:bookmarkEnd w:id="4"/>
      <w:r>
        <w:rPr>
          <w:rFonts w:ascii="Times New Roman" w:hAnsi="Times New Roman" w:cs="Times New Roman"/>
          <w:sz w:val="24"/>
          <w:szCs w:val="24"/>
          <w:lang w:val="en-US"/>
        </w:rPr>
        <w:t>The tool links the unallocated climate change impacts with the respective parameters for the four allocation approaches and the impacts for production scrap recycling. The parameters can be adapted based on the manufacturer's specifications (recycled content, recycling rate, recycling process).</w:t>
      </w:r>
    </w:p>
    <w:p w14:paraId="6DEF62A9" w14:textId="77777777" w:rsidR="00475BBA" w:rsidRDefault="00475BBA">
      <w:pPr>
        <w:jc w:val="both"/>
        <w:rPr>
          <w:rFonts w:ascii="Times New Roman" w:hAnsi="Times New Roman" w:cs="Times New Roman"/>
          <w:sz w:val="24"/>
          <w:szCs w:val="24"/>
          <w:lang w:val="en-US"/>
        </w:rPr>
      </w:pPr>
    </w:p>
    <w:p w14:paraId="13A8E9DA" w14:textId="77777777" w:rsidR="00475BBA" w:rsidRDefault="000E1B1E">
      <w:pPr>
        <w:suppressAutoHyphens w:val="0"/>
        <w:rPr>
          <w:rFonts w:ascii="Times New Roman" w:hAnsi="Times New Roman" w:cs="Times New Roman"/>
          <w:sz w:val="24"/>
          <w:szCs w:val="24"/>
          <w:lang w:val="en-US"/>
        </w:rPr>
      </w:pPr>
      <w:r w:rsidRPr="0098389B">
        <w:rPr>
          <w:lang w:val="en-GB"/>
        </w:rPr>
        <w:br w:type="page"/>
      </w:r>
    </w:p>
    <w:p w14:paraId="52201ECB" w14:textId="77777777" w:rsidR="00475BBA" w:rsidRDefault="000E1B1E">
      <w:pPr>
        <w:pStyle w:val="Listenabsatz"/>
        <w:numPr>
          <w:ilvl w:val="0"/>
          <w:numId w:val="3"/>
        </w:numPr>
        <w:rPr>
          <w:rFonts w:ascii="Times New Roman" w:hAnsi="Times New Roman" w:cs="Times New Roman"/>
          <w:b/>
          <w:bCs/>
          <w:sz w:val="24"/>
          <w:szCs w:val="24"/>
        </w:rPr>
      </w:pPr>
      <w:r>
        <w:rPr>
          <w:rFonts w:ascii="Times New Roman" w:hAnsi="Times New Roman" w:cs="Times New Roman"/>
          <w:b/>
          <w:bCs/>
          <w:sz w:val="24"/>
          <w:szCs w:val="24"/>
          <w:lang w:val="en-US"/>
        </w:rPr>
        <w:lastRenderedPageBreak/>
        <w:t>Allocation parameter</w:t>
      </w:r>
    </w:p>
    <w:p w14:paraId="354A4057" w14:textId="77777777" w:rsidR="00475BBA" w:rsidRDefault="000E1B1E">
      <w:pPr>
        <w:jc w:val="both"/>
        <w:rPr>
          <w:rFonts w:ascii="Times New Roman" w:hAnsi="Times New Roman" w:cs="Times New Roman"/>
          <w:sz w:val="24"/>
          <w:szCs w:val="24"/>
          <w:lang w:val="en-GB"/>
        </w:rPr>
      </w:pPr>
      <w:r>
        <w:rPr>
          <w:rFonts w:ascii="Times New Roman" w:hAnsi="Times New Roman" w:cs="Times New Roman"/>
          <w:sz w:val="24"/>
          <w:szCs w:val="24"/>
          <w:lang w:val="en-GB"/>
        </w:rPr>
        <w:t>The parameters needed for the allocation depend on the allocation approach chosen. Table SI-2 summarises the different parameters applied in this study's analysis.</w:t>
      </w:r>
    </w:p>
    <w:p w14:paraId="7C932756" w14:textId="77777777" w:rsidR="00475BBA" w:rsidRDefault="000E1B1E">
      <w:pPr>
        <w:pStyle w:val="Beschriftung"/>
        <w:keepNext/>
        <w:rPr>
          <w:rFonts w:ascii="Times New Roman" w:hAnsi="Times New Roman" w:cs="Times New Roman"/>
          <w:sz w:val="24"/>
          <w:szCs w:val="24"/>
          <w:lang w:val="en-GB"/>
        </w:rPr>
      </w:pPr>
      <w:r>
        <w:rPr>
          <w:rFonts w:ascii="Times New Roman" w:hAnsi="Times New Roman" w:cs="Times New Roman"/>
          <w:sz w:val="24"/>
          <w:szCs w:val="24"/>
          <w:lang w:val="en-GB"/>
        </w:rPr>
        <w:t>Table SI-2: Parameters used for allocation approaches</w:t>
      </w:r>
    </w:p>
    <w:tbl>
      <w:tblPr>
        <w:tblStyle w:val="Tabellenraster"/>
        <w:tblW w:w="9062" w:type="dxa"/>
        <w:tblLayout w:type="fixed"/>
        <w:tblLook w:val="04A0" w:firstRow="1" w:lastRow="0" w:firstColumn="1" w:lastColumn="0" w:noHBand="0" w:noVBand="1"/>
      </w:tblPr>
      <w:tblGrid>
        <w:gridCol w:w="1408"/>
        <w:gridCol w:w="1471"/>
        <w:gridCol w:w="1362"/>
        <w:gridCol w:w="1365"/>
        <w:gridCol w:w="3456"/>
      </w:tblGrid>
      <w:tr w:rsidR="00475BBA" w14:paraId="0475B52A" w14:textId="77777777">
        <w:tc>
          <w:tcPr>
            <w:tcW w:w="1408" w:type="dxa"/>
          </w:tcPr>
          <w:p w14:paraId="3459175D" w14:textId="77777777" w:rsidR="00475BBA" w:rsidRDefault="000E1B1E">
            <w:pPr>
              <w:spacing w:after="0" w:line="240" w:lineRule="auto"/>
              <w:rPr>
                <w:rFonts w:ascii="Times New Roman" w:hAnsi="Times New Roman" w:cs="Times New Roman"/>
                <w:b/>
                <w:bCs/>
                <w:sz w:val="24"/>
                <w:szCs w:val="24"/>
                <w:lang w:val="en-GB"/>
              </w:rPr>
            </w:pPr>
            <w:r>
              <w:rPr>
                <w:rFonts w:ascii="Times New Roman" w:eastAsia="Calibri" w:hAnsi="Times New Roman" w:cs="Times New Roman"/>
                <w:b/>
                <w:bCs/>
                <w:sz w:val="24"/>
                <w:szCs w:val="24"/>
                <w:lang w:val="en-GB"/>
              </w:rPr>
              <w:t>Allocation approach</w:t>
            </w:r>
          </w:p>
        </w:tc>
        <w:tc>
          <w:tcPr>
            <w:tcW w:w="2833" w:type="dxa"/>
            <w:gridSpan w:val="2"/>
          </w:tcPr>
          <w:p w14:paraId="58E20DD8" w14:textId="77777777" w:rsidR="00475BBA" w:rsidRDefault="000E1B1E">
            <w:pPr>
              <w:spacing w:after="0" w:line="240" w:lineRule="auto"/>
              <w:rPr>
                <w:rFonts w:ascii="Times New Roman" w:hAnsi="Times New Roman" w:cs="Times New Roman"/>
                <w:b/>
                <w:bCs/>
                <w:sz w:val="24"/>
                <w:szCs w:val="24"/>
                <w:lang w:val="en-GB"/>
              </w:rPr>
            </w:pPr>
            <w:r>
              <w:rPr>
                <w:rFonts w:ascii="Times New Roman" w:eastAsia="Calibri" w:hAnsi="Times New Roman" w:cs="Times New Roman"/>
                <w:b/>
                <w:bCs/>
                <w:sz w:val="24"/>
                <w:szCs w:val="24"/>
                <w:lang w:val="en-GB"/>
              </w:rPr>
              <w:t>Parameter</w:t>
            </w:r>
          </w:p>
        </w:tc>
        <w:tc>
          <w:tcPr>
            <w:tcW w:w="1365" w:type="dxa"/>
          </w:tcPr>
          <w:p w14:paraId="733A071C" w14:textId="77777777" w:rsidR="00475BBA" w:rsidRDefault="000E1B1E">
            <w:pPr>
              <w:spacing w:after="0" w:line="240" w:lineRule="auto"/>
              <w:rPr>
                <w:rFonts w:ascii="Times New Roman" w:hAnsi="Times New Roman" w:cs="Times New Roman"/>
                <w:b/>
                <w:bCs/>
                <w:sz w:val="24"/>
                <w:szCs w:val="24"/>
                <w:lang w:val="en-GB"/>
              </w:rPr>
            </w:pPr>
            <w:r>
              <w:rPr>
                <w:rFonts w:ascii="Times New Roman" w:eastAsia="Calibri" w:hAnsi="Times New Roman" w:cs="Times New Roman"/>
                <w:b/>
                <w:bCs/>
                <w:sz w:val="24"/>
                <w:szCs w:val="24"/>
                <w:lang w:val="en-GB"/>
              </w:rPr>
              <w:t>Value</w:t>
            </w:r>
          </w:p>
        </w:tc>
        <w:tc>
          <w:tcPr>
            <w:tcW w:w="3456" w:type="dxa"/>
          </w:tcPr>
          <w:p w14:paraId="142FAFBE" w14:textId="77777777" w:rsidR="00475BBA" w:rsidRDefault="000E1B1E">
            <w:pPr>
              <w:spacing w:after="0" w:line="240" w:lineRule="auto"/>
              <w:rPr>
                <w:rFonts w:ascii="Times New Roman" w:hAnsi="Times New Roman" w:cs="Times New Roman"/>
                <w:b/>
                <w:bCs/>
                <w:sz w:val="24"/>
                <w:szCs w:val="24"/>
                <w:lang w:val="en-GB"/>
              </w:rPr>
            </w:pPr>
            <w:r>
              <w:rPr>
                <w:rFonts w:ascii="Times New Roman" w:eastAsia="Calibri" w:hAnsi="Times New Roman" w:cs="Times New Roman"/>
                <w:b/>
                <w:bCs/>
                <w:sz w:val="24"/>
                <w:szCs w:val="24"/>
                <w:lang w:val="en-GB"/>
              </w:rPr>
              <w:t>Notes</w:t>
            </w:r>
          </w:p>
        </w:tc>
      </w:tr>
      <w:tr w:rsidR="00475BBA" w14:paraId="6B3E064D" w14:textId="77777777">
        <w:tc>
          <w:tcPr>
            <w:tcW w:w="1408" w:type="dxa"/>
            <w:vMerge w:val="restart"/>
          </w:tcPr>
          <w:p w14:paraId="32B3B505" w14:textId="77777777" w:rsidR="00475BBA" w:rsidRDefault="000E1B1E">
            <w:pPr>
              <w:spacing w:after="0" w:line="240" w:lineRule="auto"/>
              <w:rPr>
                <w:rFonts w:ascii="Times New Roman" w:hAnsi="Times New Roman" w:cs="Times New Roman"/>
                <w:b/>
                <w:bCs/>
                <w:sz w:val="24"/>
                <w:szCs w:val="24"/>
                <w:lang w:val="en-GB"/>
              </w:rPr>
            </w:pPr>
            <w:proofErr w:type="spellStart"/>
            <w:r>
              <w:rPr>
                <w:rFonts w:ascii="Times New Roman" w:eastAsia="Calibri" w:hAnsi="Times New Roman" w:cs="Times New Roman"/>
                <w:b/>
                <w:bCs/>
                <w:sz w:val="24"/>
                <w:szCs w:val="24"/>
                <w:lang w:val="en-GB"/>
              </w:rPr>
              <w:t>EoL</w:t>
            </w:r>
            <w:proofErr w:type="spellEnd"/>
            <w:r>
              <w:rPr>
                <w:rFonts w:ascii="Times New Roman" w:eastAsia="Calibri" w:hAnsi="Times New Roman" w:cs="Times New Roman"/>
                <w:b/>
                <w:bCs/>
                <w:sz w:val="24"/>
                <w:szCs w:val="24"/>
                <w:lang w:val="en-GB"/>
              </w:rPr>
              <w:t xml:space="preserve"> Allocation</w:t>
            </w:r>
          </w:p>
        </w:tc>
        <w:tc>
          <w:tcPr>
            <w:tcW w:w="1471" w:type="dxa"/>
            <w:vMerge w:val="restart"/>
          </w:tcPr>
          <w:p w14:paraId="33345377"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Recycled content</w:t>
            </w:r>
          </w:p>
        </w:tc>
        <w:tc>
          <w:tcPr>
            <w:tcW w:w="1362" w:type="dxa"/>
          </w:tcPr>
          <w:p w14:paraId="7972BD1D"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NMC</w:t>
            </w:r>
          </w:p>
        </w:tc>
        <w:tc>
          <w:tcPr>
            <w:tcW w:w="1365" w:type="dxa"/>
          </w:tcPr>
          <w:p w14:paraId="41CE0D47"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0.062</w:t>
            </w:r>
          </w:p>
        </w:tc>
        <w:tc>
          <w:tcPr>
            <w:tcW w:w="3456" w:type="dxa"/>
          </w:tcPr>
          <w:p w14:paraId="18E02D7E"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Calculated from individual recycled contents of materials, values for lithium, nickel and cobalt based on EU Batteries Regulation. For manganese, the same value as for lithium and nickel is assumed.</w:t>
            </w:r>
            <w:r>
              <w:fldChar w:fldCharType="begin"/>
            </w:r>
            <w:r>
              <w:rPr>
                <w:rFonts w:ascii="Times New Roman" w:eastAsia="Calibri" w:hAnsi="Times New Roman" w:cs="Times New Roman"/>
                <w:sz w:val="24"/>
                <w:szCs w:val="24"/>
                <w:lang w:val="en-GB"/>
              </w:rPr>
              <w:instrText>ADDIN CSL_CITATION {"citationItems":[{"id":"ITEM-1","itemData":{"author":[{"dropping-particle":"","family":"European Parliament and European Council","given":"","non-dropping-particle":"","parse-names":false,"suffix":""}],"id":"ITEM-1","issued":{"date-parts":[["2023"]]},"title":"Regulation (EU) 2023 of the European Parliament and of the Council concerning batteries and waste batteries","type":"article"},"uris":["http://www.mendeley.com/documents/?uuid=2c53d2c5-0e56-4c8b-b97e-b7a4fc7a323e"]}],"mendeley":{"formattedCitation":"&lt;sup&gt;10&lt;/sup&gt;","plainTextFormattedCitation":"10","previouslyFormattedCitation":"&lt;sup&gt;10&lt;/sup&gt;"},"properties":{"noteIndex":0},"schema":"https://github.com/citation-style-language/schema/raw/master/csl-citation.json"}</w:instrText>
            </w:r>
            <w:r>
              <w:rPr>
                <w:rFonts w:ascii="Times New Roman" w:eastAsia="Calibri" w:hAnsi="Times New Roman" w:cs="Times New Roman"/>
                <w:sz w:val="24"/>
                <w:szCs w:val="24"/>
                <w:lang w:val="en-GB"/>
              </w:rPr>
              <w:fldChar w:fldCharType="separate"/>
            </w:r>
            <w:r>
              <w:rPr>
                <w:rFonts w:ascii="Times New Roman" w:eastAsia="Calibri" w:hAnsi="Times New Roman" w:cs="Times New Roman"/>
                <w:sz w:val="24"/>
                <w:szCs w:val="24"/>
                <w:vertAlign w:val="superscript"/>
                <w:lang w:val="en-GB"/>
              </w:rPr>
              <w:t>10</w:t>
            </w:r>
            <w:r>
              <w:rPr>
                <w:rFonts w:ascii="Times New Roman" w:eastAsia="Calibri" w:hAnsi="Times New Roman" w:cs="Times New Roman"/>
                <w:sz w:val="24"/>
                <w:szCs w:val="24"/>
                <w:lang w:val="en-GB"/>
              </w:rPr>
              <w:fldChar w:fldCharType="end"/>
            </w:r>
          </w:p>
        </w:tc>
      </w:tr>
      <w:tr w:rsidR="00475BBA" w:rsidRPr="005F118A" w14:paraId="19591573" w14:textId="77777777">
        <w:tc>
          <w:tcPr>
            <w:tcW w:w="1408" w:type="dxa"/>
            <w:vMerge/>
          </w:tcPr>
          <w:p w14:paraId="45849569" w14:textId="77777777" w:rsidR="00475BBA" w:rsidRDefault="00475BBA">
            <w:pPr>
              <w:spacing w:after="0" w:line="240" w:lineRule="auto"/>
              <w:rPr>
                <w:rFonts w:ascii="Times New Roman" w:hAnsi="Times New Roman" w:cs="Times New Roman"/>
                <w:b/>
                <w:bCs/>
                <w:sz w:val="24"/>
                <w:szCs w:val="24"/>
                <w:lang w:val="en-GB"/>
              </w:rPr>
            </w:pPr>
          </w:p>
        </w:tc>
        <w:tc>
          <w:tcPr>
            <w:tcW w:w="1471" w:type="dxa"/>
            <w:vMerge/>
          </w:tcPr>
          <w:p w14:paraId="0A64A41B" w14:textId="77777777" w:rsidR="00475BBA" w:rsidRDefault="00475BBA">
            <w:pPr>
              <w:spacing w:after="0" w:line="240" w:lineRule="auto"/>
              <w:rPr>
                <w:rFonts w:ascii="Times New Roman" w:hAnsi="Times New Roman" w:cs="Times New Roman"/>
                <w:sz w:val="24"/>
                <w:szCs w:val="24"/>
                <w:lang w:val="en-GB"/>
              </w:rPr>
            </w:pPr>
          </w:p>
        </w:tc>
        <w:tc>
          <w:tcPr>
            <w:tcW w:w="1362" w:type="dxa"/>
          </w:tcPr>
          <w:p w14:paraId="51F853CF"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Graphite</w:t>
            </w:r>
          </w:p>
        </w:tc>
        <w:tc>
          <w:tcPr>
            <w:tcW w:w="1365" w:type="dxa"/>
          </w:tcPr>
          <w:p w14:paraId="3EB40849"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0.06</w:t>
            </w:r>
          </w:p>
        </w:tc>
        <w:tc>
          <w:tcPr>
            <w:tcW w:w="3456" w:type="dxa"/>
          </w:tcPr>
          <w:p w14:paraId="1BAEBB6D"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No value given in EU Batteries Regulation. Same value assumed as for lithium.</w:t>
            </w:r>
          </w:p>
        </w:tc>
      </w:tr>
      <w:tr w:rsidR="00475BBA" w14:paraId="6CB7EEA5" w14:textId="77777777">
        <w:tc>
          <w:tcPr>
            <w:tcW w:w="1408" w:type="dxa"/>
            <w:vMerge/>
          </w:tcPr>
          <w:p w14:paraId="09988FE2" w14:textId="77777777" w:rsidR="00475BBA" w:rsidRDefault="00475BBA">
            <w:pPr>
              <w:spacing w:after="0" w:line="240" w:lineRule="auto"/>
              <w:rPr>
                <w:rFonts w:ascii="Times New Roman" w:hAnsi="Times New Roman" w:cs="Times New Roman"/>
                <w:b/>
                <w:bCs/>
                <w:sz w:val="24"/>
                <w:szCs w:val="24"/>
                <w:lang w:val="en-GB"/>
              </w:rPr>
            </w:pPr>
          </w:p>
        </w:tc>
        <w:tc>
          <w:tcPr>
            <w:tcW w:w="1471" w:type="dxa"/>
            <w:vMerge w:val="restart"/>
          </w:tcPr>
          <w:p w14:paraId="3CD47FEF"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Recycling rate</w:t>
            </w:r>
          </w:p>
        </w:tc>
        <w:tc>
          <w:tcPr>
            <w:tcW w:w="1362" w:type="dxa"/>
          </w:tcPr>
          <w:p w14:paraId="3F3CBB75"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Electrodes</w:t>
            </w:r>
          </w:p>
        </w:tc>
        <w:tc>
          <w:tcPr>
            <w:tcW w:w="1365" w:type="dxa"/>
          </w:tcPr>
          <w:p w14:paraId="17F043DC"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0.98</w:t>
            </w:r>
          </w:p>
        </w:tc>
        <w:tc>
          <w:tcPr>
            <w:tcW w:w="3456" w:type="dxa"/>
          </w:tcPr>
          <w:p w14:paraId="776805EB"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Based on </w:t>
            </w:r>
            <w:proofErr w:type="spellStart"/>
            <w:r>
              <w:rPr>
                <w:rFonts w:ascii="Times New Roman" w:eastAsia="Calibri" w:hAnsi="Times New Roman" w:cs="Times New Roman"/>
                <w:sz w:val="24"/>
                <w:szCs w:val="24"/>
                <w:lang w:val="en-GB"/>
              </w:rPr>
              <w:t>Lefherz</w:t>
            </w:r>
            <w:proofErr w:type="spellEnd"/>
            <w:r>
              <w:rPr>
                <w:rFonts w:ascii="Times New Roman" w:eastAsia="Calibri" w:hAnsi="Times New Roman" w:cs="Times New Roman"/>
                <w:sz w:val="24"/>
                <w:szCs w:val="24"/>
                <w:lang w:val="en-GB"/>
              </w:rPr>
              <w:t xml:space="preserve"> et al. </w:t>
            </w:r>
            <w:r>
              <w:fldChar w:fldCharType="begin"/>
            </w:r>
            <w:r>
              <w:rPr>
                <w:rFonts w:ascii="Times New Roman" w:eastAsia="Calibri" w:hAnsi="Times New Roman" w:cs="Times New Roman"/>
                <w:sz w:val="24"/>
                <w:szCs w:val="24"/>
                <w:lang w:val="en-GB"/>
              </w:rPr>
              <w:instrText>ADDIN CSL_CITATION {"citationItems":[{"id":"ITEM-1","itemData":{"DOI":"10.1016/j.procir.2023.02.012","ISSN":"22128271","abstract":"With increasing demand for batteries, the amount of battery production waste rises. Due to the high value, purity and embodied energy of the materials found in the electrode production waste, direct recycling integrated into the process chain has been identified as a strategy to consistently reduce the environmental impacts of the battery cell manufacturing industry. The potential for reducing environmental impacts depends on the process route and its characteristics, e.g. its recovery rates and energy and material intensity. To recover electrode materials efficiently, a direct recycling process can be used, targeting the immediate reuse of the coating materials for the production of new electrodes. Anodes and cathodes are comminuted to decoat the electrode. After a separation process, the segregated black mass can be reused in electrode production. In this paper, the potential to reduce environmental impacts by closed loop recycling was examined. Energy and mass flow models for an environmental assessment are developed based on lab and literature data. Furthermore, the benefit of direct recycling was evaluated by comparing its environmental footprint with a different battery recycling process (e.g. LithoRec). Direct recycling integrated into the factory system will allow for a more sustainable and circular production of battery cells.","author":[{"dropping-particle":"","family":"Lefherz","given":"Hannes","non-dropping-particle":"","parse-names":false,"suffix":""},{"dropping-particle":"","family":"Dilger","given":"Nikolas","non-dropping-particle":"","parse-names":false,"suffix":""},{"dropping-particle":"","family":"Melzig","given":"Sebastian","non-dropping-particle":"","parse-names":false,"suffix":""},{"dropping-particle":"","family":"Cerdas","given":"Felipe","non-dropping-particle":"","parse-names":false,"suffix":""},{"dropping-particle":"","family":"Zellmer","given":"Sabrina","non-dropping-particle":"","parse-names":false,"suffix":""}],"container-title":"Procedia CIRP","id":"ITEM-1","issued":{"date-parts":[["2023"]]},"page":"65-70","publisher":"Elsevier B.V.","title":"Tighten the loop - Potential for reduction of environmental impacts by direct recycling of battery production waste","type":"article-journal","volume":"116"},"uris":["http://www.mendeley.com/documents/?uuid=d5a55ab2-5607-4bdd-b7c9-6ebbec1be927"]}],"mendeley":{"formattedCitation":"&lt;sup&gt;11&lt;/sup&gt;","plainTextFormattedCitation":"11","previouslyFormattedCitation":"&lt;sup&gt;11&lt;/sup&gt;"},"properties":{"noteIndex":0},"schema":"https://github.com/citation-style-language/schema/raw/master/csl-citation.json"}</w:instrText>
            </w:r>
            <w:r>
              <w:rPr>
                <w:rFonts w:ascii="Times New Roman" w:eastAsia="Calibri" w:hAnsi="Times New Roman" w:cs="Times New Roman"/>
                <w:sz w:val="24"/>
                <w:szCs w:val="24"/>
                <w:lang w:val="en-GB"/>
              </w:rPr>
              <w:fldChar w:fldCharType="separate"/>
            </w:r>
            <w:r>
              <w:rPr>
                <w:rFonts w:ascii="Times New Roman" w:eastAsia="Calibri" w:hAnsi="Times New Roman" w:cs="Times New Roman"/>
                <w:sz w:val="24"/>
                <w:szCs w:val="24"/>
                <w:vertAlign w:val="superscript"/>
                <w:lang w:val="en-GB"/>
              </w:rPr>
              <w:t>11</w:t>
            </w:r>
            <w:r>
              <w:rPr>
                <w:rFonts w:ascii="Times New Roman" w:eastAsia="Calibri" w:hAnsi="Times New Roman" w:cs="Times New Roman"/>
                <w:sz w:val="24"/>
                <w:szCs w:val="24"/>
                <w:lang w:val="en-GB"/>
              </w:rPr>
              <w:fldChar w:fldCharType="end"/>
            </w:r>
          </w:p>
        </w:tc>
      </w:tr>
      <w:tr w:rsidR="00475BBA" w14:paraId="5E1DB36F" w14:textId="77777777">
        <w:tc>
          <w:tcPr>
            <w:tcW w:w="1408" w:type="dxa"/>
            <w:vMerge/>
          </w:tcPr>
          <w:p w14:paraId="674B2DE5" w14:textId="77777777" w:rsidR="00475BBA" w:rsidRDefault="00475BBA">
            <w:pPr>
              <w:spacing w:after="0" w:line="240" w:lineRule="auto"/>
              <w:rPr>
                <w:rFonts w:ascii="Times New Roman" w:hAnsi="Times New Roman" w:cs="Times New Roman"/>
                <w:b/>
                <w:bCs/>
                <w:sz w:val="24"/>
                <w:szCs w:val="24"/>
                <w:lang w:val="en-GB"/>
              </w:rPr>
            </w:pPr>
          </w:p>
        </w:tc>
        <w:tc>
          <w:tcPr>
            <w:tcW w:w="1471" w:type="dxa"/>
            <w:vMerge/>
          </w:tcPr>
          <w:p w14:paraId="4A2C9111" w14:textId="77777777" w:rsidR="00475BBA" w:rsidRDefault="00475BBA">
            <w:pPr>
              <w:spacing w:after="0" w:line="240" w:lineRule="auto"/>
              <w:rPr>
                <w:rFonts w:ascii="Times New Roman" w:hAnsi="Times New Roman" w:cs="Times New Roman"/>
                <w:sz w:val="24"/>
                <w:szCs w:val="24"/>
                <w:lang w:val="en-GB"/>
              </w:rPr>
            </w:pPr>
          </w:p>
        </w:tc>
        <w:tc>
          <w:tcPr>
            <w:tcW w:w="1362" w:type="dxa"/>
          </w:tcPr>
          <w:p w14:paraId="2AC62214"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Cells</w:t>
            </w:r>
          </w:p>
        </w:tc>
        <w:tc>
          <w:tcPr>
            <w:tcW w:w="1365" w:type="dxa"/>
          </w:tcPr>
          <w:p w14:paraId="0E161822"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0.717</w:t>
            </w:r>
          </w:p>
        </w:tc>
        <w:tc>
          <w:tcPr>
            <w:tcW w:w="3456" w:type="dxa"/>
          </w:tcPr>
          <w:p w14:paraId="00A8930B"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Based on Blömeke et al. </w:t>
            </w:r>
            <w:r>
              <w:fldChar w:fldCharType="begin"/>
            </w:r>
            <w:r>
              <w:rPr>
                <w:rFonts w:ascii="Times New Roman" w:eastAsia="Calibri" w:hAnsi="Times New Roman" w:cs="Times New Roman"/>
                <w:sz w:val="24"/>
                <w:szCs w:val="24"/>
                <w:lang w:val="en-GB"/>
              </w:rPr>
              <w:instrText>ADDIN CSL_CITATION {"citationItems":[{"id":"ITEM-1","itemData":{"author":[{"dropping-particle":"","family":"Blömeke","given":"Steffen","non-dropping-particle":"","parse-names":false,"suffix":""},{"dropping-particle":"","family":"Scheller","given":"Christian","non-dropping-particle":"","parse-names":false,"suffix":""},{"dropping-particle":"","family":"Hachenberger","given":"Rolf","non-dropping-particle":"","parse-names":false,"suffix":""},{"dropping-particle":"","family":"Gonter","given":"Mark","non-dropping-particle":"","parse-names":false,"suffix":""},{"dropping-particle":"","family":"Herrmann","given":"Christoph","non-dropping-particle":"","parse-names":false,"suffix":""},{"dropping-particle":"","family":"Spengler","given":"Thomas","non-dropping-particle":"","parse-names":false,"suffix":""}],"container-title":"Journal of Cleaner Production","id":"ITEM-1","issued":{"date-parts":[["2022"]]},"title":"Material and energy flow analysis for environmental and economic impact assessment of industrial recycling routes for lithium-ion traction batteries","type":"article-journal"},"uris":["http://www.mendeley.com/documents/?uuid=c6951153-44e8-44d2-8933-a260e40fec49"]}],"mendeley":{"formattedCitation":"&lt;sup&gt;12&lt;/sup&gt;","plainTextFormattedCitation":"12","previouslyFormattedCitation":"&lt;sup&gt;12&lt;/sup&gt;"},"properties":{"noteIndex":0},"schema":"https://github.com/citation-style-language/schema/raw/master/csl-citation.json"}</w:instrText>
            </w:r>
            <w:r>
              <w:rPr>
                <w:rFonts w:ascii="Times New Roman" w:eastAsia="Calibri" w:hAnsi="Times New Roman" w:cs="Times New Roman"/>
                <w:sz w:val="24"/>
                <w:szCs w:val="24"/>
                <w:lang w:val="en-GB"/>
              </w:rPr>
              <w:fldChar w:fldCharType="separate"/>
            </w:r>
            <w:r>
              <w:rPr>
                <w:rFonts w:ascii="Times New Roman" w:eastAsia="Calibri" w:hAnsi="Times New Roman" w:cs="Times New Roman"/>
                <w:sz w:val="24"/>
                <w:szCs w:val="24"/>
                <w:vertAlign w:val="superscript"/>
                <w:lang w:val="en-GB"/>
              </w:rPr>
              <w:t>12</w:t>
            </w:r>
            <w:r>
              <w:rPr>
                <w:rFonts w:ascii="Times New Roman" w:eastAsia="Calibri" w:hAnsi="Times New Roman" w:cs="Times New Roman"/>
                <w:sz w:val="24"/>
                <w:szCs w:val="24"/>
                <w:lang w:val="en-GB"/>
              </w:rPr>
              <w:fldChar w:fldCharType="end"/>
            </w:r>
          </w:p>
        </w:tc>
      </w:tr>
      <w:tr w:rsidR="00475BBA" w:rsidRPr="005F118A" w14:paraId="42060076" w14:textId="77777777">
        <w:tc>
          <w:tcPr>
            <w:tcW w:w="1408" w:type="dxa"/>
          </w:tcPr>
          <w:p w14:paraId="34798A22" w14:textId="77777777" w:rsidR="00475BBA" w:rsidRDefault="000E1B1E">
            <w:pPr>
              <w:spacing w:after="0" w:line="240" w:lineRule="auto"/>
              <w:rPr>
                <w:rFonts w:ascii="Times New Roman" w:hAnsi="Times New Roman" w:cs="Times New Roman"/>
                <w:b/>
                <w:bCs/>
                <w:sz w:val="24"/>
                <w:szCs w:val="24"/>
                <w:lang w:val="en-GB"/>
              </w:rPr>
            </w:pPr>
            <w:r>
              <w:rPr>
                <w:rFonts w:ascii="Times New Roman" w:eastAsia="Calibri" w:hAnsi="Times New Roman" w:cs="Times New Roman"/>
                <w:b/>
                <w:bCs/>
                <w:sz w:val="24"/>
                <w:szCs w:val="24"/>
                <w:lang w:val="en-GB"/>
              </w:rPr>
              <w:t>Co-product allocation</w:t>
            </w:r>
          </w:p>
        </w:tc>
        <w:tc>
          <w:tcPr>
            <w:tcW w:w="2833" w:type="dxa"/>
            <w:gridSpan w:val="2"/>
          </w:tcPr>
          <w:p w14:paraId="35B5135E"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Allocation ratio for mass-based allocation (scrap/ non-scrap)</w:t>
            </w:r>
          </w:p>
        </w:tc>
        <w:tc>
          <w:tcPr>
            <w:tcW w:w="1365" w:type="dxa"/>
          </w:tcPr>
          <w:p w14:paraId="7EB4CEE4"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Electrodes: 0.003</w:t>
            </w:r>
          </w:p>
          <w:p w14:paraId="7972078C"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Cells: 0.067</w:t>
            </w:r>
          </w:p>
        </w:tc>
        <w:tc>
          <w:tcPr>
            <w:tcW w:w="3456" w:type="dxa"/>
          </w:tcPr>
          <w:p w14:paraId="2698767A" w14:textId="77777777" w:rsidR="00475BBA" w:rsidRDefault="000E1B1E">
            <w:pPr>
              <w:spacing w:after="0" w:line="24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The value corresponds to the scrap rates.</w:t>
            </w:r>
          </w:p>
        </w:tc>
      </w:tr>
    </w:tbl>
    <w:p w14:paraId="7B4C760C" w14:textId="77777777" w:rsidR="00475BBA" w:rsidRDefault="00475BBA">
      <w:pPr>
        <w:rPr>
          <w:rFonts w:ascii="Times New Roman" w:hAnsi="Times New Roman" w:cs="Times New Roman"/>
          <w:sz w:val="24"/>
          <w:szCs w:val="24"/>
          <w:lang w:val="en-GB"/>
        </w:rPr>
      </w:pPr>
    </w:p>
    <w:p w14:paraId="3F5999A1" w14:textId="77777777" w:rsidR="00475BBA" w:rsidRDefault="000E1B1E">
      <w:pPr>
        <w:suppressAutoHyphens w:val="0"/>
        <w:rPr>
          <w:rFonts w:ascii="Times New Roman" w:hAnsi="Times New Roman" w:cs="Times New Roman"/>
          <w:sz w:val="24"/>
          <w:szCs w:val="24"/>
          <w:lang w:val="en-GB"/>
        </w:rPr>
      </w:pPr>
      <w:r w:rsidRPr="0098389B">
        <w:rPr>
          <w:lang w:val="en-GB"/>
        </w:rPr>
        <w:br w:type="page"/>
      </w:r>
    </w:p>
    <w:p w14:paraId="6B678549" w14:textId="77777777" w:rsidR="00475BBA" w:rsidRDefault="000E1B1E">
      <w:pPr>
        <w:pStyle w:val="Listenabsatz"/>
        <w:numPr>
          <w:ilvl w:val="0"/>
          <w:numId w:val="3"/>
        </w:numPr>
        <w:rPr>
          <w:rFonts w:ascii="Times New Roman" w:hAnsi="Times New Roman" w:cs="Times New Roman"/>
          <w:b/>
          <w:bCs/>
          <w:sz w:val="24"/>
          <w:szCs w:val="24"/>
        </w:rPr>
      </w:pPr>
      <w:r>
        <w:rPr>
          <w:rFonts w:ascii="Times New Roman" w:hAnsi="Times New Roman" w:cs="Times New Roman"/>
          <w:b/>
          <w:bCs/>
          <w:sz w:val="24"/>
          <w:szCs w:val="24"/>
          <w:lang w:val="en-GB"/>
        </w:rPr>
        <w:lastRenderedPageBreak/>
        <w:t>Benchmark with literature</w:t>
      </w:r>
    </w:p>
    <w:p w14:paraId="7D712C84"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The process technologies, chemistries as well as structural and process parameters involved in battery cell production significantly influence material and energy demands. This diversity in influencing parameters leads to large variations observed in works reporting environmental impacts.</w:t>
      </w:r>
    </w:p>
    <w:p w14:paraId="79C5AC7A"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In the present work, the main source of variation was the energy demand associated with dry room operation. As the conditions within the dry room must be continuously maintained, its energy demand is independent of production throughput. Consequently, for a given dry room, specific energy demand decreases as production volume increases. The simulated scenario reproduces one year production and the modeled process chain has not been optimized to increase production throughput. Moreover, dry room dimensioning was determined based on theoretical throughput, number of required machines and their spatial requirements. Based on that, a total dry room area of 507 m² and a dew point of -60°C were assumed.</w:t>
      </w:r>
    </w:p>
    <w:p w14:paraId="2F76AD25"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In a benchmark, the dry room energy demand and associated environmental impacts were compared with the findings of Degen et al.</w:t>
      </w:r>
      <w:r>
        <w:fldChar w:fldCharType="begin"/>
      </w:r>
      <w:r>
        <w:rPr>
          <w:rFonts w:ascii="Times New Roman" w:hAnsi="Times New Roman" w:cs="Times New Roman"/>
          <w:sz w:val="24"/>
          <w:szCs w:val="24"/>
          <w:lang w:val="en-US"/>
        </w:rPr>
        <w:instrText>ADDIN CSL_CITATION {"citationItems":[{"id":"ITEM-1","itemData":{"DOI":"10.1111/jiec.13594","ISSN":"15309290","abstract":"The transition toward electrification of transportation has resulted in a rapid increase in the demand for battery cells. While this demand is currently being met through the use of lithium-ion batteries (LIBs), alternative batteries like sodium-ion batteries (SIBs) and solid-state batteries (SSBs) are emerging as relevant alternatives. In this study, we analyze, based on current electric vehicle electrode stack designs, the environmental impact of LIB cells, SIB cells, and SSB cells. The life cycle assessment results from this cradle-to-gate study show that for LIB cell production today, ∼58–92 kgCO2-eq are emitted per kWhcell and ∼296–624 kWhCED/kWhcell of primary energy is required. In SIB cell production, ∼75–87 kgCO2-eq/kWhcell is emitted, and in SSB cell production, ∼88–130 kgCO2-eq/kWhcell, depending on their specific electrode stack configuration. The results demonstrate that LFP (lithium–iron–phosphate) cells require the least energy for production across all battery types under analysis. Furthermore, the findings indicate that, in terms of global warming potential (GWP), LFP and NMC900 (nickel–manganese–cobalt) cells are the most sustainable battery types, at least when focusing solely on battery cell production and neglecting subsequent use phases. Furthermore, it is demonstrated that by optimizing the cell designs and their production, the environmental impact of battery cell production can be reduced in the short term by up to −38%. This allows the production of LFP battery cells with a low GWP of ∼37 kgCO2-eq/kWhcell and NMC900 cells with ∼44 kgCO2-eq/kWhcell. Moreover, there is considerable room for improvement in other major LIB cell types. This article met the requirements for a gold-gold JIE data openness badge described at http://jie.click/badges.","author":[{"dropping-particle":"","family":"Degen","given":"Florian","non-dropping-particle":"","parse-names":false,"suffix":""},{"dropping-particle":"","family":"Mitterfellner","given":"Miriam","non-dropping-particle":"","parse-names":false,"suffix":""},{"dropping-particle":"","family":"Kampker","given":"Achim","non-dropping-particle":"","parse-names":false,"suffix":""}],"container-title":"Journal of Industrial Ecology","id":"ITEM-1","issued":{"date-parts":[["2025"]]},"page":"113-128","title":"Comparative life cycle assessment of lithium-ion, sodium-ion, and solid-state battery cells for electric vehicles","type":"article-journal"},"uris":["http://www.mendeley.com/documents/?uuid=23ed97e0-3340-4852-b213-aba3229f93b0"]}],"mendeley":{"formattedCitation":"&lt;sup&gt;13&lt;/sup&gt;","plainTextFormattedCitation":"13"},"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which describe a gigafactory-scale production scenario. In their study, a constant throughput of 161.39 kWh/h is assumed, with a dry room area of 960 m² operating at -40°C </w:t>
      </w:r>
      <w:r>
        <w:fldChar w:fldCharType="begin"/>
      </w:r>
      <w:r>
        <w:rPr>
          <w:rFonts w:ascii="Times New Roman" w:hAnsi="Times New Roman" w:cs="Times New Roman"/>
          <w:sz w:val="24"/>
          <w:szCs w:val="24"/>
          <w:lang w:val="en-US"/>
        </w:rPr>
        <w:instrText>ADDIN CSL_CITATION {"citationItems":[{"id":"ITEM-1","itemData":{"DOI":"10.1111/jiec.13594","ISSN":"15309290","abstract":"The transition toward electrification of transportation has resulted in a rapid increase in the demand for battery cells. While this demand is currently being met through the use of lithium-ion batteries (LIBs), alternative batteries like sodium-ion batteries (SIBs) and solid-state batteries (SSBs) are emerging as relevant alternatives. In this study, we analyze, based on current electric vehicle electrode stack designs, the environmental impact of LIB cells, SIB cells, and SSB cells. The life cycle assessment results from this cradle-to-gate study show that for LIB cell production today, ∼58–92 kgCO2-eq are emitted per kWhcell and ∼296–624 kWhCED/kWhcell of primary energy is required. In SIB cell production, ∼75–87 kgCO2-eq/kWhcell is emitted, and in SSB cell production, ∼88–130 kgCO2-eq/kWhcell, depending on their specific electrode stack configuration. The results demonstrate that LFP (lithium–iron–phosphate) cells require the least energy for production across all battery types under analysis. Furthermore, the findings indicate that, in terms of global warming potential (GWP), LFP and NMC900 (nickel–manganese–cobalt) cells are the most sustainable battery types, at least when focusing solely on battery cell production and neglecting subsequent use phases. Furthermore, it is demonstrated that by optimizing the cell designs and their production, the environmental impact of battery cell production can be reduced in the short term by up to −38%. This allows the production of LFP battery cells with a low GWP of ∼37 kgCO2-eq/kWhcell and NMC900 cells with ∼44 kgCO2-eq/kWhcell. Moreover, there is considerable room for improvement in other major LIB cell types. This article met the requirements for a gold-gold JIE data openness badge described at http://jie.click/badges.","author":[{"dropping-particle":"","family":"Degen","given":"Florian","non-dropping-particle":"","parse-names":false,"suffix":""},{"dropping-particle":"","family":"Mitterfellner","given":"Miriam","non-dropping-particle":"","parse-names":false,"suffix":""},{"dropping-particle":"","family":"Kampker","given":"Achim","non-dropping-particle":"","parse-names":false,"suffix":""}],"container-title":"Journal of Industrial Ecology","id":"ITEM-1","issued":{"date-parts":[["2025"]]},"page":"113-128","title":"Comparative life cycle assessment of lithium-ion, sodium-ion, and solid-state battery cells for electric vehicles","type":"article-journal"},"uris":["http://www.mendeley.com/documents/?uuid=23ed97e0-3340-4852-b213-aba3229f93b0"]}],"mendeley":{"formattedCitation":"&lt;sup&gt;13&lt;/sup&gt;","plainTextFormattedCitation":"13","previouslyFormattedCitation":"&lt;sup&gt;13&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The reported energy demand is based on average power and does not account for external factors such as weather conditions.</w:t>
      </w:r>
    </w:p>
    <w:p w14:paraId="76DD42C6"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w:t>
      </w:r>
      <w:proofErr w:type="spellStart"/>
      <w:r>
        <w:rPr>
          <w:rFonts w:ascii="Times New Roman" w:hAnsi="Times New Roman" w:cs="Times New Roman"/>
          <w:sz w:val="24"/>
          <w:szCs w:val="24"/>
          <w:lang w:val="en-US"/>
        </w:rPr>
        <w:t>normalised</w:t>
      </w:r>
      <w:proofErr w:type="spellEnd"/>
      <w:r>
        <w:rPr>
          <w:rFonts w:ascii="Times New Roman" w:hAnsi="Times New Roman" w:cs="Times New Roman"/>
          <w:sz w:val="24"/>
          <w:szCs w:val="24"/>
          <w:lang w:val="en-US"/>
        </w:rPr>
        <w:t xml:space="preserve"> by area, dry room energy demands across both studies were comparable. However, differences in throughput significantly influenced specific energy demand per cell. To account for this effect, the theoretical throughput and the actual throughput inside the dry room were compared. The calculation of the theoretical throughput is based on the material flow modelling presented in Clos et al.</w:t>
      </w:r>
      <w:r>
        <w:fldChar w:fldCharType="begin"/>
      </w:r>
      <w:r>
        <w:rPr>
          <w:rFonts w:ascii="Times New Roman" w:hAnsi="Times New Roman" w:cs="Times New Roman"/>
          <w:sz w:val="24"/>
          <w:szCs w:val="24"/>
          <w:lang w:val="en-US"/>
        </w:rPr>
        <w:instrText>ADDIN CSL_CITATION {"citationItems":[{"id":"ITEM-1","itemData":{"author":[{"dropping-particle":"","family":"Clos","given":"Daniel Perez","non-dropping-particle":"","parse-names":false,"suffix":""},{"dropping-particle":"","family":"Ventura Silva","given":"Gabriela","non-dropping-particle":"","parse-names":false,"suffix":""},{"dropping-particle":"","family":"Cerdas","given":"Felipe","non-dropping-particle":"","parse-names":false,"suffix":""},{"dropping-particle":"","family":"Burheim","given":"Odne Stokke","non-dropping-particle":"","parse-names":false,"suffix":""},{"dropping-particle":"","family":"Herrmann","given":"Christoph","non-dropping-particle":"","parse-names":false,"suffix":""},{"dropping-particle":"","family":"Strømman","given":"Anders Hammer","non-dropping-particle":"","parse-names":false,"suffix":""}],"container-title":"Energy Technology","id":"ITEM-1","issued":{"date-parts":[["2025"]]},"title":"Development and validation of scalable energy models for battery cell production processes","type":"article-journal"},"uris":["http://www.mendeley.com/documents/?uuid=07d266f4-652e-4d87-a2d1-c9c2189a9ddc"]}],"mendeley":{"formattedCitation":"&lt;sup&gt;14&lt;/sup&gt;","plainTextFormattedCitation":"14","previouslyFormattedCitation":"&lt;sup&gt;14&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The actual throughput derives from the simulation results. This comparison resulted in correction factors of 0.49 for March and 0.53 for August, reflecting variations in throughput over the year due to the dynamic nature of the simulation.</w:t>
      </w:r>
    </w:p>
    <w:p w14:paraId="21579A12"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Further variations in results compared to existing literature can be attributed to differences in structural parameters and cell characteristics. For example, the amount of active material is influenced by factors such as the number of cell compartments, electrode mass loading, and formulation. Further variations derive from the separator characteristics, which are influenced by the material itself and the amount of required separator, influenced by the packaging technology (e.g., z-folding and stacking).</w:t>
      </w:r>
    </w:p>
    <w:p w14:paraId="38BE6CFF" w14:textId="77777777" w:rsidR="00475BBA" w:rsidRDefault="000E1B1E">
      <w:pPr>
        <w:jc w:val="both"/>
        <w:rPr>
          <w:rFonts w:ascii="Times New Roman" w:hAnsi="Times New Roman" w:cs="Times New Roman"/>
          <w:sz w:val="24"/>
          <w:szCs w:val="24"/>
          <w:lang w:val="en-US"/>
        </w:rPr>
      </w:pPr>
      <w:r>
        <w:rPr>
          <w:rFonts w:ascii="Times New Roman" w:hAnsi="Times New Roman" w:cs="Times New Roman"/>
          <w:sz w:val="24"/>
          <w:szCs w:val="24"/>
          <w:lang w:val="en-US"/>
        </w:rPr>
        <w:t>Besides the energy and material demands, the chosen datasets for the life cycle assessment can also have an influence on the environmental impacts. The datasets for the active materials were chosen based on recent literature</w:t>
      </w:r>
      <w:r>
        <w:fldChar w:fldCharType="begin"/>
      </w:r>
      <w:r>
        <w:rPr>
          <w:rFonts w:ascii="Times New Roman" w:hAnsi="Times New Roman" w:cs="Times New Roman"/>
          <w:sz w:val="24"/>
          <w:szCs w:val="24"/>
          <w:lang w:val="en-US"/>
        </w:rPr>
        <w:instrText>ADDIN CSL_CITATION {"citationItems":[{"id":"ITEM-1","itemData":{"DOI":"10.1016/j.jclepro.2024.141725","ISSN":"09596526","author":[{"dropping-particle":"","family":"Kallitsis","given":"Evangelos","non-dropping-particle":"","parse-names":false,"suffix":""},{"dropping-particle":"","family":"Lindsay","given":"Jordan J.","non-dropping-particle":"","parse-names":false,"suffix":""},{"dropping-particle":"","family":"Chordia","given":"Mudit","non-dropping-particle":"","parse-names":false,"suffix":""},{"dropping-particle":"","family":"Wu","given":"Billy","non-dropping-particle":"","parse-names":false,"suffix":""},{"dropping-particle":"","family":"Offer","given":"Gregory J.","non-dropping-particle":"","parse-names":false,"suffix":""},{"dropping-particle":"","family":"Edge","given":"Jacqueline S.","non-dropping-particle":"","parse-names":false,"suffix":""}],"container-title":"Journal of Cleaner Production","id":"ITEM-1","issued":{"date-parts":[["2024"]]},"page":"141725","publisher":"Elsevier Ltd","title":"Think global act local: The dependency of global lithium-ion battery emissions on production location and material sources","type":"article-journal","volume":"449"},"uris":["http://www.mendeley.com/documents/?uuid=d12b9b3a-ed0b-477f-a2b6-fe7cd6086aa9"]}],"mendeley":{"formattedCitation":"&lt;sup&gt;8&lt;/sup&gt;","plainTextFormattedCitation":"8","previouslyFormattedCitation":"&lt;sup&gt;8&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Further material demands were modelled based on GREET and </w:t>
      </w:r>
      <w:proofErr w:type="spellStart"/>
      <w:r>
        <w:rPr>
          <w:rFonts w:ascii="Times New Roman" w:hAnsi="Times New Roman" w:cs="Times New Roman"/>
          <w:sz w:val="24"/>
          <w:szCs w:val="24"/>
          <w:lang w:val="en-US"/>
        </w:rPr>
        <w:t>ecoinvent</w:t>
      </w:r>
      <w:proofErr w:type="spellEnd"/>
      <w:r>
        <w:rPr>
          <w:rFonts w:ascii="Times New Roman" w:hAnsi="Times New Roman" w:cs="Times New Roman"/>
          <w:sz w:val="24"/>
          <w:szCs w:val="24"/>
          <w:lang w:val="en-US"/>
        </w:rPr>
        <w:t>. The carbon intensity of the electricity mix was based on retrospective hourly data for 2023 for Germany</w:t>
      </w:r>
      <w:r>
        <w:fldChar w:fldCharType="begin"/>
      </w:r>
      <w:r>
        <w:rPr>
          <w:rFonts w:ascii="Times New Roman" w:hAnsi="Times New Roman" w:cs="Times New Roman"/>
          <w:sz w:val="24"/>
          <w:szCs w:val="24"/>
          <w:lang w:val="en-US"/>
        </w:rPr>
        <w:instrText>ADDIN CSL_CITATION {"citationItems":[{"id":"ITEM-1","itemData":{"URL":"https://www.electricitymaps.com","author":[{"dropping-particle":"","family":"Electricity Maps","given":"","non-dropping-particle":"","parse-names":false,"suffix":""}],"id":"ITEM-1","issued":{"date-parts":[["2025"]]},"title":"Germany, 2023 Carbon Intensity Data","type":"webpage"},"uris":["http://www.mendeley.com/documents/?uuid=16bc3c48-fad7-422d-95b9-5e1be5f53e0f"]}],"mendeley":{"formattedCitation":"&lt;sup&gt;9&lt;/sup&gt;","plainTextFormattedCitation":"9","previouslyFormattedCitation":"&lt;sup&gt;9&lt;/sup&gt;"},"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which was aggregated depending on the respective temporal resolution.</w:t>
      </w:r>
    </w:p>
    <w:p w14:paraId="7C683EE9" w14:textId="77777777" w:rsidR="00475BBA" w:rsidRDefault="000E1B1E">
      <w:pPr>
        <w:jc w:val="both"/>
        <w:rPr>
          <w:rFonts w:ascii="Times New Roman" w:hAnsi="Times New Roman" w:cs="Times New Roman"/>
          <w:sz w:val="24"/>
          <w:szCs w:val="24"/>
          <w:lang w:val="en-GB"/>
        </w:rPr>
      </w:pPr>
      <w:r w:rsidRPr="0098389B">
        <w:rPr>
          <w:lang w:val="en-GB"/>
        </w:rPr>
        <w:br w:type="page"/>
      </w:r>
    </w:p>
    <w:p w14:paraId="46426D66" w14:textId="77777777" w:rsidR="00475BBA" w:rsidRDefault="000E1B1E" w:rsidP="005F118A">
      <w:pPr>
        <w:spacing w:after="120"/>
        <w:ind w:left="720"/>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References</w:t>
      </w:r>
    </w:p>
    <w:p w14:paraId="7D6BCC86"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fldChar w:fldCharType="begin"/>
      </w:r>
      <w:r>
        <w:rPr>
          <w:rFonts w:ascii="Times New Roman" w:hAnsi="Times New Roman" w:cs="Times New Roman"/>
          <w:sz w:val="24"/>
          <w:szCs w:val="24"/>
          <w:lang w:val="en-GB"/>
        </w:rPr>
        <w:instrText>ADDIN Mendeley Bibliography CSL_BIBLIOGRAPHY</w:instrText>
      </w:r>
      <w:r>
        <w:rPr>
          <w:rFonts w:ascii="Times New Roman" w:hAnsi="Times New Roman" w:cs="Times New Roman"/>
          <w:sz w:val="24"/>
          <w:szCs w:val="24"/>
          <w:lang w:val="en-GB"/>
        </w:rPr>
        <w:fldChar w:fldCharType="separate"/>
      </w:r>
      <w:r>
        <w:rPr>
          <w:rFonts w:ascii="Times New Roman" w:hAnsi="Times New Roman" w:cs="Times New Roman"/>
          <w:sz w:val="24"/>
          <w:szCs w:val="24"/>
          <w:lang w:val="en-US"/>
        </w:rPr>
        <w:t xml:space="preserve">1. </w:t>
      </w:r>
      <w:r>
        <w:rPr>
          <w:rFonts w:ascii="Times New Roman" w:hAnsi="Times New Roman" w:cs="Times New Roman"/>
          <w:sz w:val="24"/>
          <w:szCs w:val="24"/>
          <w:lang w:val="en-US"/>
        </w:rPr>
        <w:tab/>
        <w:t xml:space="preserve">Turetskyy A, Thiede S, Thomitzek M, von Drachenfels N, Pape T, Herrmann C. Toward Data-Driven Applications in Lithium-Ion Battery Cell Manufacturing. </w:t>
      </w:r>
      <w:r>
        <w:rPr>
          <w:rFonts w:ascii="Times New Roman" w:hAnsi="Times New Roman" w:cs="Times New Roman"/>
          <w:i/>
          <w:iCs/>
          <w:sz w:val="24"/>
          <w:szCs w:val="24"/>
          <w:lang w:val="en-US"/>
        </w:rPr>
        <w:t>Energy Technol</w:t>
      </w:r>
      <w:r>
        <w:rPr>
          <w:rFonts w:ascii="Times New Roman" w:hAnsi="Times New Roman" w:cs="Times New Roman"/>
          <w:sz w:val="24"/>
          <w:szCs w:val="24"/>
          <w:lang w:val="en-US"/>
        </w:rPr>
        <w:t>. 2020;8(2):1-11. doi:10.1002/ente.201900136</w:t>
      </w:r>
    </w:p>
    <w:p w14:paraId="2B923528"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Pr>
          <w:rFonts w:ascii="Times New Roman" w:hAnsi="Times New Roman" w:cs="Times New Roman"/>
          <w:sz w:val="24"/>
          <w:szCs w:val="24"/>
          <w:lang w:val="en-US"/>
        </w:rPr>
        <w:tab/>
        <w:t xml:space="preserve">Ventura Silva G, Thomitzek M, Abraham T, Herrmann C. Bottleneck reduction strategies for energy efficiency in the battery manufacturing. </w:t>
      </w:r>
      <w:r>
        <w:rPr>
          <w:rFonts w:ascii="Times New Roman" w:hAnsi="Times New Roman" w:cs="Times New Roman"/>
          <w:i/>
          <w:iCs/>
          <w:sz w:val="24"/>
          <w:szCs w:val="24"/>
          <w:lang w:val="en-US"/>
        </w:rPr>
        <w:t>Procedia CIRP</w:t>
      </w:r>
      <w:r>
        <w:rPr>
          <w:rFonts w:ascii="Times New Roman" w:hAnsi="Times New Roman" w:cs="Times New Roman"/>
          <w:sz w:val="24"/>
          <w:szCs w:val="24"/>
          <w:lang w:val="en-US"/>
        </w:rPr>
        <w:t>. 2021;104:1017-1022. doi:10.1016/j.procir.2021.11.171</w:t>
      </w:r>
    </w:p>
    <w:p w14:paraId="230DF867"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Pr>
          <w:rFonts w:ascii="Times New Roman" w:hAnsi="Times New Roman" w:cs="Times New Roman"/>
          <w:sz w:val="24"/>
          <w:szCs w:val="24"/>
          <w:lang w:val="en-US"/>
        </w:rPr>
        <w:tab/>
        <w:t xml:space="preserve">Ventura Silva G, Heckmann T, Abraham T, Scharfer P, Schabel W, Herrmann C. Model-based process design under consideration of production performance for battery cell production: A coating and drying study. </w:t>
      </w:r>
      <w:r>
        <w:rPr>
          <w:rFonts w:ascii="Times New Roman" w:hAnsi="Times New Roman" w:cs="Times New Roman"/>
          <w:i/>
          <w:iCs/>
          <w:sz w:val="24"/>
          <w:szCs w:val="24"/>
          <w:lang w:val="en-US"/>
        </w:rPr>
        <w:t>Procedia CIRP</w:t>
      </w:r>
      <w:r>
        <w:rPr>
          <w:rFonts w:ascii="Times New Roman" w:hAnsi="Times New Roman" w:cs="Times New Roman"/>
          <w:sz w:val="24"/>
          <w:szCs w:val="24"/>
          <w:lang w:val="en-US"/>
        </w:rPr>
        <w:t>. 2023;120:780-785. doi:10.1016/j.procir.2023.09.075</w:t>
      </w:r>
    </w:p>
    <w:p w14:paraId="69FF5C16"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Pr>
          <w:rFonts w:ascii="Times New Roman" w:hAnsi="Times New Roman" w:cs="Times New Roman"/>
          <w:sz w:val="24"/>
          <w:szCs w:val="24"/>
          <w:lang w:val="en-US"/>
        </w:rPr>
        <w:tab/>
        <w:t xml:space="preserve">Luetke M, Franke V, Techel A, et al. A comparative study on cutting electrodes for batteries with lasers. </w:t>
      </w:r>
      <w:r>
        <w:rPr>
          <w:rFonts w:ascii="Times New Roman" w:hAnsi="Times New Roman" w:cs="Times New Roman"/>
          <w:i/>
          <w:iCs/>
          <w:sz w:val="24"/>
          <w:szCs w:val="24"/>
          <w:lang w:val="en-US"/>
        </w:rPr>
        <w:t>Phys Procedia</w:t>
      </w:r>
      <w:r>
        <w:rPr>
          <w:rFonts w:ascii="Times New Roman" w:hAnsi="Times New Roman" w:cs="Times New Roman"/>
          <w:sz w:val="24"/>
          <w:szCs w:val="24"/>
          <w:lang w:val="en-US"/>
        </w:rPr>
        <w:t>. 2011;12(PART 2):286-291. doi:10.1016/j.phpro.2011.03.135</w:t>
      </w:r>
    </w:p>
    <w:p w14:paraId="047C9B93"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Pr>
          <w:rFonts w:ascii="Times New Roman" w:hAnsi="Times New Roman" w:cs="Times New Roman"/>
          <w:sz w:val="24"/>
          <w:szCs w:val="24"/>
          <w:lang w:val="en-US"/>
        </w:rPr>
        <w:tab/>
        <w:t xml:space="preserve">Vogt M, Koch K, Turetskyy A, Cerdas F, Thiede S, Herrmann C. Model-based energy analysis of a dry room HVAC system in battery cell production. </w:t>
      </w:r>
      <w:r>
        <w:rPr>
          <w:rFonts w:ascii="Times New Roman" w:hAnsi="Times New Roman" w:cs="Times New Roman"/>
          <w:i/>
          <w:iCs/>
          <w:sz w:val="24"/>
          <w:szCs w:val="24"/>
          <w:lang w:val="en-US"/>
        </w:rPr>
        <w:t>Procedia CIRP</w:t>
      </w:r>
      <w:r>
        <w:rPr>
          <w:rFonts w:ascii="Times New Roman" w:hAnsi="Times New Roman" w:cs="Times New Roman"/>
          <w:sz w:val="24"/>
          <w:szCs w:val="24"/>
          <w:lang w:val="en-US"/>
        </w:rPr>
        <w:t>. 2021;98:157-162. doi:10.1016/j.procir.2021.01.023</w:t>
      </w:r>
    </w:p>
    <w:p w14:paraId="3B69193D"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Pr>
          <w:rFonts w:ascii="Times New Roman" w:hAnsi="Times New Roman" w:cs="Times New Roman"/>
          <w:sz w:val="24"/>
          <w:szCs w:val="24"/>
          <w:lang w:val="en-US"/>
        </w:rPr>
        <w:tab/>
        <w:t>Crawley D, Lawrie L. Development of Global Typical Meteorological Years. Published 2024. http://climate.onebuilding.org</w:t>
      </w:r>
    </w:p>
    <w:p w14:paraId="49FA13E6"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Pr>
          <w:rFonts w:ascii="Times New Roman" w:hAnsi="Times New Roman" w:cs="Times New Roman"/>
          <w:sz w:val="24"/>
          <w:szCs w:val="24"/>
          <w:lang w:val="en-US"/>
        </w:rPr>
        <w:tab/>
        <w:t xml:space="preserve">von Drachenfels N, Husmann J, Khalid U, Cerdas F, Herrmann C. Life Cycle Assessment of the Battery Cell Production: Using a Modular Material and Energy Flow Model to Assess Product and Process Innovations. </w:t>
      </w:r>
      <w:r>
        <w:rPr>
          <w:rFonts w:ascii="Times New Roman" w:hAnsi="Times New Roman" w:cs="Times New Roman"/>
          <w:i/>
          <w:iCs/>
          <w:sz w:val="24"/>
          <w:szCs w:val="24"/>
          <w:lang w:val="en-US"/>
        </w:rPr>
        <w:t>Energy Technol</w:t>
      </w:r>
      <w:r>
        <w:rPr>
          <w:rFonts w:ascii="Times New Roman" w:hAnsi="Times New Roman" w:cs="Times New Roman"/>
          <w:sz w:val="24"/>
          <w:szCs w:val="24"/>
          <w:lang w:val="en-US"/>
        </w:rPr>
        <w:t>. Published online 2022. doi:10.1002/ente.202200673</w:t>
      </w:r>
    </w:p>
    <w:p w14:paraId="19DA371F"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Pr>
          <w:rFonts w:ascii="Times New Roman" w:hAnsi="Times New Roman" w:cs="Times New Roman"/>
          <w:sz w:val="24"/>
          <w:szCs w:val="24"/>
          <w:lang w:val="en-US"/>
        </w:rPr>
        <w:tab/>
        <w:t xml:space="preserve">Kallitsis E, Lindsay JJ, Chordia M, Wu B, Offer GJ, Edge JS. Think global act local: The dependency of global lithium-ion battery emissions on production location and material sources. </w:t>
      </w:r>
      <w:r>
        <w:rPr>
          <w:rFonts w:ascii="Times New Roman" w:hAnsi="Times New Roman" w:cs="Times New Roman"/>
          <w:i/>
          <w:iCs/>
          <w:sz w:val="24"/>
          <w:szCs w:val="24"/>
          <w:lang w:val="en-US"/>
        </w:rPr>
        <w:t>J Clean Prod</w:t>
      </w:r>
      <w:r>
        <w:rPr>
          <w:rFonts w:ascii="Times New Roman" w:hAnsi="Times New Roman" w:cs="Times New Roman"/>
          <w:sz w:val="24"/>
          <w:szCs w:val="24"/>
          <w:lang w:val="en-US"/>
        </w:rPr>
        <w:t>. 2024;449:141725. doi:10.1016/j.jclepro.2024.141725</w:t>
      </w:r>
    </w:p>
    <w:p w14:paraId="63816E8F"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Pr>
          <w:rFonts w:ascii="Times New Roman" w:hAnsi="Times New Roman" w:cs="Times New Roman"/>
          <w:sz w:val="24"/>
          <w:szCs w:val="24"/>
          <w:lang w:val="en-US"/>
        </w:rPr>
        <w:tab/>
        <w:t>Electricity Maps. Germany, 2023 Carbon Intensity Data. Published 2025. https://www.electricitymaps.com</w:t>
      </w:r>
    </w:p>
    <w:p w14:paraId="777B5D08"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Pr>
          <w:rFonts w:ascii="Times New Roman" w:hAnsi="Times New Roman" w:cs="Times New Roman"/>
          <w:sz w:val="24"/>
          <w:szCs w:val="24"/>
          <w:lang w:val="en-US"/>
        </w:rPr>
        <w:tab/>
        <w:t>European Parliament and European Council. Regulation (EU) 2023 of the European Parliament and of the Council concerning batteries and waste batteries. Published online 2023.</w:t>
      </w:r>
    </w:p>
    <w:p w14:paraId="52ACEA20"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Pr>
          <w:rFonts w:ascii="Times New Roman" w:hAnsi="Times New Roman" w:cs="Times New Roman"/>
          <w:sz w:val="24"/>
          <w:szCs w:val="24"/>
          <w:lang w:val="en-US"/>
        </w:rPr>
        <w:tab/>
        <w:t xml:space="preserve">Lefherz H, Dilger N, Melzig S, Cerdas F, Zellmer S. Tighten the loop - Potential for reduction of environmental impacts by direct recycling of battery production waste. </w:t>
      </w:r>
      <w:r>
        <w:rPr>
          <w:rFonts w:ascii="Times New Roman" w:hAnsi="Times New Roman" w:cs="Times New Roman"/>
          <w:i/>
          <w:iCs/>
          <w:sz w:val="24"/>
          <w:szCs w:val="24"/>
          <w:lang w:val="en-US"/>
        </w:rPr>
        <w:t>Procedia CIRP</w:t>
      </w:r>
      <w:r>
        <w:rPr>
          <w:rFonts w:ascii="Times New Roman" w:hAnsi="Times New Roman" w:cs="Times New Roman"/>
          <w:sz w:val="24"/>
          <w:szCs w:val="24"/>
          <w:lang w:val="en-US"/>
        </w:rPr>
        <w:t>. 2023;116:65-70. doi:10.1016/j.procir.2023.02.012</w:t>
      </w:r>
    </w:p>
    <w:p w14:paraId="4E9EAEF5"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Pr>
          <w:rFonts w:ascii="Times New Roman" w:hAnsi="Times New Roman" w:cs="Times New Roman"/>
          <w:sz w:val="24"/>
          <w:szCs w:val="24"/>
          <w:lang w:val="en-US"/>
        </w:rPr>
        <w:tab/>
        <w:t xml:space="preserve">Blömeke S, Scheller C, Hachenberger R, Gonter M, Herrmann C, Spengler T. Material and energy flow analysis for environmental and economic impact assessment of industrial recycling routes for lithium-ion traction batteries. </w:t>
      </w:r>
      <w:r>
        <w:rPr>
          <w:rFonts w:ascii="Times New Roman" w:hAnsi="Times New Roman" w:cs="Times New Roman"/>
          <w:i/>
          <w:iCs/>
          <w:sz w:val="24"/>
          <w:szCs w:val="24"/>
          <w:lang w:val="en-US"/>
        </w:rPr>
        <w:t>J Clean Prod</w:t>
      </w:r>
      <w:r>
        <w:rPr>
          <w:rFonts w:ascii="Times New Roman" w:hAnsi="Times New Roman" w:cs="Times New Roman"/>
          <w:sz w:val="24"/>
          <w:szCs w:val="24"/>
          <w:lang w:val="en-US"/>
        </w:rPr>
        <w:t>. Published online 2022.</w:t>
      </w:r>
    </w:p>
    <w:p w14:paraId="38AAC4F8" w14:textId="77777777" w:rsidR="00475BBA" w:rsidRDefault="000E1B1E" w:rsidP="005F118A">
      <w:pPr>
        <w:widowControl w:val="0"/>
        <w:spacing w:after="120" w:line="240" w:lineRule="auto"/>
        <w:ind w:left="640" w:hanging="640"/>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Pr>
          <w:rFonts w:ascii="Times New Roman" w:hAnsi="Times New Roman" w:cs="Times New Roman"/>
          <w:sz w:val="24"/>
          <w:szCs w:val="24"/>
          <w:lang w:val="en-US"/>
        </w:rPr>
        <w:tab/>
        <w:t xml:space="preserve">Degen F, Mitterfellner M, Kampker A. Comparative life cycle assessment of lithium-ion, sodium-ion, and solid-state battery cells for electric vehicles. </w:t>
      </w:r>
      <w:r>
        <w:rPr>
          <w:rFonts w:ascii="Times New Roman" w:hAnsi="Times New Roman" w:cs="Times New Roman"/>
          <w:i/>
          <w:iCs/>
          <w:sz w:val="24"/>
          <w:szCs w:val="24"/>
          <w:lang w:val="en-US"/>
        </w:rPr>
        <w:t>J Ind Ecol</w:t>
      </w:r>
      <w:r>
        <w:rPr>
          <w:rFonts w:ascii="Times New Roman" w:hAnsi="Times New Roman" w:cs="Times New Roman"/>
          <w:sz w:val="24"/>
          <w:szCs w:val="24"/>
          <w:lang w:val="en-US"/>
        </w:rPr>
        <w:t>. Published online 2025:113-128. doi:10.1111/jiec.13594</w:t>
      </w:r>
    </w:p>
    <w:p w14:paraId="0A534161" w14:textId="77777777" w:rsidR="00475BBA" w:rsidRDefault="000E1B1E" w:rsidP="005F118A">
      <w:pPr>
        <w:widowControl w:val="0"/>
        <w:spacing w:after="120" w:line="240" w:lineRule="auto"/>
        <w:ind w:left="640" w:hanging="640"/>
        <w:rPr>
          <w:rFonts w:ascii="Times New Roman" w:hAnsi="Times New Roman" w:cs="Times New Roman"/>
          <w:sz w:val="24"/>
        </w:rPr>
      </w:pPr>
      <w:r>
        <w:rPr>
          <w:rFonts w:ascii="Times New Roman" w:hAnsi="Times New Roman" w:cs="Times New Roman"/>
          <w:sz w:val="24"/>
          <w:szCs w:val="24"/>
          <w:lang w:val="en-US"/>
        </w:rPr>
        <w:t xml:space="preserve">14. </w:t>
      </w:r>
      <w:r>
        <w:rPr>
          <w:rFonts w:ascii="Times New Roman" w:hAnsi="Times New Roman" w:cs="Times New Roman"/>
          <w:sz w:val="24"/>
          <w:szCs w:val="24"/>
          <w:lang w:val="en-US"/>
        </w:rPr>
        <w:tab/>
        <w:t xml:space="preserve">Clos DP, Ventura Silva G, Cerdas F, Burheim OS, Herrmann C, Strømman AH. Development and validation of scalable energy models for battery cell production processes. </w:t>
      </w:r>
      <w:r>
        <w:rPr>
          <w:rFonts w:ascii="Times New Roman" w:hAnsi="Times New Roman" w:cs="Times New Roman"/>
          <w:i/>
          <w:iCs/>
          <w:sz w:val="24"/>
          <w:szCs w:val="24"/>
        </w:rPr>
        <w:t>Energy Technol</w:t>
      </w:r>
      <w:r>
        <w:rPr>
          <w:rFonts w:ascii="Times New Roman" w:hAnsi="Times New Roman" w:cs="Times New Roman"/>
          <w:sz w:val="24"/>
          <w:szCs w:val="24"/>
        </w:rPr>
        <w:t>. Published online 2025.</w:t>
      </w:r>
    </w:p>
    <w:p w14:paraId="36FFCD34" w14:textId="77777777" w:rsidR="00475BBA" w:rsidRDefault="000E1B1E" w:rsidP="005F118A">
      <w:pPr>
        <w:spacing w:after="120"/>
        <w:ind w:left="720"/>
        <w:rPr>
          <w:rFonts w:ascii="Times New Roman" w:hAnsi="Times New Roman" w:cs="Times New Roman"/>
          <w:sz w:val="24"/>
          <w:szCs w:val="24"/>
          <w:lang w:val="en-GB"/>
        </w:rPr>
      </w:pPr>
      <w:r>
        <w:rPr>
          <w:rFonts w:ascii="Times New Roman" w:hAnsi="Times New Roman" w:cs="Times New Roman"/>
          <w:sz w:val="24"/>
          <w:szCs w:val="24"/>
          <w:lang w:val="en-GB"/>
        </w:rPr>
        <w:fldChar w:fldCharType="end"/>
      </w:r>
    </w:p>
    <w:p w14:paraId="0E7008C1" w14:textId="77777777" w:rsidR="00475BBA" w:rsidRDefault="00475BBA">
      <w:pPr>
        <w:rPr>
          <w:rFonts w:ascii="Times New Roman" w:hAnsi="Times New Roman" w:cs="Times New Roman"/>
          <w:sz w:val="24"/>
          <w:szCs w:val="24"/>
        </w:rPr>
      </w:pPr>
    </w:p>
    <w:sectPr w:rsidR="00475BBA">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Regular">
    <w:altName w:val="Lato"/>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C08DC"/>
    <w:multiLevelType w:val="multilevel"/>
    <w:tmpl w:val="406AA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D5409FB"/>
    <w:multiLevelType w:val="multilevel"/>
    <w:tmpl w:val="0BE81D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B821A27"/>
    <w:multiLevelType w:val="multilevel"/>
    <w:tmpl w:val="1CAE9B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19696333">
    <w:abstractNumId w:val="2"/>
  </w:num>
  <w:num w:numId="2" w16cid:durableId="1874146813">
    <w:abstractNumId w:val="1"/>
  </w:num>
  <w:num w:numId="3" w16cid:durableId="85080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BBA"/>
    <w:rsid w:val="000E1B1E"/>
    <w:rsid w:val="00475BBA"/>
    <w:rsid w:val="00485B24"/>
    <w:rsid w:val="005F118A"/>
    <w:rsid w:val="0098389B"/>
    <w:rsid w:val="00E872E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2250"/>
  <w15:docId w15:val="{FA653BBC-9CF4-4901-A85F-00157B97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7C4E"/>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mmentartextZchn">
    <w:name w:val="Kommentartext Zchn"/>
    <w:basedOn w:val="Absatz-Standardschriftart"/>
    <w:link w:val="Kommentartext"/>
    <w:uiPriority w:val="99"/>
    <w:qFormat/>
    <w:rPr>
      <w:sz w:val="20"/>
      <w:szCs w:val="20"/>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hemaZchn">
    <w:name w:val="Kommentarthema Zchn"/>
    <w:basedOn w:val="KommentartextZchn"/>
    <w:link w:val="Kommentarthema"/>
    <w:uiPriority w:val="99"/>
    <w:semiHidden/>
    <w:qFormat/>
    <w:rsid w:val="004C4253"/>
    <w:rPr>
      <w:b/>
      <w:bCs/>
      <w:sz w:val="20"/>
      <w:szCs w:val="20"/>
    </w:rPr>
  </w:style>
  <w:style w:type="character" w:customStyle="1" w:styleId="fontstyle01">
    <w:name w:val="fontstyle01"/>
    <w:basedOn w:val="Absatz-Standardschriftart"/>
    <w:qFormat/>
    <w:rsid w:val="00A01A3A"/>
    <w:rPr>
      <w:rFonts w:ascii="Lato-Regular" w:hAnsi="Lato-Regular"/>
      <w:b w:val="0"/>
      <w:bCs w:val="0"/>
      <w:i w:val="0"/>
      <w:iCs w:val="0"/>
      <w:color w:val="242021"/>
      <w:sz w:val="14"/>
      <w:szCs w:val="14"/>
    </w:rPr>
  </w:style>
  <w:style w:type="character" w:customStyle="1" w:styleId="TitelZchn">
    <w:name w:val="Titel Zchn"/>
    <w:basedOn w:val="Absatz-Standardschriftart"/>
    <w:link w:val="Titel"/>
    <w:uiPriority w:val="10"/>
    <w:qFormat/>
    <w:rsid w:val="006B216C"/>
    <w:rPr>
      <w:rFonts w:asciiTheme="majorHAnsi" w:eastAsiaTheme="majorEastAsia" w:hAnsiTheme="majorHAnsi" w:cstheme="majorBidi"/>
      <w:spacing w:val="-10"/>
      <w:kern w:val="2"/>
      <w:sz w:val="56"/>
      <w:szCs w:val="56"/>
    </w:rPr>
  </w:style>
  <w:style w:type="character" w:styleId="Hyperlink">
    <w:name w:val="Hyperlink"/>
    <w:basedOn w:val="Absatz-Standardschriftart"/>
    <w:uiPriority w:val="99"/>
    <w:unhideWhenUsed/>
    <w:rsid w:val="006B216C"/>
    <w:rPr>
      <w:color w:val="0000FF"/>
      <w:u w:val="single"/>
    </w:rPr>
  </w:style>
  <w:style w:type="character" w:customStyle="1" w:styleId="TitelZchn1">
    <w:name w:val="Titel Zchn1"/>
    <w:basedOn w:val="Absatz-Standardschriftart"/>
    <w:uiPriority w:val="10"/>
    <w:qFormat/>
    <w:rsid w:val="006B216C"/>
    <w:rPr>
      <w:rFonts w:asciiTheme="majorHAnsi" w:eastAsiaTheme="majorEastAsia" w:hAnsiTheme="majorHAnsi" w:cstheme="majorBidi"/>
      <w:spacing w:val="-10"/>
      <w:kern w:val="2"/>
      <w:sz w:val="56"/>
      <w:szCs w:val="56"/>
    </w:rPr>
  </w:style>
  <w:style w:type="character" w:customStyle="1" w:styleId="SprechblasentextZchn">
    <w:name w:val="Sprechblasentext Zchn"/>
    <w:basedOn w:val="Absatz-Standardschriftart"/>
    <w:link w:val="Sprechblasentext"/>
    <w:uiPriority w:val="99"/>
    <w:semiHidden/>
    <w:qFormat/>
    <w:rsid w:val="00E966D0"/>
    <w:rPr>
      <w:rFonts w:ascii="Segoe UI" w:hAnsi="Segoe UI" w:cs="Segoe UI"/>
      <w:sz w:val="18"/>
      <w:szCs w:val="18"/>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next w:val="Standard"/>
    <w:uiPriority w:val="35"/>
    <w:unhideWhenUsed/>
    <w:qFormat/>
    <w:rsid w:val="00B9263A"/>
    <w:pPr>
      <w:spacing w:after="200" w:line="240" w:lineRule="auto"/>
    </w:pPr>
    <w:rPr>
      <w:i/>
      <w:iCs/>
      <w:color w:val="44546A" w:themeColor="text2"/>
      <w:sz w:val="18"/>
      <w:szCs w:val="18"/>
    </w:rPr>
  </w:style>
  <w:style w:type="paragraph" w:customStyle="1" w:styleId="Verzeichnis">
    <w:name w:val="Verzeichnis"/>
    <w:basedOn w:val="Standard"/>
    <w:qFormat/>
    <w:pPr>
      <w:suppressLineNumbers/>
    </w:pPr>
    <w:rPr>
      <w:rFonts w:cs="Noto Sans"/>
    </w:r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4C4253"/>
    <w:rPr>
      <w:b/>
      <w:bCs/>
    </w:rPr>
  </w:style>
  <w:style w:type="paragraph" w:styleId="Listenabsatz">
    <w:name w:val="List Paragraph"/>
    <w:basedOn w:val="Standard"/>
    <w:uiPriority w:val="34"/>
    <w:qFormat/>
    <w:rsid w:val="00076524"/>
    <w:pPr>
      <w:ind w:left="720"/>
      <w:contextualSpacing/>
    </w:pPr>
  </w:style>
  <w:style w:type="paragraph" w:styleId="Titel">
    <w:name w:val="Title"/>
    <w:basedOn w:val="Standard"/>
    <w:next w:val="Standard"/>
    <w:link w:val="TitelZchn"/>
    <w:uiPriority w:val="10"/>
    <w:qFormat/>
    <w:rsid w:val="006B216C"/>
    <w:pPr>
      <w:spacing w:after="0" w:line="240" w:lineRule="auto"/>
      <w:contextualSpacing/>
    </w:pPr>
    <w:rPr>
      <w:rFonts w:asciiTheme="majorHAnsi" w:eastAsiaTheme="majorEastAsia" w:hAnsiTheme="majorHAnsi" w:cstheme="majorBidi"/>
      <w:spacing w:val="-10"/>
      <w:kern w:val="2"/>
      <w:sz w:val="56"/>
      <w:szCs w:val="56"/>
    </w:rPr>
  </w:style>
  <w:style w:type="paragraph" w:styleId="Sprechblasentext">
    <w:name w:val="Balloon Text"/>
    <w:basedOn w:val="Standard"/>
    <w:link w:val="SprechblasentextZchn"/>
    <w:uiPriority w:val="99"/>
    <w:semiHidden/>
    <w:unhideWhenUsed/>
    <w:qFormat/>
    <w:rsid w:val="00E966D0"/>
    <w:pPr>
      <w:spacing w:after="0" w:line="240" w:lineRule="auto"/>
    </w:pPr>
    <w:rPr>
      <w:rFonts w:ascii="Segoe UI" w:hAnsi="Segoe UI" w:cs="Segoe UI"/>
      <w:sz w:val="18"/>
      <w:szCs w:val="18"/>
    </w:rPr>
  </w:style>
  <w:style w:type="table" w:styleId="Tabellenraster">
    <w:name w:val="Table Grid"/>
    <w:basedOn w:val="NormaleTabelle"/>
    <w:uiPriority w:val="39"/>
    <w:rsid w:val="005F4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F118A"/>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husmann@tu-braunschweig.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019970D-542E-4CC4-A587-B5FC0D85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6517</Words>
  <Characters>41063</Characters>
  <Application>Microsoft Office Word</Application>
  <DocSecurity>0</DocSecurity>
  <Lines>342</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Ventura Silva</dc:creator>
  <dc:description/>
  <cp:lastModifiedBy>Husmann, Jana Benita</cp:lastModifiedBy>
  <cp:revision>55</cp:revision>
  <dcterms:created xsi:type="dcterms:W3CDTF">2024-12-10T13:49:00Z</dcterms:created>
  <dcterms:modified xsi:type="dcterms:W3CDTF">2025-12-03T10:49:00Z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c243698e-044e-4598-a386-5f60f795832d</vt:lpwstr>
  </property>
  <property fmtid="{D5CDD505-2E9C-101B-9397-08002B2CF9AE}" pid="3" name="Mendeley Citation Style_1">
    <vt:lpwstr>http://www.zotero.org/styles/american-medical-association</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http://www.zotero.org/styles/elsevier-harvard</vt:lpwstr>
  </property>
  <property fmtid="{D5CDD505-2E9C-101B-9397-08002B2CF9AE}" pid="12" name="Mendeley Recent Style Id 7_1">
    <vt:lpwstr>http://www.zotero.org/styles/ieee</vt:lpwstr>
  </property>
  <property fmtid="{D5CDD505-2E9C-101B-9397-08002B2CF9AE}" pid="13" name="Mendeley Recent Style Id 8_1">
    <vt:lpwstr>http://www.zotero.org/styles/journal-of-manufacturing-and-materials-processing</vt:lpwstr>
  </property>
  <property fmtid="{D5CDD505-2E9C-101B-9397-08002B2CF9AE}" pid="14" name="Mendeley Recent Style Id 9_1">
    <vt:lpwstr>http://www.zotero.org/styles/modern-language-association</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10th edition - Harvard</vt:lpwstr>
  </property>
  <property fmtid="{D5CDD505-2E9C-101B-9397-08002B2CF9AE}" pid="21" name="Mendeley Recent Style Name 6_1">
    <vt:lpwstr>Elsevier - Harvard (with titles)</vt:lpwstr>
  </property>
  <property fmtid="{D5CDD505-2E9C-101B-9397-08002B2CF9AE}" pid="22" name="Mendeley Recent Style Name 7_1">
    <vt:lpwstr>IEEE</vt:lpwstr>
  </property>
  <property fmtid="{D5CDD505-2E9C-101B-9397-08002B2CF9AE}" pid="23" name="Mendeley Recent Style Name 8_1">
    <vt:lpwstr>Journal of Manufacturing and Materials Processing</vt:lpwstr>
  </property>
  <property fmtid="{D5CDD505-2E9C-101B-9397-08002B2CF9AE}" pid="24" name="Mendeley Recent Style Name 9_1">
    <vt:lpwstr>Modern Language Association 8th edition</vt:lpwstr>
  </property>
  <property fmtid="{D5CDD505-2E9C-101B-9397-08002B2CF9AE}" pid="25" name="Mendeley Unique User Id_1">
    <vt:lpwstr>09578238-000f-3e44-862a-0c7dc62010e0</vt:lpwstr>
  </property>
</Properties>
</file>