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1ED79" w14:textId="5D64960B" w:rsidR="006F6338" w:rsidRPr="00364D9F" w:rsidRDefault="006F6338" w:rsidP="006F6338">
      <w:pPr>
        <w:tabs>
          <w:tab w:val="left" w:pos="6285"/>
        </w:tabs>
        <w:ind w:leftChars="742" w:left="1558" w:rightChars="833" w:right="1749"/>
        <w:jc w:val="center"/>
        <w:rPr>
          <w:rFonts w:ascii="Times New Roman" w:eastAsia="游明朝" w:hAnsi="Times New Roman" w:cs="Times New Roman" w:hint="eastAsia"/>
          <w:b/>
          <w:bCs/>
          <w:color w:val="000000" w:themeColor="text1"/>
          <w:sz w:val="28"/>
          <w:szCs w:val="28"/>
        </w:rPr>
      </w:pPr>
      <w:r w:rsidRPr="00364D9F">
        <w:rPr>
          <w:rFonts w:ascii="Times New Roman" w:eastAsia="游明朝" w:hAnsi="Times New Roman" w:cs="Times New Roman"/>
          <w:b/>
          <w:bCs/>
          <w:color w:val="000000" w:themeColor="text1"/>
          <w:sz w:val="28"/>
          <w:szCs w:val="28"/>
        </w:rPr>
        <w:t>Producing Green Fuel Ammonia in Equatorial Waters, Piping It Worldwide, and Removing Atmospheric CO</w:t>
      </w:r>
      <w:r w:rsidRPr="00364D9F">
        <w:rPr>
          <w:rFonts w:ascii="Times New Roman" w:eastAsia="游明朝" w:hAnsi="Times New Roman" w:cs="Times New Roman"/>
          <w:b/>
          <w:bCs/>
          <w:color w:val="000000" w:themeColor="text1"/>
          <w:sz w:val="28"/>
          <w:szCs w:val="28"/>
          <w:vertAlign w:val="subscript"/>
        </w:rPr>
        <w:t>2</w:t>
      </w:r>
      <w:r w:rsidRPr="00364D9F">
        <w:rPr>
          <w:rFonts w:ascii="Times New Roman" w:eastAsia="游明朝" w:hAnsi="Times New Roman" w:cs="Times New Roman"/>
          <w:b/>
          <w:bCs/>
          <w:color w:val="000000" w:themeColor="text1"/>
          <w:sz w:val="28"/>
          <w:szCs w:val="28"/>
        </w:rPr>
        <w:t xml:space="preserve"> to Return to 1960s Temperatures</w:t>
      </w:r>
      <w:r w:rsidR="005C7A1B">
        <w:rPr>
          <w:rFonts w:ascii="Times New Roman" w:eastAsia="游明朝" w:hAnsi="Times New Roman" w:cs="Times New Roman" w:hint="eastAsia"/>
          <w:b/>
          <w:bCs/>
          <w:color w:val="000000" w:themeColor="text1"/>
          <w:sz w:val="28"/>
          <w:szCs w:val="28"/>
        </w:rPr>
        <w:t xml:space="preserve"> by 2100</w:t>
      </w:r>
    </w:p>
    <w:p w14:paraId="048BF4E7" w14:textId="77F95BD9" w:rsidR="00165990" w:rsidRPr="006F6338" w:rsidRDefault="00165990" w:rsidP="00A3487C">
      <w:pPr>
        <w:tabs>
          <w:tab w:val="left" w:pos="6285"/>
        </w:tabs>
        <w:jc w:val="center"/>
        <w:rPr>
          <w:rFonts w:ascii="Times New Roman" w:hAnsi="Times New Roman" w:cs="Times New Roman"/>
          <w:color w:val="FF0000"/>
          <w:sz w:val="24"/>
          <w:szCs w:val="24"/>
        </w:rPr>
      </w:pPr>
    </w:p>
    <w:p w14:paraId="083F0522" w14:textId="232088BC" w:rsidR="00165990" w:rsidRPr="008B1E3B" w:rsidRDefault="000E0857" w:rsidP="00437615">
      <w:pPr>
        <w:jc w:val="center"/>
        <w:rPr>
          <w:rFonts w:ascii="Times New Roman" w:eastAsia="游明朝" w:hAnsi="Times New Roman" w:cs="Times New Roman"/>
          <w:sz w:val="24"/>
          <w:szCs w:val="24"/>
          <w:vertAlign w:val="superscript"/>
        </w:rPr>
      </w:pPr>
      <w:r w:rsidRPr="008B1E3B">
        <w:rPr>
          <w:rFonts w:ascii="Times New Roman" w:eastAsia="游明朝" w:hAnsi="Times New Roman" w:cs="Times New Roman"/>
          <w:sz w:val="24"/>
          <w:szCs w:val="24"/>
        </w:rPr>
        <w:t>Hiroshi Kobayashi</w:t>
      </w:r>
      <w:r w:rsidRPr="008B1E3B">
        <w:rPr>
          <w:rFonts w:ascii="Times New Roman" w:eastAsia="游明朝" w:hAnsi="Times New Roman" w:cs="Times New Roman"/>
          <w:bCs/>
          <w:sz w:val="24"/>
          <w:szCs w:val="24"/>
        </w:rPr>
        <w:t>*</w:t>
      </w:r>
    </w:p>
    <w:p w14:paraId="3B016BED" w14:textId="1CF05302" w:rsidR="00165990" w:rsidRPr="008B1E3B" w:rsidRDefault="000E0857" w:rsidP="00437615">
      <w:pPr>
        <w:widowControl/>
        <w:jc w:val="left"/>
        <w:rPr>
          <w:rFonts w:ascii="Times New Roman" w:hAnsi="Times New Roman" w:cs="Times New Roman"/>
          <w:sz w:val="36"/>
          <w:szCs w:val="36"/>
        </w:rPr>
      </w:pPr>
      <w:r w:rsidRPr="008B1E3B">
        <w:rPr>
          <w:rFonts w:ascii="Times New Roman" w:eastAsia="游明朝" w:hAnsi="Times New Roman" w:cs="Times New Roman"/>
          <w:bCs/>
          <w:sz w:val="24"/>
          <w:szCs w:val="24"/>
        </w:rPr>
        <w:t xml:space="preserve">Professor Emeritus of Tokyo Denki University, 5 Senju-Asahi-cho, Adachi-ku, Tokyo, </w:t>
      </w:r>
      <w:r w:rsidR="00C77E34" w:rsidRPr="008B1E3B">
        <w:rPr>
          <w:rFonts w:ascii="Times New Roman" w:eastAsia="游明朝" w:hAnsi="Times New Roman" w:cs="Times New Roman"/>
          <w:bCs/>
          <w:sz w:val="24"/>
          <w:szCs w:val="24"/>
        </w:rPr>
        <w:t>Japan</w:t>
      </w:r>
    </w:p>
    <w:p w14:paraId="628D63DC" w14:textId="77777777" w:rsidR="00165990" w:rsidRPr="008B1E3B" w:rsidRDefault="00165990" w:rsidP="00437615">
      <w:pPr>
        <w:widowControl/>
        <w:jc w:val="center"/>
        <w:rPr>
          <w:rFonts w:ascii="Times New Roman" w:hAnsi="Times New Roman" w:cs="Times New Roman"/>
          <w:b/>
          <w:bCs/>
          <w:sz w:val="36"/>
          <w:szCs w:val="36"/>
        </w:rPr>
      </w:pPr>
    </w:p>
    <w:p w14:paraId="18258180" w14:textId="77777777" w:rsidR="00165990" w:rsidRPr="008B1E3B" w:rsidRDefault="00165990" w:rsidP="00437615">
      <w:pPr>
        <w:widowControl/>
        <w:jc w:val="center"/>
        <w:rPr>
          <w:rFonts w:ascii="Times New Roman" w:hAnsi="Times New Roman" w:cs="Times New Roman"/>
          <w:b/>
          <w:bCs/>
          <w:sz w:val="36"/>
          <w:szCs w:val="36"/>
        </w:rPr>
      </w:pPr>
    </w:p>
    <w:p w14:paraId="0410D3AA" w14:textId="77777777" w:rsidR="00165990" w:rsidRPr="008B1E3B" w:rsidRDefault="00165990" w:rsidP="00437615">
      <w:pPr>
        <w:widowControl/>
        <w:jc w:val="center"/>
        <w:rPr>
          <w:rFonts w:ascii="Times New Roman" w:hAnsi="Times New Roman" w:cs="Times New Roman"/>
          <w:b/>
          <w:bCs/>
          <w:sz w:val="36"/>
          <w:szCs w:val="36"/>
        </w:rPr>
      </w:pPr>
    </w:p>
    <w:p w14:paraId="2DCA900C" w14:textId="63375816" w:rsidR="00DB404E" w:rsidRPr="008B1E3B" w:rsidRDefault="000E0857" w:rsidP="00437615">
      <w:pPr>
        <w:widowControl/>
        <w:jc w:val="center"/>
        <w:rPr>
          <w:rFonts w:ascii="Times New Roman" w:hAnsi="Times New Roman" w:cs="Times New Roman"/>
          <w:b/>
          <w:bCs/>
          <w:sz w:val="24"/>
          <w:szCs w:val="24"/>
        </w:rPr>
      </w:pPr>
      <w:r w:rsidRPr="008B1E3B">
        <w:rPr>
          <w:rFonts w:ascii="Times New Roman" w:hAnsi="Times New Roman" w:cs="Times New Roman"/>
          <w:b/>
          <w:bCs/>
          <w:sz w:val="36"/>
          <w:szCs w:val="36"/>
        </w:rPr>
        <w:t xml:space="preserve">Supplementary </w:t>
      </w:r>
      <w:r w:rsidR="00771E83" w:rsidRPr="008B1E3B">
        <w:rPr>
          <w:rFonts w:ascii="Times New Roman" w:hAnsi="Times New Roman" w:cs="Times New Roman"/>
          <w:b/>
          <w:bCs/>
          <w:sz w:val="36"/>
          <w:szCs w:val="36"/>
        </w:rPr>
        <w:t>Information</w:t>
      </w:r>
      <w:r w:rsidRPr="008B1E3B">
        <w:rPr>
          <w:rFonts w:ascii="Times New Roman" w:hAnsi="Times New Roman" w:cs="Times New Roman"/>
          <w:b/>
          <w:bCs/>
          <w:sz w:val="36"/>
          <w:szCs w:val="36"/>
        </w:rPr>
        <w:t xml:space="preserve"> </w:t>
      </w:r>
      <w:r w:rsidRPr="008B1E3B">
        <w:rPr>
          <w:rFonts w:ascii="Times New Roman" w:hAnsi="Times New Roman" w:cs="Times New Roman"/>
          <w:b/>
          <w:bCs/>
          <w:sz w:val="24"/>
          <w:szCs w:val="24"/>
        </w:rPr>
        <w:br w:type="page"/>
      </w:r>
    </w:p>
    <w:p w14:paraId="6379F0C3" w14:textId="77777777" w:rsidR="004A4161" w:rsidRDefault="000E0857" w:rsidP="00437615">
      <w:pPr>
        <w:widowControl/>
        <w:jc w:val="left"/>
        <w:rPr>
          <w:rFonts w:ascii="Times New Roman" w:hAnsi="Times New Roman" w:cs="Times New Roman"/>
          <w:sz w:val="24"/>
          <w:szCs w:val="24"/>
        </w:rPr>
      </w:pPr>
      <w:r w:rsidRPr="008B1E3B">
        <w:rPr>
          <w:rFonts w:ascii="Times New Roman" w:hAnsi="Times New Roman" w:cs="Times New Roman"/>
          <w:b/>
          <w:bCs/>
          <w:sz w:val="24"/>
          <w:szCs w:val="24"/>
        </w:rPr>
        <w:lastRenderedPageBreak/>
        <w:t>Supplement</w:t>
      </w:r>
      <w:r w:rsidR="0087740A" w:rsidRPr="008B1E3B">
        <w:rPr>
          <w:rFonts w:ascii="Times New Roman" w:hAnsi="Times New Roman" w:cs="Times New Roman"/>
          <w:b/>
          <w:bCs/>
          <w:sz w:val="24"/>
          <w:szCs w:val="24"/>
        </w:rPr>
        <w:t xml:space="preserve">ary </w:t>
      </w:r>
      <w:r w:rsidR="0048732C" w:rsidRPr="008B1E3B">
        <w:rPr>
          <w:rFonts w:ascii="Times New Roman" w:hAnsi="Times New Roman" w:cs="Times New Roman"/>
          <w:b/>
          <w:bCs/>
          <w:sz w:val="24"/>
          <w:szCs w:val="24"/>
        </w:rPr>
        <w:t>Note</w:t>
      </w:r>
      <w:r w:rsidRPr="008B1E3B">
        <w:rPr>
          <w:rFonts w:ascii="Times New Roman" w:hAnsi="Times New Roman" w:cs="Times New Roman"/>
          <w:sz w:val="24"/>
          <w:szCs w:val="24"/>
        </w:rPr>
        <w:t xml:space="preserve">: </w:t>
      </w:r>
      <w:bookmarkStart w:id="0" w:name="_Hlk146620644"/>
    </w:p>
    <w:p w14:paraId="6DB788F4" w14:textId="77777777" w:rsidR="004A4161" w:rsidRDefault="004A4161" w:rsidP="00437615">
      <w:pPr>
        <w:widowControl/>
        <w:jc w:val="left"/>
        <w:rPr>
          <w:rFonts w:ascii="Times New Roman" w:hAnsi="Times New Roman" w:cs="Times New Roman"/>
          <w:sz w:val="24"/>
          <w:szCs w:val="24"/>
        </w:rPr>
      </w:pPr>
    </w:p>
    <w:p w14:paraId="24001490" w14:textId="581661EC" w:rsidR="00DB404E" w:rsidRPr="008B1E3B" w:rsidRDefault="000E0857" w:rsidP="00437615">
      <w:pPr>
        <w:widowControl/>
        <w:jc w:val="left"/>
        <w:rPr>
          <w:rFonts w:ascii="Times New Roman" w:hAnsi="Times New Roman" w:cs="Times New Roman"/>
          <w:sz w:val="24"/>
          <w:szCs w:val="24"/>
        </w:rPr>
      </w:pPr>
      <w:r w:rsidRPr="008B1E3B">
        <w:rPr>
          <w:rFonts w:ascii="Times New Roman" w:hAnsi="Times New Roman" w:cs="Times New Roman"/>
          <w:sz w:val="24"/>
          <w:szCs w:val="24"/>
        </w:rPr>
        <w:t xml:space="preserve">Kobayashi, H. </w:t>
      </w:r>
      <w:r w:rsidR="001E0C50" w:rsidRPr="008B1E3B">
        <w:rPr>
          <w:rFonts w:ascii="Times New Roman" w:hAnsi="Times New Roman" w:cs="Times New Roman"/>
          <w:sz w:val="24"/>
          <w:szCs w:val="24"/>
        </w:rPr>
        <w:t xml:space="preserve">Carbon-free energy supply system using floating offshore photovoltaics and hydrogen energy carriers: </w:t>
      </w:r>
      <w:bookmarkStart w:id="1" w:name="_Hlk146620676"/>
      <w:bookmarkEnd w:id="0"/>
      <w:r w:rsidR="00731843" w:rsidRPr="008B1E3B">
        <w:rPr>
          <w:rFonts w:ascii="Times New Roman" w:hAnsi="Times New Roman" w:cs="Times New Roman"/>
          <w:sz w:val="24"/>
          <w:szCs w:val="24"/>
        </w:rPr>
        <w:t>t</w:t>
      </w:r>
      <w:r w:rsidR="001E0C50" w:rsidRPr="008B1E3B">
        <w:rPr>
          <w:rFonts w:ascii="Times New Roman" w:hAnsi="Times New Roman" w:cs="Times New Roman"/>
          <w:sz w:val="24"/>
          <w:szCs w:val="24"/>
        </w:rPr>
        <w:t xml:space="preserve">owards the achievement of the Paris agreement goal. </w:t>
      </w:r>
      <w:r w:rsidR="001E0C50" w:rsidRPr="008B1E3B">
        <w:rPr>
          <w:rFonts w:ascii="Times New Roman" w:hAnsi="Times New Roman" w:cs="Times New Roman"/>
          <w:i/>
          <w:iCs/>
          <w:sz w:val="24"/>
          <w:szCs w:val="24"/>
        </w:rPr>
        <w:t>J. Jpn Soc. Energy Resour.</w:t>
      </w:r>
      <w:r w:rsidR="001E0C50" w:rsidRPr="008B1E3B">
        <w:rPr>
          <w:rFonts w:ascii="Times New Roman" w:hAnsi="Times New Roman" w:cs="Times New Roman"/>
          <w:sz w:val="24"/>
          <w:szCs w:val="24"/>
        </w:rPr>
        <w:t xml:space="preserve"> </w:t>
      </w:r>
      <w:r w:rsidR="001E0C50" w:rsidRPr="008B1E3B">
        <w:rPr>
          <w:rFonts w:ascii="Times New Roman" w:hAnsi="Times New Roman" w:cs="Times New Roman"/>
          <w:b/>
          <w:bCs/>
          <w:sz w:val="24"/>
          <w:szCs w:val="24"/>
        </w:rPr>
        <w:t>43</w:t>
      </w:r>
      <w:r w:rsidR="001E0C50" w:rsidRPr="008B1E3B">
        <w:rPr>
          <w:rFonts w:ascii="Times New Roman" w:hAnsi="Times New Roman" w:cs="Times New Roman"/>
          <w:sz w:val="24"/>
          <w:szCs w:val="24"/>
        </w:rPr>
        <w:t>, 274</w:t>
      </w:r>
      <w:r w:rsidRPr="008B1E3B">
        <w:rPr>
          <w:rFonts w:ascii="Times New Roman" w:eastAsia="游明朝" w:hAnsi="Times New Roman" w:cs="Times New Roman"/>
          <w:sz w:val="24"/>
          <w:szCs w:val="24"/>
        </w:rPr>
        <w:t>–</w:t>
      </w:r>
      <w:r w:rsidR="001E0C50" w:rsidRPr="008B1E3B">
        <w:rPr>
          <w:rFonts w:ascii="Times New Roman" w:hAnsi="Times New Roman" w:cs="Times New Roman"/>
          <w:sz w:val="24"/>
          <w:szCs w:val="24"/>
        </w:rPr>
        <w:t>284 (2022).</w:t>
      </w:r>
    </w:p>
    <w:p w14:paraId="7BCCCA72" w14:textId="77777777" w:rsidR="002A48A5" w:rsidRPr="008B1E3B" w:rsidRDefault="002A48A5" w:rsidP="00437615">
      <w:pPr>
        <w:widowControl/>
        <w:jc w:val="left"/>
        <w:rPr>
          <w:rFonts w:ascii="Times New Roman" w:hAnsi="Times New Roman" w:cs="Times New Roman"/>
          <w:sz w:val="24"/>
          <w:szCs w:val="24"/>
        </w:rPr>
      </w:pPr>
    </w:p>
    <w:p w14:paraId="28A751F1" w14:textId="6E17D159" w:rsidR="002A48A5" w:rsidRPr="00787914" w:rsidRDefault="000E0857" w:rsidP="00437615">
      <w:pPr>
        <w:widowControl/>
        <w:jc w:val="left"/>
        <w:rPr>
          <w:rFonts w:ascii="Times New Roman" w:hAnsi="Times New Roman" w:cs="Times New Roman"/>
          <w:sz w:val="24"/>
          <w:szCs w:val="24"/>
        </w:rPr>
      </w:pPr>
      <w:r w:rsidRPr="00787914">
        <w:rPr>
          <w:rFonts w:ascii="Times New Roman" w:hAnsi="Times New Roman" w:cs="Times New Roman"/>
          <w:sz w:val="24"/>
          <w:szCs w:val="24"/>
        </w:rPr>
        <w:t xml:space="preserve">Permission to share this article was </w:t>
      </w:r>
      <w:r w:rsidR="009E15F3" w:rsidRPr="00787914">
        <w:rPr>
          <w:rFonts w:ascii="Times New Roman" w:hAnsi="Times New Roman" w:cs="Times New Roman"/>
          <w:sz w:val="24"/>
          <w:szCs w:val="24"/>
        </w:rPr>
        <w:t>obtained from</w:t>
      </w:r>
      <w:r w:rsidRPr="00787914">
        <w:rPr>
          <w:rFonts w:ascii="Times New Roman" w:hAnsi="Times New Roman" w:cs="Times New Roman"/>
          <w:sz w:val="24"/>
          <w:szCs w:val="24"/>
        </w:rPr>
        <w:t xml:space="preserve"> </w:t>
      </w:r>
      <w:r w:rsidR="004C4DBC" w:rsidRPr="00787914">
        <w:rPr>
          <w:rFonts w:ascii="Times New Roman" w:hAnsi="Times New Roman" w:cs="Times New Roman"/>
          <w:sz w:val="24"/>
          <w:szCs w:val="24"/>
        </w:rPr>
        <w:t>the Japan Society of Energy and Resources</w:t>
      </w:r>
      <w:r w:rsidRPr="00787914">
        <w:rPr>
          <w:rFonts w:ascii="Times New Roman" w:hAnsi="Times New Roman" w:cs="Times New Roman"/>
          <w:sz w:val="24"/>
          <w:szCs w:val="24"/>
        </w:rPr>
        <w:t>.</w:t>
      </w:r>
    </w:p>
    <w:bookmarkEnd w:id="1"/>
    <w:p w14:paraId="3D31DBE8" w14:textId="77777777" w:rsidR="00DB404E" w:rsidRPr="00787914" w:rsidRDefault="00DB404E" w:rsidP="00437615">
      <w:pPr>
        <w:widowControl/>
        <w:jc w:val="left"/>
        <w:rPr>
          <w:rFonts w:ascii="Times New Roman" w:hAnsi="Times New Roman" w:cs="Times New Roman"/>
          <w:sz w:val="24"/>
          <w:szCs w:val="24"/>
        </w:rPr>
      </w:pPr>
    </w:p>
    <w:p w14:paraId="1F14EDAF" w14:textId="5AC0C91E" w:rsidR="000362B7" w:rsidRDefault="000E0857" w:rsidP="003F1E6E">
      <w:pPr>
        <w:widowControl/>
        <w:jc w:val="left"/>
        <w:rPr>
          <w:rFonts w:ascii="Times New Roman" w:hAnsi="Times New Roman" w:cs="Times New Roman"/>
          <w:sz w:val="24"/>
          <w:szCs w:val="24"/>
        </w:rPr>
      </w:pPr>
      <w:r w:rsidRPr="00787914">
        <w:rPr>
          <w:rFonts w:ascii="Times New Roman" w:hAnsi="Times New Roman" w:cs="Times New Roman"/>
          <w:sz w:val="24"/>
          <w:szCs w:val="24"/>
        </w:rPr>
        <w:t xml:space="preserve">The English translated version of the pdf file of the </w:t>
      </w:r>
      <w:r w:rsidR="008B1E3B">
        <w:rPr>
          <w:rFonts w:ascii="Times New Roman" w:hAnsi="Times New Roman" w:cs="Times New Roman"/>
          <w:sz w:val="24"/>
          <w:szCs w:val="24"/>
        </w:rPr>
        <w:t>aforementioned</w:t>
      </w:r>
      <w:r w:rsidR="008B1E3B" w:rsidRPr="00787914">
        <w:rPr>
          <w:rFonts w:ascii="Times New Roman" w:hAnsi="Times New Roman" w:cs="Times New Roman"/>
          <w:sz w:val="24"/>
          <w:szCs w:val="24"/>
        </w:rPr>
        <w:t xml:space="preserve"> </w:t>
      </w:r>
      <w:r w:rsidRPr="00787914">
        <w:rPr>
          <w:rFonts w:ascii="Times New Roman" w:hAnsi="Times New Roman" w:cs="Times New Roman"/>
          <w:sz w:val="24"/>
          <w:szCs w:val="24"/>
        </w:rPr>
        <w:t>paper (Referen</w:t>
      </w:r>
      <w:r w:rsidRPr="00E1221D">
        <w:rPr>
          <w:rFonts w:ascii="Times New Roman" w:hAnsi="Times New Roman" w:cs="Times New Roman"/>
          <w:sz w:val="24"/>
          <w:szCs w:val="24"/>
        </w:rPr>
        <w:t xml:space="preserve">ce </w:t>
      </w:r>
      <w:r w:rsidR="00F82522" w:rsidRPr="00E1221D">
        <w:rPr>
          <w:rFonts w:ascii="Times New Roman" w:hAnsi="Times New Roman" w:cs="Times New Roman" w:hint="eastAsia"/>
          <w:sz w:val="24"/>
          <w:szCs w:val="24"/>
        </w:rPr>
        <w:t>5</w:t>
      </w:r>
      <w:r w:rsidRPr="00E1221D">
        <w:rPr>
          <w:rFonts w:ascii="Times New Roman" w:hAnsi="Times New Roman" w:cs="Times New Roman"/>
          <w:sz w:val="24"/>
          <w:szCs w:val="24"/>
        </w:rPr>
        <w:t>)</w:t>
      </w:r>
      <w:r w:rsidRPr="00787914">
        <w:rPr>
          <w:rFonts w:ascii="Times New Roman" w:hAnsi="Times New Roman" w:cs="Times New Roman"/>
          <w:sz w:val="24"/>
          <w:szCs w:val="24"/>
        </w:rPr>
        <w:t xml:space="preserve"> can be downloaded </w:t>
      </w:r>
      <w:hyperlink r:id="rId7" w:history="1">
        <w:r w:rsidR="0002244B" w:rsidRPr="007C7DBE">
          <w:rPr>
            <w:rStyle w:val="a8"/>
            <w:rFonts w:ascii="Times New Roman" w:hAnsi="Times New Roman" w:cs="Times New Roman" w:hint="eastAsia"/>
            <w:sz w:val="24"/>
            <w:szCs w:val="24"/>
            <w:u w:val="single"/>
          </w:rPr>
          <w:t>here</w:t>
        </w:r>
      </w:hyperlink>
      <w:r w:rsidR="0002244B" w:rsidRPr="000362B7">
        <w:rPr>
          <w:rFonts w:ascii="Times New Roman" w:hAnsi="Times New Roman" w:cs="Times New Roman" w:hint="eastAsia"/>
          <w:sz w:val="24"/>
          <w:szCs w:val="24"/>
        </w:rPr>
        <w:t>.</w:t>
      </w:r>
    </w:p>
    <w:p w14:paraId="7E2723DC" w14:textId="01C5DF52" w:rsidR="00DB404E" w:rsidRPr="000362B7" w:rsidRDefault="000E0857" w:rsidP="0092787C">
      <w:pPr>
        <w:widowControl/>
        <w:spacing w:line="480" w:lineRule="auto"/>
        <w:jc w:val="left"/>
        <w:rPr>
          <w:rFonts w:ascii="Times New Roman" w:hAnsi="Times New Roman" w:cs="Times New Roman"/>
          <w:sz w:val="24"/>
          <w:szCs w:val="24"/>
        </w:rPr>
      </w:pPr>
      <w:r w:rsidRPr="000362B7">
        <w:rPr>
          <w:rFonts w:ascii="Times New Roman" w:hAnsi="Times New Roman" w:cs="Times New Roman"/>
          <w:sz w:val="24"/>
          <w:szCs w:val="24"/>
        </w:rPr>
        <w:br w:type="page"/>
      </w:r>
    </w:p>
    <w:p w14:paraId="39481166" w14:textId="561E7FAC" w:rsidR="00035A3D" w:rsidRPr="00787914" w:rsidRDefault="000E0857" w:rsidP="00035A3D">
      <w:pPr>
        <w:jc w:val="center"/>
        <w:rPr>
          <w:rFonts w:ascii="Times New Roman" w:hAnsi="Times New Roman" w:cs="Times New Roman"/>
          <w:szCs w:val="21"/>
          <w:vertAlign w:val="subscript"/>
        </w:rPr>
      </w:pPr>
      <w:bookmarkStart w:id="2" w:name="_Hlk195721509"/>
      <w:r w:rsidRPr="0091507C">
        <w:rPr>
          <w:noProof/>
        </w:rPr>
        <w:lastRenderedPageBreak/>
        <w:t xml:space="preserve"> </w:t>
      </w:r>
      <w:r w:rsidR="006F6338">
        <w:rPr>
          <w:noProof/>
        </w:rPr>
        <w:drawing>
          <wp:inline distT="0" distB="0" distL="0" distR="0" wp14:anchorId="0B4AE870" wp14:editId="7516BCF8">
            <wp:extent cx="5425069" cy="2536466"/>
            <wp:effectExtent l="0" t="0" r="4445" b="0"/>
            <wp:docPr id="109034680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00103" cy="2571548"/>
                    </a:xfrm>
                    <a:prstGeom prst="rect">
                      <a:avLst/>
                    </a:prstGeom>
                    <a:noFill/>
                    <a:ln>
                      <a:noFill/>
                    </a:ln>
                  </pic:spPr>
                </pic:pic>
              </a:graphicData>
            </a:graphic>
          </wp:inline>
        </w:drawing>
      </w:r>
      <w:r w:rsidR="00E41325" w:rsidRPr="008B1E3B">
        <w:rPr>
          <w:rFonts w:ascii="Times New Roman" w:hAnsi="Times New Roman" w:cs="Times New Roman"/>
          <w:sz w:val="18"/>
          <w:szCs w:val="20"/>
          <w:vertAlign w:val="subscript"/>
        </w:rPr>
        <w:t xml:space="preserve"> </w:t>
      </w:r>
    </w:p>
    <w:p w14:paraId="79EE512C" w14:textId="30224653" w:rsidR="00ED250F" w:rsidRPr="003C39DD" w:rsidRDefault="00ED250F" w:rsidP="00ED250F">
      <w:pPr>
        <w:widowControl/>
        <w:spacing w:beforeLines="100" w:before="288" w:line="320" w:lineRule="exact"/>
        <w:jc w:val="left"/>
        <w:rPr>
          <w:rFonts w:ascii="Times New Roman" w:eastAsia="游明朝" w:hAnsi="Times New Roman" w:cs="Times New Roman"/>
          <w:sz w:val="24"/>
          <w:szCs w:val="24"/>
          <w14:ligatures w14:val="standardContextual"/>
        </w:rPr>
      </w:pPr>
      <w:bookmarkStart w:id="3" w:name="_Hlk191460497"/>
      <w:bookmarkStart w:id="4" w:name="_Hlk191645986"/>
      <w:bookmarkEnd w:id="2"/>
      <w:r w:rsidRPr="00D6421A">
        <w:rPr>
          <w:rFonts w:ascii="Times New Roman" w:eastAsia="游明朝" w:hAnsi="Times New Roman" w:cs="Times New Roman"/>
          <w:b/>
          <w:bCs/>
          <w:sz w:val="24"/>
          <w:szCs w:val="24"/>
          <w14:ligatures w14:val="standardContextual"/>
        </w:rPr>
        <w:t>Supplementary Fig. S1</w:t>
      </w:r>
      <w:bookmarkEnd w:id="3"/>
      <w:r w:rsidRPr="00D6421A">
        <w:rPr>
          <w:rFonts w:ascii="Times New Roman" w:eastAsia="游明朝" w:hAnsi="Times New Roman" w:cs="Times New Roman"/>
          <w:b/>
          <w:bCs/>
          <w:sz w:val="24"/>
          <w:szCs w:val="24"/>
          <w14:ligatures w14:val="standardContextual"/>
        </w:rPr>
        <w:t xml:space="preserve">. Trends in global primary energy consumption by energy source from 1965 to 2023. </w:t>
      </w:r>
      <w:bookmarkEnd w:id="4"/>
      <w:r w:rsidRPr="00D6421A">
        <w:rPr>
          <w:rFonts w:ascii="Times New Roman" w:eastAsia="游明朝" w:hAnsi="Times New Roman" w:cs="Times New Roman"/>
          <w:sz w:val="24"/>
          <w:szCs w:val="24"/>
          <w14:ligatures w14:val="standardContextual"/>
        </w:rPr>
        <w:t>Until the mid-19th century, traditional biomass (burning solid fuels, such as wood, agricultural waste, and charcoal) was the main energy source used worldwide. Since the 1960s, global energy demand has continued to increase (by an average of approximately 5.6% per year). In 2023, fossil fuel energy accounted for approximately 85% (91% if traditional biomass is included) of global energy demand. Since 2000, the social and economic growth of emerging countries in the Asia-Pacific region has been remarkable, and the share of the global energy demand accounted for by developed countries, centered on OECD member countries, has decreased significantly. However, depending on the future policies of major countries such as the United States, Russia, China, and India, greenhouse gas emissions may increase further, potentially devastatingly impacting human societies and the global ecosys</w:t>
      </w:r>
      <w:r w:rsidRPr="003C39DD">
        <w:rPr>
          <w:rFonts w:ascii="Times New Roman" w:eastAsia="游明朝" w:hAnsi="Times New Roman" w:cs="Times New Roman"/>
          <w:sz w:val="24"/>
          <w:szCs w:val="24"/>
          <w14:ligatures w14:val="standardContextual"/>
        </w:rPr>
        <w:t>tem</w:t>
      </w:r>
      <w:r w:rsidR="004717DE" w:rsidRPr="003C39DD">
        <w:rPr>
          <w:rFonts w:ascii="Times New Roman" w:eastAsia="游明朝" w:hAnsi="Times New Roman" w:cs="Times New Roman"/>
          <w:sz w:val="24"/>
          <w:szCs w:val="24"/>
          <w14:ligatures w14:val="standardContextual"/>
        </w:rPr>
        <w:t xml:space="preserve"> [1]</w:t>
      </w:r>
      <w:r w:rsidRPr="003C39DD">
        <w:rPr>
          <w:rFonts w:ascii="Times New Roman" w:eastAsia="游明朝" w:hAnsi="Times New Roman" w:cs="Times New Roman"/>
          <w:sz w:val="24"/>
          <w:szCs w:val="24"/>
          <w14:ligatures w14:val="standardContextual"/>
        </w:rPr>
        <w:t>.</w:t>
      </w:r>
    </w:p>
    <w:p w14:paraId="2EE516C1" w14:textId="140F1AC0" w:rsidR="0091507C" w:rsidRDefault="000E0857" w:rsidP="00F7109C">
      <w:pPr>
        <w:widowControl/>
        <w:spacing w:before="240"/>
        <w:jc w:val="left"/>
        <w:rPr>
          <w:rFonts w:ascii="Times New Roman" w:hAnsi="Times New Roman" w:cs="Times New Roman"/>
          <w:sz w:val="24"/>
          <w:szCs w:val="24"/>
        </w:rPr>
      </w:pPr>
      <w:r w:rsidRPr="008B1E3B">
        <w:rPr>
          <w:rFonts w:ascii="Times New Roman" w:hAnsi="Times New Roman" w:cs="Times New Roman"/>
          <w:sz w:val="24"/>
          <w:szCs w:val="24"/>
        </w:rPr>
        <w:br w:type="page"/>
      </w:r>
    </w:p>
    <w:tbl>
      <w:tblPr>
        <w:tblStyle w:val="1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Look w:val="04A0" w:firstRow="1" w:lastRow="0" w:firstColumn="1" w:lastColumn="0" w:noHBand="0" w:noVBand="1"/>
      </w:tblPr>
      <w:tblGrid>
        <w:gridCol w:w="4871"/>
        <w:gridCol w:w="4716"/>
      </w:tblGrid>
      <w:tr w:rsidR="00C41084" w14:paraId="68741C46" w14:textId="77777777" w:rsidTr="007A6110">
        <w:trPr>
          <w:jc w:val="center"/>
        </w:trPr>
        <w:tc>
          <w:tcPr>
            <w:tcW w:w="4871" w:type="dxa"/>
          </w:tcPr>
          <w:p w14:paraId="3C943DB5" w14:textId="3EFDC77D" w:rsidR="00F35238" w:rsidRPr="00F35238" w:rsidRDefault="006F6338" w:rsidP="00F35238">
            <w:pPr>
              <w:widowControl/>
              <w:jc w:val="center"/>
              <w:rPr>
                <w:rFonts w:ascii="游明朝" w:eastAsia="游明朝" w:hAnsi="游明朝" w:cs="Times New Roman"/>
              </w:rPr>
            </w:pPr>
            <w:r>
              <w:rPr>
                <w:rFonts w:ascii="游明朝" w:eastAsia="游明朝" w:hAnsi="游明朝" w:cs="Times New Roman"/>
                <w:noProof/>
              </w:rPr>
              <w:lastRenderedPageBreak/>
              <w:drawing>
                <wp:inline distT="0" distB="0" distL="0" distR="0" wp14:anchorId="143B86B2" wp14:editId="2DACDED1">
                  <wp:extent cx="2733523" cy="2099480"/>
                  <wp:effectExtent l="0" t="0" r="0" b="0"/>
                  <wp:docPr id="32144723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6579" cy="2124869"/>
                          </a:xfrm>
                          <a:prstGeom prst="rect">
                            <a:avLst/>
                          </a:prstGeom>
                          <a:noFill/>
                          <a:ln>
                            <a:noFill/>
                          </a:ln>
                        </pic:spPr>
                      </pic:pic>
                    </a:graphicData>
                  </a:graphic>
                </wp:inline>
              </w:drawing>
            </w:r>
          </w:p>
        </w:tc>
        <w:tc>
          <w:tcPr>
            <w:tcW w:w="4716" w:type="dxa"/>
          </w:tcPr>
          <w:p w14:paraId="1E100A9E" w14:textId="0C930A7A" w:rsidR="00F35238" w:rsidRPr="00F35238" w:rsidRDefault="00E969ED"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54D2A6B2" wp14:editId="39DC038F">
                  <wp:extent cx="2698750" cy="2131470"/>
                  <wp:effectExtent l="0" t="0" r="6350" b="2540"/>
                  <wp:docPr id="880333859"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15998" cy="2145093"/>
                          </a:xfrm>
                          <a:prstGeom prst="rect">
                            <a:avLst/>
                          </a:prstGeom>
                          <a:noFill/>
                          <a:ln>
                            <a:noFill/>
                          </a:ln>
                        </pic:spPr>
                      </pic:pic>
                    </a:graphicData>
                  </a:graphic>
                </wp:inline>
              </w:drawing>
            </w:r>
          </w:p>
        </w:tc>
      </w:tr>
      <w:tr w:rsidR="00C41084" w14:paraId="3F5E7EB7" w14:textId="77777777" w:rsidTr="007A6110">
        <w:tblPrEx>
          <w:tblCellMar>
            <w:left w:w="108" w:type="dxa"/>
            <w:right w:w="108" w:type="dxa"/>
          </w:tblCellMar>
        </w:tblPrEx>
        <w:trPr>
          <w:jc w:val="center"/>
        </w:trPr>
        <w:tc>
          <w:tcPr>
            <w:tcW w:w="4871" w:type="dxa"/>
          </w:tcPr>
          <w:p w14:paraId="496D9135" w14:textId="3FF23C77" w:rsidR="00F35238" w:rsidRPr="00F35238" w:rsidRDefault="006F6338"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17DFFEF4" wp14:editId="5BAC51E9">
                  <wp:extent cx="2763984" cy="2120900"/>
                  <wp:effectExtent l="0" t="0" r="0" b="0"/>
                  <wp:docPr id="1136390732"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5516" cy="2137422"/>
                          </a:xfrm>
                          <a:prstGeom prst="rect">
                            <a:avLst/>
                          </a:prstGeom>
                          <a:noFill/>
                          <a:ln>
                            <a:noFill/>
                          </a:ln>
                        </pic:spPr>
                      </pic:pic>
                    </a:graphicData>
                  </a:graphic>
                </wp:inline>
              </w:drawing>
            </w:r>
          </w:p>
        </w:tc>
        <w:tc>
          <w:tcPr>
            <w:tcW w:w="4716" w:type="dxa"/>
          </w:tcPr>
          <w:p w14:paraId="0B6867B0" w14:textId="29F52B75" w:rsidR="00F35238" w:rsidRPr="00F35238" w:rsidRDefault="006F6338"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7C0FC4D2" wp14:editId="425A9064">
                  <wp:extent cx="2724641" cy="2121054"/>
                  <wp:effectExtent l="0" t="0" r="0" b="0"/>
                  <wp:docPr id="51558141"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47353" cy="2138735"/>
                          </a:xfrm>
                          <a:prstGeom prst="rect">
                            <a:avLst/>
                          </a:prstGeom>
                          <a:noFill/>
                          <a:ln>
                            <a:noFill/>
                          </a:ln>
                        </pic:spPr>
                      </pic:pic>
                    </a:graphicData>
                  </a:graphic>
                </wp:inline>
              </w:drawing>
            </w:r>
          </w:p>
        </w:tc>
      </w:tr>
      <w:tr w:rsidR="00C41084" w14:paraId="1C57C47C" w14:textId="77777777" w:rsidTr="007A6110">
        <w:tblPrEx>
          <w:tblCellMar>
            <w:left w:w="108" w:type="dxa"/>
            <w:right w:w="108" w:type="dxa"/>
          </w:tblCellMar>
        </w:tblPrEx>
        <w:trPr>
          <w:jc w:val="center"/>
        </w:trPr>
        <w:tc>
          <w:tcPr>
            <w:tcW w:w="4871" w:type="dxa"/>
          </w:tcPr>
          <w:p w14:paraId="272FF9AA" w14:textId="5445A2A7" w:rsidR="00F35238" w:rsidRPr="00F35238" w:rsidRDefault="00AF70FE"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10E288D3" wp14:editId="4CFD6A2D">
                  <wp:extent cx="2780427" cy="2135505"/>
                  <wp:effectExtent l="0" t="0" r="1270" b="0"/>
                  <wp:docPr id="1015722212"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05805" cy="2154996"/>
                          </a:xfrm>
                          <a:prstGeom prst="rect">
                            <a:avLst/>
                          </a:prstGeom>
                          <a:noFill/>
                          <a:ln>
                            <a:noFill/>
                          </a:ln>
                        </pic:spPr>
                      </pic:pic>
                    </a:graphicData>
                  </a:graphic>
                </wp:inline>
              </w:drawing>
            </w:r>
          </w:p>
        </w:tc>
        <w:tc>
          <w:tcPr>
            <w:tcW w:w="4716" w:type="dxa"/>
          </w:tcPr>
          <w:p w14:paraId="7689B7A9" w14:textId="43928320" w:rsidR="00F35238" w:rsidRPr="00F35238" w:rsidRDefault="00AF70FE"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226A5393" wp14:editId="2403EF58">
                  <wp:extent cx="2737450" cy="2141980"/>
                  <wp:effectExtent l="0" t="0" r="6350" b="0"/>
                  <wp:docPr id="1170339845"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56005" cy="2156499"/>
                          </a:xfrm>
                          <a:prstGeom prst="rect">
                            <a:avLst/>
                          </a:prstGeom>
                          <a:noFill/>
                          <a:ln>
                            <a:noFill/>
                          </a:ln>
                        </pic:spPr>
                      </pic:pic>
                    </a:graphicData>
                  </a:graphic>
                </wp:inline>
              </w:drawing>
            </w:r>
          </w:p>
        </w:tc>
      </w:tr>
      <w:tr w:rsidR="00C41084" w14:paraId="3428815E" w14:textId="77777777" w:rsidTr="007A6110">
        <w:tblPrEx>
          <w:tblCellMar>
            <w:left w:w="108" w:type="dxa"/>
            <w:right w:w="108" w:type="dxa"/>
          </w:tblCellMar>
        </w:tblPrEx>
        <w:trPr>
          <w:jc w:val="center"/>
        </w:trPr>
        <w:tc>
          <w:tcPr>
            <w:tcW w:w="4871" w:type="dxa"/>
          </w:tcPr>
          <w:p w14:paraId="6E1986B6" w14:textId="03978813" w:rsidR="00F35238" w:rsidRPr="00F35238" w:rsidRDefault="00AF70FE"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759488FA" wp14:editId="0A0AC068">
                  <wp:extent cx="2788641" cy="2150745"/>
                  <wp:effectExtent l="0" t="0" r="0" b="1905"/>
                  <wp:docPr id="1475737983"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99336" cy="2158994"/>
                          </a:xfrm>
                          <a:prstGeom prst="rect">
                            <a:avLst/>
                          </a:prstGeom>
                          <a:noFill/>
                          <a:ln>
                            <a:noFill/>
                          </a:ln>
                        </pic:spPr>
                      </pic:pic>
                    </a:graphicData>
                  </a:graphic>
                </wp:inline>
              </w:drawing>
            </w:r>
          </w:p>
        </w:tc>
        <w:tc>
          <w:tcPr>
            <w:tcW w:w="4716" w:type="dxa"/>
          </w:tcPr>
          <w:p w14:paraId="6451E0C3" w14:textId="4F4B7CE3" w:rsidR="00F35238" w:rsidRPr="00F35238" w:rsidRDefault="00AF70FE" w:rsidP="00F35238">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68D5974B" wp14:editId="4C30A716">
                  <wp:extent cx="2754279" cy="2155148"/>
                  <wp:effectExtent l="0" t="0" r="8255" b="0"/>
                  <wp:docPr id="175909512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81293" cy="2176286"/>
                          </a:xfrm>
                          <a:prstGeom prst="rect">
                            <a:avLst/>
                          </a:prstGeom>
                          <a:noFill/>
                          <a:ln>
                            <a:noFill/>
                          </a:ln>
                        </pic:spPr>
                      </pic:pic>
                    </a:graphicData>
                  </a:graphic>
                </wp:inline>
              </w:drawing>
            </w:r>
          </w:p>
        </w:tc>
      </w:tr>
    </w:tbl>
    <w:p w14:paraId="73459A67" w14:textId="65D4E839" w:rsidR="00ED250F" w:rsidRPr="003C39DD" w:rsidRDefault="00ED250F" w:rsidP="00ED250F">
      <w:pPr>
        <w:widowControl/>
        <w:spacing w:beforeLines="50" w:before="144" w:line="280" w:lineRule="exact"/>
        <w:jc w:val="left"/>
        <w:rPr>
          <w:rFonts w:ascii="Times New Roman" w:eastAsia="游明朝" w:hAnsi="Times New Roman" w:cs="Times New Roman"/>
          <w:sz w:val="24"/>
          <w:szCs w:val="28"/>
          <w14:ligatures w14:val="standardContextual"/>
        </w:rPr>
      </w:pPr>
      <w:r w:rsidRPr="00C82E0A">
        <w:rPr>
          <w:rFonts w:ascii="Times New Roman" w:eastAsia="游明朝" w:hAnsi="Times New Roman" w:cs="Times New Roman"/>
          <w:b/>
          <w:bCs/>
          <w:sz w:val="24"/>
          <w:szCs w:val="28"/>
          <w14:ligatures w14:val="standardContextual"/>
        </w:rPr>
        <w:lastRenderedPageBreak/>
        <w:t>Supplementary Fig. S2. Historical trends and projections for global warming components through 2100.</w:t>
      </w:r>
      <w:r w:rsidRPr="00C82E0A">
        <w:rPr>
          <w:rFonts w:ascii="Times New Roman" w:eastAsia="游明朝" w:hAnsi="Times New Roman" w:cs="Times New Roman"/>
          <w:sz w:val="24"/>
          <w:szCs w:val="28"/>
          <w14:ligatures w14:val="standardContextual"/>
        </w:rPr>
        <w:t xml:space="preserve"> (</w:t>
      </w:r>
      <w:r w:rsidRPr="00C82E0A">
        <w:rPr>
          <w:rFonts w:ascii="Times New Roman" w:eastAsia="游明朝" w:hAnsi="Times New Roman" w:cs="Times New Roman"/>
          <w:b/>
          <w:bCs/>
          <w:sz w:val="24"/>
          <w:szCs w:val="28"/>
          <w14:ligatures w14:val="standardContextual"/>
        </w:rPr>
        <w:t>a</w:t>
      </w:r>
      <w:r w:rsidRPr="00C82E0A">
        <w:rPr>
          <w:rFonts w:ascii="Times New Roman" w:eastAsia="游明朝" w:hAnsi="Times New Roman" w:cs="Times New Roman"/>
          <w:sz w:val="24"/>
          <w:szCs w:val="28"/>
          <w14:ligatures w14:val="standardContextual"/>
        </w:rPr>
        <w:t>) Fossil fuel energy (FFE). (</w:t>
      </w:r>
      <w:r w:rsidRPr="00C82E0A">
        <w:rPr>
          <w:rFonts w:ascii="Times New Roman" w:eastAsia="游明朝" w:hAnsi="Times New Roman" w:cs="Times New Roman"/>
          <w:b/>
          <w:bCs/>
          <w:sz w:val="24"/>
          <w:szCs w:val="28"/>
          <w14:ligatures w14:val="standardContextual"/>
        </w:rPr>
        <w:t>b</w:t>
      </w:r>
      <w:r w:rsidRPr="00C82E0A">
        <w:rPr>
          <w:rFonts w:ascii="Times New Roman" w:eastAsia="游明朝" w:hAnsi="Times New Roman" w:cs="Times New Roman"/>
          <w:sz w:val="24"/>
          <w:szCs w:val="28"/>
          <w14:ligatures w14:val="standardContextual"/>
        </w:rPr>
        <w:t>) Traditional clean energy (TCE: renewable, nuclear, and hydropower). Although rapid growth is expected, by 2100, TCE amounts will only reach 29% of FFE and account for 22% of the total primary energy. (</w:t>
      </w:r>
      <w:r w:rsidRPr="00C82E0A">
        <w:rPr>
          <w:rFonts w:ascii="Times New Roman" w:eastAsia="游明朝" w:hAnsi="Times New Roman" w:cs="Times New Roman"/>
          <w:b/>
          <w:bCs/>
          <w:sz w:val="24"/>
          <w:szCs w:val="28"/>
          <w14:ligatures w14:val="standardContextual"/>
        </w:rPr>
        <w:t>c</w:t>
      </w:r>
      <w:r w:rsidRPr="00C82E0A">
        <w:rPr>
          <w:rFonts w:ascii="Times New Roman" w:eastAsia="游明朝" w:hAnsi="Times New Roman" w:cs="Times New Roman"/>
          <w:sz w:val="24"/>
          <w:szCs w:val="28"/>
          <w14:ligatures w14:val="standardContextual"/>
        </w:rPr>
        <w:t>) CO</w:t>
      </w:r>
      <w:r w:rsidRPr="00C82E0A">
        <w:rPr>
          <w:rFonts w:ascii="Times New Roman" w:eastAsia="游明朝" w:hAnsi="Times New Roman" w:cs="Times New Roman"/>
          <w:sz w:val="24"/>
          <w:szCs w:val="28"/>
          <w:vertAlign w:val="subscript"/>
          <w14:ligatures w14:val="standardContextual"/>
        </w:rPr>
        <w:t>2</w:t>
      </w:r>
      <w:r w:rsidRPr="00C82E0A">
        <w:rPr>
          <w:rFonts w:ascii="Times New Roman" w:eastAsia="游明朝" w:hAnsi="Times New Roman" w:cs="Times New Roman"/>
          <w:sz w:val="24"/>
          <w:szCs w:val="28"/>
          <w14:ligatures w14:val="standardContextual"/>
        </w:rPr>
        <w:t xml:space="preserve"> emissions factor from FFE. Before 1970, when coal was the main source, the emission factor was high. (</w:t>
      </w:r>
      <w:r w:rsidRPr="00C82E0A">
        <w:rPr>
          <w:rFonts w:ascii="Times New Roman" w:eastAsia="游明朝" w:hAnsi="Times New Roman" w:cs="Times New Roman"/>
          <w:b/>
          <w:bCs/>
          <w:sz w:val="24"/>
          <w:szCs w:val="28"/>
          <w14:ligatures w14:val="standardContextual"/>
        </w:rPr>
        <w:t>d</w:t>
      </w:r>
      <w:r w:rsidRPr="00C82E0A">
        <w:rPr>
          <w:rFonts w:ascii="Times New Roman" w:eastAsia="游明朝" w:hAnsi="Times New Roman" w:cs="Times New Roman"/>
          <w:sz w:val="24"/>
          <w:szCs w:val="28"/>
          <w14:ligatures w14:val="standardContextual"/>
        </w:rPr>
        <w:t>) to (</w:t>
      </w:r>
      <w:r w:rsidRPr="00C82E0A">
        <w:rPr>
          <w:rFonts w:ascii="Times New Roman" w:eastAsia="游明朝" w:hAnsi="Times New Roman" w:cs="Times New Roman"/>
          <w:b/>
          <w:bCs/>
          <w:sz w:val="24"/>
          <w:szCs w:val="28"/>
          <w14:ligatures w14:val="standardContextual"/>
        </w:rPr>
        <w:t>g</w:t>
      </w:r>
      <w:r w:rsidRPr="00C82E0A">
        <w:rPr>
          <w:rFonts w:ascii="Times New Roman" w:eastAsia="游明朝" w:hAnsi="Times New Roman" w:cs="Times New Roman"/>
          <w:sz w:val="24"/>
          <w:szCs w:val="28"/>
          <w14:ligatures w14:val="standardContextual"/>
        </w:rPr>
        <w:t>) GHG components. CO</w:t>
      </w:r>
      <w:r w:rsidRPr="00C82E0A">
        <w:rPr>
          <w:rFonts w:ascii="Times New Roman" w:eastAsia="游明朝" w:hAnsi="Times New Roman" w:cs="Times New Roman"/>
          <w:sz w:val="24"/>
          <w:szCs w:val="28"/>
          <w:vertAlign w:val="subscript"/>
          <w14:ligatures w14:val="standardContextual"/>
        </w:rPr>
        <w:t>2</w:t>
      </w:r>
      <w:r w:rsidRPr="00C82E0A">
        <w:rPr>
          <w:rFonts w:ascii="Times New Roman" w:eastAsia="游明朝" w:hAnsi="Times New Roman" w:cs="Times New Roman"/>
          <w:sz w:val="24"/>
          <w:szCs w:val="28"/>
          <w14:ligatures w14:val="standardContextual"/>
        </w:rPr>
        <w:t xml:space="preserve"> from non-FFE is caused by land use change and land management (deforestation, degradation, regeneration after farmland abandonment, peat drainage, etc.). (</w:t>
      </w:r>
      <w:r w:rsidRPr="00C82E0A">
        <w:rPr>
          <w:rFonts w:ascii="Times New Roman" w:eastAsia="游明朝" w:hAnsi="Times New Roman" w:cs="Times New Roman"/>
          <w:b/>
          <w:bCs/>
          <w:sz w:val="24"/>
          <w:szCs w:val="28"/>
          <w14:ligatures w14:val="standardContextual"/>
        </w:rPr>
        <w:t>h</w:t>
      </w:r>
      <w:r w:rsidRPr="00C82E0A">
        <w:rPr>
          <w:rFonts w:ascii="Times New Roman" w:eastAsia="游明朝" w:hAnsi="Times New Roman" w:cs="Times New Roman"/>
          <w:sz w:val="24"/>
          <w:szCs w:val="28"/>
          <w14:ligatures w14:val="standardContextual"/>
        </w:rPr>
        <w:t>) The SSP3-7.0 scenario (cumulative CO</w:t>
      </w:r>
      <w:r w:rsidRPr="00C82E0A">
        <w:rPr>
          <w:rFonts w:ascii="Times New Roman" w:eastAsia="游明朝" w:hAnsi="Times New Roman" w:cs="Times New Roman"/>
          <w:sz w:val="24"/>
          <w:szCs w:val="28"/>
          <w:vertAlign w:val="subscript"/>
          <w14:ligatures w14:val="standardContextual"/>
        </w:rPr>
        <w:t>2</w:t>
      </w:r>
      <w:r w:rsidRPr="00C82E0A">
        <w:rPr>
          <w:rFonts w:ascii="Times New Roman" w:eastAsia="游明朝" w:hAnsi="Times New Roman" w:cs="Times New Roman"/>
          <w:sz w:val="24"/>
          <w:szCs w:val="28"/>
          <w14:ligatures w14:val="standardContextual"/>
        </w:rPr>
        <w:t xml:space="preserve"> is double the current level in 2100) where global warming policies continue. The surface temperature will rise to 3.5 [2.5 to 4.4] ℃ by </w:t>
      </w:r>
      <w:r w:rsidRPr="003C39DD">
        <w:rPr>
          <w:rFonts w:ascii="Times New Roman" w:eastAsia="游明朝" w:hAnsi="Times New Roman" w:cs="Times New Roman"/>
          <w:sz w:val="24"/>
          <w:szCs w:val="28"/>
          <w14:ligatures w14:val="standardContextual"/>
        </w:rPr>
        <w:t>2100</w:t>
      </w:r>
      <w:r w:rsidR="004717DE" w:rsidRPr="003C39DD">
        <w:rPr>
          <w:rFonts w:ascii="Times New Roman" w:eastAsia="游明朝" w:hAnsi="Times New Roman" w:cs="Times New Roman" w:hint="eastAsia"/>
          <w:sz w:val="24"/>
          <w:szCs w:val="28"/>
          <w14:ligatures w14:val="standardContextual"/>
        </w:rPr>
        <w:t xml:space="preserve"> [2-3]</w:t>
      </w:r>
      <w:r w:rsidRPr="003C39DD">
        <w:rPr>
          <w:rFonts w:ascii="Times New Roman" w:eastAsia="游明朝" w:hAnsi="Times New Roman" w:cs="Times New Roman"/>
          <w:sz w:val="24"/>
          <w:szCs w:val="28"/>
          <w14:ligatures w14:val="standardContextual"/>
        </w:rPr>
        <w:t>.</w:t>
      </w:r>
    </w:p>
    <w:p w14:paraId="5BD518F7" w14:textId="76941999" w:rsidR="00F35238" w:rsidRPr="00A108AF" w:rsidRDefault="00F35238" w:rsidP="0049122B">
      <w:pPr>
        <w:widowControl/>
        <w:spacing w:beforeLines="50" w:before="144" w:line="280" w:lineRule="exact"/>
        <w:jc w:val="left"/>
        <w:rPr>
          <w:rFonts w:ascii="Times New Roman" w:hAnsi="Times New Roman" w:cs="Times New Roman"/>
          <w:sz w:val="24"/>
          <w:szCs w:val="24"/>
        </w:rPr>
      </w:pPr>
    </w:p>
    <w:p w14:paraId="13ADF5E6" w14:textId="67A263A1" w:rsidR="00F35238" w:rsidRPr="00CD7127" w:rsidRDefault="000E0857">
      <w:pPr>
        <w:widowControl/>
        <w:jc w:val="left"/>
        <w:rPr>
          <w:rFonts w:ascii="Times New Roman" w:hAnsi="Times New Roman" w:cs="Times New Roman"/>
          <w:sz w:val="24"/>
          <w:szCs w:val="24"/>
        </w:rPr>
      </w:pPr>
      <w:r w:rsidRPr="00CD7127">
        <w:rPr>
          <w:rFonts w:ascii="Times New Roman" w:hAnsi="Times New Roman" w:cs="Times New Roman"/>
          <w:sz w:val="24"/>
          <w:szCs w:val="24"/>
        </w:rPr>
        <w:br w:type="page"/>
      </w:r>
    </w:p>
    <w:p w14:paraId="1E20B3E7" w14:textId="794CC6B3" w:rsidR="00087BB2" w:rsidRDefault="005C7366" w:rsidP="00BB5815">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02AD15A" wp14:editId="2ABEE54A">
            <wp:extent cx="6312011" cy="3203188"/>
            <wp:effectExtent l="0" t="0" r="0" b="0"/>
            <wp:docPr id="912301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42515" cy="3218668"/>
                    </a:xfrm>
                    <a:prstGeom prst="rect">
                      <a:avLst/>
                    </a:prstGeom>
                    <a:noFill/>
                    <a:ln>
                      <a:noFill/>
                    </a:ln>
                  </pic:spPr>
                </pic:pic>
              </a:graphicData>
            </a:graphic>
          </wp:inline>
        </w:drawing>
      </w:r>
    </w:p>
    <w:p w14:paraId="500A8AAB" w14:textId="5BCDE9D5" w:rsidR="00ED250F" w:rsidRPr="003C39DD" w:rsidRDefault="00ED250F" w:rsidP="004F2C64">
      <w:pPr>
        <w:rPr>
          <w:rFonts w:ascii="Times New Roman" w:eastAsia="游明朝" w:hAnsi="Times New Roman" w:cs="Times New Roman"/>
          <w:sz w:val="24"/>
          <w:szCs w:val="24"/>
          <w14:ligatures w14:val="standardContextual"/>
        </w:rPr>
      </w:pPr>
      <w:r w:rsidRPr="00ED250F">
        <w:rPr>
          <w:rFonts w:ascii="Times New Roman" w:eastAsia="游明朝" w:hAnsi="Times New Roman" w:cs="Times New Roman"/>
          <w:b/>
          <w:bCs/>
          <w:sz w:val="24"/>
          <w:szCs w:val="24"/>
          <w14:ligatures w14:val="standardContextual"/>
        </w:rPr>
        <w:t>Supplementary Fig. S3. Carbon-free energy supply system (CFESS)</w:t>
      </w:r>
      <w:r w:rsidRPr="00ED250F">
        <w:rPr>
          <w:rFonts w:ascii="Times New Roman" w:eastAsia="游明朝" w:hAnsi="Times New Roman" w:cs="Times New Roman"/>
          <w:sz w:val="24"/>
          <w:szCs w:val="24"/>
          <w14:ligatures w14:val="standardContextual"/>
        </w:rPr>
        <w:t>.</w:t>
      </w:r>
      <w:bookmarkStart w:id="5" w:name="_Hlk205660012"/>
      <w:r w:rsidR="005C216B" w:rsidRPr="005C216B">
        <w:rPr>
          <w:rFonts w:ascii="ＭＳ Ｐゴシック" w:eastAsia="ＭＳ Ｐゴシック" w:hAnsi="ＭＳ Ｐゴシック" w:cs="ＭＳ Ｐゴシック"/>
          <w:kern w:val="0"/>
          <w:sz w:val="24"/>
          <w:szCs w:val="24"/>
        </w:rPr>
        <w:t xml:space="preserve"> </w:t>
      </w:r>
      <w:r w:rsidR="005C216B" w:rsidRPr="005C216B">
        <w:rPr>
          <w:rFonts w:ascii="Times New Roman" w:eastAsia="游明朝" w:hAnsi="Times New Roman" w:cs="Times New Roman"/>
          <w:szCs w:val="24"/>
          <w14:ligatures w14:val="standardContextual"/>
        </w:rPr>
        <w:t>The G-NH₃ synthesis system uses a solid oxide electrolyzer (SOE) operating at high temperatures (650°C) to electrolyze green hydrogen from renewable electricity. It also synthesizes NH₃ from H₂ and N</w:t>
      </w:r>
      <w:r w:rsidR="005C216B" w:rsidRPr="005C216B">
        <w:rPr>
          <w:rFonts w:ascii="Times New Roman" w:eastAsia="游明朝" w:hAnsi="Times New Roman" w:cs="Times New Roman"/>
          <w:szCs w:val="24"/>
          <w:vertAlign w:val="subscript"/>
          <w14:ligatures w14:val="standardContextual"/>
        </w:rPr>
        <w:t>2</w:t>
      </w:r>
      <w:r w:rsidR="005C216B" w:rsidRPr="005C216B">
        <w:rPr>
          <w:rFonts w:ascii="Times New Roman" w:eastAsia="游明朝" w:hAnsi="Times New Roman" w:cs="Times New Roman"/>
          <w:szCs w:val="24"/>
          <w14:ligatures w14:val="standardContextual"/>
        </w:rPr>
        <w:t xml:space="preserve"> under high temperature and pressure conditions (450-600°C, 10-25 MPa) using the Haber-Bosch (HB) </w:t>
      </w:r>
      <w:r w:rsidR="00E16ACF" w:rsidRPr="00E16ACF">
        <w:rPr>
          <w:rFonts w:ascii="Times New Roman" w:eastAsia="游明朝" w:hAnsi="Times New Roman" w:cs="Times New Roman"/>
          <w:szCs w:val="24"/>
          <w14:ligatures w14:val="standardContextual"/>
        </w:rPr>
        <w:t>method</w:t>
      </w:r>
      <w:r w:rsidR="005C216B" w:rsidRPr="005C216B">
        <w:rPr>
          <w:rFonts w:ascii="Times New Roman" w:eastAsia="游明朝" w:hAnsi="Times New Roman" w:cs="Times New Roman"/>
          <w:szCs w:val="24"/>
          <w14:ligatures w14:val="standardContextual"/>
        </w:rPr>
        <w:t>. These components are therm</w:t>
      </w:r>
      <w:r w:rsidR="005C216B" w:rsidRPr="002F4C00">
        <w:rPr>
          <w:rFonts w:ascii="Times New Roman" w:eastAsia="游明朝" w:hAnsi="Times New Roman" w:cs="Times New Roman"/>
          <w:szCs w:val="24"/>
          <w14:ligatures w14:val="standardContextual"/>
        </w:rPr>
        <w:t xml:space="preserve">ally integrated. </w:t>
      </w:r>
      <w:r w:rsidR="005C7366" w:rsidRPr="002F4C00">
        <w:rPr>
          <w:rFonts w:ascii="Times New Roman" w:eastAsia="游明朝" w:hAnsi="Times New Roman" w:cs="Times New Roman"/>
          <w:szCs w:val="24"/>
          <w14:ligatures w14:val="standardContextual"/>
        </w:rPr>
        <w:t>Even including the energy required for the ASU to separate nitrogen gas from air, a high NH₃ synthesis efficiency of 74% is achieved.</w:t>
      </w:r>
      <w:r w:rsidR="005C216B" w:rsidRPr="002F4C00">
        <w:rPr>
          <w:rFonts w:ascii="Times New Roman" w:eastAsia="游明朝" w:hAnsi="Times New Roman" w:cs="Times New Roman"/>
          <w:szCs w:val="24"/>
          <w14:ligatures w14:val="standardContextual"/>
        </w:rPr>
        <w:t xml:space="preserve"> The HB </w:t>
      </w:r>
      <w:r w:rsidR="00E16ACF" w:rsidRPr="002F4C00">
        <w:rPr>
          <w:rFonts w:ascii="Times New Roman" w:eastAsia="游明朝" w:hAnsi="Times New Roman" w:cs="Times New Roman"/>
          <w:szCs w:val="24"/>
          <w14:ligatures w14:val="standardContextual"/>
        </w:rPr>
        <w:t>method</w:t>
      </w:r>
      <w:r w:rsidR="005C216B" w:rsidRPr="002F4C00">
        <w:rPr>
          <w:rFonts w:ascii="Times New Roman" w:eastAsia="游明朝" w:hAnsi="Times New Roman" w:cs="Times New Roman"/>
          <w:szCs w:val="24"/>
          <w14:ligatures w14:val="standardContextual"/>
        </w:rPr>
        <w:t>, developed in 1913, is still widely used for NH₃ production as a fertilizer raw material, but catalyst research aims to achieve NH₃ synthesis at lower temperatures and pressures to improve production efficiency</w:t>
      </w:r>
      <w:r w:rsidR="004717DE" w:rsidRPr="002F4C00">
        <w:rPr>
          <w:rFonts w:ascii="Times New Roman" w:eastAsia="游明朝" w:hAnsi="Times New Roman" w:cs="Times New Roman" w:hint="eastAsia"/>
          <w:szCs w:val="24"/>
          <w14:ligatures w14:val="standardContextual"/>
        </w:rPr>
        <w:t xml:space="preserve"> [4-5</w:t>
      </w:r>
      <w:r w:rsidR="004717DE" w:rsidRPr="003C39DD">
        <w:rPr>
          <w:rFonts w:ascii="Times New Roman" w:eastAsia="游明朝" w:hAnsi="Times New Roman" w:cs="Times New Roman" w:hint="eastAsia"/>
          <w:szCs w:val="24"/>
          <w14:ligatures w14:val="standardContextual"/>
        </w:rPr>
        <w:t>]</w:t>
      </w:r>
      <w:bookmarkEnd w:id="5"/>
      <w:r w:rsidRPr="003C39DD">
        <w:rPr>
          <w:rFonts w:ascii="Times New Roman" w:eastAsia="游明朝" w:hAnsi="Times New Roman" w:cs="Times New Roman"/>
          <w:sz w:val="24"/>
          <w:szCs w:val="24"/>
          <w14:ligatures w14:val="standardContextual"/>
        </w:rPr>
        <w:t>.</w:t>
      </w:r>
    </w:p>
    <w:p w14:paraId="3F76A374" w14:textId="6353CE10" w:rsidR="00ED250F" w:rsidRPr="00ED250F" w:rsidRDefault="00ED250F" w:rsidP="004F2C64">
      <w:pPr>
        <w:widowControl/>
        <w:jc w:val="left"/>
        <w:rPr>
          <w:rFonts w:ascii="Times New Roman" w:eastAsia="游明朝" w:hAnsi="Times New Roman" w:cs="Times New Roman"/>
          <w:sz w:val="24"/>
          <w:szCs w:val="24"/>
          <w14:ligatures w14:val="standardContextual"/>
        </w:rPr>
      </w:pPr>
      <w:r w:rsidRPr="00ED250F">
        <w:rPr>
          <w:rFonts w:ascii="Times New Roman" w:eastAsia="游明朝" w:hAnsi="Times New Roman" w:cs="Times New Roman"/>
          <w:sz w:val="24"/>
          <w:szCs w:val="24"/>
          <w14:ligatures w14:val="standardContextual"/>
        </w:rPr>
        <w:t>The synthesized G-NH</w:t>
      </w:r>
      <w:r w:rsidRPr="00ED250F">
        <w:rPr>
          <w:rFonts w:ascii="Times New Roman" w:eastAsia="游明朝" w:hAnsi="Times New Roman" w:cs="Times New Roman"/>
          <w:sz w:val="24"/>
          <w:szCs w:val="24"/>
          <w:vertAlign w:val="subscript"/>
          <w14:ligatures w14:val="standardContextual"/>
        </w:rPr>
        <w:t>3</w:t>
      </w:r>
      <w:r w:rsidRPr="00ED250F">
        <w:rPr>
          <w:rFonts w:ascii="Times New Roman" w:eastAsia="游明朝" w:hAnsi="Times New Roman" w:cs="Times New Roman"/>
          <w:sz w:val="24"/>
          <w:szCs w:val="24"/>
          <w14:ligatures w14:val="standardContextual"/>
        </w:rPr>
        <w:t xml:space="preserve"> is pressurized to become LNH</w:t>
      </w:r>
      <w:r w:rsidRPr="00ED250F">
        <w:rPr>
          <w:rFonts w:ascii="Times New Roman" w:eastAsia="游明朝" w:hAnsi="Times New Roman" w:cs="Times New Roman"/>
          <w:sz w:val="24"/>
          <w:szCs w:val="24"/>
          <w:vertAlign w:val="subscript"/>
          <w14:ligatures w14:val="standardContextual"/>
        </w:rPr>
        <w:t>3</w:t>
      </w:r>
      <w:r w:rsidRPr="00ED250F">
        <w:rPr>
          <w:rFonts w:ascii="Times New Roman" w:eastAsia="游明朝" w:hAnsi="Times New Roman" w:cs="Times New Roman"/>
          <w:sz w:val="24"/>
          <w:szCs w:val="24"/>
          <w14:ligatures w14:val="standardContextual"/>
        </w:rPr>
        <w:t xml:space="preserve"> and stored in tanks. The ECSS supplies LNH</w:t>
      </w:r>
      <w:r w:rsidRPr="00ED250F">
        <w:rPr>
          <w:rFonts w:ascii="Times New Roman" w:eastAsia="游明朝" w:hAnsi="Times New Roman" w:cs="Times New Roman"/>
          <w:sz w:val="24"/>
          <w:szCs w:val="24"/>
          <w:vertAlign w:val="subscript"/>
          <w14:ligatures w14:val="standardContextual"/>
        </w:rPr>
        <w:t>3</w:t>
      </w:r>
      <w:r w:rsidRPr="00ED250F">
        <w:rPr>
          <w:rFonts w:ascii="Times New Roman" w:eastAsia="游明朝" w:hAnsi="Times New Roman" w:cs="Times New Roman"/>
          <w:sz w:val="24"/>
          <w:szCs w:val="24"/>
          <w14:ligatures w14:val="standardContextual"/>
        </w:rPr>
        <w:t xml:space="preserve"> to various supply destination facilities through a pipeline network. For details on the FOPV, ECSS, LNH</w:t>
      </w:r>
      <w:r w:rsidRPr="00ED250F">
        <w:rPr>
          <w:rFonts w:ascii="Times New Roman" w:eastAsia="游明朝" w:hAnsi="Times New Roman" w:cs="Times New Roman"/>
          <w:sz w:val="24"/>
          <w:szCs w:val="24"/>
          <w:vertAlign w:val="subscript"/>
          <w14:ligatures w14:val="standardContextual"/>
        </w:rPr>
        <w:t>3</w:t>
      </w:r>
      <w:r w:rsidRPr="00ED250F">
        <w:rPr>
          <w:rFonts w:ascii="Times New Roman" w:eastAsia="游明朝" w:hAnsi="Times New Roman" w:cs="Times New Roman"/>
          <w:sz w:val="24"/>
          <w:szCs w:val="24"/>
          <w14:ligatures w14:val="standardContextual"/>
        </w:rPr>
        <w:t xml:space="preserve"> pipeline network, and various supply destination facilities, refer to </w:t>
      </w:r>
      <w:r w:rsidRPr="00ED250F">
        <w:rPr>
          <w:rFonts w:ascii="Times New Roman" w:eastAsia="游明朝" w:hAnsi="Times New Roman" w:cs="Times New Roman"/>
          <w:b/>
          <w:bCs/>
          <w:sz w:val="24"/>
          <w:szCs w:val="24"/>
          <w14:ligatures w14:val="standardContextual"/>
        </w:rPr>
        <w:t>Fig. 3</w:t>
      </w:r>
      <w:r w:rsidRPr="00ED250F">
        <w:rPr>
          <w:rFonts w:ascii="Times New Roman" w:eastAsia="游明朝" w:hAnsi="Times New Roman" w:cs="Times New Roman"/>
          <w:sz w:val="24"/>
          <w:szCs w:val="24"/>
          <w14:ligatures w14:val="standardContextual"/>
        </w:rPr>
        <w:t>.</w:t>
      </w:r>
    </w:p>
    <w:p w14:paraId="41CB2859" w14:textId="0BB18284" w:rsidR="00087BB2" w:rsidRPr="00A108AF" w:rsidRDefault="000E0857" w:rsidP="0049122B">
      <w:pPr>
        <w:widowControl/>
        <w:jc w:val="left"/>
        <w:rPr>
          <w:rFonts w:ascii="Times New Roman" w:hAnsi="Times New Roman" w:cs="Times New Roman"/>
          <w:sz w:val="24"/>
          <w:szCs w:val="24"/>
        </w:rPr>
      </w:pPr>
      <w:r w:rsidRPr="00A108AF">
        <w:rPr>
          <w:rFonts w:ascii="Times New Roman" w:hAnsi="Times New Roman" w:cs="Times New Roman"/>
          <w:sz w:val="24"/>
          <w:szCs w:val="24"/>
        </w:rPr>
        <w:br w:type="page"/>
      </w:r>
    </w:p>
    <w:p w14:paraId="369C6EE2" w14:textId="77777777" w:rsidR="00087BB2" w:rsidRDefault="00087BB2">
      <w:pPr>
        <w:widowControl/>
        <w:jc w:val="left"/>
        <w:rPr>
          <w:rFonts w:ascii="Times New Roman" w:hAnsi="Times New Roman" w:cs="Times New Roman"/>
          <w:sz w:val="24"/>
          <w:szCs w:val="24"/>
        </w:rPr>
      </w:pPr>
    </w:p>
    <w:p w14:paraId="18E2D8F2" w14:textId="49D3AA84" w:rsidR="0091507C" w:rsidRDefault="000E0857">
      <w:pPr>
        <w:widowControl/>
        <w:jc w:val="left"/>
        <w:rPr>
          <w:rFonts w:ascii="Times New Roman" w:hAnsi="Times New Roman" w:cs="Times New Roman"/>
          <w:sz w:val="24"/>
          <w:szCs w:val="24"/>
        </w:rPr>
      </w:pPr>
      <w:r w:rsidRPr="001063A9">
        <w:rPr>
          <w:noProof/>
        </w:rPr>
        <w:drawing>
          <wp:inline distT="0" distB="0" distL="0" distR="0" wp14:anchorId="63E7E19E" wp14:editId="51C75013">
            <wp:extent cx="6332220" cy="4661535"/>
            <wp:effectExtent l="0" t="0" r="0" b="0"/>
            <wp:docPr id="128021176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211761" name="Picture 1"/>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6332220" cy="4661535"/>
                    </a:xfrm>
                    <a:prstGeom prst="rect">
                      <a:avLst/>
                    </a:prstGeom>
                    <a:noFill/>
                    <a:ln>
                      <a:noFill/>
                    </a:ln>
                  </pic:spPr>
                </pic:pic>
              </a:graphicData>
            </a:graphic>
          </wp:inline>
        </w:drawing>
      </w:r>
    </w:p>
    <w:p w14:paraId="3438DE19" w14:textId="769F7827" w:rsidR="00ED250F" w:rsidRPr="00C82E0A" w:rsidRDefault="00ED250F" w:rsidP="00ED250F">
      <w:pPr>
        <w:widowControl/>
        <w:spacing w:before="240"/>
        <w:jc w:val="left"/>
        <w:rPr>
          <w:rFonts w:ascii="Times New Roman" w:eastAsia="メイリオ" w:hAnsi="Times New Roman" w:cs="Times New Roman"/>
          <w:kern w:val="24"/>
          <w:sz w:val="24"/>
          <w:szCs w:val="24"/>
          <w14:ligatures w14:val="standardContextual"/>
        </w:rPr>
      </w:pPr>
      <w:bookmarkStart w:id="6" w:name="_Hlk191145812"/>
      <w:r w:rsidRPr="00C82E0A">
        <w:rPr>
          <w:rFonts w:ascii="Times New Roman" w:eastAsia="メイリオ" w:hAnsi="Times New Roman" w:cs="Times New Roman"/>
          <w:b/>
          <w:bCs/>
          <w:kern w:val="24"/>
          <w:sz w:val="24"/>
          <w:szCs w:val="24"/>
          <w14:ligatures w14:val="standardContextual"/>
        </w:rPr>
        <w:t>Supplementary Fig. S4</w:t>
      </w:r>
      <w:bookmarkEnd w:id="6"/>
      <w:r w:rsidRPr="00C82E0A">
        <w:rPr>
          <w:rFonts w:ascii="Times New Roman" w:eastAsia="メイリオ" w:hAnsi="Times New Roman" w:cs="Times New Roman"/>
          <w:kern w:val="24"/>
          <w:sz w:val="24"/>
          <w:szCs w:val="24"/>
          <w14:ligatures w14:val="standardContextual"/>
        </w:rPr>
        <w:t xml:space="preserve">. </w:t>
      </w:r>
      <w:r w:rsidRPr="00C82E0A">
        <w:rPr>
          <w:rFonts w:ascii="Times New Roman" w:eastAsia="メイリオ" w:hAnsi="Times New Roman" w:cs="Times New Roman"/>
          <w:b/>
          <w:bCs/>
          <w:kern w:val="24"/>
          <w:sz w:val="24"/>
          <w:szCs w:val="24"/>
          <w14:ligatures w14:val="standardContextual"/>
        </w:rPr>
        <w:t>Four-l</w:t>
      </w:r>
      <w:r w:rsidRPr="003C39DD">
        <w:rPr>
          <w:rFonts w:ascii="Times New Roman" w:eastAsia="メイリオ" w:hAnsi="Times New Roman" w:cs="Times New Roman"/>
          <w:b/>
          <w:bCs/>
          <w:kern w:val="24"/>
          <w:sz w:val="24"/>
          <w:szCs w:val="24"/>
          <w14:ligatures w14:val="standardContextual"/>
        </w:rPr>
        <w:t xml:space="preserve">ayer connection circuit of FOPV </w:t>
      </w:r>
      <w:proofErr w:type="gramStart"/>
      <w:r w:rsidRPr="003C39DD">
        <w:rPr>
          <w:rFonts w:ascii="Times New Roman" w:eastAsia="メイリオ" w:hAnsi="Times New Roman" w:cs="Times New Roman"/>
          <w:b/>
          <w:bCs/>
          <w:kern w:val="24"/>
          <w:sz w:val="24"/>
          <w:szCs w:val="24"/>
          <w14:ligatures w14:val="standardContextual"/>
        </w:rPr>
        <w:t>preventing</w:t>
      </w:r>
      <w:proofErr w:type="gramEnd"/>
      <w:r w:rsidRPr="003C39DD">
        <w:rPr>
          <w:rFonts w:ascii="Times New Roman" w:eastAsia="メイリオ" w:hAnsi="Times New Roman" w:cs="Times New Roman"/>
          <w:b/>
          <w:bCs/>
          <w:kern w:val="24"/>
          <w:sz w:val="24"/>
          <w:szCs w:val="24"/>
          <w14:ligatures w14:val="standardContextual"/>
        </w:rPr>
        <w:t xml:space="preserve"> PID in PV modules.</w:t>
      </w:r>
      <w:r w:rsidRPr="003C39DD">
        <w:rPr>
          <w:rFonts w:ascii="Times New Roman" w:eastAsia="メイリオ" w:hAnsi="Times New Roman" w:cs="Times New Roman"/>
          <w:kern w:val="24"/>
          <w:sz w:val="24"/>
          <w:szCs w:val="24"/>
          <w14:ligatures w14:val="standardContextual"/>
        </w:rPr>
        <w:t xml:space="preserve"> </w:t>
      </w:r>
      <w:bookmarkStart w:id="7" w:name="_Hlk195723465"/>
      <w:r w:rsidRPr="003C39DD">
        <w:rPr>
          <w:rFonts w:ascii="Times New Roman" w:eastAsia="メイリオ" w:hAnsi="Times New Roman" w:cs="Times New Roman"/>
          <w:kern w:val="24"/>
          <w:sz w:val="24"/>
          <w:szCs w:val="24"/>
          <w14:ligatures w14:val="standardContextual"/>
        </w:rPr>
        <w:t>As with the design of the previous PV panel</w:t>
      </w:r>
      <w:r w:rsidR="004717DE" w:rsidRPr="003C39DD">
        <w:rPr>
          <w:rFonts w:ascii="Times New Roman" w:eastAsia="メイリオ" w:hAnsi="Times New Roman" w:cs="Times New Roman" w:hint="eastAsia"/>
          <w:kern w:val="24"/>
          <w:sz w:val="24"/>
          <w:szCs w:val="24"/>
          <w14:ligatures w14:val="standardContextual"/>
        </w:rPr>
        <w:t xml:space="preserve"> [6]</w:t>
      </w:r>
      <w:r w:rsidRPr="003C39DD">
        <w:rPr>
          <w:rFonts w:ascii="Times New Roman" w:eastAsia="メイリオ" w:hAnsi="Times New Roman" w:cs="Times New Roman"/>
          <w:kern w:val="24"/>
          <w:sz w:val="24"/>
          <w:szCs w:val="24"/>
          <w14:ligatures w14:val="standardContextual"/>
        </w:rPr>
        <w:t xml:space="preserve">, the maximum potential difference between the PV module and frame (ground) was ±2.60 kV, </w:t>
      </w:r>
      <w:bookmarkEnd w:id="7"/>
      <w:r w:rsidRPr="003C39DD">
        <w:rPr>
          <w:rFonts w:ascii="Times New Roman" w:eastAsia="メイリオ" w:hAnsi="Times New Roman" w:cs="Times New Roman"/>
          <w:kern w:val="24"/>
          <w:sz w:val="24"/>
          <w:szCs w:val="24"/>
          <w14:ligatures w14:val="standardContextual"/>
        </w:rPr>
        <w:t>however, t</w:t>
      </w:r>
      <w:r w:rsidRPr="00C82E0A">
        <w:rPr>
          <w:rFonts w:ascii="Times New Roman" w:eastAsia="メイリオ" w:hAnsi="Times New Roman" w:cs="Times New Roman"/>
          <w:kern w:val="24"/>
          <w:sz w:val="24"/>
          <w:szCs w:val="24"/>
          <w14:ligatures w14:val="standardContextual"/>
        </w:rPr>
        <w:t xml:space="preserve">his potential difference could have a significant impact on the performance and lifespan of the PV module due to the potential-induced degradation (PID) phenomenon. PID can be prevented by reducing the potential difference between the PV module and frame to 500 V or less. To achieve this, the small aggregate is divided into two layers, and the fine aggregate, a series connection of 10 PV panels, is connected in parallel to limit the maximum potential difference to ±250 V. Therefore, the FOPV has a four-layer structure overall. See the example of the performance specifications of the FOPV in </w:t>
      </w:r>
      <w:r w:rsidRPr="00C82E0A">
        <w:rPr>
          <w:rFonts w:ascii="Times New Roman" w:eastAsia="メイリオ" w:hAnsi="Times New Roman" w:cs="Times New Roman"/>
          <w:b/>
          <w:bCs/>
          <w:kern w:val="24"/>
          <w:sz w:val="24"/>
          <w:szCs w:val="24"/>
          <w14:ligatures w14:val="standardContextual"/>
        </w:rPr>
        <w:t>Supplementary Table S1.</w:t>
      </w:r>
    </w:p>
    <w:p w14:paraId="28C051F0" w14:textId="77777777" w:rsidR="0091507C" w:rsidRDefault="000E085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EAA9AD0" w14:textId="77777777" w:rsidR="00871DD2" w:rsidRPr="008B1E3B" w:rsidRDefault="00871DD2">
      <w:pPr>
        <w:widowControl/>
        <w:jc w:val="left"/>
        <w:rPr>
          <w:rFonts w:ascii="Times New Roman" w:hAnsi="Times New Roman" w:cs="Times New Roman"/>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3"/>
        <w:gridCol w:w="5009"/>
      </w:tblGrid>
      <w:tr w:rsidR="004C2F54" w14:paraId="48199E2D" w14:textId="77777777" w:rsidTr="00ED250F">
        <w:tc>
          <w:tcPr>
            <w:tcW w:w="4963" w:type="dxa"/>
          </w:tcPr>
          <w:p w14:paraId="44DC1C9B" w14:textId="34D3AD2B" w:rsidR="00871DD2" w:rsidRPr="00787914" w:rsidRDefault="000E0857" w:rsidP="008B0521">
            <w:pPr>
              <w:widowControl/>
              <w:spacing w:line="480" w:lineRule="auto"/>
              <w:jc w:val="center"/>
              <w:rPr>
                <w:rFonts w:ascii="Times New Roman" w:hAnsi="Times New Roman" w:cs="Times New Roman"/>
                <w:sz w:val="24"/>
              </w:rPr>
            </w:pPr>
            <w:bookmarkStart w:id="8" w:name="_Hlk152440747"/>
            <w:r>
              <w:rPr>
                <w:rFonts w:ascii="Times New Roman" w:hAnsi="Times New Roman" w:cs="Times New Roman"/>
                <w:noProof/>
                <w:sz w:val="24"/>
              </w:rPr>
              <w:drawing>
                <wp:inline distT="0" distB="0" distL="0" distR="0" wp14:anchorId="6657D566" wp14:editId="52A2847E">
                  <wp:extent cx="3093720" cy="2306816"/>
                  <wp:effectExtent l="0" t="0" r="0" b="0"/>
                  <wp:docPr id="118339926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399265" name="Picture 2"/>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3113739" cy="2321743"/>
                          </a:xfrm>
                          <a:prstGeom prst="rect">
                            <a:avLst/>
                          </a:prstGeom>
                          <a:noFill/>
                          <a:ln>
                            <a:noFill/>
                          </a:ln>
                        </pic:spPr>
                      </pic:pic>
                    </a:graphicData>
                  </a:graphic>
                </wp:inline>
              </w:drawing>
            </w:r>
          </w:p>
        </w:tc>
        <w:tc>
          <w:tcPr>
            <w:tcW w:w="5009" w:type="dxa"/>
          </w:tcPr>
          <w:p w14:paraId="4B424338" w14:textId="05A1ACBD" w:rsidR="00871DD2" w:rsidRPr="00787914" w:rsidRDefault="000E0857" w:rsidP="008B0521">
            <w:pPr>
              <w:widowControl/>
              <w:spacing w:line="48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14:anchorId="3FC1B8D4" wp14:editId="05DC7BCE">
                  <wp:extent cx="3123591" cy="2310156"/>
                  <wp:effectExtent l="0" t="0" r="635" b="0"/>
                  <wp:docPr id="199367695"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67695" name="Picture 3"/>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3137188" cy="2320212"/>
                          </a:xfrm>
                          <a:prstGeom prst="rect">
                            <a:avLst/>
                          </a:prstGeom>
                          <a:noFill/>
                          <a:ln>
                            <a:noFill/>
                          </a:ln>
                        </pic:spPr>
                      </pic:pic>
                    </a:graphicData>
                  </a:graphic>
                </wp:inline>
              </w:drawing>
            </w:r>
          </w:p>
        </w:tc>
      </w:tr>
    </w:tbl>
    <w:p w14:paraId="006962AD" w14:textId="18C0DE0D" w:rsidR="00ED250F" w:rsidRPr="00C82E0A" w:rsidRDefault="00ED250F" w:rsidP="00ED250F">
      <w:pPr>
        <w:jc w:val="left"/>
        <w:rPr>
          <w:rFonts w:ascii="Times New Roman" w:hAnsi="Times New Roman" w:cs="Times New Roman"/>
          <w:sz w:val="24"/>
          <w:szCs w:val="28"/>
        </w:rPr>
      </w:pPr>
      <w:bookmarkStart w:id="9" w:name="_Hlk152442254"/>
      <w:bookmarkEnd w:id="8"/>
      <w:r w:rsidRPr="00C82E0A">
        <w:rPr>
          <w:rFonts w:ascii="Times New Roman" w:hAnsi="Times New Roman" w:cs="Times New Roman"/>
          <w:b/>
          <w:bCs/>
          <w:sz w:val="24"/>
          <w:szCs w:val="24"/>
        </w:rPr>
        <w:t xml:space="preserve">Supplementary </w:t>
      </w:r>
      <w:bookmarkEnd w:id="9"/>
      <w:r w:rsidRPr="00C82E0A">
        <w:rPr>
          <w:rFonts w:ascii="Times New Roman" w:hAnsi="Times New Roman" w:cs="Times New Roman"/>
          <w:b/>
          <w:sz w:val="24"/>
          <w:szCs w:val="28"/>
        </w:rPr>
        <w:t xml:space="preserve">Fig. S5 Properties of carbon steel pipes </w:t>
      </w:r>
      <w:r w:rsidRPr="00C82E0A">
        <w:rPr>
          <w:rFonts w:ascii="Times New Roman" w:hAnsi="Times New Roman" w:cs="Times New Roman"/>
          <w:b/>
          <w:bCs/>
          <w:sz w:val="24"/>
          <w:szCs w:val="24"/>
        </w:rPr>
        <w:t xml:space="preserve">used </w:t>
      </w:r>
      <w:r w:rsidRPr="00C82E0A">
        <w:rPr>
          <w:rFonts w:ascii="Times New Roman" w:hAnsi="Times New Roman" w:cs="Times New Roman"/>
          <w:b/>
          <w:sz w:val="24"/>
          <w:szCs w:val="28"/>
        </w:rPr>
        <w:t xml:space="preserve">for high-pressure piping. </w:t>
      </w:r>
      <w:r w:rsidRPr="00C82E0A">
        <w:rPr>
          <w:rFonts w:ascii="Times New Roman" w:hAnsi="Times New Roman" w:cs="Times New Roman"/>
          <w:sz w:val="24"/>
          <w:szCs w:val="28"/>
        </w:rPr>
        <w:t>(</w:t>
      </w:r>
      <w:r w:rsidRPr="00C82E0A">
        <w:rPr>
          <w:rFonts w:ascii="Times New Roman" w:hAnsi="Times New Roman" w:cs="Times New Roman"/>
          <w:b/>
          <w:sz w:val="24"/>
          <w:szCs w:val="28"/>
        </w:rPr>
        <w:t>a</w:t>
      </w:r>
      <w:r w:rsidRPr="00C82E0A">
        <w:rPr>
          <w:rFonts w:ascii="Times New Roman" w:hAnsi="Times New Roman" w:cs="Times New Roman"/>
          <w:sz w:val="24"/>
          <w:szCs w:val="28"/>
        </w:rPr>
        <w:t>)</w:t>
      </w:r>
      <w:r w:rsidRPr="00C82E0A">
        <w:rPr>
          <w:rFonts w:ascii="Times New Roman" w:hAnsi="Times New Roman" w:cs="Times New Roman"/>
          <w:b/>
          <w:sz w:val="24"/>
          <w:szCs w:val="28"/>
        </w:rPr>
        <w:t xml:space="preserve"> </w:t>
      </w:r>
      <w:r w:rsidRPr="00C82E0A">
        <w:rPr>
          <w:rFonts w:ascii="Times New Roman" w:hAnsi="Times New Roman" w:cs="Times New Roman"/>
          <w:sz w:val="24"/>
          <w:szCs w:val="28"/>
        </w:rPr>
        <w:t>Design and operating pressures according to the Schedule (Sch). Relationship between the design pressure (Pd) and Sch number is shown, representing the wall thickness of the pressure pipe when the strength of allowable tensile (Sat) = 121 N/mm</w:t>
      </w:r>
      <w:r w:rsidRPr="00C82E0A">
        <w:rPr>
          <w:rFonts w:ascii="Times New Roman" w:hAnsi="Times New Roman" w:cs="Times New Roman"/>
          <w:sz w:val="24"/>
          <w:szCs w:val="28"/>
          <w:vertAlign w:val="superscript"/>
        </w:rPr>
        <w:t>2</w:t>
      </w:r>
      <w:r w:rsidRPr="00C82E0A">
        <w:rPr>
          <w:rFonts w:ascii="Times New Roman" w:hAnsi="Times New Roman" w:cs="Times New Roman"/>
          <w:sz w:val="24"/>
          <w:szCs w:val="28"/>
        </w:rPr>
        <w:t>, used for STS 480, with the highest Sat at −40 ℃ &lt; T &lt; 60 ℃. Pd indicates the pressure that can withstand instantaneous pressurization, and Po indicates the operational pressure that can withstand long-term operation. Po can be expressed as follows: Po = Pd/SF = 12.9 MPa, where SF is the safety factor generally set to 1.5 for piping. For carbon steel pipes used for high-pressure piping, the Sch ranges from 2 to 160. Dotted lines in the figure indicate Sch values that exceed the standard, along with the corresponding Pd and Po values. (</w:t>
      </w:r>
      <w:r w:rsidRPr="00C82E0A">
        <w:rPr>
          <w:rFonts w:ascii="Times New Roman" w:hAnsi="Times New Roman" w:cs="Times New Roman"/>
          <w:b/>
          <w:sz w:val="24"/>
          <w:szCs w:val="28"/>
        </w:rPr>
        <w:t>b</w:t>
      </w:r>
      <w:r w:rsidRPr="00C82E0A">
        <w:rPr>
          <w:rFonts w:ascii="Times New Roman" w:hAnsi="Times New Roman" w:cs="Times New Roman"/>
          <w:sz w:val="24"/>
          <w:szCs w:val="28"/>
        </w:rPr>
        <w:t>) Outer diameter (OD), inner diameter (ID), and wall thickness (WT) of Sch 160. In JIS G 34</w:t>
      </w:r>
      <w:r w:rsidRPr="003C39DD">
        <w:rPr>
          <w:rFonts w:ascii="Times New Roman" w:hAnsi="Times New Roman" w:cs="Times New Roman"/>
          <w:sz w:val="24"/>
          <w:szCs w:val="28"/>
        </w:rPr>
        <w:t>55:2020</w:t>
      </w:r>
      <w:r w:rsidR="004717DE" w:rsidRPr="003C39DD">
        <w:rPr>
          <w:rFonts w:ascii="Times New Roman" w:hAnsi="Times New Roman" w:cs="Times New Roman" w:hint="eastAsia"/>
          <w:sz w:val="24"/>
          <w:szCs w:val="28"/>
        </w:rPr>
        <w:t xml:space="preserve"> [7]</w:t>
      </w:r>
      <w:r w:rsidRPr="003C39DD">
        <w:rPr>
          <w:rFonts w:ascii="Times New Roman" w:hAnsi="Times New Roman" w:cs="Times New Roman"/>
          <w:sz w:val="24"/>
          <w:szCs w:val="28"/>
        </w:rPr>
        <w:t>, the nominal diameter is defined from 15 to 650 for Sch 160. Solid lines: OD, ID, and WT of a nominal diameter; dotted lines: OD, ID, and WT when the nominal diameter of Sch 160 = 1,000 (maximum nominal diameter of thin pipes with Sch = 10S or 20S). The ID for a nominal diameter of 1,000 is ~1.5 times larger than that for 650, and the amount of LNH</w:t>
      </w:r>
      <w:r w:rsidRPr="003C39DD">
        <w:rPr>
          <w:rFonts w:ascii="Times New Roman" w:hAnsi="Times New Roman" w:cs="Times New Roman"/>
          <w:sz w:val="24"/>
          <w:szCs w:val="28"/>
          <w:vertAlign w:val="subscript"/>
        </w:rPr>
        <w:t>3</w:t>
      </w:r>
      <w:r w:rsidRPr="003C39DD">
        <w:rPr>
          <w:rFonts w:ascii="Times New Roman" w:hAnsi="Times New Roman" w:cs="Times New Roman"/>
          <w:sz w:val="24"/>
          <w:szCs w:val="28"/>
        </w:rPr>
        <w:t xml:space="preserve"> transport can be increased by a factor of 5. If the pressure resistance strength of JIS G 3455 is extended to that of Sch 200, LNH</w:t>
      </w:r>
      <w:r w:rsidRPr="003C39DD">
        <w:rPr>
          <w:rFonts w:ascii="Times New Roman" w:hAnsi="Times New Roman" w:cs="Times New Roman"/>
          <w:sz w:val="24"/>
          <w:szCs w:val="28"/>
          <w:vertAlign w:val="subscript"/>
        </w:rPr>
        <w:t>3</w:t>
      </w:r>
      <w:r w:rsidRPr="003C39DD">
        <w:rPr>
          <w:rFonts w:ascii="Times New Roman" w:hAnsi="Times New Roman" w:cs="Times New Roman"/>
          <w:sz w:val="24"/>
          <w:szCs w:val="28"/>
        </w:rPr>
        <w:t xml:space="preserve"> transport can be increased by ~6.5 times; this will reduce the required number of pipelines without compromising the supply. The service life of pipelines is </w:t>
      </w:r>
      <w:bookmarkStart w:id="10" w:name="_Hlk193801746"/>
      <w:r w:rsidRPr="003C39DD">
        <w:rPr>
          <w:rFonts w:ascii="Times New Roman" w:hAnsi="Times New Roman" w:cs="Times New Roman"/>
          <w:sz w:val="24"/>
          <w:szCs w:val="28"/>
        </w:rPr>
        <w:t>up to 50–70 years</w:t>
      </w:r>
      <w:r w:rsidR="004717DE" w:rsidRPr="003C39DD">
        <w:rPr>
          <w:rFonts w:ascii="Times New Roman" w:hAnsi="Times New Roman" w:cs="Times New Roman" w:hint="eastAsia"/>
          <w:sz w:val="24"/>
          <w:szCs w:val="28"/>
        </w:rPr>
        <w:t xml:space="preserve"> [8]</w:t>
      </w:r>
      <w:bookmarkEnd w:id="10"/>
      <w:r w:rsidRPr="003C39DD">
        <w:rPr>
          <w:rFonts w:ascii="Times New Roman" w:hAnsi="Times New Roman" w:cs="Times New Roman"/>
          <w:sz w:val="24"/>
          <w:szCs w:val="28"/>
        </w:rPr>
        <w:t>; thus, pipelines of different diameters and pre</w:t>
      </w:r>
      <w:r w:rsidRPr="00C82E0A">
        <w:rPr>
          <w:rFonts w:ascii="Times New Roman" w:hAnsi="Times New Roman" w:cs="Times New Roman"/>
          <w:sz w:val="24"/>
          <w:szCs w:val="28"/>
        </w:rPr>
        <w:t>ssures will become part of the network.</w:t>
      </w:r>
    </w:p>
    <w:p w14:paraId="43574B8B" w14:textId="77777777" w:rsidR="00D97382" w:rsidRPr="00ED250F" w:rsidRDefault="00D97382" w:rsidP="00D97382">
      <w:pPr>
        <w:jc w:val="left"/>
        <w:rPr>
          <w:rFonts w:ascii="Times New Roman" w:hAnsi="Times New Roman" w:cs="Times New Roman"/>
          <w:sz w:val="24"/>
          <w:szCs w:val="28"/>
        </w:rPr>
      </w:pPr>
    </w:p>
    <w:p w14:paraId="5AF90359" w14:textId="1E025808" w:rsidR="005F7351" w:rsidRDefault="000E0857">
      <w:pPr>
        <w:widowControl/>
        <w:jc w:val="left"/>
        <w:rPr>
          <w:rFonts w:ascii="Times New Roman" w:hAnsi="Times New Roman" w:cs="Times New Roman"/>
          <w:sz w:val="24"/>
          <w:szCs w:val="28"/>
        </w:rPr>
      </w:pPr>
      <w:r>
        <w:rPr>
          <w:rFonts w:ascii="Times New Roman" w:hAnsi="Times New Roman" w:cs="Times New Roman"/>
          <w:sz w:val="24"/>
          <w:szCs w:val="28"/>
        </w:rPr>
        <w:br w:type="page"/>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99" w:type="dxa"/>
          <w:right w:w="99" w:type="dxa"/>
        </w:tblCellMar>
        <w:tblLook w:val="04A0" w:firstRow="1" w:lastRow="0" w:firstColumn="1" w:lastColumn="0" w:noHBand="0" w:noVBand="1"/>
      </w:tblPr>
      <w:tblGrid>
        <w:gridCol w:w="5387"/>
      </w:tblGrid>
      <w:tr w:rsidR="004C2F54" w14:paraId="54E08073" w14:textId="77777777" w:rsidTr="009C55DA">
        <w:trPr>
          <w:jc w:val="center"/>
        </w:trPr>
        <w:tc>
          <w:tcPr>
            <w:tcW w:w="5387" w:type="dxa"/>
          </w:tcPr>
          <w:p w14:paraId="7EC7DFC5" w14:textId="5DC234BA" w:rsidR="00871DD2" w:rsidRPr="00787914" w:rsidRDefault="000E0857" w:rsidP="009C55DA">
            <w:pPr>
              <w:widowControl/>
              <w:jc w:val="center"/>
              <w:rPr>
                <w:rFonts w:ascii="Times New Roman" w:hAnsi="Times New Roman" w:cs="Times New Roman"/>
                <w:b/>
              </w:rPr>
            </w:pPr>
            <w:bookmarkStart w:id="11" w:name="_Hlk189638072"/>
            <w:r w:rsidRPr="00787914">
              <w:rPr>
                <w:rFonts w:ascii="Times New Roman" w:hAnsi="Times New Roman" w:cs="Times New Roman"/>
                <w:sz w:val="22"/>
                <w:szCs w:val="24"/>
              </w:rPr>
              <w:lastRenderedPageBreak/>
              <w:br w:type="page"/>
            </w:r>
            <w:bookmarkStart w:id="12" w:name="_Hlk177112938"/>
            <w:r w:rsidR="008B0521">
              <w:rPr>
                <w:rFonts w:ascii="Times New Roman" w:hAnsi="Times New Roman" w:cs="Times New Roman"/>
                <w:noProof/>
                <w:sz w:val="22"/>
                <w:szCs w:val="24"/>
              </w:rPr>
              <w:drawing>
                <wp:inline distT="0" distB="0" distL="0" distR="0" wp14:anchorId="768638B1" wp14:editId="1639DA9C">
                  <wp:extent cx="3254829" cy="2377440"/>
                  <wp:effectExtent l="0" t="0" r="3175" b="3810"/>
                  <wp:docPr id="11855105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51059" name="Picture 20"/>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3279924" cy="2395770"/>
                          </a:xfrm>
                          <a:prstGeom prst="rect">
                            <a:avLst/>
                          </a:prstGeom>
                          <a:noFill/>
                          <a:ln>
                            <a:noFill/>
                          </a:ln>
                        </pic:spPr>
                      </pic:pic>
                    </a:graphicData>
                  </a:graphic>
                </wp:inline>
              </w:drawing>
            </w:r>
          </w:p>
        </w:tc>
      </w:tr>
      <w:tr w:rsidR="004C2F54" w14:paraId="528C76AF" w14:textId="77777777" w:rsidTr="009C55DA">
        <w:tblPrEx>
          <w:tblCellMar>
            <w:left w:w="108" w:type="dxa"/>
            <w:right w:w="108" w:type="dxa"/>
          </w:tblCellMar>
        </w:tblPrEx>
        <w:trPr>
          <w:jc w:val="center"/>
        </w:trPr>
        <w:tc>
          <w:tcPr>
            <w:tcW w:w="5387" w:type="dxa"/>
          </w:tcPr>
          <w:p w14:paraId="43ACAD98" w14:textId="1768AADB" w:rsidR="00871DD2" w:rsidRPr="00787914" w:rsidRDefault="000E0857" w:rsidP="009C55DA">
            <w:pPr>
              <w:widowControl/>
              <w:jc w:val="center"/>
              <w:rPr>
                <w:rFonts w:ascii="Times New Roman" w:hAnsi="Times New Roman" w:cs="Times New Roman"/>
                <w:b/>
              </w:rPr>
            </w:pPr>
            <w:r>
              <w:rPr>
                <w:rFonts w:ascii="Times New Roman" w:hAnsi="Times New Roman" w:cs="Times New Roman"/>
                <w:b/>
                <w:noProof/>
              </w:rPr>
              <w:drawing>
                <wp:inline distT="0" distB="0" distL="0" distR="0" wp14:anchorId="44845356" wp14:editId="237DDAB8">
                  <wp:extent cx="3260141" cy="2406701"/>
                  <wp:effectExtent l="0" t="0" r="0" b="0"/>
                  <wp:docPr id="2123115527"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115527" name="Picture 21"/>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3278095" cy="2419955"/>
                          </a:xfrm>
                          <a:prstGeom prst="rect">
                            <a:avLst/>
                          </a:prstGeom>
                          <a:noFill/>
                          <a:ln>
                            <a:noFill/>
                          </a:ln>
                        </pic:spPr>
                      </pic:pic>
                    </a:graphicData>
                  </a:graphic>
                </wp:inline>
              </w:drawing>
            </w:r>
          </w:p>
        </w:tc>
      </w:tr>
      <w:tr w:rsidR="004C2F54" w14:paraId="560DD892" w14:textId="77777777" w:rsidTr="009C55DA">
        <w:tblPrEx>
          <w:tblCellMar>
            <w:left w:w="108" w:type="dxa"/>
            <w:right w:w="108" w:type="dxa"/>
          </w:tblCellMar>
        </w:tblPrEx>
        <w:trPr>
          <w:jc w:val="center"/>
        </w:trPr>
        <w:tc>
          <w:tcPr>
            <w:tcW w:w="5387" w:type="dxa"/>
          </w:tcPr>
          <w:p w14:paraId="71B208F0" w14:textId="299E0958" w:rsidR="00871DD2" w:rsidRPr="00787914" w:rsidRDefault="000E0857" w:rsidP="009C55DA">
            <w:pPr>
              <w:widowControl/>
              <w:jc w:val="center"/>
              <w:rPr>
                <w:rFonts w:ascii="Times New Roman" w:hAnsi="Times New Roman" w:cs="Times New Roman"/>
                <w:b/>
              </w:rPr>
            </w:pPr>
            <w:r>
              <w:rPr>
                <w:rFonts w:ascii="Times New Roman" w:hAnsi="Times New Roman" w:cs="Times New Roman"/>
                <w:b/>
                <w:noProof/>
              </w:rPr>
              <w:drawing>
                <wp:inline distT="0" distB="0" distL="0" distR="0" wp14:anchorId="2E3C7B78" wp14:editId="61596E07">
                  <wp:extent cx="3271176" cy="2384755"/>
                  <wp:effectExtent l="0" t="0" r="5715" b="0"/>
                  <wp:docPr id="849076712"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76712" name="Picture 22"/>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3293405" cy="2400960"/>
                          </a:xfrm>
                          <a:prstGeom prst="rect">
                            <a:avLst/>
                          </a:prstGeom>
                          <a:noFill/>
                          <a:ln>
                            <a:noFill/>
                          </a:ln>
                        </pic:spPr>
                      </pic:pic>
                    </a:graphicData>
                  </a:graphic>
                </wp:inline>
              </w:drawing>
            </w:r>
          </w:p>
        </w:tc>
      </w:tr>
    </w:tbl>
    <w:p w14:paraId="7EF71B7F" w14:textId="1689D87B" w:rsidR="00ED250F" w:rsidRPr="00C82E0A" w:rsidRDefault="00ED250F" w:rsidP="00ED250F">
      <w:pPr>
        <w:widowControl/>
        <w:spacing w:before="240"/>
        <w:jc w:val="left"/>
        <w:rPr>
          <w:rFonts w:ascii="Times New Roman" w:eastAsia="游明朝" w:hAnsi="Times New Roman" w:cs="Times New Roman"/>
          <w:bCs/>
          <w:sz w:val="24"/>
          <w:szCs w:val="28"/>
          <w14:ligatures w14:val="standardContextual"/>
        </w:rPr>
      </w:pPr>
      <w:bookmarkStart w:id="13" w:name="_Hlk189638136"/>
      <w:bookmarkStart w:id="14" w:name="_Hlk177112970"/>
      <w:bookmarkEnd w:id="11"/>
      <w:bookmarkEnd w:id="12"/>
      <w:r w:rsidRPr="00C82E0A">
        <w:rPr>
          <w:rFonts w:ascii="Times New Roman" w:eastAsia="游明朝" w:hAnsi="Times New Roman" w:cs="Times New Roman"/>
          <w:b/>
          <w:sz w:val="24"/>
          <w:szCs w:val="28"/>
          <w14:ligatures w14:val="standardContextual"/>
        </w:rPr>
        <w:t>Supplementary Fig. S6.</w:t>
      </w:r>
      <w:r w:rsidRPr="00C82E0A">
        <w:rPr>
          <w:rFonts w:ascii="Times New Roman" w:eastAsia="游明朝" w:hAnsi="Times New Roman" w:cs="Times New Roman"/>
          <w:sz w:val="24"/>
          <w:szCs w:val="28"/>
          <w14:ligatures w14:val="standardContextual"/>
        </w:rPr>
        <w:t xml:space="preserve"> </w:t>
      </w:r>
      <w:r w:rsidRPr="00C82E0A">
        <w:rPr>
          <w:rFonts w:ascii="Times New Roman" w:eastAsia="游明朝" w:hAnsi="Times New Roman" w:cs="Times New Roman"/>
          <w:b/>
          <w:sz w:val="24"/>
          <w:szCs w:val="28"/>
          <w14:ligatures w14:val="standardContextual"/>
        </w:rPr>
        <w:t>Temperature characteristics of LNH</w:t>
      </w:r>
      <w:r w:rsidRPr="00C82E0A">
        <w:rPr>
          <w:rFonts w:ascii="Times New Roman" w:eastAsia="游明朝" w:hAnsi="Times New Roman" w:cs="Times New Roman"/>
          <w:b/>
          <w:sz w:val="24"/>
          <w:szCs w:val="28"/>
          <w:vertAlign w:val="subscript"/>
          <w14:ligatures w14:val="standardContextual"/>
        </w:rPr>
        <w:t>3</w:t>
      </w:r>
      <w:r w:rsidRPr="00C82E0A">
        <w:rPr>
          <w:rFonts w:ascii="Times New Roman" w:eastAsia="游明朝" w:hAnsi="Times New Roman" w:cs="Times New Roman"/>
          <w:b/>
          <w:sz w:val="24"/>
          <w:szCs w:val="28"/>
          <w14:ligatures w14:val="standardContextual"/>
        </w:rPr>
        <w:t>.</w:t>
      </w:r>
      <w:r w:rsidRPr="00C82E0A">
        <w:rPr>
          <w:rFonts w:ascii="Times New Roman" w:eastAsia="游明朝" w:hAnsi="Times New Roman" w:cs="Times New Roman"/>
          <w:bCs/>
          <w:sz w:val="24"/>
          <w:szCs w:val="28"/>
          <w14:ligatures w14:val="standardContextual"/>
        </w:rPr>
        <w:t xml:space="preserve"> Physical properties of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were calculated using FLUI</w:t>
      </w:r>
      <w:r w:rsidRPr="003C39DD">
        <w:rPr>
          <w:rFonts w:ascii="Times New Roman" w:eastAsia="游明朝" w:hAnsi="Times New Roman" w:cs="Times New Roman"/>
          <w:bCs/>
          <w:sz w:val="24"/>
          <w:szCs w:val="28"/>
          <w14:ligatures w14:val="standardContextual"/>
        </w:rPr>
        <w:t>DAT</w:t>
      </w:r>
      <w:r w:rsidR="004717DE" w:rsidRPr="003C39DD">
        <w:rPr>
          <w:rFonts w:ascii="Times New Roman" w:eastAsia="游明朝" w:hAnsi="Times New Roman" w:cs="Times New Roman" w:hint="eastAsia"/>
          <w:bCs/>
          <w:sz w:val="24"/>
          <w:szCs w:val="28"/>
          <w14:ligatures w14:val="standardContextual"/>
        </w:rPr>
        <w:t xml:space="preserve"> [9]</w:t>
      </w:r>
      <w:r w:rsidRPr="003C39DD">
        <w:rPr>
          <w:rFonts w:ascii="Times New Roman" w:eastAsia="游明朝" w:hAnsi="Times New Roman" w:cs="Times New Roman"/>
          <w:bCs/>
          <w:sz w:val="24"/>
          <w:szCs w:val="28"/>
          <w14:ligatures w14:val="standardContextual"/>
        </w:rPr>
        <w:t>. At 20°C and 0.</w:t>
      </w:r>
      <w:r w:rsidRPr="00C82E0A">
        <w:rPr>
          <w:rFonts w:ascii="Times New Roman" w:eastAsia="游明朝" w:hAnsi="Times New Roman" w:cs="Times New Roman"/>
          <w:bCs/>
          <w:sz w:val="24"/>
          <w:szCs w:val="28"/>
          <w14:ligatures w14:val="standardContextual"/>
        </w:rPr>
        <w:t>1 MPa,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exists as a gas but liquefies when pressurized at 0.86 MPa or higher. (</w:t>
      </w:r>
      <w:r w:rsidRPr="00C82E0A">
        <w:rPr>
          <w:rFonts w:ascii="Times New Roman" w:eastAsia="游明朝" w:hAnsi="Times New Roman" w:cs="Times New Roman"/>
          <w:b/>
          <w:bCs/>
          <w:sz w:val="24"/>
          <w:szCs w:val="28"/>
          <w14:ligatures w14:val="standardContextual"/>
        </w:rPr>
        <w:t>a</w:t>
      </w:r>
      <w:r w:rsidRPr="00C82E0A">
        <w:rPr>
          <w:rFonts w:ascii="Times New Roman" w:eastAsia="游明朝" w:hAnsi="Times New Roman" w:cs="Times New Roman"/>
          <w:bCs/>
          <w:sz w:val="24"/>
          <w:szCs w:val="28"/>
          <w14:ligatures w14:val="standardContextual"/>
        </w:rPr>
        <w:t>)</w:t>
      </w:r>
      <w:r w:rsidRPr="00C82E0A">
        <w:rPr>
          <w:rFonts w:ascii="Times New Roman" w:eastAsia="游明朝" w:hAnsi="Times New Roman" w:cs="Times New Roman"/>
          <w:b/>
          <w:bCs/>
          <w:sz w:val="24"/>
          <w:szCs w:val="28"/>
          <w14:ligatures w14:val="standardContextual"/>
        </w:rPr>
        <w:t xml:space="preserve"> </w:t>
      </w:r>
      <w:r w:rsidRPr="00C82E0A">
        <w:rPr>
          <w:rFonts w:ascii="Times New Roman" w:eastAsia="游明朝" w:hAnsi="Times New Roman" w:cs="Times New Roman"/>
          <w:bCs/>
          <w:sz w:val="24"/>
          <w:szCs w:val="28"/>
          <w14:ligatures w14:val="standardContextual"/>
        </w:rPr>
        <w:t>Vapor pressure curve for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For buried pipelines with an average temperature of 35°C, the pressure (Pr) required to maintain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in its liquid state is calculated as: Pr = 1.36 × SF = 2.05 MPa, where SF is the safety factor. Pr increases when T &gt; 35°C and decreases when T ≤ 35°C. Assuming the most pressure-resistant pipe (Schedule 160), the pressure inside the pipeline for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transport must be maintained between 2.05 and 12.9 MPa. (</w:t>
      </w:r>
      <w:r w:rsidRPr="00C82E0A">
        <w:rPr>
          <w:rFonts w:ascii="Times New Roman" w:eastAsia="游明朝" w:hAnsi="Times New Roman" w:cs="Times New Roman"/>
          <w:b/>
          <w:bCs/>
          <w:sz w:val="24"/>
          <w:szCs w:val="28"/>
          <w14:ligatures w14:val="standardContextual"/>
        </w:rPr>
        <w:t>b</w:t>
      </w:r>
      <w:r w:rsidRPr="00C82E0A">
        <w:rPr>
          <w:rFonts w:ascii="Times New Roman" w:eastAsia="游明朝" w:hAnsi="Times New Roman" w:cs="Times New Roman"/>
          <w:bCs/>
          <w:sz w:val="24"/>
          <w:szCs w:val="28"/>
          <w14:ligatures w14:val="standardContextual"/>
        </w:rPr>
        <w:t xml:space="preserve">) </w:t>
      </w:r>
      <w:bookmarkStart w:id="15" w:name="_Hlk186440818"/>
      <w:r w:rsidRPr="00C82E0A">
        <w:rPr>
          <w:rFonts w:ascii="Times New Roman" w:eastAsia="游明朝" w:hAnsi="Times New Roman" w:cs="Times New Roman"/>
          <w:bCs/>
          <w:sz w:val="24"/>
          <w:szCs w:val="28"/>
          <w14:ligatures w14:val="standardContextual"/>
        </w:rPr>
        <w:t xml:space="preserve">Dynamic </w:t>
      </w:r>
      <w:r w:rsidRPr="00C82E0A">
        <w:rPr>
          <w:rFonts w:ascii="Times New Roman" w:eastAsia="游明朝" w:hAnsi="Times New Roman" w:cs="Times New Roman"/>
          <w:bCs/>
          <w:sz w:val="24"/>
          <w:szCs w:val="28"/>
          <w14:ligatures w14:val="standardContextual"/>
        </w:rPr>
        <w:lastRenderedPageBreak/>
        <w:t>viscosity (σ) represents a fluid’s resistance to movement, while kinematic viscosity (ν = σ/ρ) reflects the fluid’s inherent flow resistance</w:t>
      </w:r>
      <w:bookmarkEnd w:id="15"/>
      <w:r w:rsidRPr="00C82E0A">
        <w:rPr>
          <w:rFonts w:ascii="Times New Roman" w:eastAsia="游明朝" w:hAnsi="Times New Roman" w:cs="Times New Roman"/>
          <w:bCs/>
          <w:sz w:val="24"/>
          <w:szCs w:val="28"/>
          <w14:ligatures w14:val="standardContextual"/>
        </w:rPr>
        <w:t>. Lower liquid temperatures reduce fluidity, while rising liquid temperatures increase viscosity. For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ρ = 601 kg/m</w:t>
      </w:r>
      <w:r w:rsidRPr="00C82E0A">
        <w:rPr>
          <w:rFonts w:ascii="Times New Roman" w:eastAsia="游明朝" w:hAnsi="Times New Roman" w:cs="Times New Roman"/>
          <w:bCs/>
          <w:sz w:val="24"/>
          <w:szCs w:val="28"/>
          <w:vertAlign w:val="superscript"/>
          <w14:ligatures w14:val="standardContextual"/>
        </w:rPr>
        <w:t>3</w:t>
      </w:r>
      <w:r w:rsidRPr="00C82E0A">
        <w:rPr>
          <w:rFonts w:ascii="Times New Roman" w:eastAsia="游明朝" w:hAnsi="Times New Roman" w:cs="Times New Roman"/>
          <w:bCs/>
          <w:sz w:val="24"/>
          <w:szCs w:val="28"/>
          <w14:ligatures w14:val="standardContextual"/>
        </w:rPr>
        <w:t xml:space="preserve"> (35°C and 12.9 MPa), compared to that of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gas, ρ = 0.679 kg/m</w:t>
      </w:r>
      <w:r w:rsidRPr="00C82E0A">
        <w:rPr>
          <w:rFonts w:ascii="Times New Roman" w:eastAsia="游明朝" w:hAnsi="Times New Roman" w:cs="Times New Roman"/>
          <w:bCs/>
          <w:sz w:val="24"/>
          <w:szCs w:val="28"/>
          <w:vertAlign w:val="superscript"/>
          <w14:ligatures w14:val="standardContextual"/>
        </w:rPr>
        <w:t>3</w:t>
      </w:r>
      <w:r w:rsidRPr="00C82E0A">
        <w:rPr>
          <w:rFonts w:ascii="Times New Roman" w:eastAsia="游明朝" w:hAnsi="Times New Roman" w:cs="Times New Roman"/>
          <w:bCs/>
          <w:sz w:val="24"/>
          <w:szCs w:val="28"/>
          <w14:ligatures w14:val="standardContextual"/>
        </w:rPr>
        <w:t xml:space="preserve"> (35°C, 0.1 MPa), a difference of 1:855. The ν values of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and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are 1.45 × 10</w:t>
      </w:r>
      <w:r w:rsidRPr="00C82E0A">
        <w:rPr>
          <w:rFonts w:ascii="Times New Roman" w:eastAsia="游明朝" w:hAnsi="Times New Roman" w:cs="Times New Roman"/>
          <w:bCs/>
          <w:sz w:val="24"/>
          <w:szCs w:val="28"/>
          <w:vertAlign w:val="superscript"/>
          <w14:ligatures w14:val="standardContextual"/>
        </w:rPr>
        <w:t>−7</w:t>
      </w:r>
      <w:r w:rsidRPr="00C82E0A">
        <w:rPr>
          <w:rFonts w:ascii="Times New Roman" w:eastAsia="游明朝" w:hAnsi="Times New Roman" w:cs="Times New Roman"/>
          <w:bCs/>
          <w:sz w:val="24"/>
          <w:szCs w:val="28"/>
          <w14:ligatures w14:val="standardContextual"/>
        </w:rPr>
        <w:t xml:space="preserve"> and 1.59 × 10</w:t>
      </w:r>
      <w:r w:rsidRPr="00C82E0A">
        <w:rPr>
          <w:rFonts w:ascii="Times New Roman" w:eastAsia="游明朝" w:hAnsi="Times New Roman" w:cs="Times New Roman"/>
          <w:bCs/>
          <w:sz w:val="24"/>
          <w:szCs w:val="28"/>
          <w:vertAlign w:val="superscript"/>
          <w14:ligatures w14:val="standardContextual"/>
        </w:rPr>
        <w:t>−5</w:t>
      </w:r>
      <w:r w:rsidRPr="00C82E0A">
        <w:rPr>
          <w:rFonts w:ascii="Times New Roman" w:eastAsia="游明朝" w:hAnsi="Times New Roman" w:cs="Times New Roman"/>
          <w:bCs/>
          <w:sz w:val="24"/>
          <w:szCs w:val="28"/>
          <w14:ligatures w14:val="standardContextual"/>
        </w:rPr>
        <w:t>, respectively, indicating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is 110 times less viscous than gaseous 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making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transport significantly denser and more efficient. (</w:t>
      </w:r>
      <w:r w:rsidRPr="00C82E0A">
        <w:rPr>
          <w:rFonts w:ascii="Times New Roman" w:eastAsia="游明朝" w:hAnsi="Times New Roman" w:cs="Times New Roman"/>
          <w:b/>
          <w:bCs/>
          <w:sz w:val="24"/>
          <w:szCs w:val="28"/>
          <w14:ligatures w14:val="standardContextual"/>
        </w:rPr>
        <w:t>c</w:t>
      </w:r>
      <w:r w:rsidRPr="00C82E0A">
        <w:rPr>
          <w:rFonts w:ascii="Times New Roman" w:eastAsia="游明朝" w:hAnsi="Times New Roman" w:cs="Times New Roman"/>
          <w:bCs/>
          <w:sz w:val="24"/>
          <w:szCs w:val="28"/>
          <w14:ligatures w14:val="standardContextual"/>
        </w:rPr>
        <w:t>) Density (ρ) of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changes by 20.6% across a temperature range of −40 to 60°C. Thus, temperature effects on LNH</w:t>
      </w:r>
      <w:r w:rsidRPr="00C82E0A">
        <w:rPr>
          <w:rFonts w:ascii="Times New Roman" w:eastAsia="游明朝" w:hAnsi="Times New Roman" w:cs="Times New Roman"/>
          <w:bCs/>
          <w:sz w:val="24"/>
          <w:szCs w:val="28"/>
          <w:vertAlign w:val="subscript"/>
          <w14:ligatures w14:val="standardContextual"/>
        </w:rPr>
        <w:t>3</w:t>
      </w:r>
      <w:r w:rsidRPr="00C82E0A">
        <w:rPr>
          <w:rFonts w:ascii="Times New Roman" w:eastAsia="游明朝" w:hAnsi="Times New Roman" w:cs="Times New Roman"/>
          <w:bCs/>
          <w:sz w:val="24"/>
          <w:szCs w:val="28"/>
          <w14:ligatures w14:val="standardContextual"/>
        </w:rPr>
        <w:t xml:space="preserve"> density must be considered when analyzing pipeline transport characteristics.</w:t>
      </w:r>
    </w:p>
    <w:p w14:paraId="197668E8" w14:textId="58E05113" w:rsidR="009C55DA" w:rsidRPr="00A108AF" w:rsidRDefault="000E0857">
      <w:pPr>
        <w:widowControl/>
        <w:jc w:val="left"/>
        <w:rPr>
          <w:rFonts w:ascii="Times New Roman" w:hAnsi="Times New Roman" w:cs="Times New Roman"/>
          <w:sz w:val="24"/>
          <w:szCs w:val="28"/>
        </w:rPr>
      </w:pPr>
      <w:r w:rsidRPr="00A108AF">
        <w:rPr>
          <w:rFonts w:ascii="Times New Roman" w:hAnsi="Times New Roman" w:cs="Times New Roman"/>
          <w:sz w:val="24"/>
          <w:szCs w:val="28"/>
        </w:rPr>
        <w:br w:type="page"/>
      </w:r>
    </w:p>
    <w:tbl>
      <w:tblPr>
        <w:tblStyle w:val="a3"/>
        <w:tblpPr w:leftFromText="142" w:rightFromText="142" w:vertAnchor="text" w:tblpY="1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4823"/>
        <w:gridCol w:w="4753"/>
      </w:tblGrid>
      <w:tr w:rsidR="00352CBB" w14:paraId="2F027AFE" w14:textId="77777777" w:rsidTr="00232F50">
        <w:trPr>
          <w:trHeight w:val="3168"/>
        </w:trPr>
        <w:tc>
          <w:tcPr>
            <w:tcW w:w="4823" w:type="dxa"/>
          </w:tcPr>
          <w:p w14:paraId="239AA053" w14:textId="12124560" w:rsidR="00352CBB" w:rsidRDefault="00AF70FE" w:rsidP="00AF70FE">
            <w:pPr>
              <w:jc w:val="center"/>
              <w:rPr>
                <w:sz w:val="18"/>
              </w:rPr>
            </w:pPr>
            <w:r>
              <w:rPr>
                <w:noProof/>
                <w:sz w:val="18"/>
              </w:rPr>
              <w:lastRenderedPageBreak/>
              <w:drawing>
                <wp:inline distT="0" distB="0" distL="0" distR="0" wp14:anchorId="630F5D82" wp14:editId="604DB2B7">
                  <wp:extent cx="2954597" cy="2131016"/>
                  <wp:effectExtent l="0" t="0" r="0" b="3175"/>
                  <wp:docPr id="1927677677"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1783" cy="2143411"/>
                          </a:xfrm>
                          <a:prstGeom prst="rect">
                            <a:avLst/>
                          </a:prstGeom>
                          <a:noFill/>
                          <a:ln>
                            <a:noFill/>
                          </a:ln>
                        </pic:spPr>
                      </pic:pic>
                    </a:graphicData>
                  </a:graphic>
                </wp:inline>
              </w:drawing>
            </w:r>
          </w:p>
        </w:tc>
        <w:tc>
          <w:tcPr>
            <w:tcW w:w="4753" w:type="dxa"/>
          </w:tcPr>
          <w:p w14:paraId="7E055E60" w14:textId="1404DFC6" w:rsidR="00352CBB" w:rsidRDefault="00AF70FE" w:rsidP="00AF70FE">
            <w:pPr>
              <w:jc w:val="center"/>
              <w:rPr>
                <w:sz w:val="18"/>
              </w:rPr>
            </w:pPr>
            <w:r>
              <w:rPr>
                <w:noProof/>
                <w:sz w:val="18"/>
              </w:rPr>
              <w:drawing>
                <wp:inline distT="0" distB="0" distL="0" distR="0" wp14:anchorId="0484AA19" wp14:editId="2828A227">
                  <wp:extent cx="2894058" cy="2136212"/>
                  <wp:effectExtent l="0" t="0" r="1905" b="0"/>
                  <wp:docPr id="793973515"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15231" cy="2151840"/>
                          </a:xfrm>
                          <a:prstGeom prst="rect">
                            <a:avLst/>
                          </a:prstGeom>
                          <a:noFill/>
                          <a:ln>
                            <a:noFill/>
                          </a:ln>
                        </pic:spPr>
                      </pic:pic>
                    </a:graphicData>
                  </a:graphic>
                </wp:inline>
              </w:drawing>
            </w:r>
          </w:p>
        </w:tc>
      </w:tr>
      <w:tr w:rsidR="00352CBB" w14:paraId="2A090CC3" w14:textId="77777777" w:rsidTr="00232F50">
        <w:trPr>
          <w:trHeight w:val="3168"/>
        </w:trPr>
        <w:tc>
          <w:tcPr>
            <w:tcW w:w="4823" w:type="dxa"/>
          </w:tcPr>
          <w:p w14:paraId="0D352E54" w14:textId="141F583A" w:rsidR="00352CBB" w:rsidRDefault="00AF70FE" w:rsidP="00AF70FE">
            <w:pPr>
              <w:jc w:val="center"/>
              <w:rPr>
                <w:sz w:val="18"/>
              </w:rPr>
            </w:pPr>
            <w:r>
              <w:rPr>
                <w:noProof/>
                <w:sz w:val="18"/>
              </w:rPr>
              <w:drawing>
                <wp:inline distT="0" distB="0" distL="0" distR="0" wp14:anchorId="30C9243B" wp14:editId="465F1839">
                  <wp:extent cx="2881248" cy="2109215"/>
                  <wp:effectExtent l="0" t="0" r="0" b="5715"/>
                  <wp:docPr id="1366033610"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09695" cy="2130040"/>
                          </a:xfrm>
                          <a:prstGeom prst="rect">
                            <a:avLst/>
                          </a:prstGeom>
                          <a:noFill/>
                          <a:ln>
                            <a:noFill/>
                          </a:ln>
                        </pic:spPr>
                      </pic:pic>
                    </a:graphicData>
                  </a:graphic>
                </wp:inline>
              </w:drawing>
            </w:r>
          </w:p>
        </w:tc>
        <w:tc>
          <w:tcPr>
            <w:tcW w:w="4753" w:type="dxa"/>
          </w:tcPr>
          <w:p w14:paraId="4C3F0E01" w14:textId="1EF8CC77" w:rsidR="00352CBB" w:rsidRDefault="00AF70FE" w:rsidP="00AF70FE">
            <w:pPr>
              <w:jc w:val="center"/>
              <w:rPr>
                <w:sz w:val="18"/>
              </w:rPr>
            </w:pPr>
            <w:r>
              <w:rPr>
                <w:noProof/>
                <w:sz w:val="18"/>
              </w:rPr>
              <w:drawing>
                <wp:inline distT="0" distB="0" distL="0" distR="0" wp14:anchorId="7285B5C3" wp14:editId="1A497103">
                  <wp:extent cx="2871618" cy="2114601"/>
                  <wp:effectExtent l="0" t="0" r="5080" b="0"/>
                  <wp:docPr id="1014096026"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00723" cy="2136033"/>
                          </a:xfrm>
                          <a:prstGeom prst="rect">
                            <a:avLst/>
                          </a:prstGeom>
                          <a:noFill/>
                          <a:ln>
                            <a:noFill/>
                          </a:ln>
                        </pic:spPr>
                      </pic:pic>
                    </a:graphicData>
                  </a:graphic>
                </wp:inline>
              </w:drawing>
            </w:r>
          </w:p>
        </w:tc>
      </w:tr>
      <w:tr w:rsidR="00352CBB" w14:paraId="5EFFD111" w14:textId="77777777" w:rsidTr="00232F50">
        <w:trPr>
          <w:trHeight w:val="3181"/>
        </w:trPr>
        <w:tc>
          <w:tcPr>
            <w:tcW w:w="4823" w:type="dxa"/>
          </w:tcPr>
          <w:p w14:paraId="383B6ADC" w14:textId="6EA91EEB" w:rsidR="00352CBB" w:rsidRDefault="00AF70FE" w:rsidP="00AF70FE">
            <w:pPr>
              <w:jc w:val="center"/>
              <w:rPr>
                <w:sz w:val="18"/>
              </w:rPr>
            </w:pPr>
            <w:r>
              <w:rPr>
                <w:noProof/>
                <w:sz w:val="18"/>
              </w:rPr>
              <w:drawing>
                <wp:inline distT="0" distB="0" distL="0" distR="0" wp14:anchorId="624FF4EE" wp14:editId="4D87C81B">
                  <wp:extent cx="2850148" cy="2082800"/>
                  <wp:effectExtent l="0" t="0" r="7620" b="0"/>
                  <wp:docPr id="251514660"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75655" cy="2101440"/>
                          </a:xfrm>
                          <a:prstGeom prst="rect">
                            <a:avLst/>
                          </a:prstGeom>
                          <a:noFill/>
                          <a:ln>
                            <a:noFill/>
                          </a:ln>
                        </pic:spPr>
                      </pic:pic>
                    </a:graphicData>
                  </a:graphic>
                </wp:inline>
              </w:drawing>
            </w:r>
          </w:p>
        </w:tc>
        <w:tc>
          <w:tcPr>
            <w:tcW w:w="4753" w:type="dxa"/>
          </w:tcPr>
          <w:p w14:paraId="5A7F417A" w14:textId="1A8CCEB7" w:rsidR="00352CBB" w:rsidRDefault="00AF70FE" w:rsidP="00AF70FE">
            <w:pPr>
              <w:jc w:val="center"/>
              <w:rPr>
                <w:sz w:val="18"/>
              </w:rPr>
            </w:pPr>
            <w:r>
              <w:rPr>
                <w:noProof/>
                <w:sz w:val="18"/>
              </w:rPr>
              <w:drawing>
                <wp:inline distT="0" distB="0" distL="0" distR="0" wp14:anchorId="02ED2F4B" wp14:editId="01BA89F6">
                  <wp:extent cx="2873863" cy="2082800"/>
                  <wp:effectExtent l="0" t="0" r="3175" b="0"/>
                  <wp:docPr id="2090826719"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05456" cy="2105697"/>
                          </a:xfrm>
                          <a:prstGeom prst="rect">
                            <a:avLst/>
                          </a:prstGeom>
                          <a:noFill/>
                          <a:ln>
                            <a:noFill/>
                          </a:ln>
                        </pic:spPr>
                      </pic:pic>
                    </a:graphicData>
                  </a:graphic>
                </wp:inline>
              </w:drawing>
            </w:r>
          </w:p>
        </w:tc>
      </w:tr>
      <w:tr w:rsidR="00352CBB" w14:paraId="6544BC83" w14:textId="77777777" w:rsidTr="000D741F">
        <w:trPr>
          <w:trHeight w:val="3221"/>
        </w:trPr>
        <w:tc>
          <w:tcPr>
            <w:tcW w:w="4823" w:type="dxa"/>
          </w:tcPr>
          <w:p w14:paraId="17045AA9" w14:textId="39E160B2" w:rsidR="00352CBB" w:rsidRDefault="00AF70FE" w:rsidP="00AF70FE">
            <w:pPr>
              <w:jc w:val="center"/>
              <w:rPr>
                <w:sz w:val="18"/>
              </w:rPr>
            </w:pPr>
            <w:r>
              <w:rPr>
                <w:noProof/>
                <w:sz w:val="18"/>
              </w:rPr>
              <w:drawing>
                <wp:inline distT="0" distB="0" distL="0" distR="0" wp14:anchorId="18428E34" wp14:editId="1AA57F39">
                  <wp:extent cx="2839254" cy="2114550"/>
                  <wp:effectExtent l="0" t="0" r="0" b="0"/>
                  <wp:docPr id="1068285141"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63834" cy="2132856"/>
                          </a:xfrm>
                          <a:prstGeom prst="rect">
                            <a:avLst/>
                          </a:prstGeom>
                          <a:noFill/>
                          <a:ln>
                            <a:noFill/>
                          </a:ln>
                        </pic:spPr>
                      </pic:pic>
                    </a:graphicData>
                  </a:graphic>
                </wp:inline>
              </w:drawing>
            </w:r>
          </w:p>
        </w:tc>
        <w:tc>
          <w:tcPr>
            <w:tcW w:w="4753" w:type="dxa"/>
            <w:vAlign w:val="bottom"/>
          </w:tcPr>
          <w:p w14:paraId="30CDE130" w14:textId="701EA9FE" w:rsidR="00352CBB" w:rsidRDefault="000D741F" w:rsidP="000D741F">
            <w:pPr>
              <w:spacing w:line="160" w:lineRule="exact"/>
              <w:jc w:val="center"/>
              <w:rPr>
                <w:sz w:val="18"/>
              </w:rPr>
            </w:pPr>
            <w:r>
              <w:rPr>
                <w:noProof/>
                <w:sz w:val="18"/>
              </w:rPr>
              <w:drawing>
                <wp:inline distT="0" distB="0" distL="0" distR="0" wp14:anchorId="6156D056" wp14:editId="04E9D79E">
                  <wp:extent cx="2833887" cy="2098071"/>
                  <wp:effectExtent l="0" t="0" r="5080" b="0"/>
                  <wp:docPr id="824529937"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76683" cy="2129755"/>
                          </a:xfrm>
                          <a:prstGeom prst="rect">
                            <a:avLst/>
                          </a:prstGeom>
                          <a:noFill/>
                          <a:ln>
                            <a:noFill/>
                          </a:ln>
                        </pic:spPr>
                      </pic:pic>
                    </a:graphicData>
                  </a:graphic>
                </wp:inline>
              </w:drawing>
            </w:r>
          </w:p>
        </w:tc>
      </w:tr>
    </w:tbl>
    <w:p w14:paraId="3F2A9DF0" w14:textId="77777777" w:rsidR="00ED250F" w:rsidRPr="00C82E0A" w:rsidRDefault="00ED250F" w:rsidP="00ED250F">
      <w:pPr>
        <w:widowControl/>
        <w:jc w:val="left"/>
        <w:rPr>
          <w:rFonts w:ascii="Times New Roman" w:hAnsi="Times New Roman" w:cs="Times New Roman"/>
          <w:sz w:val="24"/>
          <w:szCs w:val="28"/>
        </w:rPr>
      </w:pPr>
      <w:bookmarkStart w:id="16" w:name="_Hlk195713429"/>
      <w:bookmarkStart w:id="17" w:name="_Hlk195721377"/>
      <w:r w:rsidRPr="00C82E0A">
        <w:rPr>
          <w:rFonts w:ascii="Times New Roman" w:hAnsi="Times New Roman" w:cs="Times New Roman"/>
          <w:b/>
          <w:color w:val="000000" w:themeColor="text1"/>
          <w:sz w:val="24"/>
          <w:szCs w:val="28"/>
        </w:rPr>
        <w:lastRenderedPageBreak/>
        <w:t xml:space="preserve">Supplementary </w:t>
      </w:r>
      <w:bookmarkEnd w:id="16"/>
      <w:r w:rsidRPr="00C82E0A">
        <w:rPr>
          <w:rFonts w:ascii="Times New Roman" w:hAnsi="Times New Roman" w:cs="Times New Roman"/>
          <w:b/>
          <w:color w:val="000000" w:themeColor="text1"/>
          <w:sz w:val="24"/>
          <w:szCs w:val="28"/>
        </w:rPr>
        <w:t>Fig. S7</w:t>
      </w:r>
      <w:bookmarkEnd w:id="17"/>
      <w:r w:rsidRPr="00C82E0A">
        <w:rPr>
          <w:rFonts w:ascii="Times New Roman" w:hAnsi="Times New Roman" w:cs="Times New Roman"/>
          <w:b/>
          <w:color w:val="000000" w:themeColor="text1"/>
          <w:sz w:val="24"/>
          <w:szCs w:val="28"/>
        </w:rPr>
        <w:t>. Performance an</w:t>
      </w:r>
      <w:r w:rsidRPr="00C82E0A">
        <w:rPr>
          <w:rFonts w:ascii="Times New Roman" w:hAnsi="Times New Roman" w:cs="Times New Roman"/>
          <w:b/>
          <w:sz w:val="24"/>
          <w:szCs w:val="28"/>
        </w:rPr>
        <w:t>alysis results of LNH</w:t>
      </w:r>
      <w:r w:rsidRPr="00C82E0A">
        <w:rPr>
          <w:rFonts w:ascii="Times New Roman" w:hAnsi="Times New Roman" w:cs="Times New Roman"/>
          <w:b/>
          <w:sz w:val="24"/>
          <w:szCs w:val="28"/>
          <w:vertAlign w:val="subscript"/>
        </w:rPr>
        <w:t>3</w:t>
      </w:r>
      <w:r w:rsidRPr="00C82E0A">
        <w:rPr>
          <w:rFonts w:ascii="Times New Roman" w:hAnsi="Times New Roman" w:cs="Times New Roman"/>
          <w:b/>
          <w:sz w:val="24"/>
          <w:szCs w:val="28"/>
        </w:rPr>
        <w:t xml:space="preserve"> pipeline transportation. </w:t>
      </w:r>
      <w:r w:rsidRPr="00C82E0A">
        <w:rPr>
          <w:rFonts w:ascii="Times New Roman" w:hAnsi="Times New Roman" w:cs="Times New Roman"/>
          <w:sz w:val="24"/>
          <w:szCs w:val="28"/>
        </w:rPr>
        <w:t>(</w:t>
      </w:r>
      <w:r w:rsidRPr="00C82E0A">
        <w:rPr>
          <w:rFonts w:ascii="Times New Roman" w:hAnsi="Times New Roman" w:cs="Times New Roman"/>
          <w:b/>
          <w:sz w:val="24"/>
          <w:szCs w:val="28"/>
        </w:rPr>
        <w:t>a</w:t>
      </w:r>
      <w:r w:rsidRPr="00C82E0A">
        <w:rPr>
          <w:rFonts w:ascii="Times New Roman" w:hAnsi="Times New Roman" w:cs="Times New Roman"/>
          <w:sz w:val="24"/>
          <w:szCs w:val="28"/>
        </w:rPr>
        <w:t>) Although Qw increases as the number of IDs increases, it remains constant at μ = 0.11% because Ep and Npw increase at approximately the same rate as Qw increases, and this cancels out in the formula for μ. (</w:t>
      </w:r>
      <w:r w:rsidRPr="00C82E0A">
        <w:rPr>
          <w:rFonts w:ascii="Times New Roman" w:hAnsi="Times New Roman" w:cs="Times New Roman"/>
          <w:b/>
          <w:sz w:val="24"/>
          <w:szCs w:val="28"/>
        </w:rPr>
        <w:t>b</w:t>
      </w:r>
      <w:r w:rsidRPr="00C82E0A">
        <w:rPr>
          <w:rFonts w:ascii="Times New Roman" w:hAnsi="Times New Roman" w:cs="Times New Roman"/>
          <w:sz w:val="24"/>
          <w:szCs w:val="28"/>
        </w:rPr>
        <w:t>) When ε &lt; 0.15mm, the solid line shows that μ decreases as λ becomes smaller, i.e., as the surface becomes smoother, Ep decreases. The broken line indicates that if Ep is kept constant, Qw can be increased by reducing λ. (</w:t>
      </w:r>
      <w:r w:rsidRPr="00C82E0A">
        <w:rPr>
          <w:rFonts w:ascii="Times New Roman" w:hAnsi="Times New Roman" w:cs="Times New Roman"/>
          <w:b/>
          <w:sz w:val="24"/>
          <w:szCs w:val="28"/>
        </w:rPr>
        <w:t>c</w:t>
      </w:r>
      <w:r w:rsidRPr="00C82E0A">
        <w:rPr>
          <w:rFonts w:ascii="Times New Roman" w:hAnsi="Times New Roman" w:cs="Times New Roman"/>
          <w:sz w:val="24"/>
          <w:szCs w:val="28"/>
        </w:rPr>
        <w:t>) For the solid line for L &lt; 300 km, if Qw is kept constant, L is shortened, i.e., Ep is reduced, so μ decreases. For L &gt; 300 km, although Qw decreases, μ = 0.11% is constant. (</w:t>
      </w:r>
      <w:r w:rsidRPr="00C82E0A">
        <w:rPr>
          <w:rFonts w:ascii="Times New Roman" w:hAnsi="Times New Roman" w:cs="Times New Roman"/>
          <w:b/>
          <w:sz w:val="24"/>
          <w:szCs w:val="28"/>
        </w:rPr>
        <w:t>d</w:t>
      </w:r>
      <w:r w:rsidRPr="00C82E0A">
        <w:rPr>
          <w:rFonts w:ascii="Times New Roman" w:hAnsi="Times New Roman" w:cs="Times New Roman"/>
          <w:sz w:val="24"/>
          <w:szCs w:val="28"/>
        </w:rPr>
        <w:t>) As T increases, σ decreases, and the fluidity of LNH</w:t>
      </w:r>
      <w:r w:rsidRPr="00C82E0A">
        <w:rPr>
          <w:rFonts w:ascii="Times New Roman" w:hAnsi="Times New Roman" w:cs="Times New Roman"/>
          <w:sz w:val="24"/>
          <w:szCs w:val="28"/>
          <w:vertAlign w:val="subscript"/>
        </w:rPr>
        <w:t>3</w:t>
      </w:r>
      <w:r w:rsidRPr="00C82E0A">
        <w:rPr>
          <w:rFonts w:ascii="Times New Roman" w:hAnsi="Times New Roman" w:cs="Times New Roman"/>
          <w:sz w:val="24"/>
          <w:szCs w:val="28"/>
        </w:rPr>
        <w:t xml:space="preserve"> increases, but Pr increases. In LNH</w:t>
      </w:r>
      <w:r w:rsidRPr="00C82E0A">
        <w:rPr>
          <w:rFonts w:ascii="Times New Roman" w:hAnsi="Times New Roman" w:cs="Times New Roman"/>
          <w:sz w:val="24"/>
          <w:szCs w:val="28"/>
          <w:vertAlign w:val="subscript"/>
        </w:rPr>
        <w:t>3</w:t>
      </w:r>
      <w:r w:rsidRPr="00C82E0A">
        <w:rPr>
          <w:rFonts w:ascii="Times New Roman" w:hAnsi="Times New Roman" w:cs="Times New Roman"/>
          <w:sz w:val="24"/>
          <w:szCs w:val="28"/>
        </w:rPr>
        <w:t xml:space="preserve"> transport, Pr has a greater contribution than </w:t>
      </w:r>
      <w:proofErr w:type="gramStart"/>
      <w:r w:rsidRPr="00C82E0A">
        <w:rPr>
          <w:rFonts w:ascii="Times New Roman" w:hAnsi="Times New Roman" w:cs="Times New Roman"/>
          <w:sz w:val="24"/>
          <w:szCs w:val="28"/>
        </w:rPr>
        <w:t>σ, and</w:t>
      </w:r>
      <w:proofErr w:type="gramEnd"/>
      <w:r w:rsidRPr="00C82E0A">
        <w:rPr>
          <w:rFonts w:ascii="Times New Roman" w:hAnsi="Times New Roman" w:cs="Times New Roman"/>
          <w:sz w:val="24"/>
          <w:szCs w:val="28"/>
        </w:rPr>
        <w:t xml:space="preserve"> decreases with increasing temperature. (</w:t>
      </w:r>
      <w:r w:rsidRPr="00C82E0A">
        <w:rPr>
          <w:rFonts w:ascii="Times New Roman" w:hAnsi="Times New Roman" w:cs="Times New Roman"/>
          <w:b/>
          <w:sz w:val="24"/>
          <w:szCs w:val="28"/>
        </w:rPr>
        <w:t>e</w:t>
      </w:r>
      <w:r w:rsidRPr="00C82E0A">
        <w:rPr>
          <w:rFonts w:ascii="Times New Roman" w:hAnsi="Times New Roman" w:cs="Times New Roman"/>
          <w:sz w:val="24"/>
          <w:szCs w:val="28"/>
        </w:rPr>
        <w:t>) A negative ΔH indicates a downward slope, and a positive ΔH indicates an upward slope. On a downward slope, the self-weight pressure of LNH</w:t>
      </w:r>
      <w:r w:rsidRPr="00C82E0A">
        <w:rPr>
          <w:rFonts w:ascii="Times New Roman" w:hAnsi="Times New Roman" w:cs="Times New Roman"/>
          <w:sz w:val="24"/>
          <w:szCs w:val="28"/>
          <w:vertAlign w:val="subscript"/>
        </w:rPr>
        <w:t>3</w:t>
      </w:r>
      <w:r w:rsidRPr="00C82E0A">
        <w:rPr>
          <w:rFonts w:ascii="Times New Roman" w:hAnsi="Times New Roman" w:cs="Times New Roman"/>
          <w:sz w:val="24"/>
          <w:szCs w:val="28"/>
        </w:rPr>
        <w:t xml:space="preserve"> is added to the far end, and to prevent Pa and Hp from exceeding the upper limit (Pa = 12.8 MPa), L cannot be increased, although it contributes to the decrease in μ. (</w:t>
      </w:r>
      <w:r w:rsidRPr="00C82E0A">
        <w:rPr>
          <w:rFonts w:ascii="Times New Roman" w:hAnsi="Times New Roman" w:cs="Times New Roman"/>
          <w:b/>
          <w:sz w:val="24"/>
          <w:szCs w:val="28"/>
        </w:rPr>
        <w:t>f</w:t>
      </w:r>
      <w:r w:rsidRPr="00C82E0A">
        <w:rPr>
          <w:rFonts w:ascii="Times New Roman" w:hAnsi="Times New Roman" w:cs="Times New Roman"/>
          <w:sz w:val="24"/>
          <w:szCs w:val="28"/>
        </w:rPr>
        <w:t>) LNH</w:t>
      </w:r>
      <w:r w:rsidRPr="00C82E0A">
        <w:rPr>
          <w:rFonts w:ascii="Times New Roman" w:hAnsi="Times New Roman" w:cs="Times New Roman"/>
          <w:sz w:val="24"/>
          <w:szCs w:val="28"/>
          <w:vertAlign w:val="subscript"/>
        </w:rPr>
        <w:t>3</w:t>
      </w:r>
      <w:r w:rsidRPr="00C82E0A">
        <w:rPr>
          <w:rFonts w:ascii="Times New Roman" w:hAnsi="Times New Roman" w:cs="Times New Roman"/>
          <w:sz w:val="24"/>
          <w:szCs w:val="28"/>
        </w:rPr>
        <w:t xml:space="preserve"> is supplied to the destination facility from the pipe that branched off in the middle of L, and even if the Qw of the trunk pipeline presents a corresponding decrease, the Pa necessary to maintain Pr &gt; 2.05 is determined. (</w:t>
      </w:r>
      <w:r w:rsidRPr="00C82E0A">
        <w:rPr>
          <w:rFonts w:ascii="Times New Roman" w:hAnsi="Times New Roman" w:cs="Times New Roman"/>
          <w:b/>
          <w:sz w:val="24"/>
          <w:szCs w:val="28"/>
        </w:rPr>
        <w:t>g</w:t>
      </w:r>
      <w:r w:rsidRPr="00C82E0A">
        <w:rPr>
          <w:rFonts w:ascii="Times New Roman" w:hAnsi="Times New Roman" w:cs="Times New Roman"/>
          <w:sz w:val="24"/>
          <w:szCs w:val="28"/>
        </w:rPr>
        <w:t>) When L = 1,500 km, the standard value of ε = 0.150 mm reduces Qw to about 45% of the value for L = 300 km; however, when the inner pipe surface is coated with Teflon or other material, the value increases to approximately 54% for ε = 0.004 mm. (</w:t>
      </w:r>
      <w:r w:rsidRPr="00C82E0A">
        <w:rPr>
          <w:rFonts w:ascii="Times New Roman" w:hAnsi="Times New Roman" w:cs="Times New Roman"/>
          <w:b/>
          <w:sz w:val="24"/>
          <w:szCs w:val="28"/>
        </w:rPr>
        <w:t>h</w:t>
      </w:r>
      <w:r w:rsidRPr="00C82E0A">
        <w:rPr>
          <w:rFonts w:ascii="Times New Roman" w:hAnsi="Times New Roman" w:cs="Times New Roman"/>
          <w:sz w:val="24"/>
          <w:szCs w:val="28"/>
        </w:rPr>
        <w:t>) This shows the relationship between SF and Qw. This SF is adapted to the applied Pa and NH</w:t>
      </w:r>
      <w:r w:rsidRPr="00C82E0A">
        <w:rPr>
          <w:rFonts w:ascii="Times New Roman" w:hAnsi="Times New Roman" w:cs="Times New Roman"/>
          <w:sz w:val="24"/>
          <w:szCs w:val="28"/>
          <w:vertAlign w:val="subscript"/>
        </w:rPr>
        <w:t>3</w:t>
      </w:r>
      <w:r w:rsidRPr="00C82E0A">
        <w:rPr>
          <w:rFonts w:ascii="Times New Roman" w:hAnsi="Times New Roman" w:cs="Times New Roman"/>
          <w:sz w:val="24"/>
          <w:szCs w:val="28"/>
        </w:rPr>
        <w:t xml:space="preserve"> liquid maintenance pressure Pr.</w:t>
      </w:r>
    </w:p>
    <w:p w14:paraId="30F1D370" w14:textId="77777777" w:rsidR="00BD58BF" w:rsidRDefault="00352CBB">
      <w:pPr>
        <w:widowControl/>
        <w:jc w:val="left"/>
        <w:rPr>
          <w:rFonts w:ascii="Times New Roman" w:hAnsi="Times New Roman" w:cs="Times New Roman"/>
          <w:sz w:val="24"/>
          <w:szCs w:val="28"/>
        </w:rPr>
      </w:pPr>
      <w:r w:rsidRPr="00A108AF">
        <w:rPr>
          <w:rFonts w:ascii="Times New Roman" w:hAnsi="Times New Roman" w:cs="Times New Roman"/>
          <w:sz w:val="24"/>
          <w:szCs w:val="28"/>
        </w:rPr>
        <w:br w:type="page"/>
      </w:r>
    </w:p>
    <w:tbl>
      <w:tblPr>
        <w:tblStyle w:val="22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18"/>
      </w:tblGrid>
      <w:tr w:rsidR="00BD58BF" w14:paraId="3AD67CE9" w14:textId="77777777" w:rsidTr="00A01744">
        <w:trPr>
          <w:trHeight w:val="2166"/>
          <w:jc w:val="center"/>
        </w:trPr>
        <w:tc>
          <w:tcPr>
            <w:tcW w:w="7818" w:type="dxa"/>
          </w:tcPr>
          <w:p w14:paraId="48493080" w14:textId="77777777" w:rsidR="00BD58BF" w:rsidRPr="002D1E9F" w:rsidRDefault="00BD58BF" w:rsidP="00A01744">
            <w:pPr>
              <w:widowControl/>
              <w:jc w:val="center"/>
              <w:rPr>
                <w:rFonts w:ascii="游明朝" w:eastAsia="游明朝" w:hAnsi="游明朝" w:cs="Times New Roman"/>
              </w:rPr>
            </w:pPr>
            <w:r>
              <w:rPr>
                <w:rFonts w:ascii="游明朝" w:eastAsia="游明朝" w:hAnsi="游明朝" w:cs="Times New Roman"/>
                <w:noProof/>
              </w:rPr>
              <w:lastRenderedPageBreak/>
              <w:drawing>
                <wp:inline distT="0" distB="0" distL="0" distR="0" wp14:anchorId="59E71A00" wp14:editId="1DB64890">
                  <wp:extent cx="4426226" cy="2017838"/>
                  <wp:effectExtent l="0" t="0" r="0" b="1905"/>
                  <wp:docPr id="972265082" name="図 1" descr="グラフ, 折れ線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265082" name="図 1" descr="グラフ, 折れ線グラフ&#10;&#10;AI 生成コンテンツは誤りを含む可能性があります。"/>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466432" cy="2036167"/>
                          </a:xfrm>
                          <a:prstGeom prst="rect">
                            <a:avLst/>
                          </a:prstGeom>
                          <a:noFill/>
                          <a:ln>
                            <a:noFill/>
                          </a:ln>
                        </pic:spPr>
                      </pic:pic>
                    </a:graphicData>
                  </a:graphic>
                </wp:inline>
              </w:drawing>
            </w:r>
          </w:p>
        </w:tc>
      </w:tr>
      <w:tr w:rsidR="00BD58BF" w14:paraId="21C17F84" w14:textId="77777777" w:rsidTr="00A01744">
        <w:tblPrEx>
          <w:tblCellMar>
            <w:left w:w="99" w:type="dxa"/>
            <w:right w:w="99" w:type="dxa"/>
          </w:tblCellMar>
        </w:tblPrEx>
        <w:trPr>
          <w:trHeight w:val="2174"/>
          <w:jc w:val="center"/>
        </w:trPr>
        <w:tc>
          <w:tcPr>
            <w:tcW w:w="7818" w:type="dxa"/>
          </w:tcPr>
          <w:p w14:paraId="5182CB63" w14:textId="77777777" w:rsidR="00BD58BF" w:rsidRPr="002D1E9F" w:rsidRDefault="00BD58BF" w:rsidP="00A01744">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74344BEF" wp14:editId="5EC74531">
                  <wp:extent cx="4426226" cy="2017838"/>
                  <wp:effectExtent l="0" t="0" r="0" b="1905"/>
                  <wp:docPr id="1794120989" name="図 2" descr="グラフ, 折れ線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20989" name="図 2" descr="グラフ, 折れ線グラフ&#10;&#10;AI 生成コンテンツは誤りを含む可能性があります。"/>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477667" cy="2041289"/>
                          </a:xfrm>
                          <a:prstGeom prst="rect">
                            <a:avLst/>
                          </a:prstGeom>
                          <a:noFill/>
                          <a:ln>
                            <a:noFill/>
                          </a:ln>
                        </pic:spPr>
                      </pic:pic>
                    </a:graphicData>
                  </a:graphic>
                </wp:inline>
              </w:drawing>
            </w:r>
          </w:p>
        </w:tc>
      </w:tr>
      <w:tr w:rsidR="00BD58BF" w14:paraId="668AE03B" w14:textId="77777777" w:rsidTr="00A01744">
        <w:trPr>
          <w:trHeight w:val="2542"/>
          <w:jc w:val="center"/>
        </w:trPr>
        <w:tc>
          <w:tcPr>
            <w:tcW w:w="7818" w:type="dxa"/>
          </w:tcPr>
          <w:p w14:paraId="1745A9AC" w14:textId="77777777" w:rsidR="00BD58BF" w:rsidRPr="002D1E9F" w:rsidRDefault="00BD58BF" w:rsidP="00A01744">
            <w:pPr>
              <w:widowControl/>
              <w:jc w:val="center"/>
              <w:rPr>
                <w:rFonts w:ascii="游明朝" w:eastAsia="游明朝" w:hAnsi="游明朝" w:cs="Times New Roman"/>
              </w:rPr>
            </w:pPr>
            <w:r>
              <w:rPr>
                <w:rFonts w:ascii="游明朝" w:eastAsia="游明朝" w:hAnsi="游明朝" w:cs="Times New Roman"/>
                <w:noProof/>
              </w:rPr>
              <w:drawing>
                <wp:inline distT="0" distB="0" distL="0" distR="0" wp14:anchorId="086E8C05" wp14:editId="1AFC5EA3">
                  <wp:extent cx="4441797" cy="2023077"/>
                  <wp:effectExtent l="0" t="0" r="0" b="0"/>
                  <wp:docPr id="1854104894" name="図 3" descr="グラフ, 折れ線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4894" name="図 3" descr="グラフ, 折れ線グラフ&#10;&#10;AI 生成コンテンツは誤りを含む可能性があります。"/>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84970" cy="2042741"/>
                          </a:xfrm>
                          <a:prstGeom prst="rect">
                            <a:avLst/>
                          </a:prstGeom>
                          <a:noFill/>
                          <a:ln>
                            <a:noFill/>
                          </a:ln>
                        </pic:spPr>
                      </pic:pic>
                    </a:graphicData>
                  </a:graphic>
                </wp:inline>
              </w:drawing>
            </w:r>
          </w:p>
        </w:tc>
      </w:tr>
      <w:tr w:rsidR="00BD58BF" w14:paraId="59B0422A" w14:textId="77777777" w:rsidTr="00A01744">
        <w:trPr>
          <w:trHeight w:val="2551"/>
          <w:jc w:val="center"/>
        </w:trPr>
        <w:tc>
          <w:tcPr>
            <w:tcW w:w="7818" w:type="dxa"/>
          </w:tcPr>
          <w:p w14:paraId="78C932D6" w14:textId="77777777" w:rsidR="00BD58BF" w:rsidRPr="002D1E9F" w:rsidRDefault="00BD58BF" w:rsidP="00A01744">
            <w:pPr>
              <w:widowControl/>
              <w:jc w:val="center"/>
              <w:rPr>
                <w:rFonts w:ascii="游明朝" w:eastAsia="游明朝" w:hAnsi="游明朝" w:cs="Times New Roman"/>
                <w:noProof/>
              </w:rPr>
            </w:pPr>
            <w:r>
              <w:rPr>
                <w:rFonts w:ascii="游明朝" w:eastAsia="游明朝" w:hAnsi="游明朝" w:cs="Times New Roman"/>
                <w:noProof/>
              </w:rPr>
              <w:drawing>
                <wp:inline distT="0" distB="0" distL="0" distR="0" wp14:anchorId="1F235730" wp14:editId="76DD185B">
                  <wp:extent cx="4432533" cy="2022929"/>
                  <wp:effectExtent l="0" t="0" r="6350" b="0"/>
                  <wp:docPr id="129702882" name="図 4" descr="グラフ, 折れ線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02882" name="図 4" descr="グラフ, 折れ線グラフ&#10;&#10;AI 生成コンテンツは誤りを含む可能性があります。"/>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491010" cy="2049617"/>
                          </a:xfrm>
                          <a:prstGeom prst="rect">
                            <a:avLst/>
                          </a:prstGeom>
                          <a:noFill/>
                          <a:ln>
                            <a:noFill/>
                          </a:ln>
                        </pic:spPr>
                      </pic:pic>
                    </a:graphicData>
                  </a:graphic>
                </wp:inline>
              </w:drawing>
            </w:r>
          </w:p>
        </w:tc>
      </w:tr>
    </w:tbl>
    <w:p w14:paraId="518BE89E" w14:textId="77777777" w:rsidR="00BD58BF" w:rsidRPr="00BD58BF" w:rsidRDefault="00BD58BF" w:rsidP="00BD58BF">
      <w:pPr>
        <w:widowControl/>
        <w:jc w:val="left"/>
        <w:rPr>
          <w:rFonts w:ascii="Times New Roman" w:hAnsi="Times New Roman" w:cs="Times New Roman"/>
          <w:bCs/>
          <w:sz w:val="24"/>
          <w:szCs w:val="28"/>
        </w:rPr>
      </w:pPr>
      <w:r w:rsidRPr="00BD58BF">
        <w:rPr>
          <w:rFonts w:ascii="Times New Roman" w:hAnsi="Times New Roman" w:cs="Times New Roman"/>
          <w:b/>
          <w:bCs/>
          <w:sz w:val="24"/>
          <w:szCs w:val="28"/>
        </w:rPr>
        <w:t xml:space="preserve">Supplementary Fig. S8. Verification of the simple numerical analysis model by setting Abs = 0%. </w:t>
      </w:r>
      <w:r w:rsidRPr="00BD58BF">
        <w:rPr>
          <w:rFonts w:ascii="Times New Roman" w:hAnsi="Times New Roman" w:cs="Times New Roman"/>
          <w:bCs/>
          <w:sz w:val="24"/>
          <w:szCs w:val="28"/>
        </w:rPr>
        <w:t xml:space="preserve">In Scenarios 1 to 3 of </w:t>
      </w:r>
      <w:r w:rsidRPr="00BD58BF">
        <w:rPr>
          <w:rFonts w:ascii="Times New Roman" w:hAnsi="Times New Roman" w:cs="Times New Roman"/>
          <w:b/>
          <w:bCs/>
          <w:sz w:val="24"/>
          <w:szCs w:val="28"/>
        </w:rPr>
        <w:t>Fig. 4</w:t>
      </w:r>
      <w:r w:rsidRPr="00BD58BF">
        <w:rPr>
          <w:rFonts w:ascii="Times New Roman" w:hAnsi="Times New Roman" w:cs="Times New Roman"/>
          <w:bCs/>
          <w:sz w:val="24"/>
          <w:szCs w:val="28"/>
        </w:rPr>
        <w:t xml:space="preserve">, the temperature rate decreased after the carbon-free state due to the </w:t>
      </w:r>
      <w:r w:rsidRPr="00BD58BF">
        <w:rPr>
          <w:rFonts w:ascii="Times New Roman" w:hAnsi="Times New Roman" w:cs="Times New Roman"/>
          <w:bCs/>
          <w:sz w:val="24"/>
          <w:szCs w:val="28"/>
        </w:rPr>
        <w:lastRenderedPageBreak/>
        <w:t>absorption of atmospheric 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 xml:space="preserve"> by land and oceans (Abs = 1.07%). The Abs value was set to 0% in this figure to validate the simple numerical analysis model. This figure shows that the temperature rises rapidly after the carbon-free state in Scenarios 1 to 3. For example, comparing the median temperature projections for 2100 with Abs = 1.07% and 0%, Scenarios 1, 2, and 3 show temperatures rising from 1.4°C to 2.4°C, from 1.6°C to 2.6°C, and from 1.8°C to 2.7°C, respectively. Correspondingly, the CDR required to return to 1960s temperatures varies from 33 to 64 GtCO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eq in Scenario 1, 40 to 74 GtCO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eq in Scenario 2, and 48 to 79 GtCO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eq in Scenario 3.</w:t>
      </w:r>
    </w:p>
    <w:p w14:paraId="7F67C8DD" w14:textId="77777777" w:rsidR="00BD58BF" w:rsidRPr="00BD58BF" w:rsidRDefault="00BD58BF" w:rsidP="00BD58BF">
      <w:pPr>
        <w:widowControl/>
        <w:jc w:val="left"/>
        <w:rPr>
          <w:rFonts w:ascii="Times New Roman" w:hAnsi="Times New Roman" w:cs="Times New Roman"/>
          <w:bCs/>
          <w:sz w:val="24"/>
          <w:szCs w:val="28"/>
        </w:rPr>
      </w:pPr>
      <w:bookmarkStart w:id="18" w:name="_Hlk195723678"/>
      <w:r w:rsidRPr="00BD58BF">
        <w:rPr>
          <w:rFonts w:ascii="Times New Roman" w:hAnsi="Times New Roman" w:cs="Times New Roman"/>
          <w:bCs/>
          <w:sz w:val="24"/>
          <w:szCs w:val="28"/>
        </w:rPr>
        <w:t>When Abs=0%, the temperature rise is due to "16% of 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 xml:space="preserve"> emissions are from non-FFEs," as stated in (9), and when Abs=1.07%, it means that the impact of 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 xml:space="preserve"> absorption by land and ocean is stronger than 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 xml:space="preserve"> emissions from non-FFEs. However, such a rise is not observed in Scenario 4. The lack of change is because, as indirectly stated in (10), the temperature </w:t>
      </w:r>
      <w:proofErr w:type="gramStart"/>
      <w:r w:rsidRPr="00BD58BF">
        <w:rPr>
          <w:rFonts w:ascii="Times New Roman" w:hAnsi="Times New Roman" w:cs="Times New Roman"/>
          <w:bCs/>
          <w:sz w:val="24"/>
          <w:szCs w:val="28"/>
        </w:rPr>
        <w:t>rise</w:t>
      </w:r>
      <w:proofErr w:type="gramEnd"/>
      <w:r w:rsidRPr="00BD58BF">
        <w:rPr>
          <w:rFonts w:ascii="Times New Roman" w:hAnsi="Times New Roman" w:cs="Times New Roman"/>
          <w:bCs/>
          <w:sz w:val="24"/>
          <w:szCs w:val="28"/>
        </w:rPr>
        <w:t xml:space="preserve"> due to TCRE before reaching a carbon-free state includes CO</w:t>
      </w:r>
      <w:r w:rsidRPr="00BD58BF">
        <w:rPr>
          <w:rFonts w:ascii="Times New Roman" w:hAnsi="Times New Roman" w:cs="Times New Roman"/>
          <w:bCs/>
          <w:sz w:val="24"/>
          <w:szCs w:val="28"/>
          <w:vertAlign w:val="subscript"/>
        </w:rPr>
        <w:t>2</w:t>
      </w:r>
      <w:r w:rsidRPr="00BD58BF">
        <w:rPr>
          <w:rFonts w:ascii="Times New Roman" w:hAnsi="Times New Roman" w:cs="Times New Roman"/>
          <w:bCs/>
          <w:sz w:val="24"/>
          <w:szCs w:val="28"/>
        </w:rPr>
        <w:t xml:space="preserve"> absorption by land and ocean.</w:t>
      </w:r>
    </w:p>
    <w:bookmarkEnd w:id="18"/>
    <w:p w14:paraId="309336D2" w14:textId="32383263" w:rsidR="00BD58BF" w:rsidRDefault="00BD58BF">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1A49022B" w14:textId="0FE808B1" w:rsidR="00B408CB" w:rsidRDefault="00DB37D6" w:rsidP="00740E2D">
      <w:pPr>
        <w:widowControl/>
        <w:jc w:val="center"/>
        <w:rPr>
          <w:rFonts w:ascii="Times New Roman" w:eastAsia="游明朝" w:hAnsi="Times New Roman" w:cs="Times New Roman"/>
          <w:bCs/>
          <w:color w:val="EE0000"/>
          <w:sz w:val="24"/>
          <w:szCs w:val="24"/>
          <w14:ligatures w14:val="standardContextual"/>
        </w:rPr>
      </w:pPr>
      <w:bookmarkStart w:id="19" w:name="_Hlk191145697"/>
      <w:bookmarkEnd w:id="13"/>
      <w:r>
        <w:rPr>
          <w:rFonts w:ascii="Times New Roman" w:eastAsia="游明朝" w:hAnsi="Times New Roman" w:cs="Times New Roman"/>
          <w:bCs/>
          <w:noProof/>
          <w:color w:val="EE0000"/>
          <w:sz w:val="24"/>
          <w:szCs w:val="24"/>
          <w14:ligatures w14:val="standardContextual"/>
        </w:rPr>
        <w:lastRenderedPageBreak/>
        <w:drawing>
          <wp:inline distT="0" distB="0" distL="0" distR="0" wp14:anchorId="742F1E6E" wp14:editId="7CB391A9">
            <wp:extent cx="5859780" cy="2796540"/>
            <wp:effectExtent l="0" t="0" r="7620" b="3810"/>
            <wp:docPr id="79773077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859780" cy="2796540"/>
                    </a:xfrm>
                    <a:prstGeom prst="rect">
                      <a:avLst/>
                    </a:prstGeom>
                    <a:noFill/>
                    <a:ln>
                      <a:noFill/>
                    </a:ln>
                  </pic:spPr>
                </pic:pic>
              </a:graphicData>
            </a:graphic>
          </wp:inline>
        </w:drawing>
      </w:r>
    </w:p>
    <w:p w14:paraId="55FC83EC" w14:textId="0AA53915" w:rsidR="00ED250F" w:rsidRPr="00ED250F" w:rsidRDefault="00ED250F" w:rsidP="004F2C64">
      <w:pPr>
        <w:widowControl/>
        <w:jc w:val="left"/>
        <w:rPr>
          <w:rFonts w:ascii="Times New Roman" w:eastAsia="游明朝" w:hAnsi="Times New Roman" w:cs="Times New Roman"/>
          <w:bCs/>
          <w:sz w:val="24"/>
          <w:szCs w:val="24"/>
          <w14:ligatures w14:val="standardContextual"/>
        </w:rPr>
      </w:pPr>
      <w:r w:rsidRPr="00ED250F">
        <w:rPr>
          <w:rFonts w:ascii="Times New Roman" w:eastAsia="游明朝" w:hAnsi="Times New Roman" w:cs="Times New Roman"/>
          <w:b/>
          <w:bCs/>
          <w:sz w:val="24"/>
          <w:szCs w:val="24"/>
          <w14:ligatures w14:val="standardContextual"/>
        </w:rPr>
        <w:t>Supplementary Fig.</w:t>
      </w:r>
      <w:r w:rsidRPr="00EC4056">
        <w:rPr>
          <w:rFonts w:ascii="Times New Roman" w:eastAsia="游明朝" w:hAnsi="Times New Roman" w:cs="Times New Roman"/>
          <w:b/>
          <w:bCs/>
          <w:color w:val="EE0000"/>
          <w:sz w:val="24"/>
          <w:szCs w:val="24"/>
          <w14:ligatures w14:val="standardContextual"/>
        </w:rPr>
        <w:t xml:space="preserve"> </w:t>
      </w:r>
      <w:r w:rsidRPr="00BD58BF">
        <w:rPr>
          <w:rFonts w:ascii="Times New Roman" w:eastAsia="游明朝" w:hAnsi="Times New Roman" w:cs="Times New Roman"/>
          <w:b/>
          <w:bCs/>
          <w:color w:val="000000" w:themeColor="text1"/>
          <w:sz w:val="24"/>
          <w:szCs w:val="24"/>
          <w14:ligatures w14:val="standardContextual"/>
        </w:rPr>
        <w:t>S</w:t>
      </w:r>
      <w:r w:rsidR="00BD58BF" w:rsidRPr="00BD58BF">
        <w:rPr>
          <w:rFonts w:ascii="Times New Roman" w:eastAsia="游明朝" w:hAnsi="Times New Roman" w:cs="Times New Roman" w:hint="eastAsia"/>
          <w:b/>
          <w:bCs/>
          <w:color w:val="000000" w:themeColor="text1"/>
          <w:sz w:val="24"/>
          <w:szCs w:val="24"/>
          <w14:ligatures w14:val="standardContextual"/>
        </w:rPr>
        <w:t>9</w:t>
      </w:r>
      <w:r w:rsidRPr="00ED250F">
        <w:rPr>
          <w:rFonts w:ascii="Times New Roman" w:eastAsia="游明朝" w:hAnsi="Times New Roman" w:cs="Times New Roman"/>
          <w:b/>
          <w:bCs/>
          <w:sz w:val="24"/>
          <w:szCs w:val="24"/>
          <w14:ligatures w14:val="standardContextual"/>
        </w:rPr>
        <w:t xml:space="preserve">. Radiative forcing and temperature rise based on SSP scenarios. </w:t>
      </w:r>
      <w:r w:rsidRPr="00ED250F">
        <w:rPr>
          <w:rFonts w:ascii="Times New Roman" w:eastAsia="游明朝" w:hAnsi="Times New Roman" w:cs="Times New Roman"/>
          <w:bCs/>
          <w:sz w:val="24"/>
          <w:szCs w:val="24"/>
          <w14:ligatures w14:val="standardContextual"/>
        </w:rPr>
        <w:t xml:space="preserve">To return temperatures to 1960s levels, CO₂eq must be removed from the atmosphere. In addition, in Scenario 4, temperatures will rise by 3.5 [2.5 to 4.4]°C by 2100, significantly changing the current energy balance. This figure shows the relationship between radiative forcing (Rf) and temperature rise (Tr) in the following five IPCC SSP scenarios, using a linear approximation (upper 95%, best </w:t>
      </w:r>
      <w:proofErr w:type="gramStart"/>
      <w:r w:rsidRPr="00ED250F">
        <w:rPr>
          <w:rFonts w:ascii="Times New Roman" w:eastAsia="游明朝" w:hAnsi="Times New Roman" w:cs="Times New Roman"/>
          <w:bCs/>
          <w:sz w:val="24"/>
          <w:szCs w:val="24"/>
          <w14:ligatures w14:val="standardContextual"/>
        </w:rPr>
        <w:t>estimate</w:t>
      </w:r>
      <w:proofErr w:type="gramEnd"/>
      <w:r w:rsidRPr="00ED250F">
        <w:rPr>
          <w:rFonts w:ascii="Times New Roman" w:eastAsia="游明朝" w:hAnsi="Times New Roman" w:cs="Times New Roman"/>
          <w:bCs/>
          <w:sz w:val="24"/>
          <w:szCs w:val="24"/>
          <w14:ligatures w14:val="standardContextual"/>
        </w:rPr>
        <w:t xml:space="preserve">, lower 5%). To the right of Rr = 0 (Rf &gt; 0: light red), the Earth continues to warm, and to the left (Rf &lt; 0: light blue), the Earth cools. The best estimate of Rf for temperatures in the 1960s is −0.51 W/m² (0.4°C), and the Rf in Scenario 4 for 2100 is 6.4 W/m². As of 2025, </w:t>
      </w:r>
      <w:proofErr w:type="gramStart"/>
      <w:r w:rsidRPr="00ED250F">
        <w:rPr>
          <w:rFonts w:ascii="Times New Roman" w:eastAsia="游明朝" w:hAnsi="Times New Roman" w:cs="Times New Roman"/>
          <w:bCs/>
          <w:sz w:val="24"/>
          <w:szCs w:val="24"/>
          <w14:ligatures w14:val="standardContextual"/>
        </w:rPr>
        <w:t>it can be seen that the</w:t>
      </w:r>
      <w:proofErr w:type="gramEnd"/>
      <w:r w:rsidRPr="00ED250F">
        <w:rPr>
          <w:rFonts w:ascii="Times New Roman" w:eastAsia="游明朝" w:hAnsi="Times New Roman" w:cs="Times New Roman"/>
          <w:bCs/>
          <w:sz w:val="24"/>
          <w:szCs w:val="24"/>
          <w14:ligatures w14:val="standardContextual"/>
        </w:rPr>
        <w:t xml:space="preserve"> Earth is warming at Rf = 1.55 W/m². </w:t>
      </w:r>
    </w:p>
    <w:p w14:paraId="535DD16B" w14:textId="1835B84A" w:rsidR="00ED250F" w:rsidRPr="00ED250F" w:rsidRDefault="00ED250F" w:rsidP="004F2C64">
      <w:pPr>
        <w:widowControl/>
        <w:spacing w:line="320" w:lineRule="exact"/>
        <w:jc w:val="left"/>
        <w:rPr>
          <w:rFonts w:ascii="Times New Roman" w:eastAsia="游明朝" w:hAnsi="Times New Roman" w:cs="Times New Roman"/>
          <w:bCs/>
          <w:sz w:val="24"/>
          <w:szCs w:val="24"/>
          <w14:ligatures w14:val="standardContextual"/>
        </w:rPr>
      </w:pPr>
      <w:r w:rsidRPr="00ED250F">
        <w:rPr>
          <w:rFonts w:ascii="Times New Roman" w:eastAsia="游明朝" w:hAnsi="Times New Roman" w:cs="Times New Roman"/>
          <w:bCs/>
          <w:sz w:val="24"/>
          <w:szCs w:val="24"/>
          <w14:ligatures w14:val="standardContextual"/>
        </w:rPr>
        <w:t>If temperatures could be returned to 1960s levels, would global warming stop? Randers et al. claim that "even if CO</w:t>
      </w:r>
      <w:r w:rsidRPr="00ED250F">
        <w:rPr>
          <w:rFonts w:ascii="Times New Roman" w:eastAsia="游明朝" w:hAnsi="Times New Roman" w:cs="Times New Roman"/>
          <w:bCs/>
          <w:sz w:val="24"/>
          <w:szCs w:val="24"/>
          <w:vertAlign w:val="subscript"/>
          <w14:ligatures w14:val="standardContextual"/>
        </w:rPr>
        <w:t>2</w:t>
      </w:r>
      <w:r w:rsidRPr="00ED250F">
        <w:rPr>
          <w:rFonts w:ascii="Times New Roman" w:eastAsia="游明朝" w:hAnsi="Times New Roman" w:cs="Times New Roman"/>
          <w:bCs/>
          <w:sz w:val="24"/>
          <w:szCs w:val="24"/>
          <w14:ligatures w14:val="standardContextual"/>
        </w:rPr>
        <w:t>eq emissions were to stop, temperatures would continue to rise due to methane emissions from melting permafrost and lower albedo due to melting glaciers and snow. To prevent this, 33 GtCO₂eq must be continuously removed annually from the atmosp</w:t>
      </w:r>
      <w:r w:rsidRPr="003C39DD">
        <w:rPr>
          <w:rFonts w:ascii="Times New Roman" w:eastAsia="游明朝" w:hAnsi="Times New Roman" w:cs="Times New Roman"/>
          <w:bCs/>
          <w:sz w:val="24"/>
          <w:szCs w:val="24"/>
          <w14:ligatures w14:val="standardContextual"/>
        </w:rPr>
        <w:t>here”</w:t>
      </w:r>
      <w:r w:rsidR="007078A1" w:rsidRPr="003C39DD">
        <w:rPr>
          <w:rFonts w:ascii="Times New Roman" w:eastAsia="游明朝" w:hAnsi="Times New Roman" w:cs="Times New Roman" w:hint="eastAsia"/>
          <w:bCs/>
          <w:sz w:val="24"/>
          <w:szCs w:val="24"/>
          <w14:ligatures w14:val="standardContextual"/>
        </w:rPr>
        <w:t xml:space="preserve"> [10]</w:t>
      </w:r>
      <w:r w:rsidRPr="003C39DD">
        <w:rPr>
          <w:rFonts w:ascii="Times New Roman" w:eastAsia="游明朝" w:hAnsi="Times New Roman" w:cs="Times New Roman"/>
          <w:bCs/>
          <w:sz w:val="24"/>
          <w:szCs w:val="24"/>
          <w14:ligatures w14:val="standardContextual"/>
        </w:rPr>
        <w:t>. In other words, achieving RF &lt; 0 alone will not stop global warming, and CO₂e</w:t>
      </w:r>
      <w:r w:rsidRPr="00ED250F">
        <w:rPr>
          <w:rFonts w:ascii="Times New Roman" w:eastAsia="游明朝" w:hAnsi="Times New Roman" w:cs="Times New Roman"/>
          <w:bCs/>
          <w:sz w:val="24"/>
          <w:szCs w:val="24"/>
          <w14:ligatures w14:val="standardContextual"/>
        </w:rPr>
        <w:t xml:space="preserve">q removal must continue thereafter. The advantage of achieving Rf &lt; 0 is that the amount of CDR can be significantly reduced, as shown in </w:t>
      </w:r>
      <w:r w:rsidRPr="00ED250F">
        <w:rPr>
          <w:rFonts w:ascii="Times New Roman" w:eastAsia="游明朝" w:hAnsi="Times New Roman" w:cs="Times New Roman"/>
          <w:b/>
          <w:sz w:val="24"/>
          <w:szCs w:val="24"/>
          <w14:ligatures w14:val="standardContextual"/>
        </w:rPr>
        <w:t>Fig. 6</w:t>
      </w:r>
      <w:r w:rsidRPr="00ED250F">
        <w:rPr>
          <w:rFonts w:ascii="Times New Roman" w:eastAsia="游明朝" w:hAnsi="Times New Roman" w:cs="Times New Roman"/>
          <w:bCs/>
          <w:sz w:val="24"/>
          <w:szCs w:val="24"/>
          <w14:ligatures w14:val="standardContextual"/>
        </w:rPr>
        <w:t>, and the sooner this is achieved, the weaker the impact of global warming on humanity and ecosystems.</w:t>
      </w:r>
    </w:p>
    <w:p w14:paraId="6B8E55CC" w14:textId="77777777" w:rsidR="00605BB8" w:rsidRPr="00ED250F" w:rsidRDefault="00605BB8" w:rsidP="004F2C64">
      <w:pPr>
        <w:widowControl/>
        <w:spacing w:line="320" w:lineRule="exact"/>
        <w:ind w:leftChars="270" w:left="567"/>
        <w:jc w:val="left"/>
        <w:rPr>
          <w:rFonts w:ascii="Times New Roman" w:eastAsia="游明朝" w:hAnsi="Times New Roman" w:cs="Times New Roman"/>
          <w:bCs/>
          <w:sz w:val="24"/>
          <w:szCs w:val="24"/>
          <w14:ligatures w14:val="standardContextual"/>
        </w:rPr>
      </w:pPr>
      <w:r w:rsidRPr="0095514F">
        <w:rPr>
          <w:rFonts w:ascii="Times New Roman" w:eastAsia="游明朝" w:hAnsi="Times New Roman" w:cs="Times New Roman"/>
          <w:b/>
          <w:sz w:val="24"/>
          <w:szCs w:val="24"/>
          <w14:ligatures w14:val="standardContextual"/>
        </w:rPr>
        <w:t>SSP1-1.9</w:t>
      </w:r>
      <w:r w:rsidRPr="00ED250F">
        <w:rPr>
          <w:rFonts w:ascii="Times New Roman" w:eastAsia="游明朝" w:hAnsi="Times New Roman" w:cs="Times New Roman"/>
          <w:bCs/>
          <w:sz w:val="24"/>
          <w:szCs w:val="24"/>
          <w14:ligatures w14:val="standardContextual"/>
        </w:rPr>
        <w:t>: 1.4 [1.0 to 1.8]</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 xml:space="preserve">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4E7E538B" w14:textId="77777777" w:rsidR="00605BB8" w:rsidRPr="00ED250F" w:rsidRDefault="00605BB8" w:rsidP="004F2C64">
      <w:pPr>
        <w:widowControl/>
        <w:spacing w:line="320" w:lineRule="exact"/>
        <w:ind w:leftChars="270" w:left="567"/>
        <w:jc w:val="left"/>
        <w:rPr>
          <w:rFonts w:ascii="Times New Roman" w:eastAsia="游明朝" w:hAnsi="Times New Roman" w:cs="Times New Roman"/>
          <w:bCs/>
          <w:sz w:val="24"/>
          <w:szCs w:val="24"/>
          <w14:ligatures w14:val="standardContextual"/>
        </w:rPr>
      </w:pPr>
      <w:r w:rsidRPr="0095514F">
        <w:rPr>
          <w:rFonts w:ascii="Times New Roman" w:eastAsia="游明朝" w:hAnsi="Times New Roman" w:cs="Times New Roman"/>
          <w:b/>
          <w:sz w:val="24"/>
          <w:szCs w:val="24"/>
          <w14:ligatures w14:val="standardContextual"/>
        </w:rPr>
        <w:t>SSP1-2.6</w:t>
      </w:r>
      <w:r w:rsidRPr="00ED250F">
        <w:rPr>
          <w:rFonts w:ascii="Times New Roman" w:eastAsia="游明朝" w:hAnsi="Times New Roman" w:cs="Times New Roman"/>
          <w:bCs/>
          <w:sz w:val="24"/>
          <w:szCs w:val="24"/>
          <w14:ligatures w14:val="standardContextual"/>
        </w:rPr>
        <w:t>: 1.8 [1.3 to 2.4]</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 xml:space="preserve">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5F57CCA4" w14:textId="77777777" w:rsidR="00605BB8" w:rsidRPr="00ED250F" w:rsidRDefault="00605BB8" w:rsidP="004F2C64">
      <w:pPr>
        <w:widowControl/>
        <w:spacing w:line="320" w:lineRule="exact"/>
        <w:ind w:leftChars="270" w:left="567"/>
        <w:jc w:val="left"/>
        <w:rPr>
          <w:rFonts w:ascii="Times New Roman" w:eastAsia="游明朝" w:hAnsi="Times New Roman" w:cs="Times New Roman"/>
          <w:bCs/>
          <w:sz w:val="24"/>
          <w:szCs w:val="24"/>
          <w14:ligatures w14:val="standardContextual"/>
        </w:rPr>
      </w:pPr>
      <w:r w:rsidRPr="0095514F">
        <w:rPr>
          <w:rFonts w:ascii="Times New Roman" w:eastAsia="游明朝" w:hAnsi="Times New Roman" w:cs="Times New Roman"/>
          <w:b/>
          <w:sz w:val="24"/>
          <w:szCs w:val="24"/>
          <w14:ligatures w14:val="standardContextual"/>
        </w:rPr>
        <w:t>SSP2-4.5</w:t>
      </w:r>
      <w:r w:rsidRPr="00ED250F">
        <w:rPr>
          <w:rFonts w:ascii="Times New Roman" w:eastAsia="游明朝" w:hAnsi="Times New Roman" w:cs="Times New Roman"/>
          <w:bCs/>
          <w:sz w:val="24"/>
          <w:szCs w:val="24"/>
          <w14:ligatures w14:val="standardContextual"/>
        </w:rPr>
        <w:t>: 2.7 [2.2 to 3.5]</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 xml:space="preserve">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4652A4EA" w14:textId="2C1AF054" w:rsidR="00605BB8" w:rsidRPr="00ED250F" w:rsidRDefault="00605BB8" w:rsidP="004F2C64">
      <w:pPr>
        <w:widowControl/>
        <w:spacing w:line="320" w:lineRule="exact"/>
        <w:ind w:leftChars="270" w:left="567"/>
        <w:jc w:val="left"/>
        <w:rPr>
          <w:rFonts w:ascii="Times New Roman" w:eastAsia="游明朝" w:hAnsi="Times New Roman" w:cs="Times New Roman"/>
          <w:bCs/>
          <w:sz w:val="24"/>
          <w:szCs w:val="24"/>
          <w14:ligatures w14:val="standardContextual"/>
        </w:rPr>
      </w:pPr>
      <w:r w:rsidRPr="0095514F">
        <w:rPr>
          <w:rFonts w:ascii="Times New Roman" w:eastAsia="游明朝" w:hAnsi="Times New Roman" w:cs="Times New Roman"/>
          <w:b/>
          <w:sz w:val="24"/>
          <w:szCs w:val="24"/>
          <w14:ligatures w14:val="standardContextual"/>
        </w:rPr>
        <w:t>SSP3-7.</w:t>
      </w:r>
      <w:r w:rsidR="0095514F" w:rsidRPr="0095514F">
        <w:rPr>
          <w:rFonts w:ascii="Times New Roman" w:eastAsia="游明朝" w:hAnsi="Times New Roman" w:cs="Times New Roman" w:hint="eastAsia"/>
          <w:b/>
          <w:sz w:val="24"/>
          <w:szCs w:val="24"/>
          <w14:ligatures w14:val="standardContextual"/>
        </w:rPr>
        <w:t>0</w:t>
      </w:r>
      <w:r w:rsidRPr="00ED250F">
        <w:rPr>
          <w:rFonts w:ascii="Times New Roman" w:eastAsia="游明朝" w:hAnsi="Times New Roman" w:cs="Times New Roman"/>
          <w:bCs/>
          <w:sz w:val="24"/>
          <w:szCs w:val="24"/>
          <w14:ligatures w14:val="standardContextual"/>
        </w:rPr>
        <w:t>: 3.6 [2.8 to 4.4]</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 xml:space="preserve">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6B8D9014" w14:textId="2C22BED5" w:rsidR="00605BB8" w:rsidRPr="00ED250F" w:rsidRDefault="00605BB8" w:rsidP="004F2C64">
      <w:pPr>
        <w:widowControl/>
        <w:spacing w:line="320" w:lineRule="exact"/>
        <w:ind w:leftChars="270" w:left="567"/>
        <w:jc w:val="left"/>
        <w:rPr>
          <w:rFonts w:ascii="Times New Roman" w:eastAsia="游明朝" w:hAnsi="Times New Roman" w:cs="Times New Roman"/>
          <w:bCs/>
          <w:sz w:val="24"/>
          <w:szCs w:val="24"/>
          <w14:ligatures w14:val="standardContextual"/>
        </w:rPr>
      </w:pPr>
      <w:r w:rsidRPr="0095514F">
        <w:rPr>
          <w:rFonts w:ascii="Times New Roman" w:eastAsia="游明朝" w:hAnsi="Times New Roman" w:cs="Times New Roman"/>
          <w:b/>
          <w:sz w:val="24"/>
          <w:szCs w:val="24"/>
          <w14:ligatures w14:val="standardContextual"/>
        </w:rPr>
        <w:t>SSP5-8.5</w:t>
      </w:r>
      <w:r w:rsidRPr="00ED250F">
        <w:rPr>
          <w:rFonts w:ascii="Times New Roman" w:eastAsia="游明朝" w:hAnsi="Times New Roman" w:cs="Times New Roman"/>
          <w:bCs/>
          <w:sz w:val="24"/>
          <w:szCs w:val="24"/>
          <w14:ligatures w14:val="standardContextual"/>
        </w:rPr>
        <w:t xml:space="preserve">: </w:t>
      </w:r>
      <w:r w:rsidR="0095514F">
        <w:rPr>
          <w:rFonts w:ascii="Times New Roman" w:eastAsia="游明朝" w:hAnsi="Times New Roman" w:cs="Times New Roman" w:hint="eastAsia"/>
          <w:bCs/>
          <w:sz w:val="24"/>
          <w:szCs w:val="24"/>
          <w14:ligatures w14:val="standardContextual"/>
        </w:rPr>
        <w:t>4.5</w:t>
      </w:r>
      <w:r w:rsidRPr="00ED250F">
        <w:rPr>
          <w:rFonts w:ascii="Times New Roman" w:eastAsia="游明朝" w:hAnsi="Times New Roman" w:cs="Times New Roman"/>
          <w:bCs/>
          <w:sz w:val="24"/>
          <w:szCs w:val="24"/>
          <w14:ligatures w14:val="standardContextual"/>
        </w:rPr>
        <w:t xml:space="preserve"> [3.3 to 5.7]</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 xml:space="preserve">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0E2248E3" w14:textId="77777777" w:rsidR="00ED250F" w:rsidRPr="00ED250F" w:rsidRDefault="00ED250F" w:rsidP="004F2C64">
      <w:pPr>
        <w:widowControl/>
        <w:spacing w:line="320" w:lineRule="exact"/>
        <w:jc w:val="left"/>
        <w:rPr>
          <w:rFonts w:ascii="Times New Roman" w:eastAsia="游明朝" w:hAnsi="Times New Roman" w:cs="Times New Roman"/>
          <w:bCs/>
          <w:sz w:val="24"/>
          <w:szCs w:val="24"/>
          <w14:ligatures w14:val="standardContextual"/>
        </w:rPr>
      </w:pPr>
      <w:r w:rsidRPr="00ED250F">
        <w:rPr>
          <w:rFonts w:ascii="Times New Roman" w:eastAsia="游明朝" w:hAnsi="Times New Roman" w:cs="Times New Roman"/>
          <w:bCs/>
          <w:sz w:val="24"/>
          <w:szCs w:val="24"/>
          <w14:ligatures w14:val="standardContextual"/>
        </w:rPr>
        <w:t>Note: In the IPCC AR6 WG1 report, these five scenarios are called SSPx-y. Here, “SSPx” refers to the Shared Socioeconomic Pathway describing the underlying socioeconomic trends, as described in the introduction. “y” represents the radiative forcing value (W/m²) caused by the scenario in 2081</w:t>
      </w:r>
      <w:r w:rsidRPr="00ED250F">
        <w:rPr>
          <w:rFonts w:ascii="Times New Roman" w:eastAsia="游明朝" w:hAnsi="Times New Roman" w:cs="Times New Roman" w:hint="eastAsia"/>
          <w:bCs/>
          <w:sz w:val="24"/>
          <w:szCs w:val="24"/>
          <w14:ligatures w14:val="standardContextual"/>
        </w:rPr>
        <w:t>–</w:t>
      </w:r>
      <w:r w:rsidRPr="00ED250F">
        <w:rPr>
          <w:rFonts w:ascii="Times New Roman" w:eastAsia="游明朝" w:hAnsi="Times New Roman" w:cs="Times New Roman"/>
          <w:bCs/>
          <w:sz w:val="24"/>
          <w:szCs w:val="24"/>
          <w14:ligatures w14:val="standardContextual"/>
        </w:rPr>
        <w:t>2100.</w:t>
      </w:r>
    </w:p>
    <w:p w14:paraId="4D111E8E" w14:textId="77777777" w:rsidR="0066788A" w:rsidRDefault="00954E41" w:rsidP="00426D08">
      <w:pPr>
        <w:widowControl/>
        <w:jc w:val="center"/>
        <w:rPr>
          <w:rFonts w:ascii="Times New Roman" w:eastAsia="游明朝" w:hAnsi="Times New Roman" w:cs="Times New Roman"/>
          <w:b/>
          <w:sz w:val="24"/>
          <w:szCs w:val="24"/>
          <w14:ligatures w14:val="standardContextual"/>
        </w:rPr>
      </w:pPr>
      <w:r>
        <w:rPr>
          <w:rFonts w:ascii="Times New Roman" w:eastAsia="游明朝" w:hAnsi="Times New Roman" w:cs="Times New Roman"/>
          <w:b/>
          <w:sz w:val="24"/>
          <w:szCs w:val="24"/>
          <w14:ligatures w14:val="standardContextual"/>
        </w:rPr>
        <w:br w:type="page"/>
      </w:r>
      <w:r w:rsidR="0066788A">
        <w:rPr>
          <w:noProof/>
        </w:rPr>
        <w:lastRenderedPageBreak/>
        <w:drawing>
          <wp:inline distT="0" distB="0" distL="0" distR="0" wp14:anchorId="77BDD415" wp14:editId="36510FBF">
            <wp:extent cx="4425696" cy="2662795"/>
            <wp:effectExtent l="0" t="0" r="0" b="4445"/>
            <wp:docPr id="1686931850" name="図 1" descr="グラフ, 折れ線グラフ&#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31850" name="図 1" descr="グラフ, 折れ線グラフ&#10;&#10;AI 生成コンテンツは誤りを含む可能性があります。"/>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80883" cy="2695999"/>
                    </a:xfrm>
                    <a:prstGeom prst="rect">
                      <a:avLst/>
                    </a:prstGeom>
                    <a:noFill/>
                    <a:ln>
                      <a:noFill/>
                    </a:ln>
                  </pic:spPr>
                </pic:pic>
              </a:graphicData>
            </a:graphic>
          </wp:inline>
        </w:drawing>
      </w:r>
    </w:p>
    <w:p w14:paraId="4763C231" w14:textId="7067BC55" w:rsidR="00ED250F" w:rsidRPr="00ED250F" w:rsidRDefault="00ED250F" w:rsidP="004F2C64">
      <w:pPr>
        <w:widowControl/>
        <w:jc w:val="left"/>
        <w:rPr>
          <w:rFonts w:ascii="Times New Roman" w:eastAsia="游明朝" w:hAnsi="Times New Roman" w:cs="Times New Roman"/>
          <w:bCs/>
          <w:sz w:val="24"/>
          <w:szCs w:val="24"/>
          <w14:ligatures w14:val="standardContextual"/>
        </w:rPr>
      </w:pPr>
      <w:r w:rsidRPr="00ED250F">
        <w:rPr>
          <w:rFonts w:ascii="Times New Roman" w:eastAsia="游明朝" w:hAnsi="Times New Roman" w:cs="Times New Roman"/>
          <w:b/>
          <w:bCs/>
          <w:sz w:val="24"/>
          <w:szCs w:val="24"/>
          <w14:ligatures w14:val="standardContextual"/>
        </w:rPr>
        <w:t>Supplement</w:t>
      </w:r>
      <w:r w:rsidRPr="00517715">
        <w:rPr>
          <w:rFonts w:ascii="Times New Roman" w:eastAsia="游明朝" w:hAnsi="Times New Roman" w:cs="Times New Roman"/>
          <w:b/>
          <w:bCs/>
          <w:sz w:val="24"/>
          <w:szCs w:val="24"/>
          <w14:ligatures w14:val="standardContextual"/>
        </w:rPr>
        <w:t>ary Fig. S</w:t>
      </w:r>
      <w:r w:rsidR="00EC4056" w:rsidRPr="00517715">
        <w:rPr>
          <w:rFonts w:ascii="Times New Roman" w:eastAsia="游明朝" w:hAnsi="Times New Roman" w:cs="Times New Roman" w:hint="eastAsia"/>
          <w:b/>
          <w:bCs/>
          <w:sz w:val="24"/>
          <w:szCs w:val="24"/>
          <w14:ligatures w14:val="standardContextual"/>
        </w:rPr>
        <w:t>9</w:t>
      </w:r>
      <w:r w:rsidRPr="00517715">
        <w:rPr>
          <w:rFonts w:ascii="Times New Roman" w:eastAsia="游明朝" w:hAnsi="Times New Roman" w:cs="Times New Roman"/>
          <w:b/>
          <w:bCs/>
          <w:sz w:val="24"/>
          <w:szCs w:val="24"/>
          <w14:ligatures w14:val="standardContextual"/>
        </w:rPr>
        <w:t xml:space="preserve">. PV panel spacing and light transmittance. </w:t>
      </w:r>
      <w:r w:rsidRPr="00517715">
        <w:rPr>
          <w:rFonts w:ascii="Times New Roman" w:eastAsia="游明朝" w:hAnsi="Times New Roman" w:cs="Times New Roman"/>
          <w:bCs/>
          <w:sz w:val="24"/>
          <w:szCs w:val="24"/>
          <w14:ligatures w14:val="standardContextual"/>
        </w:rPr>
        <w:t xml:space="preserve">As shown in </w:t>
      </w:r>
      <w:r w:rsidRPr="00517715">
        <w:rPr>
          <w:rFonts w:ascii="Times New Roman" w:eastAsia="游明朝" w:hAnsi="Times New Roman" w:cs="Times New Roman"/>
          <w:b/>
          <w:bCs/>
          <w:sz w:val="24"/>
          <w:szCs w:val="24"/>
          <w14:ligatures w14:val="standardContextual"/>
        </w:rPr>
        <w:t>Fig. 4</w:t>
      </w:r>
      <w:r w:rsidRPr="00517715">
        <w:rPr>
          <w:rFonts w:ascii="Times New Roman" w:eastAsia="游明朝" w:hAnsi="Times New Roman" w:cs="Times New Roman"/>
          <w:bCs/>
          <w:sz w:val="24"/>
          <w:szCs w:val="24"/>
          <w14:ligatures w14:val="standardContextual"/>
        </w:rPr>
        <w:t xml:space="preserve"> of a previous paper</w:t>
      </w:r>
      <w:r w:rsidR="007078A1" w:rsidRPr="00517715">
        <w:rPr>
          <w:rFonts w:ascii="Times New Roman" w:eastAsia="游明朝" w:hAnsi="Times New Roman" w:cs="Times New Roman" w:hint="eastAsia"/>
          <w:bCs/>
          <w:sz w:val="24"/>
          <w:szCs w:val="24"/>
          <w14:ligatures w14:val="standardContextual"/>
        </w:rPr>
        <w:t xml:space="preserve"> [</w:t>
      </w:r>
      <w:r w:rsidR="00616815" w:rsidRPr="00517715">
        <w:rPr>
          <w:rFonts w:ascii="Times New Roman" w:eastAsia="游明朝" w:hAnsi="Times New Roman" w:cs="Times New Roman" w:hint="eastAsia"/>
          <w:bCs/>
          <w:sz w:val="24"/>
          <w:szCs w:val="24"/>
          <w14:ligatures w14:val="standardContextual"/>
        </w:rPr>
        <w:t>6</w:t>
      </w:r>
      <w:r w:rsidR="007078A1" w:rsidRPr="00517715">
        <w:rPr>
          <w:rFonts w:ascii="Times New Roman" w:eastAsia="游明朝" w:hAnsi="Times New Roman" w:cs="Times New Roman" w:hint="eastAsia"/>
          <w:bCs/>
          <w:sz w:val="24"/>
          <w:szCs w:val="24"/>
          <w14:ligatures w14:val="standardContextual"/>
        </w:rPr>
        <w:t>]</w:t>
      </w:r>
      <w:r w:rsidRPr="00517715">
        <w:rPr>
          <w:rFonts w:ascii="Times New Roman" w:eastAsia="游明朝" w:hAnsi="Times New Roman" w:cs="Times New Roman"/>
          <w:bCs/>
          <w:sz w:val="24"/>
          <w:szCs w:val="24"/>
          <w14:ligatures w14:val="standardContextual"/>
        </w:rPr>
        <w:t>, the FOPV comprises 1 million hexagonal PV panels (3 m per side) flexibly connected in a honeycomb structure. The PV panels</w:t>
      </w:r>
      <w:r w:rsidRPr="00ED250F">
        <w:rPr>
          <w:rFonts w:ascii="Times New Roman" w:eastAsia="游明朝" w:hAnsi="Times New Roman" w:cs="Times New Roman"/>
          <w:bCs/>
          <w:sz w:val="24"/>
          <w:szCs w:val="24"/>
          <w14:ligatures w14:val="standardContextual"/>
        </w:rPr>
        <w:t xml:space="preserve"> are spaced 0.6 m apart, but this interval can be increased. Additionally, to avoid the effects of tsunamis and ocean currents, the system is installed at water depths ≥50 m and in areas with ocean currents ≤1 knot. This figure shows the PV panel spacing and light transmittance (</w:t>
      </w:r>
      <w:proofErr w:type="gramStart"/>
      <w:r w:rsidRPr="00ED250F">
        <w:rPr>
          <w:rFonts w:ascii="Times New Roman" w:eastAsia="游明朝" w:hAnsi="Times New Roman" w:cs="Times New Roman"/>
          <w:bCs/>
          <w:sz w:val="24"/>
          <w:szCs w:val="24"/>
          <w14:ligatures w14:val="standardContextual"/>
        </w:rPr>
        <w:t>assuming that</w:t>
      </w:r>
      <w:proofErr w:type="gramEnd"/>
      <w:r w:rsidRPr="00ED250F">
        <w:rPr>
          <w:rFonts w:ascii="Times New Roman" w:eastAsia="游明朝" w:hAnsi="Times New Roman" w:cs="Times New Roman"/>
          <w:bCs/>
          <w:sz w:val="24"/>
          <w:szCs w:val="24"/>
          <w14:ligatures w14:val="standardContextual"/>
        </w:rPr>
        <w:t xml:space="preserve"> 70% of the space between PV panels is light-transmissive, accounting for light blockage by connectors, etc.), with values of 0% to 45% at 0 to 3 m. </w:t>
      </w:r>
    </w:p>
    <w:p w14:paraId="591DB24F" w14:textId="77777777" w:rsidR="00ED250F" w:rsidRPr="00ED250F" w:rsidRDefault="00ED250F" w:rsidP="004F2C64">
      <w:pPr>
        <w:widowControl/>
        <w:jc w:val="left"/>
        <w:rPr>
          <w:rFonts w:ascii="Times New Roman" w:eastAsia="游明朝" w:hAnsi="Times New Roman" w:cs="Times New Roman"/>
          <w:bCs/>
          <w:sz w:val="24"/>
          <w:szCs w:val="24"/>
          <w14:ligatures w14:val="standardContextual"/>
        </w:rPr>
      </w:pPr>
      <w:r w:rsidRPr="00ED250F">
        <w:rPr>
          <w:rFonts w:ascii="Times New Roman" w:eastAsia="游明朝" w:hAnsi="Times New Roman" w:cs="Times New Roman"/>
          <w:bCs/>
          <w:sz w:val="24"/>
          <w:szCs w:val="24"/>
          <w14:ligatures w14:val="standardContextual"/>
        </w:rPr>
        <w:t>It is believed that the impact of changes in light transmittance on ecosystems and environmental conditions varies significantly depending on the target time and space. For instance, a change in light transmittance from 9% to 45% during spring blooms in areas with highly productive waters would not be considered negligible. In contrast, the impact is likely minimal in areas with low productivity during wintertime. It is essential to consider various environmental impact assessments (e.g., effects on oceanic primary production and the ecosystems that utilize it, local ocean currents due to changes in surface momentum fluxes, and surface stratification due to changes in heat flux) and mitigation strategies alongside infrastructure development.</w:t>
      </w:r>
    </w:p>
    <w:p w14:paraId="329DDEB1" w14:textId="54B68B47" w:rsidR="0066788A" w:rsidRDefault="0066788A">
      <w:pPr>
        <w:widowControl/>
        <w:jc w:val="left"/>
        <w:rPr>
          <w:rFonts w:ascii="Times New Roman" w:eastAsia="游明朝" w:hAnsi="Times New Roman" w:cs="Times New Roman"/>
          <w:b/>
          <w:sz w:val="24"/>
          <w:szCs w:val="24"/>
          <w14:ligatures w14:val="standardContextual"/>
        </w:rPr>
      </w:pPr>
      <w:r>
        <w:rPr>
          <w:rFonts w:ascii="Times New Roman" w:eastAsia="游明朝" w:hAnsi="Times New Roman" w:cs="Times New Roman"/>
          <w:b/>
          <w:sz w:val="24"/>
          <w:szCs w:val="24"/>
          <w14:ligatures w14:val="standardContextual"/>
        </w:rPr>
        <w:br w:type="page"/>
      </w:r>
    </w:p>
    <w:bookmarkEnd w:id="19"/>
    <w:p w14:paraId="7D6E8757" w14:textId="77777777" w:rsidR="00ED250F" w:rsidRPr="00C82E0A" w:rsidRDefault="00ED250F" w:rsidP="00ED250F">
      <w:pPr>
        <w:widowControl/>
        <w:spacing w:line="260" w:lineRule="exact"/>
        <w:jc w:val="left"/>
        <w:rPr>
          <w:rFonts w:ascii="Times New Roman" w:eastAsia="游明朝" w:hAnsi="Times New Roman" w:cs="Times New Roman"/>
          <w:bCs/>
          <w:sz w:val="24"/>
          <w:szCs w:val="24"/>
          <w14:ligatures w14:val="standardContextual"/>
        </w:rPr>
      </w:pPr>
      <w:r w:rsidRPr="00C82E0A">
        <w:rPr>
          <w:rFonts w:ascii="Times New Roman" w:eastAsia="游明朝" w:hAnsi="Times New Roman" w:cs="Times New Roman"/>
          <w:b/>
          <w:sz w:val="24"/>
          <w:szCs w:val="24"/>
          <w14:ligatures w14:val="standardContextual"/>
        </w:rPr>
        <w:lastRenderedPageBreak/>
        <w:t xml:space="preserve">Supplementary Table S1. </w:t>
      </w:r>
      <w:r w:rsidRPr="00C82E0A">
        <w:rPr>
          <w:rFonts w:ascii="Times New Roman" w:eastAsia="游明朝" w:hAnsi="Times New Roman" w:cs="Times New Roman"/>
          <w:b/>
          <w:bCs/>
          <w:sz w:val="24"/>
          <w:szCs w:val="24"/>
          <w14:ligatures w14:val="standardContextual"/>
        </w:rPr>
        <w:t>Performance specifications of an FOPV plant.</w:t>
      </w:r>
      <w:r w:rsidRPr="00C82E0A">
        <w:rPr>
          <w:rFonts w:ascii="Times New Roman" w:eastAsia="游明朝" w:hAnsi="Times New Roman" w:cs="Times New Roman"/>
          <w:b/>
          <w:sz w:val="24"/>
          <w:szCs w:val="24"/>
          <w14:ligatures w14:val="standardContextual"/>
        </w:rPr>
        <w:t xml:space="preserve"> </w:t>
      </w:r>
      <w:r w:rsidRPr="00C82E0A">
        <w:rPr>
          <w:rFonts w:ascii="Times New Roman" w:eastAsia="游明朝" w:hAnsi="Times New Roman" w:cs="Times New Roman"/>
          <w:bCs/>
          <w:sz w:val="24"/>
          <w:szCs w:val="24"/>
          <w14:ligatures w14:val="standardContextual"/>
        </w:rPr>
        <w:t>Each FOPV occupies an exclusive area of 28.1 km</w:t>
      </w:r>
      <w:r w:rsidRPr="00C82E0A">
        <w:rPr>
          <w:rFonts w:ascii="Times New Roman" w:eastAsia="游明朝" w:hAnsi="Times New Roman" w:cs="Times New Roman"/>
          <w:bCs/>
          <w:sz w:val="24"/>
          <w:szCs w:val="24"/>
          <w:vertAlign w:val="superscript"/>
          <w14:ligatures w14:val="standardContextual"/>
        </w:rPr>
        <w:t>2</w:t>
      </w:r>
      <w:r w:rsidRPr="00C82E0A">
        <w:rPr>
          <w:rFonts w:ascii="Times New Roman" w:eastAsia="游明朝" w:hAnsi="Times New Roman" w:cs="Times New Roman"/>
          <w:bCs/>
          <w:sz w:val="24"/>
          <w:szCs w:val="24"/>
          <w14:ligatures w14:val="standardContextual"/>
        </w:rPr>
        <w:t xml:space="preserve"> and achieves a maximum power generation capacity of ± 250 kV, 9.22 kA, and 4.61 GW. The annual average power generation is 940 MW, which is equivalent to 8.23 TWh/year and comparable to nuclear and thermal power plants. The FOPV plant incorporates several advanced features: (</w:t>
      </w:r>
      <w:r w:rsidRPr="00C82E0A">
        <w:rPr>
          <w:rFonts w:ascii="Times New Roman" w:eastAsia="游明朝" w:hAnsi="Times New Roman" w:cs="Times New Roman"/>
          <w:b/>
          <w:bCs/>
          <w:sz w:val="24"/>
          <w:szCs w:val="24"/>
          <w14:ligatures w14:val="standardContextual"/>
        </w:rPr>
        <w:t>a</w:t>
      </w:r>
      <w:r w:rsidRPr="00C82E0A">
        <w:rPr>
          <w:rFonts w:ascii="Times New Roman" w:eastAsia="游明朝" w:hAnsi="Times New Roman" w:cs="Times New Roman"/>
          <w:bCs/>
          <w:sz w:val="24"/>
          <w:szCs w:val="24"/>
          <w14:ligatures w14:val="standardContextual"/>
        </w:rPr>
        <w:t>) Stationary function: screw propellers prevent displacement by ocean currents and strong winds. (</w:t>
      </w:r>
      <w:r w:rsidRPr="00C82E0A">
        <w:rPr>
          <w:rFonts w:ascii="Times New Roman" w:eastAsia="游明朝" w:hAnsi="Times New Roman" w:cs="Times New Roman"/>
          <w:b/>
          <w:bCs/>
          <w:sz w:val="24"/>
          <w:szCs w:val="24"/>
          <w14:ligatures w14:val="standardContextual"/>
        </w:rPr>
        <w:t>b</w:t>
      </w:r>
      <w:r w:rsidRPr="00C82E0A">
        <w:rPr>
          <w:rFonts w:ascii="Times New Roman" w:eastAsia="游明朝" w:hAnsi="Times New Roman" w:cs="Times New Roman"/>
          <w:bCs/>
          <w:sz w:val="24"/>
          <w:szCs w:val="24"/>
          <w14:ligatures w14:val="standardContextual"/>
        </w:rPr>
        <w:t>) Submerging function: panels can be submerged to withstand waves up to 20 m in height during storms. (</w:t>
      </w:r>
      <w:r w:rsidRPr="00C82E0A">
        <w:rPr>
          <w:rFonts w:ascii="Times New Roman" w:eastAsia="游明朝" w:hAnsi="Times New Roman" w:cs="Times New Roman"/>
          <w:b/>
          <w:bCs/>
          <w:sz w:val="24"/>
          <w:szCs w:val="24"/>
          <w14:ligatures w14:val="standardContextual"/>
        </w:rPr>
        <w:t>c</w:t>
      </w:r>
      <w:r w:rsidRPr="00C82E0A">
        <w:rPr>
          <w:rFonts w:ascii="Times New Roman" w:eastAsia="游明朝" w:hAnsi="Times New Roman" w:cs="Times New Roman"/>
          <w:bCs/>
          <w:sz w:val="24"/>
          <w:szCs w:val="24"/>
          <w14:ligatures w14:val="standardContextual"/>
        </w:rPr>
        <w:t>) Lighthouse function: prevents collisions with ships. (</w:t>
      </w:r>
      <w:r w:rsidRPr="00C82E0A">
        <w:rPr>
          <w:rFonts w:ascii="Times New Roman" w:eastAsia="游明朝" w:hAnsi="Times New Roman" w:cs="Times New Roman"/>
          <w:b/>
          <w:bCs/>
          <w:sz w:val="24"/>
          <w:szCs w:val="24"/>
          <w14:ligatures w14:val="standardContextual"/>
        </w:rPr>
        <w:t>d</w:t>
      </w:r>
      <w:r w:rsidRPr="00C82E0A">
        <w:rPr>
          <w:rFonts w:ascii="Times New Roman" w:eastAsia="游明朝" w:hAnsi="Times New Roman" w:cs="Times New Roman"/>
          <w:bCs/>
          <w:sz w:val="24"/>
          <w:szCs w:val="24"/>
          <w14:ligatures w14:val="standardContextual"/>
        </w:rPr>
        <w:t>) Automatic detour function: this activates when PV panels fail. (</w:t>
      </w:r>
      <w:r w:rsidRPr="00C82E0A">
        <w:rPr>
          <w:rFonts w:ascii="Times New Roman" w:eastAsia="游明朝" w:hAnsi="Times New Roman" w:cs="Times New Roman"/>
          <w:b/>
          <w:bCs/>
          <w:sz w:val="24"/>
          <w:szCs w:val="24"/>
          <w14:ligatures w14:val="standardContextual"/>
        </w:rPr>
        <w:t>e</w:t>
      </w:r>
      <w:r w:rsidRPr="00C82E0A">
        <w:rPr>
          <w:rFonts w:ascii="Times New Roman" w:eastAsia="游明朝" w:hAnsi="Times New Roman" w:cs="Times New Roman"/>
          <w:bCs/>
          <w:sz w:val="24"/>
          <w:szCs w:val="24"/>
          <w14:ligatures w14:val="standardContextual"/>
        </w:rPr>
        <w:t>) Introducing multiple AI-equipped transport, assembly, and maintenance robots: by streamlining the assembly of 1 million PV panels and automating maintenance, these robots will significantly reduce construction time and costs.</w:t>
      </w:r>
    </w:p>
    <w:tbl>
      <w:tblPr>
        <w:tblW w:w="7643" w:type="dxa"/>
        <w:jc w:val="center"/>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3544"/>
        <w:gridCol w:w="768"/>
        <w:gridCol w:w="3331"/>
      </w:tblGrid>
      <w:tr w:rsidR="002F4C00" w:rsidRPr="002F4C00" w14:paraId="4FE3F7F2" w14:textId="77777777" w:rsidTr="00F20CB9">
        <w:trPr>
          <w:trHeight w:val="355"/>
          <w:jc w:val="center"/>
        </w:trPr>
        <w:tc>
          <w:tcPr>
            <w:tcW w:w="3544" w:type="dxa"/>
            <w:tcBorders>
              <w:top w:val="single" w:sz="8" w:space="0" w:color="auto"/>
              <w:bottom w:val="single" w:sz="4" w:space="0" w:color="auto"/>
            </w:tcBorders>
            <w:noWrap/>
            <w:tcMar>
              <w:left w:w="57" w:type="dxa"/>
              <w:right w:w="57" w:type="dxa"/>
            </w:tcMar>
            <w:vAlign w:val="center"/>
            <w:hideMark/>
          </w:tcPr>
          <w:p w14:paraId="58838116" w14:textId="77777777" w:rsidR="00F20CB9" w:rsidRPr="002F4C00" w:rsidRDefault="00F20CB9" w:rsidP="00F20CB9">
            <w:pPr>
              <w:widowControl/>
              <w:jc w:val="center"/>
              <w:rPr>
                <w:rFonts w:ascii="Times New Roman" w:eastAsia="游ゴシック" w:hAnsi="Times New Roman" w:cs="Times New Roman"/>
                <w:b/>
                <w:bCs/>
                <w:kern w:val="0"/>
                <w:sz w:val="16"/>
                <w:szCs w:val="16"/>
              </w:rPr>
            </w:pPr>
            <w:bookmarkStart w:id="20" w:name="_Hlk177113709"/>
            <w:bookmarkEnd w:id="14"/>
            <w:r w:rsidRPr="002F4C00">
              <w:rPr>
                <w:rFonts w:ascii="Times New Roman" w:eastAsia="游ゴシック" w:hAnsi="Times New Roman" w:cs="Times New Roman"/>
                <w:b/>
                <w:bCs/>
                <w:kern w:val="0"/>
                <w:sz w:val="16"/>
                <w:szCs w:val="16"/>
              </w:rPr>
              <w:t>Parameter</w:t>
            </w:r>
          </w:p>
        </w:tc>
        <w:tc>
          <w:tcPr>
            <w:tcW w:w="768" w:type="dxa"/>
            <w:tcBorders>
              <w:top w:val="single" w:sz="8" w:space="0" w:color="auto"/>
              <w:bottom w:val="single" w:sz="4" w:space="0" w:color="auto"/>
            </w:tcBorders>
            <w:noWrap/>
            <w:tcMar>
              <w:left w:w="57" w:type="dxa"/>
              <w:right w:w="57" w:type="dxa"/>
            </w:tcMar>
            <w:vAlign w:val="center"/>
            <w:hideMark/>
          </w:tcPr>
          <w:p w14:paraId="47FC0E98" w14:textId="77777777" w:rsidR="00F20CB9" w:rsidRPr="002F4C00" w:rsidRDefault="00F20CB9" w:rsidP="00F20CB9">
            <w:pPr>
              <w:widowControl/>
              <w:jc w:val="center"/>
              <w:rPr>
                <w:rFonts w:ascii="Times New Roman" w:eastAsia="游ゴシック" w:hAnsi="Times New Roman" w:cs="Times New Roman"/>
                <w:b/>
                <w:bCs/>
                <w:kern w:val="0"/>
                <w:sz w:val="16"/>
                <w:szCs w:val="16"/>
              </w:rPr>
            </w:pPr>
            <w:r w:rsidRPr="002F4C00">
              <w:rPr>
                <w:rFonts w:ascii="Times New Roman" w:eastAsia="游ゴシック" w:hAnsi="Times New Roman" w:cs="Times New Roman"/>
                <w:b/>
                <w:bCs/>
                <w:kern w:val="0"/>
                <w:sz w:val="16"/>
                <w:szCs w:val="16"/>
              </w:rPr>
              <w:t>Value</w:t>
            </w:r>
          </w:p>
        </w:tc>
        <w:tc>
          <w:tcPr>
            <w:tcW w:w="3331" w:type="dxa"/>
            <w:tcBorders>
              <w:top w:val="single" w:sz="8" w:space="0" w:color="auto"/>
              <w:bottom w:val="single" w:sz="4" w:space="0" w:color="auto"/>
            </w:tcBorders>
            <w:noWrap/>
            <w:tcMar>
              <w:left w:w="57" w:type="dxa"/>
              <w:right w:w="57" w:type="dxa"/>
            </w:tcMar>
            <w:vAlign w:val="center"/>
            <w:hideMark/>
          </w:tcPr>
          <w:p w14:paraId="2BC8C2C0" w14:textId="1E6D31CF" w:rsidR="00F20CB9" w:rsidRPr="002F4C00" w:rsidRDefault="00F20CB9" w:rsidP="00F20CB9">
            <w:pPr>
              <w:widowControl/>
              <w:jc w:val="center"/>
              <w:rPr>
                <w:rFonts w:ascii="Times New Roman" w:eastAsia="游ゴシック" w:hAnsi="Times New Roman" w:cs="Times New Roman"/>
                <w:b/>
                <w:bCs/>
                <w:kern w:val="0"/>
                <w:sz w:val="16"/>
                <w:szCs w:val="16"/>
              </w:rPr>
            </w:pPr>
            <w:r w:rsidRPr="002F4C00">
              <w:rPr>
                <w:rFonts w:ascii="Times New Roman" w:eastAsia="游ゴシック" w:hAnsi="Times New Roman" w:cs="Times New Roman"/>
                <w:b/>
                <w:bCs/>
                <w:kern w:val="0"/>
                <w:sz w:val="16"/>
                <w:szCs w:val="16"/>
              </w:rPr>
              <w:t>Unit and remarks</w:t>
            </w:r>
          </w:p>
        </w:tc>
      </w:tr>
      <w:tr w:rsidR="002F4C00" w:rsidRPr="002F4C00" w14:paraId="7C3C0881" w14:textId="77777777" w:rsidTr="00F20CB9">
        <w:trPr>
          <w:trHeight w:val="284"/>
          <w:jc w:val="center"/>
        </w:trPr>
        <w:tc>
          <w:tcPr>
            <w:tcW w:w="3544" w:type="dxa"/>
            <w:tcBorders>
              <w:top w:val="single" w:sz="4" w:space="0" w:color="auto"/>
            </w:tcBorders>
            <w:noWrap/>
            <w:tcMar>
              <w:left w:w="57" w:type="dxa"/>
              <w:right w:w="57" w:type="dxa"/>
            </w:tcMar>
            <w:vAlign w:val="center"/>
            <w:hideMark/>
          </w:tcPr>
          <w:p w14:paraId="77ABE197"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FOPV structure</w:t>
            </w:r>
          </w:p>
        </w:tc>
        <w:tc>
          <w:tcPr>
            <w:tcW w:w="4099" w:type="dxa"/>
            <w:gridSpan w:val="2"/>
            <w:tcBorders>
              <w:top w:val="single" w:sz="4" w:space="0" w:color="auto"/>
            </w:tcBorders>
            <w:noWrap/>
            <w:tcMar>
              <w:left w:w="57" w:type="dxa"/>
              <w:right w:w="57" w:type="dxa"/>
            </w:tcMar>
            <w:vAlign w:val="center"/>
            <w:hideMark/>
          </w:tcPr>
          <w:p w14:paraId="17FA6687"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Four-layer honeycomb structure</w:t>
            </w:r>
          </w:p>
        </w:tc>
      </w:tr>
      <w:tr w:rsidR="002F4C00" w:rsidRPr="002F4C00" w14:paraId="7C1A6919" w14:textId="77777777" w:rsidTr="00F20CB9">
        <w:trPr>
          <w:trHeight w:val="284"/>
          <w:jc w:val="center"/>
        </w:trPr>
        <w:tc>
          <w:tcPr>
            <w:tcW w:w="3544" w:type="dxa"/>
            <w:noWrap/>
            <w:tcMar>
              <w:left w:w="57" w:type="dxa"/>
              <w:right w:w="57" w:type="dxa"/>
            </w:tcMar>
            <w:vAlign w:val="center"/>
            <w:hideMark/>
          </w:tcPr>
          <w:p w14:paraId="261F374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Length of a hexagon's side (Hpv)</w:t>
            </w:r>
          </w:p>
        </w:tc>
        <w:tc>
          <w:tcPr>
            <w:tcW w:w="768" w:type="dxa"/>
            <w:noWrap/>
            <w:tcMar>
              <w:left w:w="57" w:type="dxa"/>
              <w:right w:w="57" w:type="dxa"/>
            </w:tcMar>
            <w:vAlign w:val="center"/>
            <w:hideMark/>
          </w:tcPr>
          <w:p w14:paraId="169930F5"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3 </w:t>
            </w:r>
          </w:p>
        </w:tc>
        <w:tc>
          <w:tcPr>
            <w:tcW w:w="3331" w:type="dxa"/>
            <w:noWrap/>
            <w:tcMar>
              <w:left w:w="57" w:type="dxa"/>
              <w:right w:w="57" w:type="dxa"/>
            </w:tcMar>
            <w:vAlign w:val="center"/>
            <w:hideMark/>
          </w:tcPr>
          <w:p w14:paraId="0DF7F263"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w:t>
            </w:r>
          </w:p>
        </w:tc>
      </w:tr>
      <w:tr w:rsidR="002F4C00" w:rsidRPr="002F4C00" w14:paraId="424AEC08" w14:textId="77777777" w:rsidTr="00F20CB9">
        <w:trPr>
          <w:trHeight w:val="284"/>
          <w:jc w:val="center"/>
        </w:trPr>
        <w:tc>
          <w:tcPr>
            <w:tcW w:w="3544" w:type="dxa"/>
            <w:noWrap/>
            <w:tcMar>
              <w:left w:w="57" w:type="dxa"/>
              <w:right w:w="57" w:type="dxa"/>
            </w:tcMar>
            <w:vAlign w:val="center"/>
            <w:hideMark/>
          </w:tcPr>
          <w:p w14:paraId="1C3ED992"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panel area (Spv)</w:t>
            </w:r>
          </w:p>
        </w:tc>
        <w:tc>
          <w:tcPr>
            <w:tcW w:w="768" w:type="dxa"/>
            <w:noWrap/>
            <w:tcMar>
              <w:left w:w="57" w:type="dxa"/>
              <w:right w:w="57" w:type="dxa"/>
            </w:tcMar>
            <w:vAlign w:val="center"/>
            <w:hideMark/>
          </w:tcPr>
          <w:p w14:paraId="322D88B0"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23.4 </w:t>
            </w:r>
          </w:p>
        </w:tc>
        <w:tc>
          <w:tcPr>
            <w:tcW w:w="3331" w:type="dxa"/>
            <w:noWrap/>
            <w:tcMar>
              <w:left w:w="57" w:type="dxa"/>
              <w:right w:w="57" w:type="dxa"/>
            </w:tcMar>
            <w:vAlign w:val="center"/>
            <w:hideMark/>
          </w:tcPr>
          <w:p w14:paraId="17E188D4" w14:textId="57D6240A"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m</w:t>
            </w:r>
            <w:r w:rsidRPr="002F4C00">
              <w:rPr>
                <w:rFonts w:ascii="Times New Roman" w:eastAsia="游ゴシック" w:hAnsi="Times New Roman" w:cs="Times New Roman"/>
                <w:kern w:val="0"/>
                <w:sz w:val="16"/>
                <w:szCs w:val="16"/>
                <w:vertAlign w:val="superscript"/>
              </w:rPr>
              <w:t>2</w:t>
            </w:r>
            <w:r w:rsidRPr="002F4C00">
              <w:rPr>
                <w:rFonts w:ascii="Times New Roman" w:eastAsia="游ゴシック" w:hAnsi="Times New Roman" w:cs="Times New Roman"/>
                <w:kern w:val="0"/>
                <w:sz w:val="16"/>
                <w:szCs w:val="16"/>
              </w:rPr>
              <w:t>,</w:t>
            </w:r>
            <w:r w:rsidR="00494EEC" w:rsidRPr="002F4C00">
              <w:rPr>
                <w:rFonts w:ascii="Times New Roman" w:eastAsia="游ゴシック" w:hAnsi="Times New Roman" w:cs="Times New Roman"/>
                <w:kern w:val="0"/>
                <w:sz w:val="16"/>
                <w:szCs w:val="16"/>
              </w:rPr>
              <w:t xml:space="preserve"> =3(</w:t>
            </w:r>
            <w:r w:rsidR="00494EEC" w:rsidRPr="002F4C00">
              <w:rPr>
                <w:rFonts w:ascii="Times New Roman" w:eastAsia="游ゴシック" w:hAnsi="Times New Roman" w:cs="Times New Roman" w:hint="eastAsia"/>
                <w:kern w:val="0"/>
                <w:sz w:val="16"/>
                <w:szCs w:val="16"/>
              </w:rPr>
              <w:t>√</w:t>
            </w:r>
            <w:r w:rsidR="00494EEC" w:rsidRPr="002F4C00">
              <w:rPr>
                <w:rFonts w:ascii="Times New Roman" w:eastAsia="游ゴシック" w:hAnsi="Times New Roman" w:cs="Times New Roman"/>
                <w:kern w:val="0"/>
                <w:sz w:val="16"/>
                <w:szCs w:val="16"/>
              </w:rPr>
              <w:t>3/2Hpv</w:t>
            </w:r>
            <w:r w:rsidR="00494EEC" w:rsidRPr="002F4C00">
              <w:rPr>
                <w:rFonts w:ascii="Times New Roman" w:eastAsia="游ゴシック" w:hAnsi="Times New Roman" w:cs="Times New Roman"/>
                <w:kern w:val="0"/>
                <w:sz w:val="16"/>
                <w:szCs w:val="16"/>
                <w:vertAlign w:val="superscript"/>
              </w:rPr>
              <w:t>2</w:t>
            </w:r>
            <w:r w:rsidR="00494EEC" w:rsidRPr="002F4C00">
              <w:rPr>
                <w:rFonts w:ascii="Times New Roman" w:eastAsia="游ゴシック" w:hAnsi="Times New Roman" w:cs="Times New Roman"/>
                <w:kern w:val="0"/>
                <w:sz w:val="16"/>
                <w:szCs w:val="16"/>
              </w:rPr>
              <w:t>)</w:t>
            </w:r>
          </w:p>
        </w:tc>
      </w:tr>
      <w:tr w:rsidR="002F4C00" w:rsidRPr="002F4C00" w14:paraId="7B49D689" w14:textId="77777777" w:rsidTr="00F20CB9">
        <w:trPr>
          <w:trHeight w:val="284"/>
          <w:jc w:val="center"/>
        </w:trPr>
        <w:tc>
          <w:tcPr>
            <w:tcW w:w="3544" w:type="dxa"/>
            <w:noWrap/>
            <w:tcMar>
              <w:left w:w="57" w:type="dxa"/>
              <w:right w:w="57" w:type="dxa"/>
            </w:tcMar>
            <w:vAlign w:val="center"/>
            <w:hideMark/>
          </w:tcPr>
          <w:p w14:paraId="4F4DBF87"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panel thickness (Hpv)</w:t>
            </w:r>
          </w:p>
        </w:tc>
        <w:tc>
          <w:tcPr>
            <w:tcW w:w="768" w:type="dxa"/>
            <w:noWrap/>
            <w:tcMar>
              <w:left w:w="57" w:type="dxa"/>
              <w:right w:w="57" w:type="dxa"/>
            </w:tcMar>
            <w:vAlign w:val="center"/>
            <w:hideMark/>
          </w:tcPr>
          <w:p w14:paraId="74B988F6"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60 </w:t>
            </w:r>
          </w:p>
        </w:tc>
        <w:tc>
          <w:tcPr>
            <w:tcW w:w="3331" w:type="dxa"/>
            <w:noWrap/>
            <w:tcMar>
              <w:left w:w="57" w:type="dxa"/>
              <w:right w:w="57" w:type="dxa"/>
            </w:tcMar>
            <w:vAlign w:val="center"/>
            <w:hideMark/>
          </w:tcPr>
          <w:p w14:paraId="0CC84D4A"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cm</w:t>
            </w:r>
          </w:p>
        </w:tc>
      </w:tr>
      <w:tr w:rsidR="002F4C00" w:rsidRPr="002F4C00" w14:paraId="2C0B0334" w14:textId="77777777" w:rsidTr="00F20CB9">
        <w:trPr>
          <w:trHeight w:val="284"/>
          <w:jc w:val="center"/>
        </w:trPr>
        <w:tc>
          <w:tcPr>
            <w:tcW w:w="3544" w:type="dxa"/>
            <w:noWrap/>
            <w:tcMar>
              <w:left w:w="57" w:type="dxa"/>
              <w:right w:w="57" w:type="dxa"/>
            </w:tcMar>
            <w:vAlign w:val="center"/>
            <w:hideMark/>
          </w:tcPr>
          <w:p w14:paraId="5AB850F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Number of PV panels in fine aggregate (Nfp)</w:t>
            </w:r>
          </w:p>
        </w:tc>
        <w:tc>
          <w:tcPr>
            <w:tcW w:w="768" w:type="dxa"/>
            <w:noWrap/>
            <w:tcMar>
              <w:left w:w="57" w:type="dxa"/>
              <w:right w:w="57" w:type="dxa"/>
            </w:tcMar>
            <w:vAlign w:val="center"/>
            <w:hideMark/>
          </w:tcPr>
          <w:p w14:paraId="6C07C044"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 </w:t>
            </w:r>
          </w:p>
        </w:tc>
        <w:tc>
          <w:tcPr>
            <w:tcW w:w="3331" w:type="dxa"/>
            <w:noWrap/>
            <w:tcMar>
              <w:left w:w="57" w:type="dxa"/>
              <w:right w:w="57" w:type="dxa"/>
            </w:tcMar>
            <w:vAlign w:val="center"/>
            <w:hideMark/>
          </w:tcPr>
          <w:p w14:paraId="0067E00D"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PV panels</w:t>
            </w:r>
          </w:p>
        </w:tc>
      </w:tr>
      <w:tr w:rsidR="002F4C00" w:rsidRPr="002F4C00" w14:paraId="5860A795" w14:textId="77777777" w:rsidTr="00F20CB9">
        <w:trPr>
          <w:trHeight w:val="284"/>
          <w:jc w:val="center"/>
        </w:trPr>
        <w:tc>
          <w:tcPr>
            <w:tcW w:w="3544" w:type="dxa"/>
            <w:noWrap/>
            <w:tcMar>
              <w:left w:w="57" w:type="dxa"/>
              <w:right w:w="57" w:type="dxa"/>
            </w:tcMar>
            <w:vAlign w:val="center"/>
            <w:hideMark/>
          </w:tcPr>
          <w:p w14:paraId="3D86A960"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Small aggregate capacity (Csa)</w:t>
            </w:r>
          </w:p>
        </w:tc>
        <w:tc>
          <w:tcPr>
            <w:tcW w:w="768" w:type="dxa"/>
            <w:noWrap/>
            <w:tcMar>
              <w:left w:w="57" w:type="dxa"/>
              <w:right w:w="57" w:type="dxa"/>
            </w:tcMar>
            <w:vAlign w:val="center"/>
            <w:hideMark/>
          </w:tcPr>
          <w:p w14:paraId="721C94A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 </w:t>
            </w:r>
          </w:p>
        </w:tc>
        <w:tc>
          <w:tcPr>
            <w:tcW w:w="3331" w:type="dxa"/>
            <w:noWrap/>
            <w:tcMar>
              <w:left w:w="57" w:type="dxa"/>
              <w:right w:w="57" w:type="dxa"/>
            </w:tcMar>
            <w:vAlign w:val="center"/>
            <w:hideMark/>
          </w:tcPr>
          <w:p w14:paraId="4D8091A8"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fine aggregates</w:t>
            </w:r>
          </w:p>
        </w:tc>
      </w:tr>
      <w:tr w:rsidR="002F4C00" w:rsidRPr="002F4C00" w14:paraId="43FBE83E" w14:textId="77777777" w:rsidTr="00F20CB9">
        <w:trPr>
          <w:trHeight w:val="284"/>
          <w:jc w:val="center"/>
        </w:trPr>
        <w:tc>
          <w:tcPr>
            <w:tcW w:w="3544" w:type="dxa"/>
            <w:noWrap/>
            <w:tcMar>
              <w:left w:w="57" w:type="dxa"/>
              <w:right w:w="57" w:type="dxa"/>
            </w:tcMar>
            <w:vAlign w:val="center"/>
            <w:hideMark/>
          </w:tcPr>
          <w:p w14:paraId="0F09D8E5"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Medium aggregate capacity (Cma)</w:t>
            </w:r>
          </w:p>
        </w:tc>
        <w:tc>
          <w:tcPr>
            <w:tcW w:w="768" w:type="dxa"/>
            <w:noWrap/>
            <w:tcMar>
              <w:left w:w="57" w:type="dxa"/>
              <w:right w:w="57" w:type="dxa"/>
            </w:tcMar>
            <w:vAlign w:val="center"/>
            <w:hideMark/>
          </w:tcPr>
          <w:p w14:paraId="07D293E6"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100 </w:t>
            </w:r>
          </w:p>
        </w:tc>
        <w:tc>
          <w:tcPr>
            <w:tcW w:w="3331" w:type="dxa"/>
            <w:noWrap/>
            <w:tcMar>
              <w:left w:w="57" w:type="dxa"/>
              <w:right w:w="57" w:type="dxa"/>
            </w:tcMar>
            <w:vAlign w:val="center"/>
            <w:hideMark/>
          </w:tcPr>
          <w:p w14:paraId="348095B4"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small aggregates</w:t>
            </w:r>
          </w:p>
        </w:tc>
      </w:tr>
      <w:tr w:rsidR="002F4C00" w:rsidRPr="002F4C00" w14:paraId="08A3D4D5" w14:textId="77777777" w:rsidTr="00F20CB9">
        <w:trPr>
          <w:trHeight w:val="284"/>
          <w:jc w:val="center"/>
        </w:trPr>
        <w:tc>
          <w:tcPr>
            <w:tcW w:w="3544" w:type="dxa"/>
            <w:noWrap/>
            <w:tcMar>
              <w:left w:w="57" w:type="dxa"/>
              <w:right w:w="57" w:type="dxa"/>
            </w:tcMar>
            <w:vAlign w:val="center"/>
            <w:hideMark/>
          </w:tcPr>
          <w:p w14:paraId="320961C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Largr aggregate capacity (Cla)</w:t>
            </w:r>
          </w:p>
        </w:tc>
        <w:tc>
          <w:tcPr>
            <w:tcW w:w="768" w:type="dxa"/>
            <w:noWrap/>
            <w:tcMar>
              <w:left w:w="57" w:type="dxa"/>
              <w:right w:w="57" w:type="dxa"/>
            </w:tcMar>
            <w:vAlign w:val="center"/>
            <w:hideMark/>
          </w:tcPr>
          <w:p w14:paraId="2CF9AFB2"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100 </w:t>
            </w:r>
          </w:p>
        </w:tc>
        <w:tc>
          <w:tcPr>
            <w:tcW w:w="3331" w:type="dxa"/>
            <w:noWrap/>
            <w:tcMar>
              <w:left w:w="57" w:type="dxa"/>
              <w:right w:w="57" w:type="dxa"/>
            </w:tcMar>
            <w:vAlign w:val="center"/>
            <w:hideMark/>
          </w:tcPr>
          <w:p w14:paraId="01D5F850"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medium aggregates</w:t>
            </w:r>
          </w:p>
        </w:tc>
      </w:tr>
      <w:tr w:rsidR="002F4C00" w:rsidRPr="002F4C00" w14:paraId="49AD1118" w14:textId="77777777" w:rsidTr="00F20CB9">
        <w:trPr>
          <w:trHeight w:val="284"/>
          <w:jc w:val="center"/>
        </w:trPr>
        <w:tc>
          <w:tcPr>
            <w:tcW w:w="3544" w:type="dxa"/>
            <w:noWrap/>
            <w:tcMar>
              <w:left w:w="57" w:type="dxa"/>
              <w:right w:w="57" w:type="dxa"/>
            </w:tcMar>
            <w:vAlign w:val="center"/>
            <w:hideMark/>
          </w:tcPr>
          <w:p w14:paraId="1028929A"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Number of PV panels in FOPV (Nfopv)</w:t>
            </w:r>
          </w:p>
        </w:tc>
        <w:tc>
          <w:tcPr>
            <w:tcW w:w="768" w:type="dxa"/>
            <w:noWrap/>
            <w:tcMar>
              <w:left w:w="57" w:type="dxa"/>
              <w:right w:w="57" w:type="dxa"/>
            </w:tcMar>
            <w:vAlign w:val="center"/>
            <w:hideMark/>
          </w:tcPr>
          <w:p w14:paraId="7F8CD04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1,000,000 </w:t>
            </w:r>
          </w:p>
        </w:tc>
        <w:tc>
          <w:tcPr>
            <w:tcW w:w="3331" w:type="dxa"/>
            <w:noWrap/>
            <w:tcMar>
              <w:left w:w="57" w:type="dxa"/>
              <w:right w:w="57" w:type="dxa"/>
            </w:tcMar>
            <w:vAlign w:val="center"/>
            <w:hideMark/>
          </w:tcPr>
          <w:p w14:paraId="581F73DF"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PV panels, =Nfp</w:t>
            </w:r>
            <w:r w:rsidRPr="002F4C00">
              <w:rPr>
                <w:rFonts w:ascii="ＭＳ Ｐ明朝" w:eastAsia="ＭＳ Ｐ明朝" w:hAnsi="ＭＳ Ｐ明朝" w:cs="Times New Roman" w:hint="eastAsia"/>
                <w:kern w:val="0"/>
                <w:sz w:val="16"/>
                <w:szCs w:val="16"/>
              </w:rPr>
              <w:t>･</w:t>
            </w:r>
            <w:r w:rsidRPr="002F4C00">
              <w:rPr>
                <w:rFonts w:ascii="Times New Roman" w:eastAsia="游ゴシック" w:hAnsi="Times New Roman" w:cs="Times New Roman"/>
                <w:kern w:val="0"/>
                <w:sz w:val="16"/>
                <w:szCs w:val="16"/>
              </w:rPr>
              <w:t>Csa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Cma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Cla</w:t>
            </w:r>
          </w:p>
        </w:tc>
      </w:tr>
      <w:tr w:rsidR="002F4C00" w:rsidRPr="002F4C00" w14:paraId="0E9A9582" w14:textId="77777777" w:rsidTr="00F20CB9">
        <w:trPr>
          <w:trHeight w:val="284"/>
          <w:jc w:val="center"/>
        </w:trPr>
        <w:tc>
          <w:tcPr>
            <w:tcW w:w="3544" w:type="dxa"/>
            <w:noWrap/>
            <w:tcMar>
              <w:left w:w="57" w:type="dxa"/>
              <w:right w:w="57" w:type="dxa"/>
            </w:tcMar>
            <w:vAlign w:val="center"/>
            <w:hideMark/>
          </w:tcPr>
          <w:p w14:paraId="0F75B2D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Spacing between PV panels (Ppv)</w:t>
            </w:r>
          </w:p>
        </w:tc>
        <w:tc>
          <w:tcPr>
            <w:tcW w:w="768" w:type="dxa"/>
            <w:noWrap/>
            <w:tcMar>
              <w:left w:w="57" w:type="dxa"/>
              <w:right w:w="57" w:type="dxa"/>
            </w:tcMar>
            <w:vAlign w:val="center"/>
            <w:hideMark/>
          </w:tcPr>
          <w:p w14:paraId="3159C163"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60 </w:t>
            </w:r>
          </w:p>
        </w:tc>
        <w:tc>
          <w:tcPr>
            <w:tcW w:w="3331" w:type="dxa"/>
            <w:noWrap/>
            <w:tcMar>
              <w:left w:w="57" w:type="dxa"/>
              <w:right w:w="57" w:type="dxa"/>
            </w:tcMar>
            <w:vAlign w:val="center"/>
            <w:hideMark/>
          </w:tcPr>
          <w:p w14:paraId="5B5CB50D"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cm</w:t>
            </w:r>
          </w:p>
        </w:tc>
      </w:tr>
      <w:tr w:rsidR="002F4C00" w:rsidRPr="002F4C00" w14:paraId="740FFE85" w14:textId="77777777" w:rsidTr="00F20CB9">
        <w:trPr>
          <w:trHeight w:val="284"/>
          <w:jc w:val="center"/>
        </w:trPr>
        <w:tc>
          <w:tcPr>
            <w:tcW w:w="3544" w:type="dxa"/>
            <w:noWrap/>
            <w:tcMar>
              <w:left w:w="57" w:type="dxa"/>
              <w:right w:w="57" w:type="dxa"/>
            </w:tcMar>
            <w:vAlign w:val="center"/>
            <w:hideMark/>
          </w:tcPr>
          <w:p w14:paraId="5B665146"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FOPV area (Sfopv)</w:t>
            </w:r>
          </w:p>
        </w:tc>
        <w:tc>
          <w:tcPr>
            <w:tcW w:w="768" w:type="dxa"/>
            <w:noWrap/>
            <w:tcMar>
              <w:left w:w="57" w:type="dxa"/>
              <w:right w:w="57" w:type="dxa"/>
            </w:tcMar>
            <w:vAlign w:val="center"/>
            <w:hideMark/>
          </w:tcPr>
          <w:p w14:paraId="7F48DB58"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28.3 </w:t>
            </w:r>
          </w:p>
        </w:tc>
        <w:tc>
          <w:tcPr>
            <w:tcW w:w="3331" w:type="dxa"/>
            <w:noWrap/>
            <w:tcMar>
              <w:left w:w="57" w:type="dxa"/>
              <w:right w:w="57" w:type="dxa"/>
            </w:tcMar>
            <w:vAlign w:val="center"/>
            <w:hideMark/>
          </w:tcPr>
          <w:p w14:paraId="2913B4E8" w14:textId="653728AE"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km</w:t>
            </w:r>
            <w:r w:rsidRPr="002F4C00">
              <w:rPr>
                <w:rFonts w:ascii="Times New Roman" w:eastAsia="游ゴシック" w:hAnsi="Times New Roman" w:cs="Times New Roman"/>
                <w:kern w:val="0"/>
                <w:sz w:val="16"/>
                <w:szCs w:val="16"/>
                <w:vertAlign w:val="superscript"/>
              </w:rPr>
              <w:t>2</w:t>
            </w:r>
            <w:r w:rsidRPr="002F4C00">
              <w:rPr>
                <w:rFonts w:ascii="Times New Roman" w:eastAsia="游ゴシック" w:hAnsi="Times New Roman" w:cs="Times New Roman"/>
                <w:kern w:val="0"/>
                <w:sz w:val="16"/>
                <w:szCs w:val="16"/>
              </w:rPr>
              <w:t xml:space="preserve">, </w:t>
            </w:r>
            <w:r w:rsidR="00494EEC" w:rsidRPr="002F4C00">
              <w:rPr>
                <w:rFonts w:ascii="Times New Roman" w:eastAsia="游ゴシック" w:hAnsi="Times New Roman" w:cs="Times New Roman"/>
                <w:kern w:val="0"/>
                <w:sz w:val="16"/>
                <w:szCs w:val="16"/>
              </w:rPr>
              <w:t>=3(</w:t>
            </w:r>
            <w:r w:rsidR="00494EEC" w:rsidRPr="002F4C00">
              <w:rPr>
                <w:rFonts w:ascii="Times New Roman" w:eastAsia="游ゴシック" w:hAnsi="Times New Roman" w:cs="Times New Roman" w:hint="eastAsia"/>
                <w:kern w:val="0"/>
                <w:sz w:val="16"/>
                <w:szCs w:val="16"/>
              </w:rPr>
              <w:t>√</w:t>
            </w:r>
            <w:r w:rsidR="00494EEC" w:rsidRPr="002F4C00">
              <w:rPr>
                <w:rFonts w:ascii="Times New Roman" w:eastAsia="游ゴシック" w:hAnsi="Times New Roman" w:cs="Times New Roman"/>
                <w:kern w:val="0"/>
                <w:sz w:val="16"/>
                <w:szCs w:val="16"/>
              </w:rPr>
              <w:t>3/2(Hpv+Ppv/2)</w:t>
            </w:r>
            <w:r w:rsidR="00494EEC" w:rsidRPr="002F4C00">
              <w:rPr>
                <w:rFonts w:ascii="Times New Roman" w:eastAsia="游ゴシック" w:hAnsi="Times New Roman" w:cs="Times New Roman"/>
                <w:kern w:val="0"/>
                <w:sz w:val="16"/>
                <w:szCs w:val="16"/>
                <w:vertAlign w:val="superscript"/>
              </w:rPr>
              <w:t>2</w:t>
            </w:r>
            <w:r w:rsidR="00494EEC" w:rsidRPr="002F4C00">
              <w:rPr>
                <w:rFonts w:ascii="Times New Roman" w:eastAsia="游ゴシック" w:hAnsi="Times New Roman" w:cs="Times New Roman"/>
                <w:kern w:val="0"/>
                <w:sz w:val="16"/>
                <w:szCs w:val="16"/>
              </w:rPr>
              <w:t>)</w:t>
            </w:r>
            <w:r w:rsidR="00494EEC" w:rsidRPr="002F4C00">
              <w:rPr>
                <w:rFonts w:ascii="Times New Roman" w:eastAsia="游ゴシック" w:hAnsi="Times New Roman" w:cs="Times New Roman" w:hint="eastAsia"/>
                <w:kern w:val="0"/>
                <w:sz w:val="16"/>
                <w:szCs w:val="16"/>
              </w:rPr>
              <w:t>･</w:t>
            </w:r>
            <w:r w:rsidR="00494EEC" w:rsidRPr="002F4C00">
              <w:rPr>
                <w:rFonts w:ascii="Times New Roman" w:eastAsia="游ゴシック" w:hAnsi="Times New Roman" w:cs="Times New Roman"/>
                <w:kern w:val="0"/>
                <w:sz w:val="16"/>
                <w:szCs w:val="16"/>
              </w:rPr>
              <w:t>Nfopv</w:t>
            </w:r>
          </w:p>
        </w:tc>
      </w:tr>
      <w:tr w:rsidR="002F4C00" w:rsidRPr="002F4C00" w14:paraId="2C04F514" w14:textId="77777777" w:rsidTr="00F20CB9">
        <w:trPr>
          <w:trHeight w:val="284"/>
          <w:jc w:val="center"/>
        </w:trPr>
        <w:tc>
          <w:tcPr>
            <w:tcW w:w="3544" w:type="dxa"/>
            <w:noWrap/>
            <w:tcMar>
              <w:left w:w="57" w:type="dxa"/>
              <w:right w:w="57" w:type="dxa"/>
            </w:tcMar>
            <w:vAlign w:val="center"/>
            <w:hideMark/>
          </w:tcPr>
          <w:p w14:paraId="24A43725"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cell effective area of PV panel (Sepv)</w:t>
            </w:r>
          </w:p>
        </w:tc>
        <w:tc>
          <w:tcPr>
            <w:tcW w:w="768" w:type="dxa"/>
            <w:noWrap/>
            <w:tcMar>
              <w:left w:w="57" w:type="dxa"/>
              <w:right w:w="57" w:type="dxa"/>
            </w:tcMar>
            <w:vAlign w:val="center"/>
            <w:hideMark/>
          </w:tcPr>
          <w:p w14:paraId="4AE43F9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20.0 </w:t>
            </w:r>
          </w:p>
        </w:tc>
        <w:tc>
          <w:tcPr>
            <w:tcW w:w="3331" w:type="dxa"/>
            <w:noWrap/>
            <w:tcMar>
              <w:left w:w="57" w:type="dxa"/>
              <w:right w:w="57" w:type="dxa"/>
            </w:tcMar>
            <w:vAlign w:val="center"/>
            <w:hideMark/>
          </w:tcPr>
          <w:p w14:paraId="31693437"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m</w:t>
            </w:r>
            <w:r w:rsidRPr="002F4C00">
              <w:rPr>
                <w:rFonts w:ascii="Times New Roman" w:eastAsia="游ゴシック" w:hAnsi="Times New Roman" w:cs="Times New Roman"/>
                <w:kern w:val="0"/>
                <w:sz w:val="16"/>
                <w:szCs w:val="16"/>
                <w:vertAlign w:val="superscript"/>
              </w:rPr>
              <w:t>2</w:t>
            </w:r>
          </w:p>
        </w:tc>
      </w:tr>
      <w:tr w:rsidR="002F4C00" w:rsidRPr="002F4C00" w14:paraId="506BABEF" w14:textId="77777777" w:rsidTr="00F20CB9">
        <w:trPr>
          <w:trHeight w:val="284"/>
          <w:jc w:val="center"/>
        </w:trPr>
        <w:tc>
          <w:tcPr>
            <w:tcW w:w="3544" w:type="dxa"/>
            <w:noWrap/>
            <w:tcMar>
              <w:left w:w="57" w:type="dxa"/>
              <w:right w:w="57" w:type="dxa"/>
            </w:tcMar>
            <w:vAlign w:val="center"/>
            <w:hideMark/>
          </w:tcPr>
          <w:p w14:paraId="553AC49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Maximum all-sky solar radiation (Rmax)</w:t>
            </w:r>
          </w:p>
        </w:tc>
        <w:tc>
          <w:tcPr>
            <w:tcW w:w="768" w:type="dxa"/>
            <w:noWrap/>
            <w:tcMar>
              <w:left w:w="57" w:type="dxa"/>
              <w:right w:w="57" w:type="dxa"/>
            </w:tcMar>
            <w:vAlign w:val="center"/>
            <w:hideMark/>
          </w:tcPr>
          <w:p w14:paraId="4A95149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1,000 </w:t>
            </w:r>
          </w:p>
        </w:tc>
        <w:tc>
          <w:tcPr>
            <w:tcW w:w="3331" w:type="dxa"/>
            <w:noWrap/>
            <w:tcMar>
              <w:left w:w="57" w:type="dxa"/>
              <w:right w:w="57" w:type="dxa"/>
            </w:tcMar>
            <w:vAlign w:val="center"/>
            <w:hideMark/>
          </w:tcPr>
          <w:p w14:paraId="54440474"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W/m</w:t>
            </w:r>
            <w:r w:rsidRPr="002F4C00">
              <w:rPr>
                <w:rFonts w:ascii="Times New Roman" w:eastAsia="游ゴシック" w:hAnsi="Times New Roman" w:cs="Times New Roman"/>
                <w:kern w:val="0"/>
                <w:sz w:val="16"/>
                <w:szCs w:val="16"/>
                <w:vertAlign w:val="superscript"/>
              </w:rPr>
              <w:t>2</w:t>
            </w:r>
          </w:p>
        </w:tc>
      </w:tr>
      <w:tr w:rsidR="002F4C00" w:rsidRPr="002F4C00" w14:paraId="3AFF89D7" w14:textId="77777777" w:rsidTr="00F20CB9">
        <w:trPr>
          <w:trHeight w:val="284"/>
          <w:jc w:val="center"/>
        </w:trPr>
        <w:tc>
          <w:tcPr>
            <w:tcW w:w="3544" w:type="dxa"/>
            <w:noWrap/>
            <w:tcMar>
              <w:left w:w="57" w:type="dxa"/>
              <w:right w:w="57" w:type="dxa"/>
            </w:tcMar>
            <w:vAlign w:val="center"/>
            <w:hideMark/>
          </w:tcPr>
          <w:p w14:paraId="4DAFC8D7"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Annual average all-sky solar radiation (Ravg)</w:t>
            </w:r>
          </w:p>
        </w:tc>
        <w:tc>
          <w:tcPr>
            <w:tcW w:w="768" w:type="dxa"/>
            <w:noWrap/>
            <w:tcMar>
              <w:left w:w="57" w:type="dxa"/>
              <w:right w:w="57" w:type="dxa"/>
            </w:tcMar>
            <w:vAlign w:val="center"/>
            <w:hideMark/>
          </w:tcPr>
          <w:p w14:paraId="6BB8B1DA"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240</w:t>
            </w:r>
          </w:p>
        </w:tc>
        <w:tc>
          <w:tcPr>
            <w:tcW w:w="3331" w:type="dxa"/>
            <w:noWrap/>
            <w:tcMar>
              <w:left w:w="57" w:type="dxa"/>
              <w:right w:w="57" w:type="dxa"/>
            </w:tcMar>
            <w:vAlign w:val="center"/>
            <w:hideMark/>
          </w:tcPr>
          <w:p w14:paraId="278BD88E"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W/m</w:t>
            </w:r>
            <w:r w:rsidRPr="002F4C00">
              <w:rPr>
                <w:rFonts w:ascii="Times New Roman" w:eastAsia="游ゴシック" w:hAnsi="Times New Roman" w:cs="Times New Roman"/>
                <w:kern w:val="0"/>
                <w:sz w:val="16"/>
                <w:szCs w:val="16"/>
                <w:vertAlign w:val="superscript"/>
              </w:rPr>
              <w:t>2</w:t>
            </w:r>
          </w:p>
        </w:tc>
      </w:tr>
      <w:tr w:rsidR="002F4C00" w:rsidRPr="002F4C00" w14:paraId="5B2F4ECE" w14:textId="77777777" w:rsidTr="00F20CB9">
        <w:trPr>
          <w:trHeight w:val="284"/>
          <w:jc w:val="center"/>
        </w:trPr>
        <w:tc>
          <w:tcPr>
            <w:tcW w:w="3544" w:type="dxa"/>
            <w:noWrap/>
            <w:tcMar>
              <w:left w:w="57" w:type="dxa"/>
              <w:right w:w="57" w:type="dxa"/>
            </w:tcMar>
            <w:vAlign w:val="center"/>
            <w:hideMark/>
          </w:tcPr>
          <w:p w14:paraId="7857D72B"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module conversion efficiency (Epv)</w:t>
            </w:r>
          </w:p>
        </w:tc>
        <w:tc>
          <w:tcPr>
            <w:tcW w:w="768" w:type="dxa"/>
            <w:noWrap/>
            <w:tcMar>
              <w:left w:w="57" w:type="dxa"/>
              <w:right w:w="57" w:type="dxa"/>
            </w:tcMar>
            <w:vAlign w:val="center"/>
            <w:hideMark/>
          </w:tcPr>
          <w:p w14:paraId="5CE67332"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24.0%</w:t>
            </w:r>
          </w:p>
        </w:tc>
        <w:tc>
          <w:tcPr>
            <w:tcW w:w="3331" w:type="dxa"/>
            <w:noWrap/>
            <w:tcMar>
              <w:left w:w="57" w:type="dxa"/>
              <w:right w:w="57" w:type="dxa"/>
            </w:tcMar>
            <w:vAlign w:val="center"/>
            <w:hideMark/>
          </w:tcPr>
          <w:p w14:paraId="0FDE38A2"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w:t>
            </w:r>
          </w:p>
        </w:tc>
      </w:tr>
      <w:tr w:rsidR="002F4C00" w:rsidRPr="002F4C00" w14:paraId="390EC6EF" w14:textId="77777777" w:rsidTr="00F20CB9">
        <w:trPr>
          <w:trHeight w:val="284"/>
          <w:jc w:val="center"/>
        </w:trPr>
        <w:tc>
          <w:tcPr>
            <w:tcW w:w="3544" w:type="dxa"/>
            <w:noWrap/>
            <w:tcMar>
              <w:left w:w="57" w:type="dxa"/>
              <w:right w:w="57" w:type="dxa"/>
            </w:tcMar>
            <w:vAlign w:val="center"/>
            <w:hideMark/>
          </w:tcPr>
          <w:p w14:paraId="40EF1844"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panel nominal maximum output (Wpv)</w:t>
            </w:r>
          </w:p>
        </w:tc>
        <w:tc>
          <w:tcPr>
            <w:tcW w:w="768" w:type="dxa"/>
            <w:noWrap/>
            <w:tcMar>
              <w:left w:w="57" w:type="dxa"/>
              <w:right w:w="57" w:type="dxa"/>
            </w:tcMar>
            <w:vAlign w:val="center"/>
            <w:hideMark/>
          </w:tcPr>
          <w:p w14:paraId="2F82C3F8"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4.80 </w:t>
            </w:r>
          </w:p>
        </w:tc>
        <w:tc>
          <w:tcPr>
            <w:tcW w:w="3331" w:type="dxa"/>
            <w:noWrap/>
            <w:tcMar>
              <w:left w:w="57" w:type="dxa"/>
              <w:right w:w="57" w:type="dxa"/>
            </w:tcMar>
            <w:vAlign w:val="center"/>
            <w:hideMark/>
          </w:tcPr>
          <w:p w14:paraId="46A4BDB6"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kW, =Sepv</w:t>
            </w:r>
            <w:r w:rsidRPr="002F4C00">
              <w:rPr>
                <w:rFonts w:ascii="Times New Roman" w:eastAsia="游ゴシック" w:hAnsi="Times New Roman" w:cs="Times New Roman"/>
                <w:kern w:val="0"/>
                <w:sz w:val="16"/>
                <w:szCs w:val="16"/>
              </w:rPr>
              <w:t>･</w:t>
            </w:r>
            <w:r w:rsidRPr="002F4C00">
              <w:rPr>
                <w:rFonts w:ascii="Times New Roman" w:eastAsia="游ゴシック" w:hAnsi="Times New Roman" w:cs="Times New Roman"/>
                <w:kern w:val="0"/>
                <w:sz w:val="16"/>
                <w:szCs w:val="16"/>
              </w:rPr>
              <w:t>Rmax</w:t>
            </w:r>
            <w:r w:rsidRPr="002F4C00">
              <w:rPr>
                <w:rFonts w:ascii="Times New Roman" w:eastAsia="游ゴシック" w:hAnsi="Times New Roman" w:cs="Times New Roman"/>
                <w:kern w:val="0"/>
                <w:sz w:val="16"/>
                <w:szCs w:val="16"/>
              </w:rPr>
              <w:t>･</w:t>
            </w:r>
            <w:r w:rsidRPr="002F4C00">
              <w:rPr>
                <w:rFonts w:ascii="Times New Roman" w:eastAsia="游ゴシック" w:hAnsi="Times New Roman" w:cs="Times New Roman"/>
                <w:kern w:val="0"/>
                <w:sz w:val="16"/>
                <w:szCs w:val="16"/>
              </w:rPr>
              <w:t>Epv</w:t>
            </w:r>
          </w:p>
        </w:tc>
      </w:tr>
      <w:tr w:rsidR="002F4C00" w:rsidRPr="002F4C00" w14:paraId="066A3AC2" w14:textId="77777777" w:rsidTr="00F20CB9">
        <w:trPr>
          <w:trHeight w:val="284"/>
          <w:jc w:val="center"/>
        </w:trPr>
        <w:tc>
          <w:tcPr>
            <w:tcW w:w="3544" w:type="dxa"/>
            <w:noWrap/>
            <w:tcMar>
              <w:left w:w="57" w:type="dxa"/>
              <w:right w:w="57" w:type="dxa"/>
            </w:tcMar>
            <w:vAlign w:val="center"/>
            <w:hideMark/>
          </w:tcPr>
          <w:p w14:paraId="06F2942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panel DC output voltage (Vpv)</w:t>
            </w:r>
          </w:p>
        </w:tc>
        <w:tc>
          <w:tcPr>
            <w:tcW w:w="768" w:type="dxa"/>
            <w:noWrap/>
            <w:tcMar>
              <w:left w:w="57" w:type="dxa"/>
              <w:right w:w="57" w:type="dxa"/>
            </w:tcMar>
            <w:vAlign w:val="center"/>
            <w:hideMark/>
          </w:tcPr>
          <w:p w14:paraId="232B0B3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50.0 </w:t>
            </w:r>
          </w:p>
        </w:tc>
        <w:tc>
          <w:tcPr>
            <w:tcW w:w="3331" w:type="dxa"/>
            <w:noWrap/>
            <w:tcMar>
              <w:left w:w="57" w:type="dxa"/>
              <w:right w:w="57" w:type="dxa"/>
            </w:tcMar>
            <w:vAlign w:val="center"/>
            <w:hideMark/>
          </w:tcPr>
          <w:p w14:paraId="45591AE9"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V</w:t>
            </w:r>
          </w:p>
        </w:tc>
      </w:tr>
      <w:tr w:rsidR="002F4C00" w:rsidRPr="002F4C00" w14:paraId="4046A1F7" w14:textId="77777777" w:rsidTr="00F20CB9">
        <w:trPr>
          <w:trHeight w:val="284"/>
          <w:jc w:val="center"/>
        </w:trPr>
        <w:tc>
          <w:tcPr>
            <w:tcW w:w="3544" w:type="dxa"/>
            <w:noWrap/>
            <w:tcMar>
              <w:left w:w="57" w:type="dxa"/>
              <w:right w:w="57" w:type="dxa"/>
            </w:tcMar>
            <w:vAlign w:val="center"/>
            <w:hideMark/>
          </w:tcPr>
          <w:p w14:paraId="345CDD5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PV panel maximum output current (Apv)</w:t>
            </w:r>
          </w:p>
        </w:tc>
        <w:tc>
          <w:tcPr>
            <w:tcW w:w="768" w:type="dxa"/>
            <w:noWrap/>
            <w:tcMar>
              <w:left w:w="57" w:type="dxa"/>
              <w:right w:w="57" w:type="dxa"/>
            </w:tcMar>
            <w:vAlign w:val="center"/>
            <w:hideMark/>
          </w:tcPr>
          <w:p w14:paraId="69A47400"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96.0 </w:t>
            </w:r>
          </w:p>
        </w:tc>
        <w:tc>
          <w:tcPr>
            <w:tcW w:w="3331" w:type="dxa"/>
            <w:noWrap/>
            <w:tcMar>
              <w:left w:w="57" w:type="dxa"/>
              <w:right w:w="57" w:type="dxa"/>
            </w:tcMar>
            <w:vAlign w:val="center"/>
            <w:hideMark/>
          </w:tcPr>
          <w:p w14:paraId="65030794"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A, =Wpv/Vpv</w:t>
            </w:r>
          </w:p>
        </w:tc>
      </w:tr>
      <w:tr w:rsidR="002F4C00" w:rsidRPr="002F4C00" w14:paraId="76A092A0" w14:textId="77777777" w:rsidTr="00F20CB9">
        <w:trPr>
          <w:trHeight w:val="284"/>
          <w:jc w:val="center"/>
        </w:trPr>
        <w:tc>
          <w:tcPr>
            <w:tcW w:w="3544" w:type="dxa"/>
            <w:noWrap/>
            <w:tcMar>
              <w:left w:w="57" w:type="dxa"/>
              <w:right w:w="57" w:type="dxa"/>
            </w:tcMar>
            <w:vAlign w:val="center"/>
            <w:hideMark/>
          </w:tcPr>
          <w:p w14:paraId="70C05B77"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Fine aggregate maximim output power (Wfa)</w:t>
            </w:r>
          </w:p>
        </w:tc>
        <w:tc>
          <w:tcPr>
            <w:tcW w:w="768" w:type="dxa"/>
            <w:noWrap/>
            <w:tcMar>
              <w:left w:w="57" w:type="dxa"/>
              <w:right w:w="57" w:type="dxa"/>
            </w:tcMar>
            <w:vAlign w:val="center"/>
            <w:hideMark/>
          </w:tcPr>
          <w:p w14:paraId="1E81E32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48.0 </w:t>
            </w:r>
          </w:p>
        </w:tc>
        <w:tc>
          <w:tcPr>
            <w:tcW w:w="3331" w:type="dxa"/>
            <w:noWrap/>
            <w:tcMar>
              <w:left w:w="57" w:type="dxa"/>
              <w:right w:w="57" w:type="dxa"/>
            </w:tcMar>
            <w:vAlign w:val="center"/>
            <w:hideMark/>
          </w:tcPr>
          <w:p w14:paraId="77F46A57"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kW. =Wpv</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Nfp</w:t>
            </w:r>
          </w:p>
        </w:tc>
      </w:tr>
      <w:tr w:rsidR="002F4C00" w:rsidRPr="002F4C00" w14:paraId="2B125492" w14:textId="77777777" w:rsidTr="00F20CB9">
        <w:trPr>
          <w:trHeight w:val="284"/>
          <w:jc w:val="center"/>
        </w:trPr>
        <w:tc>
          <w:tcPr>
            <w:tcW w:w="3544" w:type="dxa"/>
            <w:noWrap/>
            <w:tcMar>
              <w:left w:w="57" w:type="dxa"/>
              <w:right w:w="57" w:type="dxa"/>
            </w:tcMar>
            <w:vAlign w:val="center"/>
            <w:hideMark/>
          </w:tcPr>
          <w:p w14:paraId="0925EA42"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Fine aggregate maximum output voltage (Vfa)</w:t>
            </w:r>
          </w:p>
        </w:tc>
        <w:tc>
          <w:tcPr>
            <w:tcW w:w="768" w:type="dxa"/>
            <w:noWrap/>
            <w:tcMar>
              <w:left w:w="57" w:type="dxa"/>
              <w:right w:w="57" w:type="dxa"/>
            </w:tcMar>
            <w:vAlign w:val="center"/>
            <w:hideMark/>
          </w:tcPr>
          <w:p w14:paraId="0E988945"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±250 </w:t>
            </w:r>
          </w:p>
        </w:tc>
        <w:tc>
          <w:tcPr>
            <w:tcW w:w="3331" w:type="dxa"/>
            <w:noWrap/>
            <w:tcMar>
              <w:left w:w="57" w:type="dxa"/>
              <w:right w:w="57" w:type="dxa"/>
            </w:tcMar>
            <w:vAlign w:val="center"/>
            <w:hideMark/>
          </w:tcPr>
          <w:p w14:paraId="0CD6E4C0"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V, for PID measures</w:t>
            </w:r>
          </w:p>
        </w:tc>
      </w:tr>
      <w:tr w:rsidR="002F4C00" w:rsidRPr="002F4C00" w14:paraId="652D0314" w14:textId="77777777" w:rsidTr="00F20CB9">
        <w:trPr>
          <w:trHeight w:val="284"/>
          <w:jc w:val="center"/>
        </w:trPr>
        <w:tc>
          <w:tcPr>
            <w:tcW w:w="3544" w:type="dxa"/>
            <w:noWrap/>
            <w:tcMar>
              <w:left w:w="57" w:type="dxa"/>
              <w:right w:w="57" w:type="dxa"/>
            </w:tcMar>
            <w:vAlign w:val="center"/>
            <w:hideMark/>
          </w:tcPr>
          <w:p w14:paraId="79432F1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Fine aggregate maximum output current (Afa)</w:t>
            </w:r>
          </w:p>
        </w:tc>
        <w:tc>
          <w:tcPr>
            <w:tcW w:w="768" w:type="dxa"/>
            <w:noWrap/>
            <w:tcMar>
              <w:left w:w="57" w:type="dxa"/>
              <w:right w:w="57" w:type="dxa"/>
            </w:tcMar>
            <w:vAlign w:val="center"/>
            <w:hideMark/>
          </w:tcPr>
          <w:p w14:paraId="21718AB3"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96.0 </w:t>
            </w:r>
          </w:p>
        </w:tc>
        <w:tc>
          <w:tcPr>
            <w:tcW w:w="3331" w:type="dxa"/>
            <w:noWrap/>
            <w:tcMar>
              <w:left w:w="57" w:type="dxa"/>
              <w:right w:w="57" w:type="dxa"/>
            </w:tcMar>
            <w:vAlign w:val="center"/>
            <w:hideMark/>
          </w:tcPr>
          <w:p w14:paraId="1BE2C1AE"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A, =Wfa/Vfa=Apv</w:t>
            </w:r>
          </w:p>
        </w:tc>
      </w:tr>
      <w:tr w:rsidR="002F4C00" w:rsidRPr="002F4C00" w14:paraId="70D680FE" w14:textId="77777777" w:rsidTr="00F20CB9">
        <w:trPr>
          <w:trHeight w:val="284"/>
          <w:jc w:val="center"/>
        </w:trPr>
        <w:tc>
          <w:tcPr>
            <w:tcW w:w="3544" w:type="dxa"/>
            <w:tcMar>
              <w:left w:w="57" w:type="dxa"/>
              <w:right w:w="57" w:type="dxa"/>
            </w:tcMar>
            <w:vAlign w:val="center"/>
            <w:hideMark/>
          </w:tcPr>
          <w:p w14:paraId="0ADC126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Small aggregate maximum output power (Wsa)</w:t>
            </w:r>
          </w:p>
        </w:tc>
        <w:tc>
          <w:tcPr>
            <w:tcW w:w="768" w:type="dxa"/>
            <w:noWrap/>
            <w:tcMar>
              <w:left w:w="57" w:type="dxa"/>
              <w:right w:w="57" w:type="dxa"/>
            </w:tcMar>
            <w:vAlign w:val="center"/>
            <w:hideMark/>
          </w:tcPr>
          <w:p w14:paraId="37BB9240"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480 </w:t>
            </w:r>
          </w:p>
        </w:tc>
        <w:tc>
          <w:tcPr>
            <w:tcW w:w="3331" w:type="dxa"/>
            <w:noWrap/>
            <w:tcMar>
              <w:left w:w="57" w:type="dxa"/>
              <w:right w:w="57" w:type="dxa"/>
            </w:tcMar>
            <w:vAlign w:val="center"/>
            <w:hideMark/>
          </w:tcPr>
          <w:p w14:paraId="31E672FF"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kW, =Wfa</w:t>
            </w:r>
            <w:r w:rsidRPr="002F4C00">
              <w:rPr>
                <w:rFonts w:ascii="游ゴシック" w:eastAsia="游ゴシック" w:hAnsi="游ゴシック" w:cs="Times New Roman" w:hint="eastAsia"/>
                <w:kern w:val="0"/>
                <w:sz w:val="16"/>
                <w:szCs w:val="16"/>
              </w:rPr>
              <w:t>･Csa</w:t>
            </w:r>
          </w:p>
        </w:tc>
      </w:tr>
      <w:tr w:rsidR="002F4C00" w:rsidRPr="002F4C00" w14:paraId="35E7DD2A" w14:textId="77777777" w:rsidTr="00F20CB9">
        <w:trPr>
          <w:trHeight w:val="284"/>
          <w:jc w:val="center"/>
        </w:trPr>
        <w:tc>
          <w:tcPr>
            <w:tcW w:w="3544" w:type="dxa"/>
            <w:noWrap/>
            <w:tcMar>
              <w:left w:w="57" w:type="dxa"/>
              <w:right w:w="57" w:type="dxa"/>
            </w:tcMar>
            <w:vAlign w:val="center"/>
            <w:hideMark/>
          </w:tcPr>
          <w:p w14:paraId="701F80B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Small aggregate maximum output voltage (Vsa)</w:t>
            </w:r>
          </w:p>
        </w:tc>
        <w:tc>
          <w:tcPr>
            <w:tcW w:w="768" w:type="dxa"/>
            <w:noWrap/>
            <w:tcMar>
              <w:left w:w="57" w:type="dxa"/>
              <w:right w:w="57" w:type="dxa"/>
            </w:tcMar>
            <w:vAlign w:val="center"/>
            <w:hideMark/>
          </w:tcPr>
          <w:p w14:paraId="039AC53B"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±250 </w:t>
            </w:r>
          </w:p>
        </w:tc>
        <w:tc>
          <w:tcPr>
            <w:tcW w:w="3331" w:type="dxa"/>
            <w:noWrap/>
            <w:tcMar>
              <w:left w:w="57" w:type="dxa"/>
              <w:right w:w="57" w:type="dxa"/>
            </w:tcMar>
            <w:vAlign w:val="center"/>
            <w:hideMark/>
          </w:tcPr>
          <w:p w14:paraId="638D1191"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V, =Vfa</w:t>
            </w:r>
          </w:p>
        </w:tc>
      </w:tr>
      <w:tr w:rsidR="002F4C00" w:rsidRPr="002F4C00" w14:paraId="41BBD6A0" w14:textId="77777777" w:rsidTr="00F20CB9">
        <w:trPr>
          <w:trHeight w:val="284"/>
          <w:jc w:val="center"/>
        </w:trPr>
        <w:tc>
          <w:tcPr>
            <w:tcW w:w="3544" w:type="dxa"/>
            <w:noWrap/>
            <w:tcMar>
              <w:left w:w="57" w:type="dxa"/>
              <w:right w:w="57" w:type="dxa"/>
            </w:tcMar>
            <w:vAlign w:val="center"/>
            <w:hideMark/>
          </w:tcPr>
          <w:p w14:paraId="1B1C66E8"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Small aggregate maximum output current (Sma)</w:t>
            </w:r>
          </w:p>
        </w:tc>
        <w:tc>
          <w:tcPr>
            <w:tcW w:w="768" w:type="dxa"/>
            <w:noWrap/>
            <w:tcMar>
              <w:left w:w="57" w:type="dxa"/>
              <w:right w:w="57" w:type="dxa"/>
            </w:tcMar>
            <w:vAlign w:val="center"/>
            <w:hideMark/>
          </w:tcPr>
          <w:p w14:paraId="2BA4932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960 </w:t>
            </w:r>
          </w:p>
        </w:tc>
        <w:tc>
          <w:tcPr>
            <w:tcW w:w="3331" w:type="dxa"/>
            <w:noWrap/>
            <w:tcMar>
              <w:left w:w="57" w:type="dxa"/>
              <w:right w:w="57" w:type="dxa"/>
            </w:tcMar>
            <w:vAlign w:val="center"/>
            <w:hideMark/>
          </w:tcPr>
          <w:p w14:paraId="63AEBDFF"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A, =Wsa/Vsa</w:t>
            </w:r>
          </w:p>
        </w:tc>
      </w:tr>
      <w:tr w:rsidR="002F4C00" w:rsidRPr="002F4C00" w14:paraId="40DE13D7" w14:textId="77777777" w:rsidTr="00F20CB9">
        <w:trPr>
          <w:trHeight w:val="284"/>
          <w:jc w:val="center"/>
        </w:trPr>
        <w:tc>
          <w:tcPr>
            <w:tcW w:w="3544" w:type="dxa"/>
            <w:noWrap/>
            <w:tcMar>
              <w:left w:w="57" w:type="dxa"/>
              <w:right w:w="57" w:type="dxa"/>
            </w:tcMar>
            <w:vAlign w:val="center"/>
            <w:hideMark/>
          </w:tcPr>
          <w:p w14:paraId="5E257CAF"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DC-DC convertor efficence (Efs)</w:t>
            </w:r>
          </w:p>
        </w:tc>
        <w:tc>
          <w:tcPr>
            <w:tcW w:w="768" w:type="dxa"/>
            <w:noWrap/>
            <w:tcMar>
              <w:left w:w="57" w:type="dxa"/>
              <w:right w:w="57" w:type="dxa"/>
            </w:tcMar>
            <w:vAlign w:val="center"/>
            <w:hideMark/>
          </w:tcPr>
          <w:p w14:paraId="5F2D272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96%</w:t>
            </w:r>
          </w:p>
        </w:tc>
        <w:tc>
          <w:tcPr>
            <w:tcW w:w="3331" w:type="dxa"/>
            <w:noWrap/>
            <w:tcMar>
              <w:left w:w="57" w:type="dxa"/>
              <w:right w:w="57" w:type="dxa"/>
            </w:tcMar>
            <w:vAlign w:val="center"/>
            <w:hideMark/>
          </w:tcPr>
          <w:p w14:paraId="624309DB" w14:textId="34FEE60A"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see </w:t>
            </w:r>
            <w:r w:rsidR="00494EEC" w:rsidRPr="002F4C00">
              <w:rPr>
                <w:rFonts w:ascii="Times New Roman" w:eastAsia="游ゴシック" w:hAnsi="Times New Roman" w:cs="Times New Roman"/>
                <w:b/>
                <w:bCs/>
                <w:kern w:val="0"/>
                <w:sz w:val="16"/>
                <w:szCs w:val="16"/>
              </w:rPr>
              <w:t>Supplementary Fig. S4</w:t>
            </w:r>
            <w:r w:rsidR="00494EEC" w:rsidRPr="002F4C00">
              <w:rPr>
                <w:rFonts w:ascii="Times New Roman" w:eastAsia="游ゴシック" w:hAnsi="Times New Roman" w:cs="Times New Roman"/>
                <w:kern w:val="0"/>
                <w:sz w:val="16"/>
                <w:szCs w:val="16"/>
              </w:rPr>
              <w:t>.</w:t>
            </w:r>
          </w:p>
        </w:tc>
      </w:tr>
      <w:tr w:rsidR="002F4C00" w:rsidRPr="002F4C00" w14:paraId="702C8981" w14:textId="77777777" w:rsidTr="00F20CB9">
        <w:trPr>
          <w:trHeight w:val="284"/>
          <w:jc w:val="center"/>
        </w:trPr>
        <w:tc>
          <w:tcPr>
            <w:tcW w:w="3544" w:type="dxa"/>
            <w:noWrap/>
            <w:tcMar>
              <w:left w:w="57" w:type="dxa"/>
              <w:right w:w="57" w:type="dxa"/>
            </w:tcMar>
            <w:vAlign w:val="center"/>
            <w:hideMark/>
          </w:tcPr>
          <w:p w14:paraId="22ABED8F"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Medium aggregate maximum output power (Wma)</w:t>
            </w:r>
          </w:p>
        </w:tc>
        <w:tc>
          <w:tcPr>
            <w:tcW w:w="768" w:type="dxa"/>
            <w:noWrap/>
            <w:tcMar>
              <w:left w:w="57" w:type="dxa"/>
              <w:right w:w="57" w:type="dxa"/>
            </w:tcMar>
            <w:vAlign w:val="center"/>
            <w:hideMark/>
          </w:tcPr>
          <w:p w14:paraId="38C5413F"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46.1 </w:t>
            </w:r>
          </w:p>
        </w:tc>
        <w:tc>
          <w:tcPr>
            <w:tcW w:w="3331" w:type="dxa"/>
            <w:noWrap/>
            <w:tcMar>
              <w:left w:w="57" w:type="dxa"/>
              <w:right w:w="57" w:type="dxa"/>
            </w:tcMar>
            <w:vAlign w:val="center"/>
            <w:hideMark/>
          </w:tcPr>
          <w:p w14:paraId="0264CD81"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MW, =Wsa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Cma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Efs</w:t>
            </w:r>
          </w:p>
        </w:tc>
      </w:tr>
      <w:tr w:rsidR="002F4C00" w:rsidRPr="002F4C00" w14:paraId="2C037754" w14:textId="77777777" w:rsidTr="00F20CB9">
        <w:trPr>
          <w:trHeight w:val="284"/>
          <w:jc w:val="center"/>
        </w:trPr>
        <w:tc>
          <w:tcPr>
            <w:tcW w:w="3544" w:type="dxa"/>
            <w:noWrap/>
            <w:tcMar>
              <w:left w:w="57" w:type="dxa"/>
              <w:right w:w="57" w:type="dxa"/>
            </w:tcMar>
            <w:vAlign w:val="center"/>
            <w:hideMark/>
          </w:tcPr>
          <w:p w14:paraId="77A40A2E"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Medium aggregate maximum output voltage (Vma)</w:t>
            </w:r>
          </w:p>
        </w:tc>
        <w:tc>
          <w:tcPr>
            <w:tcW w:w="768" w:type="dxa"/>
            <w:noWrap/>
            <w:tcMar>
              <w:left w:w="57" w:type="dxa"/>
              <w:right w:w="57" w:type="dxa"/>
            </w:tcMar>
            <w:vAlign w:val="center"/>
            <w:hideMark/>
          </w:tcPr>
          <w:p w14:paraId="6B278244"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±250</w:t>
            </w:r>
          </w:p>
        </w:tc>
        <w:tc>
          <w:tcPr>
            <w:tcW w:w="3331" w:type="dxa"/>
            <w:noWrap/>
            <w:tcMar>
              <w:left w:w="57" w:type="dxa"/>
              <w:right w:w="57" w:type="dxa"/>
            </w:tcMar>
            <w:vAlign w:val="center"/>
            <w:hideMark/>
          </w:tcPr>
          <w:p w14:paraId="65BD58C5"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kV, =Vsa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Cma</w:t>
            </w:r>
          </w:p>
        </w:tc>
      </w:tr>
      <w:tr w:rsidR="002F4C00" w:rsidRPr="002F4C00" w14:paraId="4FDFE5CC" w14:textId="77777777" w:rsidTr="00F20CB9">
        <w:trPr>
          <w:trHeight w:val="284"/>
          <w:jc w:val="center"/>
        </w:trPr>
        <w:tc>
          <w:tcPr>
            <w:tcW w:w="3544" w:type="dxa"/>
            <w:noWrap/>
            <w:tcMar>
              <w:left w:w="57" w:type="dxa"/>
              <w:right w:w="57" w:type="dxa"/>
            </w:tcMar>
            <w:vAlign w:val="center"/>
            <w:hideMark/>
          </w:tcPr>
          <w:p w14:paraId="1C058B5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Medium aggregate maximum output current (Ama)</w:t>
            </w:r>
          </w:p>
        </w:tc>
        <w:tc>
          <w:tcPr>
            <w:tcW w:w="768" w:type="dxa"/>
            <w:noWrap/>
            <w:tcMar>
              <w:left w:w="57" w:type="dxa"/>
              <w:right w:w="57" w:type="dxa"/>
            </w:tcMar>
            <w:vAlign w:val="center"/>
            <w:hideMark/>
          </w:tcPr>
          <w:p w14:paraId="1BC02AF5"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92.2 </w:t>
            </w:r>
          </w:p>
        </w:tc>
        <w:tc>
          <w:tcPr>
            <w:tcW w:w="3331" w:type="dxa"/>
            <w:noWrap/>
            <w:tcMar>
              <w:left w:w="57" w:type="dxa"/>
              <w:right w:w="57" w:type="dxa"/>
            </w:tcMar>
            <w:vAlign w:val="center"/>
            <w:hideMark/>
          </w:tcPr>
          <w:p w14:paraId="363CA703"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A</w:t>
            </w:r>
          </w:p>
        </w:tc>
      </w:tr>
      <w:tr w:rsidR="002F4C00" w:rsidRPr="002F4C00" w14:paraId="73A2E2B4" w14:textId="77777777" w:rsidTr="00F20CB9">
        <w:trPr>
          <w:trHeight w:val="284"/>
          <w:jc w:val="center"/>
        </w:trPr>
        <w:tc>
          <w:tcPr>
            <w:tcW w:w="3544" w:type="dxa"/>
            <w:tcMar>
              <w:left w:w="57" w:type="dxa"/>
              <w:right w:w="57" w:type="dxa"/>
            </w:tcMar>
            <w:vAlign w:val="center"/>
            <w:hideMark/>
          </w:tcPr>
          <w:p w14:paraId="5B7F966E"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Large aggregate maximum output power (Wla)</w:t>
            </w:r>
          </w:p>
        </w:tc>
        <w:tc>
          <w:tcPr>
            <w:tcW w:w="768" w:type="dxa"/>
            <w:noWrap/>
            <w:tcMar>
              <w:left w:w="57" w:type="dxa"/>
              <w:right w:w="57" w:type="dxa"/>
            </w:tcMar>
            <w:vAlign w:val="center"/>
            <w:hideMark/>
          </w:tcPr>
          <w:p w14:paraId="48BAD333"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4.61 </w:t>
            </w:r>
          </w:p>
        </w:tc>
        <w:tc>
          <w:tcPr>
            <w:tcW w:w="3331" w:type="dxa"/>
            <w:noWrap/>
            <w:tcMar>
              <w:left w:w="57" w:type="dxa"/>
              <w:right w:w="57" w:type="dxa"/>
            </w:tcMar>
            <w:vAlign w:val="center"/>
            <w:hideMark/>
          </w:tcPr>
          <w:p w14:paraId="4245322E"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GW, =Wma</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Cla</w:t>
            </w:r>
          </w:p>
        </w:tc>
      </w:tr>
      <w:tr w:rsidR="002F4C00" w:rsidRPr="002F4C00" w14:paraId="1F034608" w14:textId="77777777" w:rsidTr="00F20CB9">
        <w:trPr>
          <w:trHeight w:val="284"/>
          <w:jc w:val="center"/>
        </w:trPr>
        <w:tc>
          <w:tcPr>
            <w:tcW w:w="3544" w:type="dxa"/>
            <w:noWrap/>
            <w:tcMar>
              <w:left w:w="57" w:type="dxa"/>
              <w:right w:w="57" w:type="dxa"/>
            </w:tcMar>
            <w:vAlign w:val="center"/>
            <w:hideMark/>
          </w:tcPr>
          <w:p w14:paraId="4AE004FB"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Large aggregate maximum output voltage (Vla)</w:t>
            </w:r>
          </w:p>
        </w:tc>
        <w:tc>
          <w:tcPr>
            <w:tcW w:w="768" w:type="dxa"/>
            <w:noWrap/>
            <w:tcMar>
              <w:left w:w="57" w:type="dxa"/>
              <w:right w:w="57" w:type="dxa"/>
            </w:tcMar>
            <w:vAlign w:val="center"/>
            <w:hideMark/>
          </w:tcPr>
          <w:p w14:paraId="0F2BF91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±250 </w:t>
            </w:r>
          </w:p>
        </w:tc>
        <w:tc>
          <w:tcPr>
            <w:tcW w:w="3331" w:type="dxa"/>
            <w:noWrap/>
            <w:tcMar>
              <w:left w:w="57" w:type="dxa"/>
              <w:right w:w="57" w:type="dxa"/>
            </w:tcMar>
            <w:vAlign w:val="center"/>
            <w:hideMark/>
          </w:tcPr>
          <w:p w14:paraId="25007E8A"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kV, =Vma</w:t>
            </w:r>
          </w:p>
        </w:tc>
      </w:tr>
      <w:tr w:rsidR="002F4C00" w:rsidRPr="002F4C00" w14:paraId="1B6CF8E0" w14:textId="77777777" w:rsidTr="00F20CB9">
        <w:trPr>
          <w:trHeight w:val="284"/>
          <w:jc w:val="center"/>
        </w:trPr>
        <w:tc>
          <w:tcPr>
            <w:tcW w:w="3544" w:type="dxa"/>
            <w:noWrap/>
            <w:tcMar>
              <w:left w:w="57" w:type="dxa"/>
              <w:right w:w="57" w:type="dxa"/>
            </w:tcMar>
            <w:vAlign w:val="center"/>
            <w:hideMark/>
          </w:tcPr>
          <w:p w14:paraId="5BA268D6"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Large aggregate maximum output current (Ala)</w:t>
            </w:r>
          </w:p>
        </w:tc>
        <w:tc>
          <w:tcPr>
            <w:tcW w:w="768" w:type="dxa"/>
            <w:noWrap/>
            <w:tcMar>
              <w:left w:w="57" w:type="dxa"/>
              <w:right w:w="57" w:type="dxa"/>
            </w:tcMar>
            <w:vAlign w:val="center"/>
            <w:hideMark/>
          </w:tcPr>
          <w:p w14:paraId="009CC1F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9.22 </w:t>
            </w:r>
          </w:p>
        </w:tc>
        <w:tc>
          <w:tcPr>
            <w:tcW w:w="3331" w:type="dxa"/>
            <w:noWrap/>
            <w:tcMar>
              <w:left w:w="57" w:type="dxa"/>
              <w:right w:w="57" w:type="dxa"/>
            </w:tcMar>
            <w:vAlign w:val="center"/>
            <w:hideMark/>
          </w:tcPr>
          <w:p w14:paraId="18CA13F9"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kA, =Wla/Vla</w:t>
            </w:r>
          </w:p>
        </w:tc>
      </w:tr>
      <w:tr w:rsidR="002F4C00" w:rsidRPr="002F4C00" w14:paraId="1F464684" w14:textId="77777777" w:rsidTr="00F20CB9">
        <w:trPr>
          <w:trHeight w:val="284"/>
          <w:jc w:val="center"/>
        </w:trPr>
        <w:tc>
          <w:tcPr>
            <w:tcW w:w="3544" w:type="dxa"/>
            <w:noWrap/>
            <w:tcMar>
              <w:left w:w="57" w:type="dxa"/>
              <w:right w:w="57" w:type="dxa"/>
            </w:tcMar>
            <w:vAlign w:val="center"/>
            <w:hideMark/>
          </w:tcPr>
          <w:p w14:paraId="3E9457F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FOPV operating rate (Rop)</w:t>
            </w:r>
          </w:p>
        </w:tc>
        <w:tc>
          <w:tcPr>
            <w:tcW w:w="768" w:type="dxa"/>
            <w:noWrap/>
            <w:tcMar>
              <w:left w:w="57" w:type="dxa"/>
              <w:right w:w="57" w:type="dxa"/>
            </w:tcMar>
            <w:vAlign w:val="center"/>
            <w:hideMark/>
          </w:tcPr>
          <w:p w14:paraId="5BFEA156"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85%</w:t>
            </w:r>
          </w:p>
        </w:tc>
        <w:tc>
          <w:tcPr>
            <w:tcW w:w="3331" w:type="dxa"/>
            <w:noWrap/>
            <w:tcMar>
              <w:left w:w="57" w:type="dxa"/>
              <w:right w:w="57" w:type="dxa"/>
            </w:tcMar>
            <w:vAlign w:val="center"/>
            <w:hideMark/>
          </w:tcPr>
          <w:p w14:paraId="52804E3C"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for maintenance</w:t>
            </w:r>
          </w:p>
        </w:tc>
      </w:tr>
      <w:tr w:rsidR="002F4C00" w:rsidRPr="002F4C00" w14:paraId="4B737447" w14:textId="77777777" w:rsidTr="00F20CB9">
        <w:trPr>
          <w:trHeight w:val="284"/>
          <w:jc w:val="center"/>
        </w:trPr>
        <w:tc>
          <w:tcPr>
            <w:tcW w:w="3544" w:type="dxa"/>
            <w:noWrap/>
            <w:tcMar>
              <w:left w:w="57" w:type="dxa"/>
              <w:right w:w="57" w:type="dxa"/>
            </w:tcMar>
            <w:vAlign w:val="center"/>
            <w:hideMark/>
          </w:tcPr>
          <w:p w14:paraId="660BECF3"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FOPV annual average power generation (Wfopv)</w:t>
            </w:r>
          </w:p>
        </w:tc>
        <w:tc>
          <w:tcPr>
            <w:tcW w:w="768" w:type="dxa"/>
            <w:noWrap/>
            <w:tcMar>
              <w:left w:w="57" w:type="dxa"/>
              <w:right w:w="57" w:type="dxa"/>
            </w:tcMar>
            <w:vAlign w:val="center"/>
            <w:hideMark/>
          </w:tcPr>
          <w:p w14:paraId="728E0C8D"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940 </w:t>
            </w:r>
          </w:p>
        </w:tc>
        <w:tc>
          <w:tcPr>
            <w:tcW w:w="3331" w:type="dxa"/>
            <w:noWrap/>
            <w:tcMar>
              <w:left w:w="57" w:type="dxa"/>
              <w:right w:w="57" w:type="dxa"/>
            </w:tcMar>
            <w:vAlign w:val="center"/>
            <w:hideMark/>
          </w:tcPr>
          <w:p w14:paraId="4E847B1A"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MW/plant, =Nfopv</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Sepv</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Ravg</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Epv</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Efs</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Rop</w:t>
            </w:r>
          </w:p>
        </w:tc>
      </w:tr>
      <w:tr w:rsidR="002F4C00" w:rsidRPr="002F4C00" w14:paraId="02D404D2" w14:textId="77777777" w:rsidTr="00F20CB9">
        <w:trPr>
          <w:trHeight w:val="284"/>
          <w:jc w:val="center"/>
        </w:trPr>
        <w:tc>
          <w:tcPr>
            <w:tcW w:w="3544" w:type="dxa"/>
            <w:noWrap/>
            <w:tcMar>
              <w:left w:w="57" w:type="dxa"/>
              <w:right w:w="57" w:type="dxa"/>
            </w:tcMar>
            <w:vAlign w:val="center"/>
            <w:hideMark/>
          </w:tcPr>
          <w:p w14:paraId="2740ADD9"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FOPV annual average current (Ifopv) </w:t>
            </w:r>
          </w:p>
        </w:tc>
        <w:tc>
          <w:tcPr>
            <w:tcW w:w="768" w:type="dxa"/>
            <w:noWrap/>
            <w:tcMar>
              <w:left w:w="57" w:type="dxa"/>
              <w:right w:w="57" w:type="dxa"/>
            </w:tcMar>
            <w:vAlign w:val="center"/>
            <w:hideMark/>
          </w:tcPr>
          <w:p w14:paraId="775A2071"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1.88 </w:t>
            </w:r>
          </w:p>
        </w:tc>
        <w:tc>
          <w:tcPr>
            <w:tcW w:w="3331" w:type="dxa"/>
            <w:noWrap/>
            <w:tcMar>
              <w:left w:w="57" w:type="dxa"/>
              <w:right w:w="57" w:type="dxa"/>
            </w:tcMar>
            <w:vAlign w:val="center"/>
            <w:hideMark/>
          </w:tcPr>
          <w:p w14:paraId="579B7B3F"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kA, =Wfopv/Vla, Ala/Ifopv=4.90</w:t>
            </w:r>
          </w:p>
        </w:tc>
      </w:tr>
      <w:tr w:rsidR="002F4C00" w:rsidRPr="002F4C00" w14:paraId="158C0076" w14:textId="77777777" w:rsidTr="00F20CB9">
        <w:trPr>
          <w:trHeight w:val="284"/>
          <w:jc w:val="center"/>
        </w:trPr>
        <w:tc>
          <w:tcPr>
            <w:tcW w:w="3544" w:type="dxa"/>
            <w:noWrap/>
            <w:tcMar>
              <w:left w:w="57" w:type="dxa"/>
              <w:right w:w="57" w:type="dxa"/>
            </w:tcMar>
            <w:vAlign w:val="center"/>
            <w:hideMark/>
          </w:tcPr>
          <w:p w14:paraId="1AC9931B"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FOPV annual power generation capacity (Pfopv)</w:t>
            </w:r>
          </w:p>
        </w:tc>
        <w:tc>
          <w:tcPr>
            <w:tcW w:w="768" w:type="dxa"/>
            <w:noWrap/>
            <w:tcMar>
              <w:left w:w="57" w:type="dxa"/>
              <w:right w:w="57" w:type="dxa"/>
            </w:tcMar>
            <w:vAlign w:val="center"/>
            <w:hideMark/>
          </w:tcPr>
          <w:p w14:paraId="421D29BC" w14:textId="77777777" w:rsidR="00F20CB9" w:rsidRPr="002F4C00" w:rsidRDefault="00F20CB9" w:rsidP="00F20CB9">
            <w:pPr>
              <w:widowControl/>
              <w:jc w:val="righ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8.23 </w:t>
            </w:r>
          </w:p>
        </w:tc>
        <w:tc>
          <w:tcPr>
            <w:tcW w:w="3331" w:type="dxa"/>
            <w:noWrap/>
            <w:tcMar>
              <w:left w:w="57" w:type="dxa"/>
              <w:right w:w="57" w:type="dxa"/>
            </w:tcMar>
            <w:vAlign w:val="center"/>
            <w:hideMark/>
          </w:tcPr>
          <w:p w14:paraId="73D6E13E" w14:textId="77777777" w:rsidR="00F20CB9" w:rsidRPr="002F4C00" w:rsidRDefault="00F20CB9" w:rsidP="00F20CB9">
            <w:pPr>
              <w:widowControl/>
              <w:jc w:val="left"/>
              <w:rPr>
                <w:rFonts w:ascii="Times New Roman" w:eastAsia="游ゴシック" w:hAnsi="Times New Roman" w:cs="Times New Roman"/>
                <w:kern w:val="0"/>
                <w:sz w:val="16"/>
                <w:szCs w:val="16"/>
              </w:rPr>
            </w:pPr>
            <w:r w:rsidRPr="002F4C00">
              <w:rPr>
                <w:rFonts w:ascii="Times New Roman" w:eastAsia="游ゴシック" w:hAnsi="Times New Roman" w:cs="Times New Roman"/>
                <w:kern w:val="0"/>
                <w:sz w:val="16"/>
                <w:szCs w:val="16"/>
              </w:rPr>
              <w:t xml:space="preserve"> TWh/plant, =Wfopv</w:t>
            </w:r>
            <w:r w:rsidRPr="002F4C00">
              <w:rPr>
                <w:rFonts w:ascii="游ゴシック" w:eastAsia="游ゴシック" w:hAnsi="游ゴシック" w:cs="Times New Roman" w:hint="eastAsia"/>
                <w:kern w:val="0"/>
                <w:sz w:val="16"/>
                <w:szCs w:val="16"/>
              </w:rPr>
              <w:t>･</w:t>
            </w:r>
            <w:r w:rsidRPr="002F4C00">
              <w:rPr>
                <w:rFonts w:ascii="Times New Roman" w:eastAsia="游ゴシック" w:hAnsi="Times New Roman" w:cs="Times New Roman"/>
                <w:kern w:val="0"/>
                <w:sz w:val="16"/>
                <w:szCs w:val="16"/>
              </w:rPr>
              <w:t>(hours per year)</w:t>
            </w:r>
          </w:p>
        </w:tc>
      </w:tr>
    </w:tbl>
    <w:p w14:paraId="519F623E" w14:textId="139AA7F7" w:rsidR="00C41084" w:rsidRPr="00E03D68" w:rsidRDefault="00811CEB" w:rsidP="00C41084">
      <w:pPr>
        <w:widowControl/>
        <w:rPr>
          <w:rFonts w:ascii="Times New Roman" w:hAnsi="Times New Roman" w:cs="Times New Roman"/>
          <w:sz w:val="24"/>
          <w:szCs w:val="24"/>
        </w:rPr>
        <w:sectPr w:rsidR="00C41084" w:rsidRPr="00E03D68" w:rsidSect="005B7AA2">
          <w:footerReference w:type="default" r:id="rId38"/>
          <w:pgSz w:w="12240" w:h="15840" w:code="1"/>
          <w:pgMar w:top="1134" w:right="1134" w:bottom="1134" w:left="1134" w:header="720" w:footer="397" w:gutter="0"/>
          <w:cols w:space="720"/>
          <w:docGrid w:type="lines" w:linePitch="288"/>
        </w:sectPr>
      </w:pPr>
      <w:r>
        <w:rPr>
          <w:rFonts w:ascii="Times New Roman" w:hAnsi="Times New Roman" w:cs="Times New Roman"/>
          <w:sz w:val="24"/>
          <w:szCs w:val="24"/>
        </w:rPr>
        <w:br w:type="textWrapping" w:clear="all"/>
      </w:r>
    </w:p>
    <w:p w14:paraId="4CF25EB6" w14:textId="329858B7" w:rsidR="00A91F7D" w:rsidRPr="00A91F7D" w:rsidRDefault="00A91F7D" w:rsidP="00124DB1">
      <w:pPr>
        <w:widowControl/>
        <w:spacing w:line="320" w:lineRule="exact"/>
        <w:ind w:rightChars="-44" w:right="-92"/>
        <w:jc w:val="left"/>
        <w:rPr>
          <w:rFonts w:ascii="Times New Roman" w:eastAsia="游明朝" w:hAnsi="Times New Roman" w:cs="Times New Roman"/>
          <w:sz w:val="24"/>
          <w:szCs w:val="24"/>
          <w14:ligatures w14:val="standardContextual"/>
        </w:rPr>
      </w:pPr>
      <w:bookmarkStart w:id="21" w:name="_Hlk191148368"/>
      <w:bookmarkStart w:id="22" w:name="_Hlk177113558"/>
      <w:bookmarkStart w:id="23" w:name="_Hlk189638719"/>
      <w:bookmarkEnd w:id="20"/>
      <w:r w:rsidRPr="00C82E0A">
        <w:rPr>
          <w:rFonts w:ascii="Times New Roman" w:eastAsia="游明朝" w:hAnsi="Times New Roman" w:cs="Times New Roman"/>
          <w:b/>
          <w:sz w:val="24"/>
          <w:szCs w:val="24"/>
          <w14:ligatures w14:val="standardContextual"/>
        </w:rPr>
        <w:lastRenderedPageBreak/>
        <w:t>Supplementary Table S2</w:t>
      </w:r>
      <w:bookmarkEnd w:id="21"/>
      <w:r w:rsidRPr="00C82E0A">
        <w:rPr>
          <w:rFonts w:ascii="Times New Roman" w:eastAsia="游明朝" w:hAnsi="Times New Roman" w:cs="Times New Roman"/>
          <w:b/>
          <w:sz w:val="24"/>
          <w:szCs w:val="24"/>
          <w14:ligatures w14:val="standardContextual"/>
        </w:rPr>
        <w:t>.</w:t>
      </w:r>
      <w:r w:rsidRPr="00C82E0A">
        <w:rPr>
          <w:rFonts w:ascii="Times New Roman" w:eastAsia="游明朝" w:hAnsi="Times New Roman" w:cs="Times New Roman"/>
          <w:sz w:val="24"/>
          <w:szCs w:val="24"/>
          <w14:ligatures w14:val="standardContextual"/>
        </w:rPr>
        <w:t xml:space="preserve"> </w:t>
      </w:r>
      <w:r w:rsidRPr="00C82E0A">
        <w:rPr>
          <w:rFonts w:ascii="Times New Roman" w:eastAsia="游明朝" w:hAnsi="Times New Roman" w:cs="Times New Roman"/>
          <w:b/>
          <w:bCs/>
          <w:sz w:val="24"/>
          <w:szCs w:val="24"/>
          <w14:ligatures w14:val="standardContextual"/>
        </w:rPr>
        <w:t>Comparison of hydrogen energy carrier (HEC) characteristics with existing energy sources.</w:t>
      </w:r>
      <w:r w:rsidRPr="00C82E0A">
        <w:rPr>
          <w:rFonts w:ascii="Times New Roman" w:eastAsia="游明朝" w:hAnsi="Times New Roman" w:cs="Times New Roman"/>
          <w:sz w:val="24"/>
          <w:szCs w:val="24"/>
          <w14:ligatures w14:val="standardContextual"/>
        </w:rPr>
        <w:t xml:space="preserve"> </w:t>
      </w:r>
      <w:bookmarkStart w:id="24" w:name="_Hlk191470112"/>
      <w:r w:rsidRPr="00C82E0A">
        <w:rPr>
          <w:rFonts w:ascii="Times New Roman" w:eastAsia="游明朝" w:hAnsi="Times New Roman" w:cs="Times New Roman"/>
          <w:sz w:val="24"/>
          <w:szCs w:val="24"/>
          <w14:ligatures w14:val="standardContextual"/>
        </w:rPr>
        <w:t>H</w:t>
      </w:r>
      <w:r w:rsidRPr="00C82E0A">
        <w:rPr>
          <w:rFonts w:ascii="Times New Roman" w:eastAsia="游明朝" w:hAnsi="Times New Roman" w:cs="Times New Roman"/>
          <w:sz w:val="24"/>
          <w:szCs w:val="24"/>
          <w:vertAlign w:val="subscript"/>
          <w14:ligatures w14:val="standardContextual"/>
        </w:rPr>
        <w:t>2</w:t>
      </w:r>
      <w:r w:rsidRPr="00C82E0A">
        <w:rPr>
          <w:rFonts w:ascii="Times New Roman" w:eastAsia="游明朝" w:hAnsi="Times New Roman" w:cs="Times New Roman"/>
          <w:sz w:val="24"/>
          <w:szCs w:val="24"/>
          <w14:ligatures w14:val="standardContextual"/>
        </w:rPr>
        <w:t xml:space="preserve"> in its gaseous state has a low energy density, is highly flammable, and burns explosively under standard conditions, making it unsuitable for storage and transportation. To address these issues, H</w:t>
      </w:r>
      <w:r w:rsidRPr="00C82E0A">
        <w:rPr>
          <w:rFonts w:ascii="Times New Roman" w:eastAsia="游明朝" w:hAnsi="Times New Roman" w:cs="Times New Roman"/>
          <w:sz w:val="24"/>
          <w:szCs w:val="24"/>
          <w:vertAlign w:val="subscript"/>
          <w14:ligatures w14:val="standardContextual"/>
        </w:rPr>
        <w:t>2</w:t>
      </w:r>
      <w:r w:rsidRPr="00C82E0A">
        <w:rPr>
          <w:rFonts w:ascii="Times New Roman" w:eastAsia="游明朝" w:hAnsi="Times New Roman" w:cs="Times New Roman"/>
          <w:sz w:val="24"/>
          <w:szCs w:val="24"/>
          <w14:ligatures w14:val="standardContextual"/>
        </w:rPr>
        <w:t xml:space="preserve"> is converted into HECs for easier storage and transport.</w:t>
      </w:r>
      <w:bookmarkEnd w:id="24"/>
      <w:r w:rsidRPr="00C82E0A">
        <w:rPr>
          <w:rFonts w:ascii="Times New Roman" w:eastAsia="游明朝" w:hAnsi="Times New Roman" w:cs="Times New Roman"/>
          <w:sz w:val="24"/>
          <w:szCs w:val="24"/>
          <w14:ligatures w14:val="standardContextual"/>
        </w:rPr>
        <w:t xml:space="preserve"> The Str</w:t>
      </w:r>
      <w:r w:rsidRPr="003C39DD">
        <w:rPr>
          <w:rFonts w:ascii="Times New Roman" w:eastAsia="游明朝" w:hAnsi="Times New Roman" w:cs="Times New Roman"/>
          <w:sz w:val="24"/>
          <w:szCs w:val="24"/>
          <w14:ligatures w14:val="standardContextual"/>
        </w:rPr>
        <w:t>ategic Innovation Promotion (SIP) Program by the Japanese Cabinet Office (2014–2018) conducted extensive research on HEC, garnering global attention</w:t>
      </w:r>
      <w:r w:rsidR="007078A1" w:rsidRPr="003C39DD">
        <w:rPr>
          <w:rFonts w:ascii="Times New Roman" w:eastAsia="游明朝" w:hAnsi="Times New Roman" w:cs="Times New Roman" w:hint="eastAsia"/>
          <w:sz w:val="24"/>
          <w:szCs w:val="24"/>
          <w14:ligatures w14:val="standardContextual"/>
        </w:rPr>
        <w:t xml:space="preserve"> [11-12]</w:t>
      </w:r>
      <w:r w:rsidRPr="003C39DD">
        <w:rPr>
          <w:rFonts w:ascii="Times New Roman" w:eastAsia="游明朝" w:hAnsi="Times New Roman" w:cs="Times New Roman"/>
          <w:sz w:val="24"/>
          <w:szCs w:val="24"/>
          <w14:ligatures w14:val="standardContextual"/>
        </w:rPr>
        <w:t>. This study examined four HEC types, including LNH</w:t>
      </w:r>
      <w:r w:rsidRPr="003C39DD">
        <w:rPr>
          <w:rFonts w:ascii="Times New Roman" w:eastAsia="游明朝" w:hAnsi="Times New Roman" w:cs="Times New Roman"/>
          <w:sz w:val="24"/>
          <w:szCs w:val="24"/>
          <w:vertAlign w:val="subscript"/>
          <w14:ligatures w14:val="standardContextual"/>
        </w:rPr>
        <w:t>3</w:t>
      </w:r>
      <w:r w:rsidRPr="003C39DD">
        <w:rPr>
          <w:rFonts w:ascii="Times New Roman" w:eastAsia="游明朝" w:hAnsi="Times New Roman" w:cs="Times New Roman"/>
          <w:sz w:val="24"/>
          <w:szCs w:val="24"/>
          <w14:ligatures w14:val="standardContextual"/>
        </w:rPr>
        <w:t>. The volumetric energy density of LNH</w:t>
      </w:r>
      <w:r w:rsidRPr="003C39DD">
        <w:rPr>
          <w:rFonts w:ascii="Times New Roman" w:eastAsia="游明朝" w:hAnsi="Times New Roman" w:cs="Times New Roman"/>
          <w:sz w:val="24"/>
          <w:szCs w:val="24"/>
          <w:vertAlign w:val="subscript"/>
          <w14:ligatures w14:val="standardContextual"/>
        </w:rPr>
        <w:t>3</w:t>
      </w:r>
      <w:r w:rsidRPr="003C39DD">
        <w:rPr>
          <w:rFonts w:ascii="Times New Roman" w:eastAsia="游明朝" w:hAnsi="Times New Roman" w:cs="Times New Roman"/>
          <w:sz w:val="24"/>
          <w:szCs w:val="24"/>
          <w14:ligatures w14:val="standardContextual"/>
        </w:rPr>
        <w:t xml:space="preserve"> is lower than that of FFEs, but much higher than that of lithium-ion batteries and hydrogen gas. </w:t>
      </w:r>
      <w:bookmarkStart w:id="25" w:name="_Hlk191470536"/>
      <w:r w:rsidRPr="003C39DD">
        <w:rPr>
          <w:rFonts w:ascii="Times New Roman" w:eastAsia="游明朝" w:hAnsi="Times New Roman" w:cs="Times New Roman"/>
          <w:sz w:val="24"/>
          <w:szCs w:val="24"/>
          <w14:ligatures w14:val="standardContextual"/>
        </w:rPr>
        <w:t>LNH</w:t>
      </w:r>
      <w:r w:rsidRPr="003C39DD">
        <w:rPr>
          <w:rFonts w:ascii="Times New Roman" w:eastAsia="游明朝" w:hAnsi="Times New Roman" w:cs="Times New Roman"/>
          <w:sz w:val="24"/>
          <w:szCs w:val="24"/>
          <w:vertAlign w:val="subscript"/>
          <w14:ligatures w14:val="standardContextual"/>
        </w:rPr>
        <w:t>3</w:t>
      </w:r>
      <w:r w:rsidRPr="003C39DD">
        <w:rPr>
          <w:rFonts w:ascii="Times New Roman" w:eastAsia="游明朝" w:hAnsi="Times New Roman" w:cs="Times New Roman"/>
          <w:sz w:val="24"/>
          <w:szCs w:val="24"/>
          <w14:ligatures w14:val="standardContextual"/>
        </w:rPr>
        <w:t xml:space="preserve"> is the most promising HEC; its volumetric and mass energy densities are lower than those of crude oil and liquefied natural gas; this necessitates advancements in combustion technology to manage flame temperatures and heat radiation, as well as the development of high-performance catalysts for NH</w:t>
      </w:r>
      <w:r w:rsidRPr="003C39DD">
        <w:rPr>
          <w:rFonts w:ascii="Times New Roman" w:eastAsia="游明朝" w:hAnsi="Times New Roman" w:cs="Times New Roman"/>
          <w:sz w:val="24"/>
          <w:szCs w:val="24"/>
          <w:vertAlign w:val="subscript"/>
          <w14:ligatures w14:val="standardContextual"/>
        </w:rPr>
        <w:t>3</w:t>
      </w:r>
      <w:r w:rsidRPr="003C39DD">
        <w:rPr>
          <w:rFonts w:ascii="Times New Roman" w:eastAsia="游明朝" w:hAnsi="Times New Roman" w:cs="Times New Roman"/>
          <w:sz w:val="24"/>
          <w:szCs w:val="24"/>
          <w14:ligatures w14:val="standardContextual"/>
        </w:rPr>
        <w:t xml:space="preserve"> decomposition</w:t>
      </w:r>
      <w:r w:rsidR="007078A1" w:rsidRPr="003C39DD">
        <w:rPr>
          <w:rFonts w:ascii="Times New Roman" w:eastAsia="游明朝" w:hAnsi="Times New Roman" w:cs="Times New Roman" w:hint="eastAsia"/>
          <w:sz w:val="24"/>
          <w:szCs w:val="24"/>
          <w14:ligatures w14:val="standardContextual"/>
        </w:rPr>
        <w:t xml:space="preserve"> [13]</w:t>
      </w:r>
      <w:r w:rsidRPr="003C39DD">
        <w:rPr>
          <w:rFonts w:ascii="Times New Roman" w:eastAsia="游明朝" w:hAnsi="Times New Roman" w:cs="Times New Roman"/>
          <w:sz w:val="24"/>
          <w:szCs w:val="24"/>
          <w14:ligatures w14:val="standardContextual"/>
        </w:rPr>
        <w:t>.</w:t>
      </w:r>
      <w:bookmarkEnd w:id="25"/>
      <w:r w:rsidRPr="003C39DD">
        <w:rPr>
          <w:rFonts w:ascii="Times New Roman" w:eastAsia="游明朝" w:hAnsi="Times New Roman" w:cs="Times New Roman"/>
          <w:sz w:val="24"/>
          <w:szCs w:val="24"/>
          <w14:ligatures w14:val="standardContextual"/>
        </w:rPr>
        <w:t xml:space="preserve"> Research is underway to commercialize NH₃ fuel cells, NH₃-specific gas turbine generators, and NH₃-fueled ships, with commercialization expected by 2026</w:t>
      </w:r>
      <w:r w:rsidR="007078A1" w:rsidRPr="003C39DD">
        <w:rPr>
          <w:rFonts w:ascii="Times New Roman" w:eastAsia="游明朝" w:hAnsi="Times New Roman" w:cs="Times New Roman" w:hint="eastAsia"/>
          <w:sz w:val="24"/>
          <w:szCs w:val="24"/>
          <w14:ligatures w14:val="standardContextual"/>
        </w:rPr>
        <w:t xml:space="preserve"> [14]</w:t>
      </w:r>
      <w:r w:rsidRPr="003C39DD">
        <w:rPr>
          <w:rFonts w:ascii="Times New Roman" w:eastAsia="游明朝" w:hAnsi="Times New Roman" w:cs="Times New Roman"/>
          <w:sz w:val="24"/>
          <w:szCs w:val="24"/>
          <w14:ligatures w14:val="standardContextual"/>
        </w:rPr>
        <w:t xml:space="preserve">. The </w:t>
      </w:r>
      <w:r w:rsidRPr="00A91F7D">
        <w:rPr>
          <w:rFonts w:ascii="Times New Roman" w:eastAsia="游明朝" w:hAnsi="Times New Roman" w:cs="Times New Roman"/>
          <w:sz w:val="24"/>
          <w:szCs w:val="24"/>
          <w14:ligatures w14:val="standardContextual"/>
        </w:rPr>
        <w:t>energy density of uranium is more than 10,000 times that of fossil fuels; however, the problem of the final disposal of nuclear fuel has yet to be solved.</w:t>
      </w:r>
    </w:p>
    <w:p w14:paraId="09283F97" w14:textId="77777777" w:rsidR="00A91F7D" w:rsidRPr="00A91F7D" w:rsidRDefault="00A91F7D" w:rsidP="00A91F7D">
      <w:pPr>
        <w:widowControl/>
        <w:ind w:rightChars="-44" w:right="-92"/>
        <w:jc w:val="left"/>
        <w:rPr>
          <w:rFonts w:ascii="Times New Roman" w:eastAsia="游明朝" w:hAnsi="Times New Roman" w:cs="Times New Roman"/>
          <w:sz w:val="24"/>
          <w:szCs w:val="24"/>
          <w14:ligatures w14:val="standardContextual"/>
        </w:rPr>
      </w:pPr>
      <w:r w:rsidRPr="00A91F7D">
        <w:rPr>
          <w:rFonts w:ascii="Times New Roman" w:eastAsia="游明朝" w:hAnsi="Times New Roman" w:cs="Times New Roman"/>
          <w:sz w:val="24"/>
          <w:szCs w:val="24"/>
          <w14:ligatures w14:val="standardContextual"/>
        </w:rPr>
        <w:t xml:space="preserve">In addition, methanol has attracted attention as a carbon-neutral synthetic fuel due to its capacity to be synthesized from green hydrogen and CO₂ from power plants and the atmosphere. However, the combustion of synthetic fuels results in the emission of CO₂ into the atmosphere. As illustrated in </w:t>
      </w:r>
      <w:r w:rsidRPr="00A91F7D">
        <w:rPr>
          <w:rFonts w:ascii="Times New Roman" w:eastAsia="游明朝" w:hAnsi="Times New Roman" w:cs="Times New Roman"/>
          <w:b/>
          <w:bCs/>
          <w:sz w:val="24"/>
          <w:szCs w:val="24"/>
          <w14:ligatures w14:val="standardContextual"/>
        </w:rPr>
        <w:t>Fig. 1a</w:t>
      </w:r>
      <w:r w:rsidRPr="00A91F7D">
        <w:rPr>
          <w:rFonts w:ascii="Times New Roman" w:eastAsia="游明朝" w:hAnsi="Times New Roman" w:cs="Times New Roman"/>
          <w:sz w:val="24"/>
          <w:szCs w:val="24"/>
          <w14:ligatures w14:val="standardContextual"/>
        </w:rPr>
        <w:t xml:space="preserve">, as energy consumption rises, the production of synthetic fuels as a substitute for fossil fuels will necessitate the capture of 42 Gt of CO₂ from the atmosphere and power plants in 2050 and 60 Gt in 2100. Furthermore, to return temperatures to 1960s levels by 2100, adding these amounts to the CDR quantities in Scenarios 1 to 4 of </w:t>
      </w:r>
      <w:r w:rsidRPr="00A91F7D">
        <w:rPr>
          <w:rFonts w:ascii="Times New Roman" w:eastAsia="游明朝" w:hAnsi="Times New Roman" w:cs="Times New Roman"/>
          <w:b/>
          <w:bCs/>
          <w:sz w:val="24"/>
          <w:szCs w:val="24"/>
          <w14:ligatures w14:val="standardContextual"/>
        </w:rPr>
        <w:t xml:space="preserve">Fig. 4 </w:t>
      </w:r>
      <w:r w:rsidRPr="006723D6">
        <w:rPr>
          <w:rFonts w:ascii="Times New Roman" w:eastAsia="游明朝" w:hAnsi="Times New Roman" w:cs="Times New Roman"/>
          <w:sz w:val="24"/>
          <w:szCs w:val="24"/>
          <w14:ligatures w14:val="standardContextual"/>
        </w:rPr>
        <w:t>would be necessary</w:t>
      </w:r>
      <w:r w:rsidRPr="00A91F7D">
        <w:rPr>
          <w:rFonts w:ascii="Times New Roman" w:eastAsia="游明朝" w:hAnsi="Times New Roman" w:cs="Times New Roman"/>
          <w:sz w:val="24"/>
          <w:szCs w:val="24"/>
          <w14:ligatures w14:val="standardContextual"/>
        </w:rPr>
        <w:t>.</w:t>
      </w:r>
    </w:p>
    <w:tbl>
      <w:tblPr>
        <w:tblW w:w="13860" w:type="dxa"/>
        <w:tblInd w:w="-142" w:type="dxa"/>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3810"/>
        <w:gridCol w:w="1834"/>
        <w:gridCol w:w="1567"/>
        <w:gridCol w:w="2128"/>
        <w:gridCol w:w="1078"/>
        <w:gridCol w:w="3443"/>
      </w:tblGrid>
      <w:tr w:rsidR="00A24D4E" w:rsidRPr="00A24D4E" w14:paraId="4F92AD2B" w14:textId="77777777" w:rsidTr="00A73FD8">
        <w:trPr>
          <w:trHeight w:val="499"/>
        </w:trPr>
        <w:tc>
          <w:tcPr>
            <w:tcW w:w="3810" w:type="dxa"/>
            <w:tcBorders>
              <w:top w:val="single" w:sz="8" w:space="0" w:color="auto"/>
              <w:bottom w:val="single" w:sz="4" w:space="0" w:color="auto"/>
            </w:tcBorders>
            <w:tcMar>
              <w:left w:w="28" w:type="dxa"/>
              <w:right w:w="28" w:type="dxa"/>
            </w:tcMar>
            <w:vAlign w:val="center"/>
            <w:hideMark/>
          </w:tcPr>
          <w:p w14:paraId="542BC3BD" w14:textId="77777777" w:rsidR="00A24D4E" w:rsidRPr="00A24D4E" w:rsidRDefault="00A24D4E" w:rsidP="00A24D4E">
            <w:pPr>
              <w:widowControl/>
              <w:jc w:val="center"/>
              <w:rPr>
                <w:rFonts w:ascii="Times New Roman" w:eastAsia="游ゴシック" w:hAnsi="Times New Roman" w:cs="Times New Roman"/>
                <w:b/>
                <w:bCs/>
                <w:color w:val="000000"/>
                <w:kern w:val="0"/>
                <w:sz w:val="20"/>
                <w:szCs w:val="20"/>
              </w:rPr>
            </w:pPr>
            <w:bookmarkStart w:id="26" w:name="_Hlk203573769"/>
            <w:bookmarkEnd w:id="22"/>
            <w:r w:rsidRPr="00A24D4E">
              <w:rPr>
                <w:rFonts w:ascii="Times New Roman" w:eastAsia="游ゴシック" w:hAnsi="Times New Roman" w:cs="Times New Roman"/>
                <w:b/>
                <w:bCs/>
                <w:color w:val="000000"/>
                <w:kern w:val="0"/>
                <w:sz w:val="20"/>
                <w:szCs w:val="20"/>
              </w:rPr>
              <w:t>Hydrogen energy carriers</w:t>
            </w:r>
          </w:p>
        </w:tc>
        <w:tc>
          <w:tcPr>
            <w:tcW w:w="1834" w:type="dxa"/>
            <w:tcBorders>
              <w:top w:val="single" w:sz="8" w:space="0" w:color="auto"/>
              <w:bottom w:val="single" w:sz="4" w:space="0" w:color="auto"/>
            </w:tcBorders>
            <w:tcMar>
              <w:left w:w="28" w:type="dxa"/>
              <w:right w:w="28" w:type="dxa"/>
            </w:tcMar>
            <w:vAlign w:val="center"/>
            <w:hideMark/>
          </w:tcPr>
          <w:p w14:paraId="2E011B07" w14:textId="77777777" w:rsidR="00A24D4E" w:rsidRPr="00A24D4E" w:rsidRDefault="00A24D4E" w:rsidP="00A24D4E">
            <w:pPr>
              <w:widowControl/>
              <w:jc w:val="center"/>
              <w:rPr>
                <w:rFonts w:ascii="Times New Roman" w:eastAsia="游ゴシック" w:hAnsi="Times New Roman" w:cs="Times New Roman"/>
                <w:b/>
                <w:bCs/>
                <w:color w:val="000000"/>
                <w:kern w:val="0"/>
                <w:sz w:val="20"/>
                <w:szCs w:val="20"/>
              </w:rPr>
            </w:pPr>
            <w:r w:rsidRPr="00A24D4E">
              <w:rPr>
                <w:rFonts w:ascii="Times New Roman" w:eastAsia="游ゴシック" w:hAnsi="Times New Roman" w:cs="Times New Roman"/>
                <w:b/>
                <w:bCs/>
                <w:color w:val="000000"/>
                <w:kern w:val="0"/>
                <w:sz w:val="20"/>
                <w:szCs w:val="20"/>
              </w:rPr>
              <w:t>Volumetric energy density</w:t>
            </w:r>
          </w:p>
        </w:tc>
        <w:tc>
          <w:tcPr>
            <w:tcW w:w="1567" w:type="dxa"/>
            <w:tcBorders>
              <w:top w:val="single" w:sz="8" w:space="0" w:color="auto"/>
              <w:bottom w:val="single" w:sz="4" w:space="0" w:color="auto"/>
            </w:tcBorders>
            <w:tcMar>
              <w:left w:w="28" w:type="dxa"/>
              <w:right w:w="28" w:type="dxa"/>
            </w:tcMar>
            <w:vAlign w:val="center"/>
            <w:hideMark/>
          </w:tcPr>
          <w:p w14:paraId="7B76AE8F" w14:textId="77777777" w:rsidR="00A24D4E" w:rsidRPr="00A24D4E" w:rsidRDefault="00A24D4E" w:rsidP="00A24D4E">
            <w:pPr>
              <w:widowControl/>
              <w:jc w:val="center"/>
              <w:rPr>
                <w:rFonts w:ascii="Times New Roman" w:eastAsia="游ゴシック" w:hAnsi="Times New Roman" w:cs="Times New Roman"/>
                <w:b/>
                <w:bCs/>
                <w:color w:val="000000"/>
                <w:kern w:val="0"/>
                <w:sz w:val="20"/>
                <w:szCs w:val="20"/>
              </w:rPr>
            </w:pPr>
            <w:r w:rsidRPr="00A24D4E">
              <w:rPr>
                <w:rFonts w:ascii="Times New Roman" w:eastAsia="游ゴシック" w:hAnsi="Times New Roman" w:cs="Times New Roman"/>
                <w:b/>
                <w:bCs/>
                <w:color w:val="000000"/>
                <w:kern w:val="0"/>
                <w:sz w:val="20"/>
                <w:szCs w:val="20"/>
              </w:rPr>
              <w:t>Mass energy density</w:t>
            </w:r>
          </w:p>
        </w:tc>
        <w:tc>
          <w:tcPr>
            <w:tcW w:w="2128" w:type="dxa"/>
            <w:tcBorders>
              <w:top w:val="single" w:sz="8" w:space="0" w:color="auto"/>
              <w:bottom w:val="single" w:sz="4" w:space="0" w:color="auto"/>
            </w:tcBorders>
            <w:tcMar>
              <w:left w:w="28" w:type="dxa"/>
              <w:right w:w="28" w:type="dxa"/>
            </w:tcMar>
            <w:vAlign w:val="center"/>
            <w:hideMark/>
          </w:tcPr>
          <w:p w14:paraId="1313AE0C" w14:textId="77777777" w:rsidR="00A24D4E" w:rsidRPr="00A24D4E" w:rsidRDefault="00A24D4E" w:rsidP="00A24D4E">
            <w:pPr>
              <w:widowControl/>
              <w:jc w:val="center"/>
              <w:rPr>
                <w:rFonts w:ascii="Times New Roman" w:eastAsia="游ゴシック" w:hAnsi="Times New Roman" w:cs="Times New Roman"/>
                <w:b/>
                <w:bCs/>
                <w:color w:val="000000"/>
                <w:kern w:val="0"/>
                <w:sz w:val="20"/>
                <w:szCs w:val="20"/>
              </w:rPr>
            </w:pPr>
            <w:r w:rsidRPr="00A24D4E">
              <w:rPr>
                <w:rFonts w:ascii="Times New Roman" w:eastAsia="游ゴシック" w:hAnsi="Times New Roman" w:cs="Times New Roman"/>
                <w:b/>
                <w:bCs/>
                <w:color w:val="000000"/>
                <w:kern w:val="0"/>
                <w:sz w:val="20"/>
                <w:szCs w:val="20"/>
              </w:rPr>
              <w:t>Storage conditions</w:t>
            </w:r>
          </w:p>
        </w:tc>
        <w:tc>
          <w:tcPr>
            <w:tcW w:w="1078" w:type="dxa"/>
            <w:tcBorders>
              <w:top w:val="single" w:sz="8" w:space="0" w:color="auto"/>
              <w:bottom w:val="single" w:sz="4" w:space="0" w:color="auto"/>
            </w:tcBorders>
            <w:tcMar>
              <w:left w:w="28" w:type="dxa"/>
              <w:right w:w="28" w:type="dxa"/>
            </w:tcMar>
            <w:vAlign w:val="center"/>
            <w:hideMark/>
          </w:tcPr>
          <w:p w14:paraId="7508ACD7" w14:textId="77777777" w:rsidR="00A24D4E" w:rsidRPr="00A24D4E" w:rsidRDefault="00A24D4E" w:rsidP="00A24D4E">
            <w:pPr>
              <w:widowControl/>
              <w:jc w:val="center"/>
              <w:rPr>
                <w:rFonts w:ascii="Times New Roman" w:eastAsia="游ゴシック" w:hAnsi="Times New Roman" w:cs="Times New Roman"/>
                <w:b/>
                <w:bCs/>
                <w:color w:val="000000"/>
                <w:kern w:val="0"/>
                <w:sz w:val="20"/>
                <w:szCs w:val="20"/>
              </w:rPr>
            </w:pPr>
            <w:r w:rsidRPr="00A24D4E">
              <w:rPr>
                <w:rFonts w:ascii="Times New Roman" w:eastAsia="游ゴシック" w:hAnsi="Times New Roman" w:cs="Times New Roman"/>
                <w:b/>
                <w:bCs/>
                <w:color w:val="000000"/>
                <w:kern w:val="0"/>
                <w:sz w:val="20"/>
                <w:szCs w:val="20"/>
              </w:rPr>
              <w:t>Long-term storage</w:t>
            </w:r>
          </w:p>
        </w:tc>
        <w:tc>
          <w:tcPr>
            <w:tcW w:w="3443" w:type="dxa"/>
            <w:tcBorders>
              <w:top w:val="single" w:sz="8" w:space="0" w:color="auto"/>
              <w:bottom w:val="single" w:sz="4" w:space="0" w:color="auto"/>
            </w:tcBorders>
            <w:noWrap/>
            <w:tcMar>
              <w:left w:w="28" w:type="dxa"/>
              <w:right w:w="28" w:type="dxa"/>
            </w:tcMar>
            <w:vAlign w:val="center"/>
            <w:hideMark/>
          </w:tcPr>
          <w:p w14:paraId="68DBB3EE" w14:textId="77777777" w:rsidR="00A24D4E" w:rsidRPr="00A24D4E" w:rsidRDefault="00A24D4E" w:rsidP="00A24D4E">
            <w:pPr>
              <w:widowControl/>
              <w:jc w:val="left"/>
              <w:rPr>
                <w:rFonts w:ascii="Times New Roman" w:eastAsia="游ゴシック" w:hAnsi="Times New Roman" w:cs="Times New Roman"/>
                <w:b/>
                <w:bCs/>
                <w:color w:val="000000"/>
                <w:kern w:val="0"/>
                <w:sz w:val="20"/>
                <w:szCs w:val="20"/>
              </w:rPr>
            </w:pPr>
            <w:r w:rsidRPr="00A24D4E">
              <w:rPr>
                <w:rFonts w:ascii="Times New Roman" w:eastAsia="游ゴシック" w:hAnsi="Times New Roman" w:cs="Times New Roman"/>
                <w:b/>
                <w:bCs/>
                <w:color w:val="000000"/>
                <w:kern w:val="0"/>
                <w:sz w:val="20"/>
                <w:szCs w:val="20"/>
              </w:rPr>
              <w:t xml:space="preserve">                     Remarks</w:t>
            </w:r>
          </w:p>
        </w:tc>
      </w:tr>
      <w:tr w:rsidR="00A24D4E" w:rsidRPr="00A24D4E" w14:paraId="1D1FAEF8" w14:textId="77777777" w:rsidTr="00A73FD8">
        <w:trPr>
          <w:trHeight w:val="402"/>
        </w:trPr>
        <w:tc>
          <w:tcPr>
            <w:tcW w:w="3810" w:type="dxa"/>
            <w:tcBorders>
              <w:top w:val="single" w:sz="4" w:space="0" w:color="auto"/>
            </w:tcBorders>
            <w:noWrap/>
            <w:tcMar>
              <w:left w:w="28" w:type="dxa"/>
              <w:right w:w="28" w:type="dxa"/>
            </w:tcMar>
            <w:vAlign w:val="center"/>
            <w:hideMark/>
          </w:tcPr>
          <w:p w14:paraId="490A2030"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High pressure hydrogen gas (H</w:t>
            </w:r>
            <w:r w:rsidRPr="00A24D4E">
              <w:rPr>
                <w:rFonts w:ascii="Times New Roman" w:eastAsia="游ゴシック" w:hAnsi="Times New Roman" w:cs="Times New Roman"/>
                <w:color w:val="000000"/>
                <w:kern w:val="0"/>
                <w:sz w:val="20"/>
                <w:szCs w:val="20"/>
                <w:vertAlign w:val="subscript"/>
              </w:rPr>
              <w:t>2</w:t>
            </w:r>
            <w:r w:rsidRPr="00A24D4E">
              <w:rPr>
                <w:rFonts w:ascii="Times New Roman" w:eastAsia="游ゴシック" w:hAnsi="Times New Roman" w:cs="Times New Roman"/>
                <w:color w:val="000000"/>
                <w:kern w:val="0"/>
                <w:sz w:val="20"/>
                <w:szCs w:val="20"/>
              </w:rPr>
              <w:t>)</w:t>
            </w:r>
          </w:p>
        </w:tc>
        <w:tc>
          <w:tcPr>
            <w:tcW w:w="1834" w:type="dxa"/>
            <w:tcBorders>
              <w:top w:val="single" w:sz="4" w:space="0" w:color="auto"/>
            </w:tcBorders>
            <w:noWrap/>
            <w:tcMar>
              <w:left w:w="28" w:type="dxa"/>
              <w:right w:w="28" w:type="dxa"/>
            </w:tcMar>
            <w:vAlign w:val="center"/>
            <w:hideMark/>
          </w:tcPr>
          <w:p w14:paraId="2481BBEA"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767/1,200 Wh/L</w:t>
            </w:r>
          </w:p>
        </w:tc>
        <w:tc>
          <w:tcPr>
            <w:tcW w:w="1567" w:type="dxa"/>
            <w:tcBorders>
              <w:top w:val="single" w:sz="4" w:space="0" w:color="auto"/>
            </w:tcBorders>
            <w:noWrap/>
            <w:tcMar>
              <w:left w:w="28" w:type="dxa"/>
              <w:right w:w="28" w:type="dxa"/>
            </w:tcMar>
            <w:vAlign w:val="center"/>
            <w:hideMark/>
          </w:tcPr>
          <w:p w14:paraId="2012B7C2"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32,900 Wh/kg</w:t>
            </w:r>
          </w:p>
        </w:tc>
        <w:tc>
          <w:tcPr>
            <w:tcW w:w="2128" w:type="dxa"/>
            <w:tcBorders>
              <w:top w:val="single" w:sz="4" w:space="0" w:color="auto"/>
            </w:tcBorders>
            <w:noWrap/>
            <w:tcMar>
              <w:left w:w="28" w:type="dxa"/>
              <w:right w:w="28" w:type="dxa"/>
            </w:tcMar>
            <w:vAlign w:val="center"/>
            <w:hideMark/>
          </w:tcPr>
          <w:p w14:paraId="0920465A"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Cambria Math" w:eastAsia="游ゴシック" w:hAnsi="Cambria Math" w:cs="Cambria Math"/>
                <w:color w:val="000000"/>
                <w:kern w:val="0"/>
                <w:sz w:val="20"/>
                <w:szCs w:val="20"/>
              </w:rPr>
              <w:t>△</w:t>
            </w:r>
            <w:r w:rsidRPr="00A24D4E">
              <w:rPr>
                <w:rFonts w:ascii="Times New Roman" w:eastAsia="游ゴシック" w:hAnsi="Times New Roman" w:cs="Times New Roman"/>
                <w:color w:val="000000"/>
                <w:kern w:val="0"/>
                <w:sz w:val="20"/>
                <w:szCs w:val="20"/>
              </w:rPr>
              <w:t xml:space="preserve"> 35/70MPa</w:t>
            </w:r>
          </w:p>
        </w:tc>
        <w:tc>
          <w:tcPr>
            <w:tcW w:w="1078" w:type="dxa"/>
            <w:tcBorders>
              <w:top w:val="single" w:sz="4" w:space="0" w:color="auto"/>
            </w:tcBorders>
            <w:noWrap/>
            <w:tcMar>
              <w:left w:w="28" w:type="dxa"/>
              <w:right w:w="28" w:type="dxa"/>
            </w:tcMar>
            <w:vAlign w:val="center"/>
            <w:hideMark/>
          </w:tcPr>
          <w:p w14:paraId="36379900"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tcBorders>
              <w:top w:val="single" w:sz="4" w:space="0" w:color="auto"/>
            </w:tcBorders>
            <w:noWrap/>
            <w:tcMar>
              <w:left w:w="28" w:type="dxa"/>
              <w:right w:w="28" w:type="dxa"/>
            </w:tcMar>
            <w:vAlign w:val="center"/>
            <w:hideMark/>
          </w:tcPr>
          <w:p w14:paraId="0DF57895"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Highly flammable, explosive</w:t>
            </w:r>
          </w:p>
        </w:tc>
      </w:tr>
      <w:tr w:rsidR="00A24D4E" w:rsidRPr="00A24D4E" w14:paraId="3F22E38F" w14:textId="77777777" w:rsidTr="00A73FD8">
        <w:trPr>
          <w:trHeight w:val="407"/>
        </w:trPr>
        <w:tc>
          <w:tcPr>
            <w:tcW w:w="3810" w:type="dxa"/>
            <w:noWrap/>
            <w:tcMar>
              <w:left w:w="28" w:type="dxa"/>
              <w:right w:w="28" w:type="dxa"/>
            </w:tcMar>
            <w:vAlign w:val="center"/>
            <w:hideMark/>
          </w:tcPr>
          <w:p w14:paraId="63881477"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Liquid hydrogen (LH</w:t>
            </w:r>
            <w:r w:rsidRPr="00A24D4E">
              <w:rPr>
                <w:rFonts w:ascii="Times New Roman" w:eastAsia="游ゴシック" w:hAnsi="Times New Roman" w:cs="Times New Roman"/>
                <w:color w:val="000000"/>
                <w:kern w:val="0"/>
                <w:sz w:val="20"/>
                <w:szCs w:val="20"/>
                <w:vertAlign w:val="subscript"/>
              </w:rPr>
              <w:t>2</w:t>
            </w:r>
            <w:r w:rsidRPr="00A24D4E">
              <w:rPr>
                <w:rFonts w:ascii="Times New Roman" w:eastAsia="游ゴシック" w:hAnsi="Times New Roman" w:cs="Times New Roman"/>
                <w:color w:val="000000"/>
                <w:kern w:val="0"/>
                <w:sz w:val="20"/>
                <w:szCs w:val="20"/>
              </w:rPr>
              <w:t>)</w:t>
            </w:r>
          </w:p>
        </w:tc>
        <w:tc>
          <w:tcPr>
            <w:tcW w:w="1834" w:type="dxa"/>
            <w:noWrap/>
            <w:tcMar>
              <w:left w:w="28" w:type="dxa"/>
              <w:right w:w="28" w:type="dxa"/>
            </w:tcMar>
            <w:vAlign w:val="center"/>
            <w:hideMark/>
          </w:tcPr>
          <w:p w14:paraId="76861828"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ＭＳ 明朝" w:eastAsia="ＭＳ 明朝" w:hAnsi="ＭＳ 明朝" w:cs="Times New Roman" w:hint="eastAsia"/>
                <w:color w:val="000000"/>
                <w:kern w:val="0"/>
                <w:sz w:val="20"/>
                <w:szCs w:val="20"/>
              </w:rPr>
              <w:t>〇</w:t>
            </w:r>
            <w:r w:rsidRPr="00A24D4E">
              <w:rPr>
                <w:rFonts w:ascii="Times New Roman" w:eastAsia="游ゴシック" w:hAnsi="Times New Roman" w:cs="Times New Roman"/>
                <w:color w:val="000000"/>
                <w:kern w:val="0"/>
                <w:sz w:val="20"/>
                <w:szCs w:val="20"/>
              </w:rPr>
              <w:t xml:space="preserve">           2,330 Wh/L</w:t>
            </w:r>
          </w:p>
        </w:tc>
        <w:tc>
          <w:tcPr>
            <w:tcW w:w="1567" w:type="dxa"/>
            <w:noWrap/>
            <w:tcMar>
              <w:left w:w="28" w:type="dxa"/>
              <w:right w:w="28" w:type="dxa"/>
            </w:tcMar>
            <w:vAlign w:val="center"/>
            <w:hideMark/>
          </w:tcPr>
          <w:p w14:paraId="1159AB33"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32,900 Wh/kg</w:t>
            </w:r>
          </w:p>
        </w:tc>
        <w:tc>
          <w:tcPr>
            <w:tcW w:w="2128" w:type="dxa"/>
            <w:noWrap/>
            <w:tcMar>
              <w:left w:w="28" w:type="dxa"/>
              <w:right w:w="28" w:type="dxa"/>
            </w:tcMar>
            <w:vAlign w:val="center"/>
            <w:hideMark/>
          </w:tcPr>
          <w:p w14:paraId="38096FF6"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w:t>
            </w:r>
            <w:r w:rsidRPr="00A24D4E">
              <w:rPr>
                <w:rFonts w:ascii="游ゴシック" w:eastAsia="游ゴシック" w:hAnsi="游ゴシック" w:cs="Times New Roman" w:hint="eastAsia"/>
                <w:color w:val="000000"/>
                <w:kern w:val="0"/>
                <w:sz w:val="20"/>
                <w:szCs w:val="20"/>
              </w:rPr>
              <w:t>－</w:t>
            </w:r>
            <w:r w:rsidRPr="00A24D4E">
              <w:rPr>
                <w:rFonts w:ascii="Times New Roman" w:eastAsia="游ゴシック" w:hAnsi="Times New Roman" w:cs="Times New Roman"/>
                <w:color w:val="000000"/>
                <w:kern w:val="0"/>
                <w:sz w:val="20"/>
                <w:szCs w:val="20"/>
              </w:rPr>
              <w:t>253</w:t>
            </w:r>
            <w:r w:rsidRPr="00A24D4E">
              <w:rPr>
                <w:rFonts w:ascii="Segoe UI Symbol" w:eastAsia="游ゴシック" w:hAnsi="Segoe UI Symbol" w:cs="Times New Roman"/>
                <w:color w:val="000000"/>
                <w:kern w:val="0"/>
                <w:sz w:val="20"/>
                <w:szCs w:val="20"/>
              </w:rPr>
              <w:t>℃</w:t>
            </w:r>
          </w:p>
        </w:tc>
        <w:tc>
          <w:tcPr>
            <w:tcW w:w="1078" w:type="dxa"/>
            <w:noWrap/>
            <w:tcMar>
              <w:left w:w="28" w:type="dxa"/>
              <w:right w:w="28" w:type="dxa"/>
            </w:tcMar>
            <w:vAlign w:val="center"/>
            <w:hideMark/>
          </w:tcPr>
          <w:p w14:paraId="5D18FF31"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2302D7F0"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Highly flammable, explosive</w:t>
            </w:r>
          </w:p>
        </w:tc>
      </w:tr>
      <w:tr w:rsidR="00A24D4E" w:rsidRPr="00A24D4E" w14:paraId="4F3B3E8A" w14:textId="77777777" w:rsidTr="00A73FD8">
        <w:trPr>
          <w:trHeight w:val="413"/>
        </w:trPr>
        <w:tc>
          <w:tcPr>
            <w:tcW w:w="3810" w:type="dxa"/>
            <w:tcMar>
              <w:left w:w="28" w:type="dxa"/>
              <w:right w:w="28" w:type="dxa"/>
            </w:tcMar>
            <w:vAlign w:val="center"/>
            <w:hideMark/>
          </w:tcPr>
          <w:p w14:paraId="3880C8D4"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Fuel liquefied ammonia (LNH</w:t>
            </w:r>
            <w:r w:rsidRPr="00A24D4E">
              <w:rPr>
                <w:rFonts w:ascii="Times New Roman" w:eastAsia="游ゴシック" w:hAnsi="Times New Roman" w:cs="Times New Roman"/>
                <w:color w:val="000000"/>
                <w:kern w:val="0"/>
                <w:sz w:val="20"/>
                <w:szCs w:val="20"/>
                <w:vertAlign w:val="subscript"/>
              </w:rPr>
              <w:t>3</w:t>
            </w:r>
            <w:r w:rsidRPr="00A24D4E">
              <w:rPr>
                <w:rFonts w:ascii="Times New Roman" w:eastAsia="游ゴシック" w:hAnsi="Times New Roman" w:cs="Times New Roman"/>
                <w:color w:val="000000"/>
                <w:kern w:val="0"/>
                <w:sz w:val="20"/>
                <w:szCs w:val="20"/>
              </w:rPr>
              <w:t>)</w:t>
            </w:r>
          </w:p>
        </w:tc>
        <w:tc>
          <w:tcPr>
            <w:tcW w:w="1834" w:type="dxa"/>
            <w:noWrap/>
            <w:tcMar>
              <w:left w:w="28" w:type="dxa"/>
              <w:right w:w="28" w:type="dxa"/>
            </w:tcMar>
            <w:vAlign w:val="center"/>
            <w:hideMark/>
          </w:tcPr>
          <w:p w14:paraId="3FA54BBA"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ＭＳ 明朝" w:eastAsia="ＭＳ 明朝" w:hAnsi="ＭＳ 明朝" w:cs="Times New Roman" w:hint="eastAsia"/>
                <w:color w:val="000000"/>
                <w:kern w:val="0"/>
                <w:sz w:val="20"/>
                <w:szCs w:val="20"/>
              </w:rPr>
              <w:t>〇</w:t>
            </w:r>
            <w:r w:rsidRPr="00A24D4E">
              <w:rPr>
                <w:rFonts w:ascii="Times New Roman" w:eastAsia="游ゴシック" w:hAnsi="Times New Roman" w:cs="Times New Roman"/>
                <w:color w:val="000000"/>
                <w:kern w:val="0"/>
                <w:sz w:val="20"/>
                <w:szCs w:val="20"/>
              </w:rPr>
              <w:t xml:space="preserve">           3,960 Wh/L</w:t>
            </w:r>
          </w:p>
        </w:tc>
        <w:tc>
          <w:tcPr>
            <w:tcW w:w="1567" w:type="dxa"/>
            <w:noWrap/>
            <w:tcMar>
              <w:left w:w="28" w:type="dxa"/>
              <w:right w:w="28" w:type="dxa"/>
            </w:tcMar>
            <w:vAlign w:val="center"/>
            <w:hideMark/>
          </w:tcPr>
          <w:p w14:paraId="4356E8D3" w14:textId="04DD8BD4"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メイリオ" w:eastAsia="メイリオ" w:hAnsi="メイリオ" w:cs="Times New Roman" w:hint="eastAsia"/>
                <w:color w:val="000000"/>
                <w:kern w:val="0"/>
                <w:sz w:val="20"/>
                <w:szCs w:val="20"/>
              </w:rPr>
              <w:t>〇</w:t>
            </w:r>
            <w:r w:rsidR="00DB064A">
              <w:rPr>
                <w:rFonts w:ascii="メイリオ" w:eastAsia="メイリオ" w:hAnsi="メイリオ"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5,810 Wh/kg</w:t>
            </w:r>
          </w:p>
        </w:tc>
        <w:tc>
          <w:tcPr>
            <w:tcW w:w="2128" w:type="dxa"/>
            <w:noWrap/>
            <w:tcMar>
              <w:left w:w="28" w:type="dxa"/>
              <w:right w:w="28" w:type="dxa"/>
            </w:tcMar>
            <w:vAlign w:val="center"/>
            <w:hideMark/>
          </w:tcPr>
          <w:p w14:paraId="782EC0B7"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Room temp., 0.86MPa</w:t>
            </w:r>
          </w:p>
        </w:tc>
        <w:tc>
          <w:tcPr>
            <w:tcW w:w="1078" w:type="dxa"/>
            <w:noWrap/>
            <w:tcMar>
              <w:left w:w="28" w:type="dxa"/>
              <w:right w:w="28" w:type="dxa"/>
            </w:tcMar>
            <w:vAlign w:val="center"/>
            <w:hideMark/>
          </w:tcPr>
          <w:p w14:paraId="34A4130F"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157BF38E"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Acute toxicity, </w:t>
            </w:r>
            <w:r w:rsidRPr="00A24D4E">
              <w:rPr>
                <w:rFonts w:ascii="游ゴシック" w:eastAsia="游ゴシック" w:hAnsi="游ゴシック" w:cs="Times New Roman" w:hint="eastAsia"/>
                <w:color w:val="000000"/>
                <w:kern w:val="0"/>
                <w:sz w:val="20"/>
                <w:szCs w:val="20"/>
              </w:rPr>
              <w:t>〇</w:t>
            </w:r>
            <w:r w:rsidRPr="00A24D4E">
              <w:rPr>
                <w:rFonts w:ascii="Times New Roman" w:eastAsia="游ゴシック" w:hAnsi="Times New Roman" w:cs="Times New Roman"/>
                <w:color w:val="000000"/>
                <w:kern w:val="0"/>
                <w:sz w:val="20"/>
                <w:szCs w:val="20"/>
              </w:rPr>
              <w:t xml:space="preserve"> Many achievements</w:t>
            </w:r>
          </w:p>
        </w:tc>
      </w:tr>
      <w:tr w:rsidR="00A24D4E" w:rsidRPr="00A24D4E" w14:paraId="734EC954" w14:textId="77777777" w:rsidTr="00A73FD8">
        <w:trPr>
          <w:trHeight w:val="406"/>
        </w:trPr>
        <w:tc>
          <w:tcPr>
            <w:tcW w:w="3810" w:type="dxa"/>
            <w:noWrap/>
            <w:tcMar>
              <w:left w:w="28" w:type="dxa"/>
              <w:right w:w="28" w:type="dxa"/>
            </w:tcMar>
            <w:vAlign w:val="center"/>
            <w:hideMark/>
          </w:tcPr>
          <w:p w14:paraId="2EDB1790"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Methylcyclohexane (MCH)</w:t>
            </w:r>
          </w:p>
        </w:tc>
        <w:tc>
          <w:tcPr>
            <w:tcW w:w="1834" w:type="dxa"/>
            <w:noWrap/>
            <w:tcMar>
              <w:left w:w="28" w:type="dxa"/>
              <w:right w:w="28" w:type="dxa"/>
            </w:tcMar>
            <w:vAlign w:val="center"/>
            <w:hideMark/>
          </w:tcPr>
          <w:p w14:paraId="2623CA94"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1,550 Wh/L</w:t>
            </w:r>
          </w:p>
        </w:tc>
        <w:tc>
          <w:tcPr>
            <w:tcW w:w="1567" w:type="dxa"/>
            <w:noWrap/>
            <w:tcMar>
              <w:left w:w="28" w:type="dxa"/>
              <w:right w:w="28" w:type="dxa"/>
            </w:tcMar>
            <w:vAlign w:val="center"/>
            <w:hideMark/>
          </w:tcPr>
          <w:p w14:paraId="461F4C62" w14:textId="73F7CD02"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00DB064A">
              <w:rPr>
                <w:rFonts w:ascii="Segoe UI Symbol" w:eastAsia="游ゴシック" w:hAnsi="Segoe UI Symbol"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2,010 Wh/kg</w:t>
            </w:r>
          </w:p>
        </w:tc>
        <w:tc>
          <w:tcPr>
            <w:tcW w:w="2128" w:type="dxa"/>
            <w:noWrap/>
            <w:tcMar>
              <w:left w:w="28" w:type="dxa"/>
              <w:right w:w="28" w:type="dxa"/>
            </w:tcMar>
            <w:vAlign w:val="center"/>
            <w:hideMark/>
          </w:tcPr>
          <w:p w14:paraId="39C2236B"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Room temperature</w:t>
            </w:r>
          </w:p>
        </w:tc>
        <w:tc>
          <w:tcPr>
            <w:tcW w:w="1078" w:type="dxa"/>
            <w:noWrap/>
            <w:tcMar>
              <w:left w:w="28" w:type="dxa"/>
              <w:right w:w="28" w:type="dxa"/>
            </w:tcMar>
            <w:vAlign w:val="center"/>
            <w:hideMark/>
          </w:tcPr>
          <w:p w14:paraId="67D59536" w14:textId="77777777" w:rsidR="00A24D4E" w:rsidRPr="00A24D4E" w:rsidRDefault="00A24D4E" w:rsidP="00A24D4E">
            <w:pPr>
              <w:widowControl/>
              <w:jc w:val="center"/>
              <w:rPr>
                <w:rFonts w:ascii="Times New Roman" w:eastAsia="游ゴシック" w:hAnsi="Times New Roman" w:cs="Times New Roman"/>
                <w:color w:val="000000"/>
                <w:kern w:val="0"/>
                <w:sz w:val="20"/>
                <w:szCs w:val="20"/>
              </w:rPr>
            </w:pPr>
            <w:r w:rsidRPr="00A24D4E">
              <w:rPr>
                <w:rFonts w:ascii="メイリオ" w:eastAsia="メイリオ" w:hAnsi="メイリオ" w:cs="Times New Roman" w:hint="eastAsia"/>
                <w:color w:val="000000"/>
                <w:kern w:val="0"/>
                <w:sz w:val="20"/>
                <w:szCs w:val="20"/>
              </w:rPr>
              <w:t>〇</w:t>
            </w:r>
          </w:p>
        </w:tc>
        <w:tc>
          <w:tcPr>
            <w:tcW w:w="3443" w:type="dxa"/>
            <w:noWrap/>
            <w:tcMar>
              <w:left w:w="28" w:type="dxa"/>
              <w:right w:w="28" w:type="dxa"/>
            </w:tcMar>
            <w:vAlign w:val="center"/>
            <w:hideMark/>
          </w:tcPr>
          <w:p w14:paraId="07CA348D"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メイリオ" w:eastAsia="メイリオ" w:hAnsi="メイリオ" w:cs="Times New Roman" w:hint="eastAsia"/>
                <w:color w:val="000000"/>
                <w:kern w:val="0"/>
                <w:sz w:val="20"/>
                <w:szCs w:val="20"/>
              </w:rPr>
              <w:t>〇</w:t>
            </w:r>
            <w:r w:rsidRPr="00A24D4E">
              <w:rPr>
                <w:rFonts w:ascii="Times New Roman" w:eastAsia="游ゴシック" w:hAnsi="Times New Roman" w:cs="Times New Roman"/>
                <w:color w:val="000000"/>
                <w:kern w:val="0"/>
                <w:sz w:val="20"/>
                <w:szCs w:val="20"/>
              </w:rPr>
              <w:t xml:space="preserve"> Flammability comparable to gasoline</w:t>
            </w:r>
          </w:p>
        </w:tc>
      </w:tr>
      <w:tr w:rsidR="00A24D4E" w:rsidRPr="00A24D4E" w14:paraId="367C8605" w14:textId="77777777" w:rsidTr="00A73FD8">
        <w:trPr>
          <w:trHeight w:val="398"/>
        </w:trPr>
        <w:tc>
          <w:tcPr>
            <w:tcW w:w="3810" w:type="dxa"/>
            <w:noWrap/>
            <w:tcMar>
              <w:left w:w="28" w:type="dxa"/>
              <w:right w:w="28" w:type="dxa"/>
            </w:tcMar>
            <w:vAlign w:val="center"/>
            <w:hideMark/>
          </w:tcPr>
          <w:p w14:paraId="308E9FFD"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(ref.) Liquefied natural gas (LNG)</w:t>
            </w:r>
          </w:p>
        </w:tc>
        <w:tc>
          <w:tcPr>
            <w:tcW w:w="1834" w:type="dxa"/>
            <w:noWrap/>
            <w:tcMar>
              <w:left w:w="28" w:type="dxa"/>
              <w:right w:w="28" w:type="dxa"/>
            </w:tcMar>
            <w:vAlign w:val="center"/>
            <w:hideMark/>
          </w:tcPr>
          <w:p w14:paraId="6A9C8C24"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6,977 Wh/L</w:t>
            </w:r>
          </w:p>
        </w:tc>
        <w:tc>
          <w:tcPr>
            <w:tcW w:w="1567" w:type="dxa"/>
            <w:noWrap/>
            <w:tcMar>
              <w:left w:w="28" w:type="dxa"/>
              <w:right w:w="28" w:type="dxa"/>
            </w:tcMar>
            <w:vAlign w:val="center"/>
            <w:hideMark/>
          </w:tcPr>
          <w:p w14:paraId="12B93C1D" w14:textId="0480CE7A"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w:t>
            </w:r>
            <w:r w:rsidR="00DB064A">
              <w:rPr>
                <w:rFonts w:ascii="Times New Roman" w:eastAsia="游ゴシック" w:hAnsi="Times New Roman"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15,167 Wh/kg</w:t>
            </w:r>
          </w:p>
        </w:tc>
        <w:tc>
          <w:tcPr>
            <w:tcW w:w="2128" w:type="dxa"/>
            <w:noWrap/>
            <w:tcMar>
              <w:left w:w="28" w:type="dxa"/>
              <w:right w:w="28" w:type="dxa"/>
            </w:tcMar>
            <w:vAlign w:val="center"/>
            <w:hideMark/>
          </w:tcPr>
          <w:p w14:paraId="6743E1C0"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w:t>
            </w:r>
            <w:r w:rsidRPr="00A24D4E">
              <w:rPr>
                <w:rFonts w:ascii="游ゴシック" w:eastAsia="游ゴシック" w:hAnsi="游ゴシック" w:cs="Times New Roman" w:hint="eastAsia"/>
                <w:color w:val="000000"/>
                <w:kern w:val="0"/>
                <w:sz w:val="20"/>
                <w:szCs w:val="20"/>
              </w:rPr>
              <w:t>－</w:t>
            </w:r>
            <w:r w:rsidRPr="00A24D4E">
              <w:rPr>
                <w:rFonts w:ascii="Times New Roman" w:eastAsia="游ゴシック" w:hAnsi="Times New Roman" w:cs="Times New Roman"/>
                <w:color w:val="000000"/>
                <w:kern w:val="0"/>
                <w:sz w:val="20"/>
                <w:szCs w:val="20"/>
              </w:rPr>
              <w:t>161.5</w:t>
            </w:r>
            <w:r w:rsidRPr="00A24D4E">
              <w:rPr>
                <w:rFonts w:ascii="Segoe UI Symbol" w:eastAsia="游ゴシック" w:hAnsi="Segoe UI Symbol" w:cs="Times New Roman"/>
                <w:color w:val="000000"/>
                <w:kern w:val="0"/>
                <w:sz w:val="20"/>
                <w:szCs w:val="20"/>
              </w:rPr>
              <w:t>℃</w:t>
            </w:r>
          </w:p>
        </w:tc>
        <w:tc>
          <w:tcPr>
            <w:tcW w:w="1078" w:type="dxa"/>
            <w:noWrap/>
            <w:tcMar>
              <w:left w:w="28" w:type="dxa"/>
              <w:right w:w="28" w:type="dxa"/>
            </w:tcMar>
            <w:vAlign w:val="center"/>
            <w:hideMark/>
          </w:tcPr>
          <w:p w14:paraId="32386BF3"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39922404"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CO</w:t>
            </w:r>
            <w:r w:rsidRPr="00A24D4E">
              <w:rPr>
                <w:rFonts w:ascii="Times New Roman" w:eastAsia="游ゴシック" w:hAnsi="Times New Roman" w:cs="Times New Roman"/>
                <w:color w:val="000000"/>
                <w:kern w:val="0"/>
                <w:sz w:val="20"/>
                <w:szCs w:val="20"/>
                <w:vertAlign w:val="subscript"/>
              </w:rPr>
              <w:t>2</w:t>
            </w:r>
            <w:r w:rsidRPr="00A24D4E">
              <w:rPr>
                <w:rFonts w:ascii="Times New Roman" w:eastAsia="游ゴシック" w:hAnsi="Times New Roman" w:cs="Times New Roman"/>
                <w:color w:val="000000"/>
                <w:kern w:val="0"/>
                <w:sz w:val="20"/>
                <w:szCs w:val="20"/>
              </w:rPr>
              <w:t xml:space="preserve"> emissions</w:t>
            </w:r>
          </w:p>
        </w:tc>
      </w:tr>
      <w:tr w:rsidR="00A24D4E" w:rsidRPr="00A24D4E" w14:paraId="48E9C3CC" w14:textId="77777777" w:rsidTr="00A73FD8">
        <w:trPr>
          <w:trHeight w:val="403"/>
        </w:trPr>
        <w:tc>
          <w:tcPr>
            <w:tcW w:w="3810" w:type="dxa"/>
            <w:noWrap/>
            <w:tcMar>
              <w:left w:w="28" w:type="dxa"/>
              <w:right w:w="28" w:type="dxa"/>
            </w:tcMar>
            <w:vAlign w:val="center"/>
            <w:hideMark/>
          </w:tcPr>
          <w:p w14:paraId="622E3C1D"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(ref.) Crude oil</w:t>
            </w:r>
          </w:p>
        </w:tc>
        <w:tc>
          <w:tcPr>
            <w:tcW w:w="1834" w:type="dxa"/>
            <w:noWrap/>
            <w:tcMar>
              <w:left w:w="28" w:type="dxa"/>
              <w:right w:w="28" w:type="dxa"/>
            </w:tcMar>
            <w:vAlign w:val="center"/>
            <w:hideMark/>
          </w:tcPr>
          <w:p w14:paraId="22C51D9F"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10,628 Wh/L</w:t>
            </w:r>
          </w:p>
        </w:tc>
        <w:tc>
          <w:tcPr>
            <w:tcW w:w="1567" w:type="dxa"/>
            <w:noWrap/>
            <w:tcMar>
              <w:left w:w="28" w:type="dxa"/>
              <w:right w:w="28" w:type="dxa"/>
            </w:tcMar>
            <w:vAlign w:val="center"/>
            <w:hideMark/>
          </w:tcPr>
          <w:p w14:paraId="7F0E249D" w14:textId="5C7DBE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w:t>
            </w:r>
            <w:r w:rsidR="00DB064A">
              <w:rPr>
                <w:rFonts w:ascii="Times New Roman" w:eastAsia="游ゴシック" w:hAnsi="Times New Roman"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12,541 Wh/kg</w:t>
            </w:r>
          </w:p>
        </w:tc>
        <w:tc>
          <w:tcPr>
            <w:tcW w:w="2128" w:type="dxa"/>
            <w:noWrap/>
            <w:tcMar>
              <w:left w:w="28" w:type="dxa"/>
              <w:right w:w="28" w:type="dxa"/>
            </w:tcMar>
            <w:vAlign w:val="center"/>
            <w:hideMark/>
          </w:tcPr>
          <w:p w14:paraId="5C9FA2A7"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Room temperature</w:t>
            </w:r>
          </w:p>
        </w:tc>
        <w:tc>
          <w:tcPr>
            <w:tcW w:w="1078" w:type="dxa"/>
            <w:noWrap/>
            <w:tcMar>
              <w:left w:w="28" w:type="dxa"/>
              <w:right w:w="28" w:type="dxa"/>
            </w:tcMar>
            <w:vAlign w:val="center"/>
            <w:hideMark/>
          </w:tcPr>
          <w:p w14:paraId="732FD82D"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0D852BB0"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Large amount of CO</w:t>
            </w:r>
            <w:r w:rsidRPr="00A24D4E">
              <w:rPr>
                <w:rFonts w:ascii="Times New Roman" w:eastAsia="游ゴシック" w:hAnsi="Times New Roman" w:cs="Times New Roman"/>
                <w:color w:val="000000"/>
                <w:kern w:val="0"/>
                <w:sz w:val="20"/>
                <w:szCs w:val="20"/>
                <w:vertAlign w:val="subscript"/>
              </w:rPr>
              <w:t>2</w:t>
            </w:r>
            <w:r w:rsidRPr="00A24D4E">
              <w:rPr>
                <w:rFonts w:ascii="Times New Roman" w:eastAsia="游ゴシック" w:hAnsi="Times New Roman" w:cs="Times New Roman"/>
                <w:color w:val="000000"/>
                <w:kern w:val="0"/>
                <w:sz w:val="20"/>
                <w:szCs w:val="20"/>
              </w:rPr>
              <w:t xml:space="preserve"> emissions</w:t>
            </w:r>
          </w:p>
        </w:tc>
      </w:tr>
      <w:tr w:rsidR="00A24D4E" w:rsidRPr="00A24D4E" w14:paraId="285F3C43" w14:textId="77777777" w:rsidTr="00A73FD8">
        <w:trPr>
          <w:trHeight w:val="409"/>
        </w:trPr>
        <w:tc>
          <w:tcPr>
            <w:tcW w:w="3810" w:type="dxa"/>
            <w:noWrap/>
            <w:tcMar>
              <w:left w:w="28" w:type="dxa"/>
              <w:right w:w="28" w:type="dxa"/>
            </w:tcMar>
            <w:vAlign w:val="center"/>
            <w:hideMark/>
          </w:tcPr>
          <w:p w14:paraId="4B09402D"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(ref.) Coal</w:t>
            </w:r>
          </w:p>
        </w:tc>
        <w:tc>
          <w:tcPr>
            <w:tcW w:w="1834" w:type="dxa"/>
            <w:noWrap/>
            <w:tcMar>
              <w:left w:w="28" w:type="dxa"/>
              <w:right w:w="28" w:type="dxa"/>
            </w:tcMar>
            <w:vAlign w:val="center"/>
            <w:hideMark/>
          </w:tcPr>
          <w:p w14:paraId="3CEFDABC"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9,972 Wh/L</w:t>
            </w:r>
          </w:p>
        </w:tc>
        <w:tc>
          <w:tcPr>
            <w:tcW w:w="1567" w:type="dxa"/>
            <w:noWrap/>
            <w:tcMar>
              <w:left w:w="28" w:type="dxa"/>
              <w:right w:w="28" w:type="dxa"/>
            </w:tcMar>
            <w:vAlign w:val="center"/>
            <w:hideMark/>
          </w:tcPr>
          <w:p w14:paraId="58A736B6" w14:textId="53DC9D0B"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メイリオ" w:eastAsia="メイリオ" w:hAnsi="メイリオ" w:cs="Times New Roman" w:hint="eastAsia"/>
                <w:color w:val="000000"/>
                <w:kern w:val="0"/>
                <w:sz w:val="20"/>
                <w:szCs w:val="20"/>
              </w:rPr>
              <w:t>〇</w:t>
            </w:r>
            <w:r w:rsidR="00DB064A">
              <w:rPr>
                <w:rFonts w:ascii="メイリオ" w:eastAsia="メイリオ" w:hAnsi="メイリオ"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7,150 Wh/kg</w:t>
            </w:r>
          </w:p>
        </w:tc>
        <w:tc>
          <w:tcPr>
            <w:tcW w:w="2128" w:type="dxa"/>
            <w:noWrap/>
            <w:tcMar>
              <w:left w:w="28" w:type="dxa"/>
              <w:right w:w="28" w:type="dxa"/>
            </w:tcMar>
            <w:vAlign w:val="center"/>
            <w:hideMark/>
          </w:tcPr>
          <w:p w14:paraId="21EACAD9"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Room temperature</w:t>
            </w:r>
          </w:p>
        </w:tc>
        <w:tc>
          <w:tcPr>
            <w:tcW w:w="1078" w:type="dxa"/>
            <w:noWrap/>
            <w:tcMar>
              <w:left w:w="28" w:type="dxa"/>
              <w:right w:w="28" w:type="dxa"/>
            </w:tcMar>
            <w:vAlign w:val="center"/>
            <w:hideMark/>
          </w:tcPr>
          <w:p w14:paraId="47749B6E"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5F7BB86E"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Large amount of CO</w:t>
            </w:r>
            <w:r w:rsidRPr="00A24D4E">
              <w:rPr>
                <w:rFonts w:ascii="Times New Roman" w:eastAsia="游ゴシック" w:hAnsi="Times New Roman" w:cs="Times New Roman"/>
                <w:color w:val="000000"/>
                <w:kern w:val="0"/>
                <w:sz w:val="20"/>
                <w:szCs w:val="20"/>
                <w:vertAlign w:val="subscript"/>
              </w:rPr>
              <w:t>2</w:t>
            </w:r>
            <w:r w:rsidRPr="00A24D4E">
              <w:rPr>
                <w:rFonts w:ascii="Times New Roman" w:eastAsia="游ゴシック" w:hAnsi="Times New Roman" w:cs="Times New Roman"/>
                <w:color w:val="000000"/>
                <w:kern w:val="0"/>
                <w:sz w:val="20"/>
                <w:szCs w:val="20"/>
              </w:rPr>
              <w:t xml:space="preserve"> emissions</w:t>
            </w:r>
          </w:p>
        </w:tc>
      </w:tr>
      <w:tr w:rsidR="00A24D4E" w:rsidRPr="00A24D4E" w14:paraId="5B329061" w14:textId="77777777" w:rsidTr="00A73FD8">
        <w:trPr>
          <w:trHeight w:val="401"/>
        </w:trPr>
        <w:tc>
          <w:tcPr>
            <w:tcW w:w="3810" w:type="dxa"/>
            <w:noWrap/>
            <w:tcMar>
              <w:left w:w="28" w:type="dxa"/>
              <w:right w:w="28" w:type="dxa"/>
            </w:tcMar>
            <w:vAlign w:val="center"/>
            <w:hideMark/>
          </w:tcPr>
          <w:p w14:paraId="6897AA2F"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(ref.) Li-ion secondary battery</w:t>
            </w:r>
          </w:p>
        </w:tc>
        <w:tc>
          <w:tcPr>
            <w:tcW w:w="1834" w:type="dxa"/>
            <w:noWrap/>
            <w:tcMar>
              <w:left w:w="28" w:type="dxa"/>
              <w:right w:w="28" w:type="dxa"/>
            </w:tcMar>
            <w:vAlign w:val="center"/>
            <w:hideMark/>
          </w:tcPr>
          <w:p w14:paraId="1D68B0BB" w14:textId="563554AC"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w:t>
            </w:r>
            <w:r w:rsidRPr="00DB064A">
              <w:rPr>
                <w:rFonts w:ascii="Times New Roman" w:eastAsia="游ゴシック" w:hAnsi="Times New Roman" w:cs="Times New Roman" w:hint="eastAsia"/>
                <w:color w:val="000000"/>
                <w:kern w:val="0"/>
                <w:sz w:val="20"/>
                <w:szCs w:val="20"/>
              </w:rPr>
              <w:t xml:space="preserve">    </w:t>
            </w:r>
            <w:r w:rsidRPr="00A24D4E">
              <w:rPr>
                <w:rFonts w:ascii="游ゴシック" w:eastAsia="游ゴシック" w:hAnsi="游ゴシック"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 xml:space="preserve">       520 Wh/L</w:t>
            </w:r>
          </w:p>
        </w:tc>
        <w:tc>
          <w:tcPr>
            <w:tcW w:w="1567" w:type="dxa"/>
            <w:noWrap/>
            <w:tcMar>
              <w:left w:w="28" w:type="dxa"/>
              <w:right w:w="28" w:type="dxa"/>
            </w:tcMar>
            <w:vAlign w:val="center"/>
            <w:hideMark/>
          </w:tcPr>
          <w:p w14:paraId="5450BFBD" w14:textId="3164925F"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00DB064A">
              <w:rPr>
                <w:rFonts w:ascii="Segoe UI Symbol" w:eastAsia="游ゴシック" w:hAnsi="Segoe UI Symbol"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 xml:space="preserve">   201 Wh/kg</w:t>
            </w:r>
          </w:p>
        </w:tc>
        <w:tc>
          <w:tcPr>
            <w:tcW w:w="2128" w:type="dxa"/>
            <w:noWrap/>
            <w:tcMar>
              <w:left w:w="28" w:type="dxa"/>
              <w:right w:w="28" w:type="dxa"/>
            </w:tcMar>
            <w:vAlign w:val="center"/>
            <w:hideMark/>
          </w:tcPr>
          <w:p w14:paraId="38D88C47"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Room temperature</w:t>
            </w:r>
          </w:p>
        </w:tc>
        <w:tc>
          <w:tcPr>
            <w:tcW w:w="1078" w:type="dxa"/>
            <w:noWrap/>
            <w:tcMar>
              <w:left w:w="28" w:type="dxa"/>
              <w:right w:w="28" w:type="dxa"/>
            </w:tcMar>
            <w:vAlign w:val="center"/>
            <w:hideMark/>
          </w:tcPr>
          <w:p w14:paraId="668A58BB" w14:textId="77777777" w:rsidR="00A24D4E" w:rsidRPr="00A24D4E" w:rsidRDefault="00A24D4E" w:rsidP="00A24D4E">
            <w:pPr>
              <w:widowControl/>
              <w:jc w:val="center"/>
              <w:rPr>
                <w:rFonts w:ascii="Segoe UI Symbol" w:eastAsia="游ゴシック" w:hAnsi="Segoe UI Symbol" w:cs="ＭＳ Ｐゴシック"/>
                <w:color w:val="000000"/>
                <w:kern w:val="0"/>
                <w:sz w:val="20"/>
                <w:szCs w:val="20"/>
              </w:rPr>
            </w:pPr>
            <w:r w:rsidRPr="00A24D4E">
              <w:rPr>
                <w:rFonts w:ascii="Segoe UI Symbol" w:eastAsia="游ゴシック" w:hAnsi="Segoe UI Symbol" w:cs="ＭＳ Ｐゴシック"/>
                <w:color w:val="000000"/>
                <w:kern w:val="0"/>
                <w:sz w:val="20"/>
                <w:szCs w:val="20"/>
              </w:rPr>
              <w:t>✖</w:t>
            </w:r>
          </w:p>
        </w:tc>
        <w:tc>
          <w:tcPr>
            <w:tcW w:w="3443" w:type="dxa"/>
            <w:noWrap/>
            <w:tcMar>
              <w:left w:w="28" w:type="dxa"/>
              <w:right w:w="28" w:type="dxa"/>
            </w:tcMar>
            <w:vAlign w:val="center"/>
            <w:hideMark/>
          </w:tcPr>
          <w:p w14:paraId="647AEF13"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Lithium is a rare metal and expensive</w:t>
            </w:r>
          </w:p>
        </w:tc>
      </w:tr>
      <w:tr w:rsidR="00A24D4E" w:rsidRPr="00A24D4E" w14:paraId="50EDF79A" w14:textId="77777777" w:rsidTr="008E698D">
        <w:trPr>
          <w:trHeight w:val="335"/>
        </w:trPr>
        <w:tc>
          <w:tcPr>
            <w:tcW w:w="3810" w:type="dxa"/>
            <w:tcBorders>
              <w:bottom w:val="single" w:sz="8" w:space="0" w:color="auto"/>
            </w:tcBorders>
            <w:noWrap/>
            <w:tcMar>
              <w:left w:w="28" w:type="dxa"/>
              <w:right w:w="28" w:type="dxa"/>
            </w:tcMar>
            <w:vAlign w:val="center"/>
            <w:hideMark/>
          </w:tcPr>
          <w:p w14:paraId="6E3EA835"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Times New Roman" w:eastAsia="游ゴシック" w:hAnsi="Times New Roman" w:cs="Times New Roman"/>
                <w:color w:val="000000"/>
                <w:kern w:val="0"/>
                <w:sz w:val="20"/>
                <w:szCs w:val="20"/>
              </w:rPr>
              <w:t>(ref.) Uranium fuel</w:t>
            </w:r>
          </w:p>
        </w:tc>
        <w:tc>
          <w:tcPr>
            <w:tcW w:w="1834" w:type="dxa"/>
            <w:tcBorders>
              <w:bottom w:val="single" w:sz="8" w:space="0" w:color="auto"/>
            </w:tcBorders>
            <w:noWrap/>
            <w:tcMar>
              <w:left w:w="28" w:type="dxa"/>
              <w:right w:w="28" w:type="dxa"/>
            </w:tcMar>
            <w:vAlign w:val="center"/>
            <w:hideMark/>
          </w:tcPr>
          <w:p w14:paraId="74C7DDF4" w14:textId="77777777" w:rsidR="00A24D4E" w:rsidRPr="00A24D4E" w:rsidRDefault="00A24D4E" w:rsidP="00A24D4E">
            <w:pPr>
              <w:widowControl/>
              <w:jc w:val="left"/>
              <w:rPr>
                <w:rFonts w:ascii="游ゴシック" w:eastAsia="游ゴシック" w:hAnsi="游ゴシック" w:cs="ＭＳ Ｐゴシック"/>
                <w:color w:val="000000"/>
                <w:kern w:val="0"/>
                <w:sz w:val="20"/>
                <w:szCs w:val="20"/>
              </w:rPr>
            </w:pPr>
            <w:r w:rsidRPr="00A24D4E">
              <w:rPr>
                <w:rFonts w:ascii="游ゴシック" w:eastAsia="游ゴシック" w:hAnsi="游ゴシック" w:cs="ＭＳ Ｐゴシック" w:hint="eastAsia"/>
                <w:color w:val="000000"/>
                <w:kern w:val="0"/>
                <w:sz w:val="20"/>
                <w:szCs w:val="20"/>
              </w:rPr>
              <w:t>◉</w:t>
            </w:r>
            <w:r w:rsidRPr="00A24D4E">
              <w:rPr>
                <w:rFonts w:ascii="Sitka Subheading Semibold" w:eastAsia="游ゴシック" w:hAnsi="Sitka Subheading Semibold" w:cs="ＭＳ Ｐゴシック"/>
                <w:color w:val="000000"/>
                <w:kern w:val="0"/>
                <w:sz w:val="20"/>
                <w:szCs w:val="20"/>
              </w:rPr>
              <w:t xml:space="preserve">     7.6</w:t>
            </w:r>
            <w:r w:rsidRPr="00A24D4E">
              <w:rPr>
                <w:rFonts w:ascii="游ゴシック" w:eastAsia="游ゴシック" w:hAnsi="游ゴシック" w:cs="ＭＳ Ｐゴシック" w:hint="eastAsia"/>
                <w:color w:val="000000"/>
                <w:kern w:val="0"/>
                <w:sz w:val="20"/>
                <w:szCs w:val="20"/>
              </w:rPr>
              <w:t>×</w:t>
            </w:r>
            <w:r w:rsidRPr="00A24D4E">
              <w:rPr>
                <w:rFonts w:ascii="Sitka Subheading Semibold" w:eastAsia="游ゴシック" w:hAnsi="Sitka Subheading Semibold" w:cs="ＭＳ Ｐゴシック"/>
                <w:color w:val="000000"/>
                <w:kern w:val="0"/>
                <w:sz w:val="20"/>
                <w:szCs w:val="20"/>
              </w:rPr>
              <w:t>10</w:t>
            </w:r>
            <w:r w:rsidRPr="00A24D4E">
              <w:rPr>
                <w:rFonts w:ascii="Sitka Subheading Semibold" w:eastAsia="游ゴシック" w:hAnsi="Sitka Subheading Semibold" w:cs="ＭＳ Ｐゴシック"/>
                <w:color w:val="000000"/>
                <w:kern w:val="0"/>
                <w:sz w:val="20"/>
                <w:szCs w:val="20"/>
                <w:vertAlign w:val="superscript"/>
              </w:rPr>
              <w:t>9</w:t>
            </w:r>
            <w:r w:rsidRPr="00A24D4E">
              <w:rPr>
                <w:rFonts w:ascii="Sitka Subheading Semibold" w:eastAsia="游ゴシック" w:hAnsi="Sitka Subheading Semibold" w:cs="ＭＳ Ｐゴシック"/>
                <w:color w:val="000000"/>
                <w:kern w:val="0"/>
                <w:sz w:val="20"/>
                <w:szCs w:val="20"/>
              </w:rPr>
              <w:t>Wh/L</w:t>
            </w:r>
          </w:p>
        </w:tc>
        <w:tc>
          <w:tcPr>
            <w:tcW w:w="1567" w:type="dxa"/>
            <w:tcBorders>
              <w:bottom w:val="single" w:sz="8" w:space="0" w:color="auto"/>
            </w:tcBorders>
            <w:noWrap/>
            <w:tcMar>
              <w:left w:w="28" w:type="dxa"/>
              <w:right w:w="28" w:type="dxa"/>
            </w:tcMar>
            <w:vAlign w:val="center"/>
            <w:hideMark/>
          </w:tcPr>
          <w:p w14:paraId="329ADEA4" w14:textId="7A501BB4"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00DB064A">
              <w:rPr>
                <w:rFonts w:ascii="Segoe UI Symbol" w:eastAsia="游ゴシック" w:hAnsi="Segoe UI Symbol" w:cs="Times New Roman" w:hint="eastAsia"/>
                <w:color w:val="000000"/>
                <w:kern w:val="0"/>
                <w:sz w:val="20"/>
                <w:szCs w:val="20"/>
              </w:rPr>
              <w:t xml:space="preserve"> </w:t>
            </w:r>
            <w:r w:rsidRPr="00A24D4E">
              <w:rPr>
                <w:rFonts w:ascii="Times New Roman" w:eastAsia="游ゴシック" w:hAnsi="Times New Roman" w:cs="Times New Roman"/>
                <w:color w:val="000000"/>
                <w:kern w:val="0"/>
                <w:sz w:val="20"/>
                <w:szCs w:val="20"/>
              </w:rPr>
              <w:t>4.2×10</w:t>
            </w:r>
            <w:r w:rsidRPr="00A24D4E">
              <w:rPr>
                <w:rFonts w:ascii="Times New Roman" w:eastAsia="游ゴシック" w:hAnsi="Times New Roman" w:cs="Times New Roman"/>
                <w:color w:val="000000"/>
                <w:kern w:val="0"/>
                <w:sz w:val="20"/>
                <w:szCs w:val="20"/>
                <w:vertAlign w:val="superscript"/>
              </w:rPr>
              <w:t>8</w:t>
            </w:r>
            <w:r w:rsidRPr="00A24D4E">
              <w:rPr>
                <w:rFonts w:ascii="Times New Roman" w:eastAsia="游ゴシック" w:hAnsi="Times New Roman" w:cs="Times New Roman"/>
                <w:color w:val="000000"/>
                <w:kern w:val="0"/>
                <w:sz w:val="20"/>
                <w:szCs w:val="20"/>
              </w:rPr>
              <w:t xml:space="preserve"> Wh/kg</w:t>
            </w:r>
          </w:p>
        </w:tc>
        <w:tc>
          <w:tcPr>
            <w:tcW w:w="2128" w:type="dxa"/>
            <w:tcBorders>
              <w:bottom w:val="single" w:sz="8" w:space="0" w:color="auto"/>
            </w:tcBorders>
            <w:noWrap/>
            <w:tcMar>
              <w:left w:w="28" w:type="dxa"/>
              <w:right w:w="28" w:type="dxa"/>
            </w:tcMar>
            <w:vAlign w:val="center"/>
            <w:hideMark/>
          </w:tcPr>
          <w:p w14:paraId="7A5BFCEF"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メイリオ" w:eastAsia="メイリオ" w:hAnsi="メイリオ" w:cs="Times New Roman" w:hint="eastAsia"/>
                <w:color w:val="000000"/>
                <w:kern w:val="0"/>
                <w:sz w:val="20"/>
                <w:szCs w:val="20"/>
              </w:rPr>
              <w:t>〇</w:t>
            </w:r>
            <w:r w:rsidRPr="00A24D4E">
              <w:rPr>
                <w:rFonts w:ascii="Times New Roman" w:eastAsia="游ゴシック" w:hAnsi="Times New Roman" w:cs="Times New Roman"/>
                <w:color w:val="000000"/>
                <w:kern w:val="0"/>
                <w:sz w:val="20"/>
                <w:szCs w:val="20"/>
              </w:rPr>
              <w:t xml:space="preserve"> Cooled in fuel pool</w:t>
            </w:r>
          </w:p>
        </w:tc>
        <w:tc>
          <w:tcPr>
            <w:tcW w:w="1078" w:type="dxa"/>
            <w:tcBorders>
              <w:bottom w:val="single" w:sz="8" w:space="0" w:color="auto"/>
            </w:tcBorders>
            <w:noWrap/>
            <w:tcMar>
              <w:left w:w="28" w:type="dxa"/>
              <w:right w:w="28" w:type="dxa"/>
            </w:tcMar>
            <w:vAlign w:val="center"/>
            <w:hideMark/>
          </w:tcPr>
          <w:p w14:paraId="36036857" w14:textId="77777777" w:rsidR="00A24D4E" w:rsidRPr="00A24D4E" w:rsidRDefault="00A24D4E" w:rsidP="00A24D4E">
            <w:pPr>
              <w:widowControl/>
              <w:jc w:val="center"/>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Cooling required </w:t>
            </w:r>
          </w:p>
        </w:tc>
        <w:tc>
          <w:tcPr>
            <w:tcW w:w="3443" w:type="dxa"/>
            <w:tcBorders>
              <w:bottom w:val="single" w:sz="8" w:space="0" w:color="auto"/>
            </w:tcBorders>
            <w:noWrap/>
            <w:tcMar>
              <w:left w:w="28" w:type="dxa"/>
              <w:right w:w="28" w:type="dxa"/>
            </w:tcMar>
            <w:vAlign w:val="center"/>
            <w:hideMark/>
          </w:tcPr>
          <w:p w14:paraId="3BC6B3D6" w14:textId="77777777" w:rsidR="00A24D4E" w:rsidRPr="00A24D4E" w:rsidRDefault="00A24D4E" w:rsidP="00A24D4E">
            <w:pPr>
              <w:widowControl/>
              <w:jc w:val="left"/>
              <w:rPr>
                <w:rFonts w:ascii="Times New Roman" w:eastAsia="游ゴシック" w:hAnsi="Times New Roman" w:cs="Times New Roman"/>
                <w:color w:val="000000"/>
                <w:kern w:val="0"/>
                <w:sz w:val="20"/>
                <w:szCs w:val="20"/>
              </w:rPr>
            </w:pPr>
            <w:r w:rsidRPr="00A24D4E">
              <w:rPr>
                <w:rFonts w:ascii="Segoe UI Symbol" w:eastAsia="游ゴシック" w:hAnsi="Segoe UI Symbol" w:cs="Times New Roman"/>
                <w:color w:val="000000"/>
                <w:kern w:val="0"/>
                <w:sz w:val="20"/>
                <w:szCs w:val="20"/>
              </w:rPr>
              <w:t>✖✖✖</w:t>
            </w:r>
            <w:r w:rsidRPr="00A24D4E">
              <w:rPr>
                <w:rFonts w:ascii="Times New Roman" w:eastAsia="游ゴシック" w:hAnsi="Times New Roman" w:cs="Times New Roman"/>
                <w:color w:val="000000"/>
                <w:kern w:val="0"/>
                <w:sz w:val="20"/>
                <w:szCs w:val="20"/>
              </w:rPr>
              <w:t xml:space="preserve"> Final disposal method not defined</w:t>
            </w:r>
          </w:p>
        </w:tc>
      </w:tr>
    </w:tbl>
    <w:p w14:paraId="2E6ECBB5" w14:textId="0AFA367D" w:rsidR="001A3B61" w:rsidRPr="00A24D4E" w:rsidRDefault="000E0857" w:rsidP="00A24D4E">
      <w:pPr>
        <w:jc w:val="left"/>
        <w:rPr>
          <w:rFonts w:ascii="Times New Roman" w:hAnsi="Times New Roman" w:cs="Times New Roman"/>
          <w:sz w:val="22"/>
        </w:rPr>
      </w:pPr>
      <w:r w:rsidRPr="00A30E7D">
        <w:rPr>
          <w:rFonts w:ascii="Times New Roman" w:hAnsi="Times New Roman" w:cs="Times New Roman"/>
          <w:sz w:val="22"/>
        </w:rPr>
        <w:t xml:space="preserve">Note: </w:t>
      </w:r>
      <w:r w:rsidR="009C6BE1" w:rsidRPr="00A40F66">
        <w:rPr>
          <w:rFonts w:ascii="Times New Roman" w:hAnsi="Times New Roman" w:cs="Times New Roman" w:hint="eastAsia"/>
          <w:sz w:val="20"/>
          <w:szCs w:val="20"/>
        </w:rPr>
        <w:t>◉</w:t>
      </w:r>
      <w:r w:rsidRPr="00A30E7D">
        <w:rPr>
          <w:rFonts w:ascii="Times New Roman" w:eastAsia="游ゴシック" w:hAnsi="Times New Roman" w:cs="Times New Roman"/>
          <w:b/>
          <w:bCs/>
          <w:kern w:val="0"/>
          <w:sz w:val="22"/>
        </w:rPr>
        <w:t>,</w:t>
      </w:r>
      <w:r w:rsidRPr="00A30E7D">
        <w:rPr>
          <w:rFonts w:ascii="Times New Roman" w:hAnsi="Times New Roman" w:cs="Times New Roman"/>
          <w:b/>
          <w:bCs/>
          <w:sz w:val="22"/>
        </w:rPr>
        <w:t xml:space="preserve"> </w:t>
      </w:r>
      <w:r w:rsidR="009C6BE1" w:rsidRPr="00A40F66">
        <w:rPr>
          <w:rFonts w:ascii="Times New Roman" w:hAnsi="Times New Roman" w:cs="Times New Roman" w:hint="eastAsia"/>
          <w:b/>
          <w:bCs/>
          <w:sz w:val="20"/>
          <w:szCs w:val="20"/>
        </w:rPr>
        <w:t>◎</w:t>
      </w:r>
      <w:r w:rsidRPr="00A30E7D">
        <w:rPr>
          <w:rFonts w:ascii="Times New Roman" w:eastAsia="ＭＳ 明朝" w:hAnsi="Times New Roman" w:cs="Times New Roman"/>
          <w:b/>
          <w:bCs/>
          <w:kern w:val="0"/>
          <w:sz w:val="22"/>
        </w:rPr>
        <w:t xml:space="preserve">, </w:t>
      </w:r>
      <w:r w:rsidRPr="00A40F66">
        <w:rPr>
          <w:rFonts w:ascii="Times New Roman" w:eastAsia="メイリオ" w:hAnsi="Times New Roman" w:cs="Times New Roman"/>
          <w:b/>
          <w:bCs/>
          <w:kern w:val="0"/>
          <w:sz w:val="20"/>
          <w:szCs w:val="20"/>
        </w:rPr>
        <w:t>〇</w:t>
      </w:r>
      <w:r w:rsidRPr="00A30E7D">
        <w:rPr>
          <w:rFonts w:ascii="Times New Roman" w:eastAsia="メイリオ" w:hAnsi="Times New Roman" w:cs="Times New Roman"/>
          <w:b/>
          <w:bCs/>
          <w:kern w:val="0"/>
          <w:sz w:val="22"/>
        </w:rPr>
        <w:t xml:space="preserve">, </w:t>
      </w:r>
      <w:r w:rsidRPr="00A40F66">
        <w:rPr>
          <w:rFonts w:ascii="ＭＳ 明朝" w:eastAsia="ＭＳ 明朝" w:hAnsi="ＭＳ 明朝" w:cs="ＭＳ 明朝" w:hint="eastAsia"/>
          <w:b/>
          <w:bCs/>
          <w:kern w:val="0"/>
          <w:sz w:val="18"/>
          <w:szCs w:val="18"/>
        </w:rPr>
        <w:t>△</w:t>
      </w:r>
      <w:r w:rsidRPr="00A30E7D">
        <w:rPr>
          <w:rFonts w:ascii="Times New Roman" w:eastAsia="メイリオ" w:hAnsi="Times New Roman" w:cs="Times New Roman"/>
          <w:b/>
          <w:bCs/>
          <w:kern w:val="0"/>
          <w:sz w:val="22"/>
        </w:rPr>
        <w:t xml:space="preserve">, </w:t>
      </w:r>
      <w:r w:rsidR="00A40F66" w:rsidRPr="00A40F66">
        <w:rPr>
          <w:rFonts w:ascii="Segoe UI Symbol" w:eastAsia="游ゴシック" w:hAnsi="Segoe UI Symbol" w:cs="Times New Roman"/>
          <w:color w:val="000000"/>
          <w:kern w:val="0"/>
          <w:szCs w:val="21"/>
        </w:rPr>
        <w:t>✖</w:t>
      </w:r>
      <w:r w:rsidRPr="00A30E7D">
        <w:rPr>
          <w:rFonts w:ascii="Times New Roman" w:eastAsia="游ゴシック" w:hAnsi="Times New Roman" w:cs="Times New Roman"/>
          <w:b/>
          <w:bCs/>
          <w:kern w:val="0"/>
          <w:sz w:val="22"/>
        </w:rPr>
        <w:t xml:space="preserve">, </w:t>
      </w:r>
      <w:r w:rsidR="00A40F66" w:rsidRPr="00A40F66">
        <w:rPr>
          <w:rFonts w:ascii="Segoe UI Symbol" w:eastAsia="游ゴシック" w:hAnsi="Segoe UI Symbol" w:cs="Times New Roman"/>
          <w:color w:val="000000"/>
          <w:kern w:val="0"/>
          <w:szCs w:val="21"/>
        </w:rPr>
        <w:t>✖✖</w:t>
      </w:r>
      <w:r w:rsidRPr="00A30E7D">
        <w:rPr>
          <w:rFonts w:ascii="Times New Roman" w:eastAsia="游ゴシック" w:hAnsi="Times New Roman" w:cs="Times New Roman"/>
          <w:b/>
          <w:bCs/>
          <w:kern w:val="0"/>
          <w:sz w:val="22"/>
        </w:rPr>
        <w:t xml:space="preserve">, </w:t>
      </w:r>
      <w:r w:rsidR="00B4445D" w:rsidRPr="00A30E7D">
        <w:rPr>
          <w:rFonts w:ascii="Times New Roman" w:hAnsi="Times New Roman" w:cs="Times New Roman"/>
          <w:sz w:val="22"/>
        </w:rPr>
        <w:t xml:space="preserve">and </w:t>
      </w:r>
      <w:r w:rsidR="00A40F66" w:rsidRPr="00A40F66">
        <w:rPr>
          <w:rFonts w:ascii="Segoe UI Symbol" w:eastAsia="游ゴシック" w:hAnsi="Segoe UI Symbol" w:cs="Times New Roman"/>
          <w:color w:val="000000"/>
          <w:kern w:val="0"/>
          <w:szCs w:val="21"/>
        </w:rPr>
        <w:t>✖✖✖</w:t>
      </w:r>
      <w:r w:rsidRPr="00A30E7D">
        <w:rPr>
          <w:rFonts w:ascii="Times New Roman" w:hAnsi="Times New Roman" w:cs="Times New Roman"/>
          <w:sz w:val="22"/>
        </w:rPr>
        <w:t xml:space="preserve"> represent </w:t>
      </w:r>
      <w:r w:rsidR="003905ED" w:rsidRPr="00A30E7D">
        <w:rPr>
          <w:rFonts w:ascii="Times New Roman" w:hAnsi="Times New Roman" w:cs="Times New Roman"/>
          <w:sz w:val="22"/>
        </w:rPr>
        <w:t xml:space="preserve">better </w:t>
      </w:r>
      <w:r w:rsidRPr="00A30E7D">
        <w:rPr>
          <w:rFonts w:ascii="Times New Roman" w:hAnsi="Times New Roman" w:cs="Times New Roman"/>
          <w:sz w:val="22"/>
        </w:rPr>
        <w:t>to</w:t>
      </w:r>
      <w:r w:rsidR="003905ED" w:rsidRPr="00A30E7D">
        <w:rPr>
          <w:rFonts w:ascii="Times New Roman" w:hAnsi="Times New Roman" w:cs="Times New Roman"/>
          <w:sz w:val="22"/>
        </w:rPr>
        <w:t xml:space="preserve"> worse</w:t>
      </w:r>
      <w:r w:rsidR="008B1E3B" w:rsidRPr="00A30E7D">
        <w:rPr>
          <w:rFonts w:ascii="Times New Roman" w:hAnsi="Times New Roman" w:cs="Times New Roman"/>
          <w:sz w:val="22"/>
        </w:rPr>
        <w:t xml:space="preserve"> </w:t>
      </w:r>
      <w:r w:rsidRPr="00A30E7D">
        <w:rPr>
          <w:rFonts w:ascii="Times New Roman" w:hAnsi="Times New Roman" w:cs="Times New Roman"/>
          <w:sz w:val="22"/>
        </w:rPr>
        <w:t>from left to right</w:t>
      </w:r>
      <w:r w:rsidR="008B1E3B" w:rsidRPr="00A30E7D">
        <w:rPr>
          <w:rFonts w:ascii="Times New Roman" w:hAnsi="Times New Roman" w:cs="Times New Roman"/>
          <w:sz w:val="22"/>
        </w:rPr>
        <w:t xml:space="preserve">, </w:t>
      </w:r>
      <w:r w:rsidR="006F7B86" w:rsidRPr="00A30E7D">
        <w:rPr>
          <w:rFonts w:ascii="Times New Roman" w:hAnsi="Times New Roman" w:cs="Times New Roman"/>
          <w:sz w:val="22"/>
        </w:rPr>
        <w:t>respectively.</w:t>
      </w:r>
      <w:bookmarkStart w:id="27" w:name="_Hlk177113865"/>
      <w:bookmarkEnd w:id="23"/>
      <w:bookmarkEnd w:id="26"/>
    </w:p>
    <w:p w14:paraId="7FF854C1" w14:textId="24173195" w:rsidR="006F7B86" w:rsidRPr="00787914" w:rsidRDefault="006F7B86">
      <w:pPr>
        <w:widowControl/>
        <w:jc w:val="left"/>
        <w:rPr>
          <w:rFonts w:ascii="Times New Roman" w:hAnsi="Times New Roman" w:cs="Times New Roman"/>
          <w:sz w:val="22"/>
        </w:rPr>
        <w:sectPr w:rsidR="006F7B86" w:rsidRPr="00787914" w:rsidSect="005B7AA2">
          <w:pgSz w:w="15840" w:h="12240" w:orient="landscape" w:code="1"/>
          <w:pgMar w:top="1134" w:right="1134" w:bottom="1134" w:left="1134" w:header="720" w:footer="397" w:gutter="0"/>
          <w:cols w:space="720"/>
          <w:docGrid w:type="lines" w:linePitch="288"/>
        </w:sectPr>
      </w:pPr>
    </w:p>
    <w:p w14:paraId="4F0C9B42" w14:textId="77777777" w:rsidR="00500C64" w:rsidRPr="00500C64" w:rsidRDefault="00500C64" w:rsidP="00500C64">
      <w:pPr>
        <w:widowControl/>
        <w:spacing w:before="240" w:line="280" w:lineRule="exact"/>
        <w:jc w:val="left"/>
        <w:rPr>
          <w:rFonts w:ascii="Times New Roman" w:eastAsia="游明朝" w:hAnsi="Times New Roman" w:cs="Times New Roman"/>
          <w:sz w:val="24"/>
          <w:szCs w:val="28"/>
          <w14:ligatures w14:val="standardContextual"/>
        </w:rPr>
      </w:pPr>
      <w:bookmarkStart w:id="28" w:name="_Hlk195706437"/>
      <w:bookmarkStart w:id="29" w:name="_Hlk195722519"/>
      <w:bookmarkStart w:id="30" w:name="_Hlk190954546"/>
      <w:bookmarkStart w:id="31" w:name="_Hlk189638872"/>
      <w:bookmarkEnd w:id="27"/>
      <w:r w:rsidRPr="000D63F7">
        <w:rPr>
          <w:rFonts w:ascii="Times New Roman" w:eastAsia="游明朝" w:hAnsi="Times New Roman" w:cs="Times New Roman"/>
          <w:b/>
          <w:bCs/>
          <w:sz w:val="24"/>
          <w:szCs w:val="28"/>
          <w14:ligatures w14:val="standardContextual"/>
        </w:rPr>
        <w:lastRenderedPageBreak/>
        <w:t>Supplementary</w:t>
      </w:r>
      <w:bookmarkEnd w:id="28"/>
      <w:r w:rsidRPr="000D63F7">
        <w:rPr>
          <w:rFonts w:ascii="Times New Roman" w:eastAsia="游明朝" w:hAnsi="Times New Roman" w:cs="Times New Roman"/>
          <w:b/>
          <w:bCs/>
          <w:sz w:val="24"/>
          <w:szCs w:val="28"/>
          <w14:ligatures w14:val="standardContextual"/>
        </w:rPr>
        <w:t xml:space="preserve"> Table </w:t>
      </w:r>
      <w:r w:rsidRPr="000D63F7">
        <w:rPr>
          <w:rFonts w:ascii="Times New Roman" w:eastAsia="游明朝" w:hAnsi="Times New Roman" w:cs="Times New Roman" w:hint="eastAsia"/>
          <w:b/>
          <w:bCs/>
          <w:sz w:val="24"/>
          <w:szCs w:val="28"/>
          <w14:ligatures w14:val="standardContextual"/>
        </w:rPr>
        <w:t>S3</w:t>
      </w:r>
      <w:bookmarkEnd w:id="29"/>
      <w:r w:rsidRPr="000D63F7">
        <w:rPr>
          <w:rFonts w:ascii="Times New Roman" w:eastAsia="游明朝" w:hAnsi="Times New Roman" w:cs="Times New Roman"/>
          <w:b/>
          <w:bCs/>
          <w:sz w:val="24"/>
          <w:szCs w:val="28"/>
          <w14:ligatures w14:val="standardContextual"/>
        </w:rPr>
        <w:t>. Nume</w:t>
      </w:r>
      <w:r w:rsidRPr="00500C64">
        <w:rPr>
          <w:rFonts w:ascii="Times New Roman" w:eastAsia="游明朝" w:hAnsi="Times New Roman" w:cs="Times New Roman"/>
          <w:b/>
          <w:bCs/>
          <w:sz w:val="24"/>
          <w:szCs w:val="28"/>
          <w14:ligatures w14:val="standardContextual"/>
        </w:rPr>
        <w:t>rical analysis of LNH</w:t>
      </w:r>
      <w:r w:rsidRPr="00500C64">
        <w:rPr>
          <w:rFonts w:ascii="Times New Roman" w:eastAsia="游明朝" w:hAnsi="Times New Roman" w:cs="Times New Roman"/>
          <w:b/>
          <w:bCs/>
          <w:sz w:val="24"/>
          <w:szCs w:val="28"/>
          <w:vertAlign w:val="subscript"/>
          <w14:ligatures w14:val="standardContextual"/>
        </w:rPr>
        <w:t>3</w:t>
      </w:r>
      <w:r w:rsidRPr="00500C64">
        <w:rPr>
          <w:rFonts w:ascii="Times New Roman" w:eastAsia="游明朝" w:hAnsi="Times New Roman" w:cs="Times New Roman"/>
          <w:b/>
          <w:bCs/>
          <w:sz w:val="24"/>
          <w:szCs w:val="28"/>
          <w14:ligatures w14:val="standardContextual"/>
        </w:rPr>
        <w:t xml:space="preserve"> pipeline transport performance. </w:t>
      </w:r>
      <w:r w:rsidRPr="00500C64">
        <w:rPr>
          <w:rFonts w:ascii="Times New Roman" w:eastAsia="游明朝" w:hAnsi="Times New Roman" w:cs="Times New Roman"/>
          <w:sz w:val="24"/>
          <w:szCs w:val="28"/>
          <w14:ligatures w14:val="standardContextual"/>
        </w:rPr>
        <w:t>This table provides an example of a numerical analysis of LNH</w:t>
      </w:r>
      <w:r w:rsidRPr="00500C64">
        <w:rPr>
          <w:rFonts w:ascii="Times New Roman" w:eastAsia="游明朝" w:hAnsi="Times New Roman" w:cs="Times New Roman"/>
          <w:sz w:val="24"/>
          <w:szCs w:val="28"/>
          <w:vertAlign w:val="subscript"/>
          <w14:ligatures w14:val="standardContextual"/>
        </w:rPr>
        <w:t>3</w:t>
      </w:r>
      <w:r w:rsidRPr="00500C64">
        <w:rPr>
          <w:rFonts w:ascii="Times New Roman" w:eastAsia="游明朝" w:hAnsi="Times New Roman" w:cs="Times New Roman"/>
          <w:sz w:val="24"/>
          <w:szCs w:val="28"/>
          <w14:ligatures w14:val="standardContextual"/>
        </w:rPr>
        <w:t xml:space="preserve"> pipeline transport characteristics using the Goal Seek function in Microsoft Excel. This method incorporates variable values from the analysis results and standard reference values. Owing to the high liquid flow velocity (V), large pipe inner diameter (ID), and small kinematic viscosity (ν), LNH</w:t>
      </w:r>
      <w:r w:rsidRPr="00500C64">
        <w:rPr>
          <w:rFonts w:ascii="Times New Roman" w:eastAsia="游明朝" w:hAnsi="Times New Roman" w:cs="Times New Roman"/>
          <w:sz w:val="24"/>
          <w:szCs w:val="28"/>
          <w:vertAlign w:val="subscript"/>
          <w14:ligatures w14:val="standardContextual"/>
        </w:rPr>
        <w:t xml:space="preserve">3 </w:t>
      </w:r>
      <w:r w:rsidRPr="00500C64">
        <w:rPr>
          <w:rFonts w:ascii="Times New Roman" w:eastAsia="游明朝" w:hAnsi="Times New Roman" w:cs="Times New Roman"/>
          <w:sz w:val="24"/>
          <w:szCs w:val="28"/>
          <w14:ligatures w14:val="standardContextual"/>
        </w:rPr>
        <w:t>transport by pipelines is turbulent. Consequently, the Reynolds number (Re), which measures the influence of viscosity on flow, is high. The pipe friction coefficient (λ) for turbulent flow in rough pipes is calculated using Colebrook’s equation (</w:t>
      </w:r>
      <w:r w:rsidRPr="00A91F7D">
        <w:rPr>
          <w:rFonts w:ascii="Times New Roman" w:eastAsia="游明朝" w:hAnsi="Times New Roman" w:cs="Times New Roman"/>
          <w:b/>
          <w:bCs/>
          <w:sz w:val="24"/>
          <w:szCs w:val="28"/>
          <w14:ligatures w14:val="standardContextual"/>
        </w:rPr>
        <w:t xml:space="preserve">Supplementary Table </w:t>
      </w:r>
      <w:r w:rsidRPr="00A91F7D">
        <w:rPr>
          <w:rFonts w:ascii="Times New Roman" w:eastAsia="游明朝" w:hAnsi="Times New Roman" w:cs="Times New Roman" w:hint="eastAsia"/>
          <w:b/>
          <w:bCs/>
          <w:sz w:val="24"/>
          <w:szCs w:val="28"/>
          <w14:ligatures w14:val="standardContextual"/>
        </w:rPr>
        <w:t>S3</w:t>
      </w:r>
      <w:r w:rsidRPr="00500C64">
        <w:rPr>
          <w:rFonts w:ascii="Times New Roman" w:eastAsia="游明朝" w:hAnsi="Times New Roman" w:cs="Times New Roman"/>
          <w:sz w:val="24"/>
          <w:szCs w:val="28"/>
          <w14:ligatures w14:val="standardContextual"/>
        </w:rPr>
        <w:t>). As this equation is implicit and involves logarithms and square roots, it cannot be solved directly. Therefore, the following steps were implemented in Excel:</w:t>
      </w:r>
    </w:p>
    <w:p w14:paraId="344A3DF4" w14:textId="77777777" w:rsidR="00AD7BFE" w:rsidRPr="004F2C64" w:rsidRDefault="00500C64" w:rsidP="00AD7BFE">
      <w:pPr>
        <w:widowControl/>
        <w:tabs>
          <w:tab w:val="left" w:pos="720"/>
        </w:tabs>
        <w:spacing w:line="280" w:lineRule="exact"/>
        <w:ind w:left="742" w:hangingChars="309" w:hanging="742"/>
        <w:jc w:val="left"/>
        <w:rPr>
          <w:rFonts w:ascii="Times New Roman" w:eastAsia="游明朝" w:hAnsi="Times New Roman" w:cs="Times New Roman"/>
          <w:sz w:val="24"/>
          <w:szCs w:val="28"/>
          <w14:ligatures w14:val="standardContextual"/>
        </w:rPr>
      </w:pPr>
      <w:r w:rsidRPr="004F2C64">
        <w:rPr>
          <w:rFonts w:ascii="Times New Roman" w:eastAsia="游明朝" w:hAnsi="Times New Roman" w:cs="Times New Roman"/>
          <w:b/>
          <w:bCs/>
          <w:sz w:val="24"/>
          <w:szCs w:val="28"/>
          <w14:ligatures w14:val="standardContextual"/>
        </w:rPr>
        <w:t>Step I</w:t>
      </w:r>
      <w:r w:rsidRPr="004F2C64">
        <w:rPr>
          <w:rFonts w:ascii="Times New Roman" w:eastAsia="游明朝" w:hAnsi="Times New Roman" w:cs="Times New Roman"/>
          <w:sz w:val="24"/>
          <w:szCs w:val="28"/>
          <w14:ligatures w14:val="standardContextual"/>
        </w:rPr>
        <w:t xml:space="preserve">: </w:t>
      </w:r>
      <w:r w:rsidRPr="004F2C64">
        <w:rPr>
          <w:rFonts w:ascii="Times New Roman" w:eastAsia="游明朝" w:hAnsi="Times New Roman" w:cs="Times New Roman" w:hint="eastAsia"/>
          <w:sz w:val="24"/>
          <w:szCs w:val="28"/>
          <w14:ligatures w14:val="standardContextual"/>
        </w:rPr>
        <w:t>T</w:t>
      </w:r>
      <w:r w:rsidRPr="004F2C64">
        <w:rPr>
          <w:rFonts w:ascii="Times New Roman" w:eastAsia="游明朝" w:hAnsi="Times New Roman" w:cs="Times New Roman"/>
          <w:sz w:val="24"/>
          <w:szCs w:val="28"/>
          <w14:ligatures w14:val="standardContextual"/>
        </w:rPr>
        <w:t>he Callback formula was specified in the formula input cell, the target value was set to 0, and the variable cell was designated as λ. Then, the Goal Seek function determined λ.</w:t>
      </w:r>
    </w:p>
    <w:p w14:paraId="563C0652" w14:textId="172652FC" w:rsidR="00500C64" w:rsidRPr="00500C64" w:rsidRDefault="00500C64" w:rsidP="00AD7BFE">
      <w:pPr>
        <w:widowControl/>
        <w:tabs>
          <w:tab w:val="left" w:pos="720"/>
        </w:tabs>
        <w:spacing w:line="280" w:lineRule="exact"/>
        <w:ind w:left="742" w:hangingChars="309" w:hanging="742"/>
        <w:jc w:val="left"/>
        <w:rPr>
          <w:rFonts w:ascii="Times New Roman" w:eastAsia="游明朝" w:hAnsi="Times New Roman" w:cs="Times New Roman"/>
          <w:sz w:val="24"/>
          <w:szCs w:val="28"/>
          <w14:ligatures w14:val="standardContextual"/>
        </w:rPr>
      </w:pPr>
      <w:r w:rsidRPr="004F2C64">
        <w:rPr>
          <w:rFonts w:ascii="Times New Roman" w:eastAsia="游明朝" w:hAnsi="Times New Roman" w:cs="Times New Roman"/>
          <w:b/>
          <w:bCs/>
          <w:sz w:val="24"/>
          <w:szCs w:val="28"/>
          <w14:ligatures w14:val="standardContextual"/>
        </w:rPr>
        <w:t>Step II</w:t>
      </w:r>
      <w:r w:rsidRPr="004F2C64">
        <w:rPr>
          <w:rFonts w:ascii="Times New Roman" w:eastAsia="游明朝" w:hAnsi="Times New Roman" w:cs="Times New Roman"/>
          <w:sz w:val="24"/>
          <w:szCs w:val="28"/>
          <w14:ligatures w14:val="standardContextual"/>
        </w:rPr>
        <w:t>: For multiple IDs, the formula input cell (objective variable) was set to [Pa variable value − Pa standard</w:t>
      </w:r>
      <w:r w:rsidRPr="00500C64">
        <w:rPr>
          <w:rFonts w:ascii="Times New Roman" w:eastAsia="游明朝" w:hAnsi="Times New Roman" w:cs="Times New Roman"/>
          <w:sz w:val="24"/>
          <w:szCs w:val="28"/>
          <w14:ligatures w14:val="standardContextual"/>
        </w:rPr>
        <w:t xml:space="preserve"> value], the target value was set to 0, and change cell (SV) was set to V. The Goal Seek function was then used to calculate Qw, and the relationship between ID and Qw was plotted (</w:t>
      </w:r>
      <w:r w:rsidRPr="00500C64">
        <w:rPr>
          <w:rFonts w:ascii="Times New Roman" w:eastAsia="游明朝" w:hAnsi="Times New Roman" w:cs="Times New Roman"/>
          <w:b/>
          <w:bCs/>
          <w:sz w:val="24"/>
          <w:szCs w:val="28"/>
          <w14:ligatures w14:val="standardContextual"/>
        </w:rPr>
        <w:t xml:space="preserve">Supplementary Fig. </w:t>
      </w:r>
      <w:r w:rsidR="00A4603B" w:rsidRPr="00A108AF">
        <w:rPr>
          <w:rFonts w:ascii="Times New Roman" w:eastAsia="游明朝" w:hAnsi="Times New Roman" w:cs="Times New Roman" w:hint="eastAsia"/>
          <w:b/>
          <w:bCs/>
          <w:sz w:val="24"/>
          <w:szCs w:val="28"/>
          <w14:ligatures w14:val="standardContextual"/>
        </w:rPr>
        <w:t>S</w:t>
      </w:r>
      <w:r w:rsidRPr="00500C64">
        <w:rPr>
          <w:rFonts w:ascii="Times New Roman" w:eastAsia="游明朝" w:hAnsi="Times New Roman" w:cs="Times New Roman" w:hint="eastAsia"/>
          <w:b/>
          <w:bCs/>
          <w:sz w:val="24"/>
          <w:szCs w:val="28"/>
          <w14:ligatures w14:val="standardContextual"/>
        </w:rPr>
        <w:t>7</w:t>
      </w:r>
      <w:r w:rsidRPr="00500C64">
        <w:rPr>
          <w:rFonts w:ascii="Times New Roman" w:eastAsia="游明朝" w:hAnsi="Times New Roman" w:cs="Times New Roman"/>
          <w:b/>
          <w:bCs/>
          <w:sz w:val="24"/>
          <w:szCs w:val="28"/>
          <w14:ligatures w14:val="standardContextual"/>
        </w:rPr>
        <w:t>a</w:t>
      </w:r>
      <w:r w:rsidRPr="00500C64">
        <w:rPr>
          <w:rFonts w:ascii="Times New Roman" w:eastAsia="游明朝" w:hAnsi="Times New Roman" w:cs="Times New Roman"/>
          <w:sz w:val="24"/>
          <w:szCs w:val="28"/>
          <w14:ligatures w14:val="standardContextual"/>
        </w:rPr>
        <w:t xml:space="preserve">). The same procedure was followed for </w:t>
      </w:r>
      <w:r w:rsidRPr="00500C64">
        <w:rPr>
          <w:rFonts w:ascii="Times New Roman" w:eastAsia="游明朝" w:hAnsi="Times New Roman" w:cs="Times New Roman"/>
          <w:b/>
          <w:bCs/>
          <w:sz w:val="24"/>
          <w:szCs w:val="28"/>
          <w14:ligatures w14:val="standardContextual"/>
        </w:rPr>
        <w:t xml:space="preserve">Supplementary Fig. </w:t>
      </w:r>
      <w:r w:rsidR="00A4603B" w:rsidRPr="00A108AF">
        <w:rPr>
          <w:rFonts w:ascii="Times New Roman" w:eastAsia="游明朝" w:hAnsi="Times New Roman" w:cs="Times New Roman" w:hint="eastAsia"/>
          <w:b/>
          <w:bCs/>
          <w:sz w:val="24"/>
          <w:szCs w:val="28"/>
          <w14:ligatures w14:val="standardContextual"/>
        </w:rPr>
        <w:t>S</w:t>
      </w:r>
      <w:r w:rsidRPr="00500C64">
        <w:rPr>
          <w:rFonts w:ascii="Times New Roman" w:eastAsia="游明朝" w:hAnsi="Times New Roman" w:cs="Times New Roman" w:hint="eastAsia"/>
          <w:b/>
          <w:bCs/>
          <w:sz w:val="24"/>
          <w:szCs w:val="28"/>
          <w14:ligatures w14:val="standardContextual"/>
        </w:rPr>
        <w:t>7</w:t>
      </w:r>
      <w:r w:rsidRPr="00500C64">
        <w:rPr>
          <w:rFonts w:ascii="Times New Roman" w:eastAsia="游明朝" w:hAnsi="Times New Roman" w:cs="Times New Roman"/>
          <w:b/>
          <w:bCs/>
          <w:sz w:val="24"/>
          <w:szCs w:val="28"/>
          <w14:ligatures w14:val="standardContextual"/>
        </w:rPr>
        <w:t>b–h</w:t>
      </w:r>
      <w:r w:rsidRPr="00500C64">
        <w:rPr>
          <w:rFonts w:ascii="Times New Roman" w:eastAsia="游明朝" w:hAnsi="Times New Roman" w:cs="Times New Roman"/>
          <w:sz w:val="24"/>
          <w:szCs w:val="28"/>
          <w14:ligatures w14:val="standardContextual"/>
        </w:rPr>
        <w:t>.</w:t>
      </w:r>
    </w:p>
    <w:tbl>
      <w:tblPr>
        <w:tblW w:w="10348" w:type="dxa"/>
        <w:jc w:val="center"/>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3544"/>
        <w:gridCol w:w="992"/>
        <w:gridCol w:w="897"/>
        <w:gridCol w:w="946"/>
        <w:gridCol w:w="3969"/>
      </w:tblGrid>
      <w:tr w:rsidR="008E698D" w:rsidRPr="008E698D" w14:paraId="0C694AB2" w14:textId="77777777" w:rsidTr="009A2C59">
        <w:trPr>
          <w:trHeight w:val="435"/>
          <w:jc w:val="center"/>
        </w:trPr>
        <w:tc>
          <w:tcPr>
            <w:tcW w:w="3544" w:type="dxa"/>
            <w:tcBorders>
              <w:top w:val="single" w:sz="8" w:space="0" w:color="auto"/>
              <w:bottom w:val="single" w:sz="4" w:space="0" w:color="auto"/>
            </w:tcBorders>
            <w:noWrap/>
            <w:vAlign w:val="center"/>
            <w:hideMark/>
          </w:tcPr>
          <w:p w14:paraId="7427B18B" w14:textId="77777777" w:rsidR="008E698D" w:rsidRPr="008E698D" w:rsidRDefault="008E698D" w:rsidP="008E698D">
            <w:pPr>
              <w:widowControl/>
              <w:jc w:val="center"/>
              <w:rPr>
                <w:rFonts w:ascii="Times New Roman" w:eastAsia="游ゴシック" w:hAnsi="Times New Roman" w:cs="Times New Roman"/>
                <w:b/>
                <w:bCs/>
                <w:color w:val="000000"/>
                <w:kern w:val="0"/>
                <w:sz w:val="17"/>
                <w:szCs w:val="17"/>
              </w:rPr>
            </w:pPr>
            <w:bookmarkStart w:id="32" w:name="_Hlk177113908"/>
            <w:bookmarkStart w:id="33" w:name="_Hlk189638961"/>
            <w:bookmarkEnd w:id="30"/>
            <w:bookmarkEnd w:id="31"/>
            <w:r w:rsidRPr="008E698D">
              <w:rPr>
                <w:rFonts w:ascii="Times New Roman" w:eastAsia="游ゴシック" w:hAnsi="Times New Roman" w:cs="Times New Roman"/>
                <w:b/>
                <w:bCs/>
                <w:color w:val="000000"/>
                <w:kern w:val="0"/>
                <w:sz w:val="17"/>
                <w:szCs w:val="17"/>
              </w:rPr>
              <w:t>Parameter</w:t>
            </w:r>
          </w:p>
        </w:tc>
        <w:tc>
          <w:tcPr>
            <w:tcW w:w="992" w:type="dxa"/>
            <w:tcBorders>
              <w:top w:val="single" w:sz="8" w:space="0" w:color="auto"/>
              <w:bottom w:val="single" w:sz="4" w:space="0" w:color="auto"/>
            </w:tcBorders>
            <w:vAlign w:val="center"/>
            <w:hideMark/>
          </w:tcPr>
          <w:p w14:paraId="31D3102B" w14:textId="77777777" w:rsidR="008E698D" w:rsidRPr="008E698D" w:rsidRDefault="008E698D" w:rsidP="008E698D">
            <w:pPr>
              <w:widowControl/>
              <w:jc w:val="center"/>
              <w:rPr>
                <w:rFonts w:ascii="Times New Roman" w:eastAsia="游ゴシック" w:hAnsi="Times New Roman" w:cs="Times New Roman"/>
                <w:b/>
                <w:bCs/>
                <w:color w:val="000000"/>
                <w:kern w:val="0"/>
                <w:sz w:val="17"/>
                <w:szCs w:val="17"/>
              </w:rPr>
            </w:pPr>
            <w:r w:rsidRPr="008E698D">
              <w:rPr>
                <w:rFonts w:ascii="Times New Roman" w:eastAsia="游ゴシック" w:hAnsi="Times New Roman" w:cs="Times New Roman"/>
                <w:b/>
                <w:bCs/>
                <w:color w:val="000000"/>
                <w:kern w:val="0"/>
                <w:sz w:val="17"/>
                <w:szCs w:val="17"/>
              </w:rPr>
              <w:t>Variable value</w:t>
            </w:r>
          </w:p>
        </w:tc>
        <w:tc>
          <w:tcPr>
            <w:tcW w:w="897" w:type="dxa"/>
            <w:tcBorders>
              <w:top w:val="single" w:sz="8" w:space="0" w:color="auto"/>
              <w:bottom w:val="single" w:sz="4" w:space="0" w:color="auto"/>
            </w:tcBorders>
            <w:noWrap/>
            <w:vAlign w:val="center"/>
            <w:hideMark/>
          </w:tcPr>
          <w:p w14:paraId="0920000A" w14:textId="77777777" w:rsidR="008E698D" w:rsidRPr="008E698D" w:rsidRDefault="008E698D" w:rsidP="008E698D">
            <w:pPr>
              <w:widowControl/>
              <w:jc w:val="left"/>
              <w:rPr>
                <w:rFonts w:ascii="Times New Roman" w:eastAsia="游ゴシック" w:hAnsi="Times New Roman" w:cs="Times New Roman"/>
                <w:b/>
                <w:bCs/>
                <w:color w:val="000000"/>
                <w:kern w:val="0"/>
                <w:sz w:val="17"/>
                <w:szCs w:val="17"/>
              </w:rPr>
            </w:pPr>
            <w:r w:rsidRPr="008E698D">
              <w:rPr>
                <w:rFonts w:ascii="Times New Roman" w:eastAsia="游ゴシック" w:hAnsi="Times New Roman" w:cs="Times New Roman"/>
                <w:b/>
                <w:bCs/>
                <w:color w:val="000000"/>
                <w:kern w:val="0"/>
                <w:sz w:val="17"/>
                <w:szCs w:val="17"/>
              </w:rPr>
              <w:t xml:space="preserve"> Unit</w:t>
            </w:r>
          </w:p>
        </w:tc>
        <w:tc>
          <w:tcPr>
            <w:tcW w:w="946" w:type="dxa"/>
            <w:tcBorders>
              <w:top w:val="single" w:sz="8" w:space="0" w:color="auto"/>
              <w:bottom w:val="single" w:sz="4" w:space="0" w:color="auto"/>
            </w:tcBorders>
            <w:vAlign w:val="center"/>
            <w:hideMark/>
          </w:tcPr>
          <w:p w14:paraId="2BAE3EE0" w14:textId="77777777" w:rsidR="008E698D" w:rsidRPr="008E698D" w:rsidRDefault="008E698D" w:rsidP="008E698D">
            <w:pPr>
              <w:widowControl/>
              <w:jc w:val="center"/>
              <w:rPr>
                <w:rFonts w:ascii="Times New Roman" w:eastAsia="游ゴシック" w:hAnsi="Times New Roman" w:cs="Times New Roman"/>
                <w:b/>
                <w:bCs/>
                <w:color w:val="000000"/>
                <w:kern w:val="0"/>
                <w:sz w:val="17"/>
                <w:szCs w:val="17"/>
              </w:rPr>
            </w:pPr>
            <w:r w:rsidRPr="008E698D">
              <w:rPr>
                <w:rFonts w:ascii="Times New Roman" w:eastAsia="游ゴシック" w:hAnsi="Times New Roman" w:cs="Times New Roman"/>
                <w:b/>
                <w:bCs/>
                <w:color w:val="000000"/>
                <w:kern w:val="0"/>
                <w:sz w:val="17"/>
                <w:szCs w:val="17"/>
              </w:rPr>
              <w:t>Reference value</w:t>
            </w:r>
          </w:p>
        </w:tc>
        <w:tc>
          <w:tcPr>
            <w:tcW w:w="3969" w:type="dxa"/>
            <w:tcBorders>
              <w:top w:val="single" w:sz="8" w:space="0" w:color="auto"/>
              <w:bottom w:val="single" w:sz="4" w:space="0" w:color="auto"/>
            </w:tcBorders>
            <w:noWrap/>
            <w:vAlign w:val="center"/>
            <w:hideMark/>
          </w:tcPr>
          <w:p w14:paraId="56AED68A" w14:textId="77777777" w:rsidR="008E698D" w:rsidRPr="008E698D" w:rsidRDefault="008E698D" w:rsidP="008E698D">
            <w:pPr>
              <w:widowControl/>
              <w:jc w:val="center"/>
              <w:rPr>
                <w:rFonts w:ascii="Times New Roman" w:eastAsia="游ゴシック" w:hAnsi="Times New Roman" w:cs="Times New Roman"/>
                <w:b/>
                <w:bCs/>
                <w:color w:val="000000"/>
                <w:kern w:val="0"/>
                <w:sz w:val="17"/>
                <w:szCs w:val="17"/>
              </w:rPr>
            </w:pPr>
            <w:r w:rsidRPr="008E698D">
              <w:rPr>
                <w:rFonts w:ascii="Times New Roman" w:eastAsia="游ゴシック" w:hAnsi="Times New Roman" w:cs="Times New Roman"/>
                <w:b/>
                <w:bCs/>
                <w:color w:val="000000"/>
                <w:kern w:val="0"/>
                <w:sz w:val="17"/>
                <w:szCs w:val="17"/>
              </w:rPr>
              <w:t>Remarks</w:t>
            </w:r>
          </w:p>
        </w:tc>
      </w:tr>
      <w:tr w:rsidR="008E698D" w:rsidRPr="008E698D" w14:paraId="7EE2CF75" w14:textId="77777777" w:rsidTr="009A2C59">
        <w:trPr>
          <w:trHeight w:val="282"/>
          <w:jc w:val="center"/>
        </w:trPr>
        <w:tc>
          <w:tcPr>
            <w:tcW w:w="3544" w:type="dxa"/>
            <w:tcBorders>
              <w:top w:val="single" w:sz="4" w:space="0" w:color="auto"/>
            </w:tcBorders>
            <w:noWrap/>
            <w:vAlign w:val="center"/>
            <w:hideMark/>
          </w:tcPr>
          <w:p w14:paraId="3E634AF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Safety factor (SF)</w:t>
            </w:r>
          </w:p>
        </w:tc>
        <w:tc>
          <w:tcPr>
            <w:tcW w:w="992" w:type="dxa"/>
            <w:tcBorders>
              <w:top w:val="single" w:sz="4" w:space="0" w:color="auto"/>
            </w:tcBorders>
            <w:noWrap/>
            <w:vAlign w:val="center"/>
            <w:hideMark/>
          </w:tcPr>
          <w:p w14:paraId="0240617E"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1.50 </w:t>
            </w:r>
          </w:p>
        </w:tc>
        <w:tc>
          <w:tcPr>
            <w:tcW w:w="897" w:type="dxa"/>
            <w:tcBorders>
              <w:top w:val="single" w:sz="4" w:space="0" w:color="auto"/>
            </w:tcBorders>
            <w:noWrap/>
            <w:vAlign w:val="center"/>
            <w:hideMark/>
          </w:tcPr>
          <w:p w14:paraId="7AE8DE3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w:t>
            </w:r>
          </w:p>
        </w:tc>
        <w:tc>
          <w:tcPr>
            <w:tcW w:w="946" w:type="dxa"/>
            <w:tcBorders>
              <w:top w:val="single" w:sz="4" w:space="0" w:color="auto"/>
            </w:tcBorders>
            <w:noWrap/>
            <w:vAlign w:val="center"/>
            <w:hideMark/>
          </w:tcPr>
          <w:p w14:paraId="52A29E3B"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1.5</w:t>
            </w:r>
          </w:p>
        </w:tc>
        <w:tc>
          <w:tcPr>
            <w:tcW w:w="3969" w:type="dxa"/>
            <w:tcBorders>
              <w:top w:val="single" w:sz="4" w:space="0" w:color="auto"/>
            </w:tcBorders>
            <w:noWrap/>
            <w:vAlign w:val="center"/>
            <w:hideMark/>
          </w:tcPr>
          <w:p w14:paraId="439D26B5"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Variable variable (VV)</w:t>
            </w:r>
          </w:p>
        </w:tc>
      </w:tr>
      <w:tr w:rsidR="008E698D" w:rsidRPr="008E698D" w14:paraId="27FD39A2" w14:textId="77777777" w:rsidTr="005A593C">
        <w:trPr>
          <w:trHeight w:val="282"/>
          <w:jc w:val="center"/>
        </w:trPr>
        <w:tc>
          <w:tcPr>
            <w:tcW w:w="3544" w:type="dxa"/>
            <w:noWrap/>
            <w:vAlign w:val="center"/>
            <w:hideMark/>
          </w:tcPr>
          <w:p w14:paraId="5E3DB64F"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Ambient temperature for pipe burial (T)</w:t>
            </w:r>
          </w:p>
        </w:tc>
        <w:tc>
          <w:tcPr>
            <w:tcW w:w="992" w:type="dxa"/>
            <w:noWrap/>
            <w:vAlign w:val="center"/>
            <w:hideMark/>
          </w:tcPr>
          <w:p w14:paraId="0087E9D1"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 xml:space="preserve">35 </w:t>
            </w:r>
          </w:p>
        </w:tc>
        <w:tc>
          <w:tcPr>
            <w:tcW w:w="897" w:type="dxa"/>
            <w:noWrap/>
            <w:vAlign w:val="center"/>
            <w:hideMark/>
          </w:tcPr>
          <w:p w14:paraId="7921A6BA"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游ゴシック" w:eastAsia="游ゴシック" w:hAnsi="游ゴシック" w:cs="Times New Roman" w:hint="eastAsia"/>
                <w:color w:val="000000"/>
                <w:kern w:val="0"/>
                <w:sz w:val="17"/>
                <w:szCs w:val="17"/>
              </w:rPr>
              <w:t xml:space="preserve"> </w:t>
            </w:r>
            <w:r w:rsidRPr="008E698D">
              <w:rPr>
                <w:rFonts w:ascii="Segoe UI Symbol" w:eastAsia="游ゴシック" w:hAnsi="Segoe UI Symbol" w:cs="Times New Roman"/>
                <w:color w:val="000000"/>
                <w:kern w:val="0"/>
                <w:sz w:val="17"/>
                <w:szCs w:val="17"/>
              </w:rPr>
              <w:t>℃</w:t>
            </w:r>
          </w:p>
        </w:tc>
        <w:tc>
          <w:tcPr>
            <w:tcW w:w="946" w:type="dxa"/>
            <w:noWrap/>
            <w:vAlign w:val="center"/>
            <w:hideMark/>
          </w:tcPr>
          <w:p w14:paraId="1B06296E"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35</w:t>
            </w:r>
          </w:p>
        </w:tc>
        <w:tc>
          <w:tcPr>
            <w:tcW w:w="3969" w:type="dxa"/>
            <w:noWrap/>
            <w:vAlign w:val="center"/>
            <w:hideMark/>
          </w:tcPr>
          <w:p w14:paraId="567029B7"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See figure M1-2, T</w:t>
            </w:r>
            <w:r w:rsidRPr="008E698D">
              <w:rPr>
                <w:rFonts w:ascii="Segoe UI Symbol" w:eastAsia="游ゴシック" w:hAnsi="Segoe UI Symbol" w:cs="Times New Roman"/>
                <w:color w:val="000000"/>
                <w:kern w:val="0"/>
                <w:sz w:val="17"/>
                <w:szCs w:val="17"/>
              </w:rPr>
              <w:t>➪</w:t>
            </w:r>
            <w:r w:rsidRPr="008E698D">
              <w:rPr>
                <w:rFonts w:ascii="Times New Roman" w:eastAsia="游ゴシック" w:hAnsi="Times New Roman" w:cs="Times New Roman"/>
                <w:color w:val="000000"/>
                <w:kern w:val="0"/>
                <w:sz w:val="17"/>
                <w:szCs w:val="17"/>
              </w:rPr>
              <w:t>σ, ρ, ν, Pr, VV</w:t>
            </w:r>
          </w:p>
        </w:tc>
      </w:tr>
      <w:tr w:rsidR="008E698D" w:rsidRPr="008E698D" w14:paraId="74D440C0" w14:textId="77777777" w:rsidTr="005A593C">
        <w:trPr>
          <w:trHeight w:val="282"/>
          <w:jc w:val="center"/>
        </w:trPr>
        <w:tc>
          <w:tcPr>
            <w:tcW w:w="3544" w:type="dxa"/>
            <w:noWrap/>
            <w:vAlign w:val="center"/>
            <w:hideMark/>
          </w:tcPr>
          <w:p w14:paraId="3898C1C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Dynamic viscosity of 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(σ) </w:t>
            </w:r>
          </w:p>
        </w:tc>
        <w:tc>
          <w:tcPr>
            <w:tcW w:w="992" w:type="dxa"/>
            <w:noWrap/>
            <w:vAlign w:val="center"/>
            <w:hideMark/>
          </w:tcPr>
          <w:p w14:paraId="574E1B5F"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1.29E-04</w:t>
            </w:r>
          </w:p>
        </w:tc>
        <w:tc>
          <w:tcPr>
            <w:tcW w:w="897" w:type="dxa"/>
            <w:noWrap/>
            <w:vAlign w:val="center"/>
            <w:hideMark/>
          </w:tcPr>
          <w:p w14:paraId="6A7CFAE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Pa</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s</w:t>
            </w:r>
          </w:p>
        </w:tc>
        <w:tc>
          <w:tcPr>
            <w:tcW w:w="946" w:type="dxa"/>
            <w:noWrap/>
            <w:vAlign w:val="center"/>
            <w:hideMark/>
          </w:tcPr>
          <w:p w14:paraId="57B35A1F" w14:textId="77777777" w:rsidR="008E698D" w:rsidRPr="008E698D" w:rsidRDefault="008E698D" w:rsidP="008E698D">
            <w:pPr>
              <w:widowControl/>
              <w:jc w:val="left"/>
              <w:rPr>
                <w:rFonts w:ascii="Times New Roman" w:eastAsia="游ゴシック" w:hAnsi="Times New Roman" w:cs="Times New Roman"/>
                <w:color w:val="00B050"/>
                <w:kern w:val="0"/>
                <w:sz w:val="17"/>
                <w:szCs w:val="17"/>
              </w:rPr>
            </w:pPr>
            <w:r w:rsidRPr="008E698D">
              <w:rPr>
                <w:rFonts w:ascii="Times New Roman" w:eastAsia="游ゴシック" w:hAnsi="Times New Roman" w:cs="Times New Roman"/>
                <w:color w:val="00B050"/>
                <w:kern w:val="0"/>
                <w:sz w:val="17"/>
                <w:szCs w:val="17"/>
              </w:rPr>
              <w:t>1.29E-04</w:t>
            </w:r>
          </w:p>
        </w:tc>
        <w:tc>
          <w:tcPr>
            <w:tcW w:w="3969" w:type="dxa"/>
            <w:noWrap/>
            <w:vAlign w:val="center"/>
            <w:hideMark/>
          </w:tcPr>
          <w:p w14:paraId="1695330D"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Pa</w:t>
            </w:r>
            <w:r w:rsidRPr="008E698D">
              <w:rPr>
                <w:rFonts w:ascii="ＭＳ 明朝" w:eastAsia="ＭＳ 明朝" w:hAnsi="ＭＳ 明朝"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s= kg/(m</w:t>
            </w:r>
            <w:r w:rsidRPr="008E698D">
              <w:rPr>
                <w:rFonts w:ascii="ＭＳ 明朝" w:eastAsia="ＭＳ 明朝" w:hAnsi="ＭＳ 明朝"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s), see figure M1-2(b)</w:t>
            </w:r>
          </w:p>
        </w:tc>
      </w:tr>
      <w:tr w:rsidR="008E698D" w:rsidRPr="008E698D" w14:paraId="1B8CA1E9" w14:textId="77777777" w:rsidTr="005A593C">
        <w:trPr>
          <w:trHeight w:val="282"/>
          <w:jc w:val="center"/>
        </w:trPr>
        <w:tc>
          <w:tcPr>
            <w:tcW w:w="3544" w:type="dxa"/>
            <w:noWrap/>
            <w:vAlign w:val="center"/>
            <w:hideMark/>
          </w:tcPr>
          <w:p w14:paraId="0DC50D7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Density of 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(ρ)</w:t>
            </w:r>
          </w:p>
        </w:tc>
        <w:tc>
          <w:tcPr>
            <w:tcW w:w="992" w:type="dxa"/>
            <w:noWrap/>
            <w:vAlign w:val="center"/>
            <w:hideMark/>
          </w:tcPr>
          <w:p w14:paraId="5BA1A674"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601 </w:t>
            </w:r>
          </w:p>
        </w:tc>
        <w:tc>
          <w:tcPr>
            <w:tcW w:w="897" w:type="dxa"/>
            <w:noWrap/>
            <w:vAlign w:val="center"/>
            <w:hideMark/>
          </w:tcPr>
          <w:p w14:paraId="637B9A63"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kg/m</w:t>
            </w:r>
            <w:r w:rsidRPr="008E698D">
              <w:rPr>
                <w:rFonts w:ascii="Times New Roman" w:eastAsia="游ゴシック" w:hAnsi="Times New Roman" w:cs="Times New Roman"/>
                <w:color w:val="000000"/>
                <w:kern w:val="0"/>
                <w:sz w:val="17"/>
                <w:szCs w:val="17"/>
                <w:vertAlign w:val="superscript"/>
              </w:rPr>
              <w:t>3</w:t>
            </w:r>
          </w:p>
        </w:tc>
        <w:tc>
          <w:tcPr>
            <w:tcW w:w="946" w:type="dxa"/>
            <w:noWrap/>
            <w:vAlign w:val="center"/>
            <w:hideMark/>
          </w:tcPr>
          <w:p w14:paraId="17DEB789" w14:textId="77777777" w:rsidR="008E698D" w:rsidRPr="008E698D" w:rsidRDefault="008E698D" w:rsidP="008E698D">
            <w:pPr>
              <w:widowControl/>
              <w:jc w:val="left"/>
              <w:rPr>
                <w:rFonts w:ascii="Times New Roman" w:eastAsia="游ゴシック" w:hAnsi="Times New Roman" w:cs="Times New Roman"/>
                <w:color w:val="00B050"/>
                <w:kern w:val="0"/>
                <w:sz w:val="17"/>
                <w:szCs w:val="17"/>
              </w:rPr>
            </w:pPr>
            <w:r w:rsidRPr="008E698D">
              <w:rPr>
                <w:rFonts w:ascii="Times New Roman" w:eastAsia="游ゴシック" w:hAnsi="Times New Roman" w:cs="Times New Roman"/>
                <w:color w:val="00B050"/>
                <w:kern w:val="0"/>
                <w:sz w:val="17"/>
                <w:szCs w:val="17"/>
              </w:rPr>
              <w:t xml:space="preserve">601 </w:t>
            </w:r>
          </w:p>
        </w:tc>
        <w:tc>
          <w:tcPr>
            <w:tcW w:w="3969" w:type="dxa"/>
            <w:noWrap/>
            <w:vAlign w:val="center"/>
            <w:hideMark/>
          </w:tcPr>
          <w:p w14:paraId="5633C801"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See figure M1-2(c)</w:t>
            </w:r>
          </w:p>
        </w:tc>
      </w:tr>
      <w:tr w:rsidR="008E698D" w:rsidRPr="008E698D" w14:paraId="18BAF88E" w14:textId="77777777" w:rsidTr="005A593C">
        <w:trPr>
          <w:trHeight w:val="282"/>
          <w:jc w:val="center"/>
        </w:trPr>
        <w:tc>
          <w:tcPr>
            <w:tcW w:w="3544" w:type="dxa"/>
            <w:noWrap/>
            <w:vAlign w:val="center"/>
            <w:hideMark/>
          </w:tcPr>
          <w:p w14:paraId="7D2C2F6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Kinematic viscosity of 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(ν)</w:t>
            </w:r>
          </w:p>
        </w:tc>
        <w:tc>
          <w:tcPr>
            <w:tcW w:w="992" w:type="dxa"/>
            <w:noWrap/>
            <w:vAlign w:val="center"/>
            <w:hideMark/>
          </w:tcPr>
          <w:p w14:paraId="232442E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2.16E-07</w:t>
            </w:r>
          </w:p>
        </w:tc>
        <w:tc>
          <w:tcPr>
            <w:tcW w:w="897" w:type="dxa"/>
            <w:noWrap/>
            <w:vAlign w:val="center"/>
            <w:hideMark/>
          </w:tcPr>
          <w:p w14:paraId="4126D3A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r w:rsidRPr="008E698D">
              <w:rPr>
                <w:rFonts w:ascii="Times New Roman" w:eastAsia="游ゴシック" w:hAnsi="Times New Roman" w:cs="Times New Roman"/>
                <w:color w:val="000000"/>
                <w:kern w:val="0"/>
                <w:sz w:val="17"/>
                <w:szCs w:val="17"/>
                <w:vertAlign w:val="superscript"/>
              </w:rPr>
              <w:t>2</w:t>
            </w:r>
            <w:r w:rsidRPr="008E698D">
              <w:rPr>
                <w:rFonts w:ascii="Times New Roman" w:eastAsia="游ゴシック" w:hAnsi="Times New Roman" w:cs="Times New Roman"/>
                <w:color w:val="000000"/>
                <w:kern w:val="0"/>
                <w:sz w:val="17"/>
                <w:szCs w:val="17"/>
              </w:rPr>
              <w:t>/s</w:t>
            </w:r>
          </w:p>
        </w:tc>
        <w:tc>
          <w:tcPr>
            <w:tcW w:w="946" w:type="dxa"/>
            <w:noWrap/>
            <w:vAlign w:val="center"/>
            <w:hideMark/>
          </w:tcPr>
          <w:p w14:paraId="0992C208" w14:textId="77777777" w:rsidR="008E698D" w:rsidRPr="008E698D" w:rsidRDefault="008E698D" w:rsidP="008E698D">
            <w:pPr>
              <w:widowControl/>
              <w:jc w:val="left"/>
              <w:rPr>
                <w:rFonts w:ascii="Times New Roman" w:eastAsia="游ゴシック" w:hAnsi="Times New Roman" w:cs="Times New Roman"/>
                <w:color w:val="00B050"/>
                <w:kern w:val="0"/>
                <w:sz w:val="17"/>
                <w:szCs w:val="17"/>
              </w:rPr>
            </w:pPr>
            <w:r w:rsidRPr="008E698D">
              <w:rPr>
                <w:rFonts w:ascii="Times New Roman" w:eastAsia="游ゴシック" w:hAnsi="Times New Roman" w:cs="Times New Roman"/>
                <w:color w:val="00B050"/>
                <w:kern w:val="0"/>
                <w:sz w:val="17"/>
                <w:szCs w:val="17"/>
              </w:rPr>
              <w:t>2.16E-07</w:t>
            </w:r>
          </w:p>
        </w:tc>
        <w:tc>
          <w:tcPr>
            <w:tcW w:w="3969" w:type="dxa"/>
            <w:noWrap/>
            <w:vAlign w:val="center"/>
            <w:hideMark/>
          </w:tcPr>
          <w:p w14:paraId="5E2A52E5"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σ/ρ</w:t>
            </w:r>
          </w:p>
        </w:tc>
      </w:tr>
      <w:tr w:rsidR="008E698D" w:rsidRPr="008E698D" w14:paraId="3169272E" w14:textId="77777777" w:rsidTr="005A593C">
        <w:trPr>
          <w:trHeight w:val="282"/>
          <w:jc w:val="center"/>
        </w:trPr>
        <w:tc>
          <w:tcPr>
            <w:tcW w:w="3544" w:type="dxa"/>
            <w:noWrap/>
            <w:vAlign w:val="center"/>
            <w:hideMark/>
          </w:tcPr>
          <w:p w14:paraId="57DE1F80"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Speed of moving fluid (V)</w:t>
            </w:r>
          </w:p>
        </w:tc>
        <w:tc>
          <w:tcPr>
            <w:tcW w:w="992" w:type="dxa"/>
            <w:noWrap/>
            <w:vAlign w:val="center"/>
            <w:hideMark/>
          </w:tcPr>
          <w:p w14:paraId="7F6B490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2.07 </w:t>
            </w:r>
          </w:p>
        </w:tc>
        <w:tc>
          <w:tcPr>
            <w:tcW w:w="897" w:type="dxa"/>
            <w:noWrap/>
            <w:vAlign w:val="center"/>
            <w:hideMark/>
          </w:tcPr>
          <w:p w14:paraId="51DCFE4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m/s</w:t>
            </w:r>
          </w:p>
        </w:tc>
        <w:tc>
          <w:tcPr>
            <w:tcW w:w="946" w:type="dxa"/>
            <w:noWrap/>
            <w:vAlign w:val="center"/>
            <w:hideMark/>
          </w:tcPr>
          <w:p w14:paraId="26141CA6"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2.07 </w:t>
            </w:r>
          </w:p>
        </w:tc>
        <w:tc>
          <w:tcPr>
            <w:tcW w:w="3969" w:type="dxa"/>
            <w:noWrap/>
            <w:vAlign w:val="center"/>
            <w:hideMark/>
          </w:tcPr>
          <w:p w14:paraId="6C9BD5E2"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Search variable (SV)</w:t>
            </w:r>
          </w:p>
        </w:tc>
      </w:tr>
      <w:tr w:rsidR="008E698D" w:rsidRPr="008E698D" w14:paraId="065C280A" w14:textId="77777777" w:rsidTr="005A593C">
        <w:trPr>
          <w:trHeight w:val="282"/>
          <w:jc w:val="center"/>
        </w:trPr>
        <w:tc>
          <w:tcPr>
            <w:tcW w:w="3544" w:type="dxa"/>
            <w:noWrap/>
            <w:vAlign w:val="center"/>
            <w:hideMark/>
          </w:tcPr>
          <w:p w14:paraId="2A10CEBA"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Inner diameter of pipe (ID)</w:t>
            </w:r>
          </w:p>
        </w:tc>
        <w:tc>
          <w:tcPr>
            <w:tcW w:w="992" w:type="dxa"/>
            <w:noWrap/>
            <w:vAlign w:val="center"/>
            <w:hideMark/>
          </w:tcPr>
          <w:p w14:paraId="61D78631"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0.532 </w:t>
            </w:r>
          </w:p>
        </w:tc>
        <w:tc>
          <w:tcPr>
            <w:tcW w:w="897" w:type="dxa"/>
            <w:noWrap/>
            <w:vAlign w:val="center"/>
            <w:hideMark/>
          </w:tcPr>
          <w:p w14:paraId="2443F0BA"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p>
        </w:tc>
        <w:tc>
          <w:tcPr>
            <w:tcW w:w="946" w:type="dxa"/>
            <w:noWrap/>
            <w:vAlign w:val="center"/>
            <w:hideMark/>
          </w:tcPr>
          <w:p w14:paraId="5D76CAC3"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0.532</w:t>
            </w:r>
          </w:p>
        </w:tc>
        <w:tc>
          <w:tcPr>
            <w:tcW w:w="3969" w:type="dxa"/>
            <w:noWrap/>
            <w:vAlign w:val="center"/>
            <w:hideMark/>
          </w:tcPr>
          <w:p w14:paraId="314D87B6"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Sch160, VV</w:t>
            </w:r>
          </w:p>
        </w:tc>
      </w:tr>
      <w:tr w:rsidR="008E698D" w:rsidRPr="008E698D" w14:paraId="7ADA0425" w14:textId="77777777" w:rsidTr="005A593C">
        <w:trPr>
          <w:trHeight w:val="282"/>
          <w:jc w:val="center"/>
        </w:trPr>
        <w:tc>
          <w:tcPr>
            <w:tcW w:w="3544" w:type="dxa"/>
            <w:noWrap/>
            <w:vAlign w:val="center"/>
            <w:hideMark/>
          </w:tcPr>
          <w:p w14:paraId="1878AFB9"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Reynolds number (Re)</w:t>
            </w:r>
          </w:p>
        </w:tc>
        <w:tc>
          <w:tcPr>
            <w:tcW w:w="992" w:type="dxa"/>
            <w:noWrap/>
            <w:vAlign w:val="center"/>
            <w:hideMark/>
          </w:tcPr>
          <w:p w14:paraId="68FA0680"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5.11E+06</w:t>
            </w:r>
          </w:p>
        </w:tc>
        <w:tc>
          <w:tcPr>
            <w:tcW w:w="897" w:type="dxa"/>
            <w:noWrap/>
            <w:vAlign w:val="center"/>
            <w:hideMark/>
          </w:tcPr>
          <w:p w14:paraId="5AD8427A"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w:t>
            </w:r>
          </w:p>
        </w:tc>
        <w:tc>
          <w:tcPr>
            <w:tcW w:w="946" w:type="dxa"/>
            <w:noWrap/>
            <w:vAlign w:val="center"/>
            <w:hideMark/>
          </w:tcPr>
          <w:p w14:paraId="357B245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5.11E+06</w:t>
            </w:r>
          </w:p>
        </w:tc>
        <w:tc>
          <w:tcPr>
            <w:tcW w:w="3969" w:type="dxa"/>
            <w:noWrap/>
            <w:vAlign w:val="center"/>
            <w:hideMark/>
          </w:tcPr>
          <w:p w14:paraId="502D747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V</w:t>
            </w:r>
            <w:r w:rsidRPr="008E698D">
              <w:rPr>
                <w:rFonts w:ascii="ＭＳ 明朝" w:eastAsia="ＭＳ 明朝" w:hAnsi="ＭＳ 明朝"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ID/ν</w:t>
            </w:r>
          </w:p>
        </w:tc>
      </w:tr>
      <w:tr w:rsidR="008E698D" w:rsidRPr="008E698D" w14:paraId="17A9C18B" w14:textId="77777777" w:rsidTr="005A593C">
        <w:trPr>
          <w:trHeight w:val="282"/>
          <w:jc w:val="center"/>
        </w:trPr>
        <w:tc>
          <w:tcPr>
            <w:tcW w:w="3544" w:type="dxa"/>
            <w:noWrap/>
            <w:vAlign w:val="center"/>
            <w:hideMark/>
          </w:tcPr>
          <w:p w14:paraId="18DDF681"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Cross section area of pipe (A)</w:t>
            </w:r>
          </w:p>
        </w:tc>
        <w:tc>
          <w:tcPr>
            <w:tcW w:w="992" w:type="dxa"/>
            <w:noWrap/>
            <w:vAlign w:val="center"/>
            <w:hideMark/>
          </w:tcPr>
          <w:p w14:paraId="16467E78"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0.445 </w:t>
            </w:r>
          </w:p>
        </w:tc>
        <w:tc>
          <w:tcPr>
            <w:tcW w:w="897" w:type="dxa"/>
            <w:noWrap/>
            <w:vAlign w:val="center"/>
            <w:hideMark/>
          </w:tcPr>
          <w:p w14:paraId="296E7FA3"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r w:rsidRPr="008E698D">
              <w:rPr>
                <w:rFonts w:ascii="Times New Roman" w:eastAsia="游ゴシック" w:hAnsi="Times New Roman" w:cs="Times New Roman"/>
                <w:color w:val="000000"/>
                <w:kern w:val="0"/>
                <w:sz w:val="17"/>
                <w:szCs w:val="17"/>
                <w:vertAlign w:val="superscript"/>
              </w:rPr>
              <w:t>2</w:t>
            </w:r>
          </w:p>
        </w:tc>
        <w:tc>
          <w:tcPr>
            <w:tcW w:w="946" w:type="dxa"/>
            <w:noWrap/>
            <w:vAlign w:val="center"/>
            <w:hideMark/>
          </w:tcPr>
          <w:p w14:paraId="0F2352FB"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0.445 </w:t>
            </w:r>
          </w:p>
        </w:tc>
        <w:tc>
          <w:tcPr>
            <w:tcW w:w="3969" w:type="dxa"/>
            <w:noWrap/>
            <w:vAlign w:val="center"/>
            <w:hideMark/>
          </w:tcPr>
          <w:p w14:paraId="59331497"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πID</w:t>
            </w:r>
            <w:r w:rsidRPr="008E698D">
              <w:rPr>
                <w:rFonts w:ascii="Times New Roman" w:eastAsia="游ゴシック" w:hAnsi="Times New Roman" w:cs="Times New Roman"/>
                <w:color w:val="000000"/>
                <w:kern w:val="0"/>
                <w:sz w:val="17"/>
                <w:szCs w:val="17"/>
                <w:vertAlign w:val="superscript"/>
              </w:rPr>
              <w:t>2</w:t>
            </w:r>
            <w:r w:rsidRPr="008E698D">
              <w:rPr>
                <w:rFonts w:ascii="Times New Roman" w:eastAsia="游ゴシック" w:hAnsi="Times New Roman" w:cs="Times New Roman"/>
                <w:color w:val="000000"/>
                <w:kern w:val="0"/>
                <w:sz w:val="17"/>
                <w:szCs w:val="17"/>
              </w:rPr>
              <w:t>/2</w:t>
            </w:r>
          </w:p>
        </w:tc>
      </w:tr>
      <w:tr w:rsidR="008E698D" w:rsidRPr="008E698D" w14:paraId="15E8AD5F" w14:textId="77777777" w:rsidTr="005A593C">
        <w:trPr>
          <w:trHeight w:val="282"/>
          <w:jc w:val="center"/>
        </w:trPr>
        <w:tc>
          <w:tcPr>
            <w:tcW w:w="3544" w:type="dxa"/>
            <w:noWrap/>
            <w:vAlign w:val="center"/>
            <w:hideMark/>
          </w:tcPr>
          <w:p w14:paraId="6672BF6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Pipe inner surface roughness (ε)</w:t>
            </w:r>
          </w:p>
        </w:tc>
        <w:tc>
          <w:tcPr>
            <w:tcW w:w="992" w:type="dxa"/>
            <w:noWrap/>
            <w:vAlign w:val="center"/>
            <w:hideMark/>
          </w:tcPr>
          <w:p w14:paraId="5B26687A"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0.150 </w:t>
            </w:r>
          </w:p>
        </w:tc>
        <w:tc>
          <w:tcPr>
            <w:tcW w:w="897" w:type="dxa"/>
            <w:noWrap/>
            <w:vAlign w:val="center"/>
            <w:hideMark/>
          </w:tcPr>
          <w:p w14:paraId="6B82ECC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mm</w:t>
            </w:r>
          </w:p>
        </w:tc>
        <w:tc>
          <w:tcPr>
            <w:tcW w:w="946" w:type="dxa"/>
            <w:noWrap/>
            <w:vAlign w:val="center"/>
            <w:hideMark/>
          </w:tcPr>
          <w:p w14:paraId="18C2940B"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 xml:space="preserve">0.150 </w:t>
            </w:r>
          </w:p>
        </w:tc>
        <w:tc>
          <w:tcPr>
            <w:tcW w:w="3969" w:type="dxa"/>
            <w:noWrap/>
            <w:vAlign w:val="center"/>
            <w:hideMark/>
          </w:tcPr>
          <w:p w14:paraId="7BB6264F"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Steel pipe in use (uniform rust) condition, VV</w:t>
            </w:r>
          </w:p>
        </w:tc>
      </w:tr>
      <w:tr w:rsidR="008E698D" w:rsidRPr="008E698D" w14:paraId="69B2A441" w14:textId="77777777" w:rsidTr="005A593C">
        <w:trPr>
          <w:trHeight w:val="282"/>
          <w:jc w:val="center"/>
        </w:trPr>
        <w:tc>
          <w:tcPr>
            <w:tcW w:w="3544" w:type="dxa"/>
            <w:noWrap/>
            <w:vAlign w:val="center"/>
            <w:hideMark/>
          </w:tcPr>
          <w:p w14:paraId="1A4FD4F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Coefficient of pipe friction (λ)</w:t>
            </w:r>
          </w:p>
        </w:tc>
        <w:tc>
          <w:tcPr>
            <w:tcW w:w="992" w:type="dxa"/>
            <w:noWrap/>
            <w:vAlign w:val="center"/>
            <w:hideMark/>
          </w:tcPr>
          <w:p w14:paraId="03AA4EE5"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0.0149 </w:t>
            </w:r>
          </w:p>
        </w:tc>
        <w:tc>
          <w:tcPr>
            <w:tcW w:w="897" w:type="dxa"/>
            <w:noWrap/>
            <w:vAlign w:val="center"/>
            <w:hideMark/>
          </w:tcPr>
          <w:p w14:paraId="37A15306" w14:textId="77777777" w:rsidR="008E698D" w:rsidRPr="008E698D" w:rsidRDefault="008E698D" w:rsidP="008E698D">
            <w:pPr>
              <w:widowControl/>
              <w:jc w:val="left"/>
              <w:rPr>
                <w:rFonts w:ascii="游ゴシック" w:eastAsia="游ゴシック" w:hAnsi="游ゴシック" w:cs="ＭＳ Ｐゴシック"/>
                <w:color w:val="000000"/>
                <w:kern w:val="0"/>
                <w:sz w:val="17"/>
                <w:szCs w:val="17"/>
              </w:rPr>
            </w:pPr>
            <w:r w:rsidRPr="008E698D">
              <w:rPr>
                <w:rFonts w:ascii="游ゴシック" w:eastAsia="游ゴシック" w:hAnsi="游ゴシック" w:cs="ＭＳ Ｐゴシック" w:hint="eastAsia"/>
                <w:color w:val="000000"/>
                <w:kern w:val="0"/>
                <w:sz w:val="17"/>
                <w:szCs w:val="17"/>
              </w:rPr>
              <w:t xml:space="preserve">　</w:t>
            </w:r>
          </w:p>
        </w:tc>
        <w:tc>
          <w:tcPr>
            <w:tcW w:w="946" w:type="dxa"/>
            <w:noWrap/>
            <w:vAlign w:val="center"/>
            <w:hideMark/>
          </w:tcPr>
          <w:p w14:paraId="42FAF0FC"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0.0149 </w:t>
            </w:r>
          </w:p>
        </w:tc>
        <w:tc>
          <w:tcPr>
            <w:tcW w:w="3969" w:type="dxa"/>
            <w:noWrap/>
            <w:vAlign w:val="center"/>
            <w:hideMark/>
          </w:tcPr>
          <w:p w14:paraId="2FFBCB4A" w14:textId="77777777" w:rsidR="008E698D" w:rsidRPr="008E698D" w:rsidRDefault="008E698D" w:rsidP="008E698D">
            <w:pPr>
              <w:widowControl/>
              <w:jc w:val="left"/>
              <w:rPr>
                <w:rFonts w:ascii="游ゴシック" w:eastAsia="游ゴシック" w:hAnsi="游ゴシック" w:cs="ＭＳ Ｐゴシック"/>
                <w:color w:val="000000"/>
                <w:kern w:val="0"/>
                <w:sz w:val="17"/>
                <w:szCs w:val="17"/>
              </w:rPr>
            </w:pPr>
            <w:r w:rsidRPr="008E698D">
              <w:rPr>
                <w:rFonts w:ascii="Times New Roman" w:eastAsia="游ゴシック" w:hAnsi="Times New Roman" w:cs="Times New Roman"/>
                <w:color w:val="000000"/>
                <w:kern w:val="0"/>
                <w:sz w:val="17"/>
                <w:szCs w:val="17"/>
              </w:rPr>
              <w:t>1/</w:t>
            </w:r>
            <w:r w:rsidRPr="008E698D">
              <w:rPr>
                <w:rFonts w:ascii="游ゴシック" w:eastAsia="游ゴシック" w:hAnsi="游ゴシック" w:cs="ＭＳ Ｐゴシック" w:hint="eastAsia"/>
                <w:color w:val="000000"/>
                <w:kern w:val="0"/>
                <w:sz w:val="17"/>
                <w:szCs w:val="17"/>
              </w:rPr>
              <w:t>√λ</w:t>
            </w:r>
            <w:r w:rsidRPr="008E698D">
              <w:rPr>
                <w:rFonts w:ascii="Times New Roman" w:eastAsia="游ゴシック" w:hAnsi="Times New Roman" w:cs="Times New Roman"/>
                <w:color w:val="000000"/>
                <w:kern w:val="0"/>
                <w:sz w:val="17"/>
                <w:szCs w:val="17"/>
              </w:rPr>
              <w:t>+2 log(</w:t>
            </w:r>
            <w:r w:rsidRPr="008E698D">
              <w:rPr>
                <w:rFonts w:ascii="游ゴシック" w:eastAsia="游ゴシック" w:hAnsi="游ゴシック" w:cs="ＭＳ Ｐゴシック" w:hint="eastAsia"/>
                <w:color w:val="000000"/>
                <w:kern w:val="0"/>
                <w:sz w:val="17"/>
                <w:szCs w:val="17"/>
              </w:rPr>
              <w:t>ε</w:t>
            </w:r>
            <w:r w:rsidRPr="008E698D">
              <w:rPr>
                <w:rFonts w:ascii="Times New Roman" w:eastAsia="游ゴシック" w:hAnsi="Times New Roman" w:cs="Times New Roman"/>
                <w:color w:val="000000"/>
                <w:kern w:val="0"/>
                <w:sz w:val="17"/>
                <w:szCs w:val="17"/>
              </w:rPr>
              <w:t>/3.71*ID+2.51/Re</w:t>
            </w:r>
            <w:r w:rsidRPr="008E698D">
              <w:rPr>
                <w:rFonts w:ascii="游ゴシック" w:eastAsia="游ゴシック" w:hAnsi="游ゴシック" w:cs="ＭＳ Ｐゴシック" w:hint="eastAsia"/>
                <w:color w:val="000000"/>
                <w:kern w:val="0"/>
                <w:sz w:val="17"/>
                <w:szCs w:val="17"/>
              </w:rPr>
              <w:t>√λ</w:t>
            </w:r>
            <w:r w:rsidRPr="008E698D">
              <w:rPr>
                <w:rFonts w:ascii="Times New Roman" w:eastAsia="游ゴシック" w:hAnsi="Times New Roman" w:cs="Times New Roman"/>
                <w:color w:val="000000"/>
                <w:kern w:val="0"/>
                <w:sz w:val="17"/>
                <w:szCs w:val="17"/>
              </w:rPr>
              <w:t>)=0</w:t>
            </w:r>
          </w:p>
        </w:tc>
      </w:tr>
      <w:tr w:rsidR="008E698D" w:rsidRPr="008E698D" w14:paraId="54C2A9AE" w14:textId="77777777" w:rsidTr="005A593C">
        <w:trPr>
          <w:trHeight w:val="282"/>
          <w:jc w:val="center"/>
        </w:trPr>
        <w:tc>
          <w:tcPr>
            <w:tcW w:w="3544" w:type="dxa"/>
            <w:noWrap/>
            <w:vAlign w:val="center"/>
            <w:hideMark/>
          </w:tcPr>
          <w:p w14:paraId="055451A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flow rate (Q)</w:t>
            </w:r>
          </w:p>
        </w:tc>
        <w:tc>
          <w:tcPr>
            <w:tcW w:w="992" w:type="dxa"/>
            <w:noWrap/>
            <w:vAlign w:val="center"/>
            <w:hideMark/>
          </w:tcPr>
          <w:p w14:paraId="0ECDD0D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0.921 </w:t>
            </w:r>
          </w:p>
        </w:tc>
        <w:tc>
          <w:tcPr>
            <w:tcW w:w="897" w:type="dxa"/>
            <w:noWrap/>
            <w:vAlign w:val="center"/>
            <w:hideMark/>
          </w:tcPr>
          <w:p w14:paraId="08D24332"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r w:rsidRPr="008E698D">
              <w:rPr>
                <w:rFonts w:ascii="Times New Roman" w:eastAsia="游ゴシック" w:hAnsi="Times New Roman" w:cs="Times New Roman"/>
                <w:color w:val="000000"/>
                <w:kern w:val="0"/>
                <w:sz w:val="17"/>
                <w:szCs w:val="17"/>
                <w:vertAlign w:val="superscript"/>
              </w:rPr>
              <w:t>3</w:t>
            </w:r>
            <w:r w:rsidRPr="008E698D">
              <w:rPr>
                <w:rFonts w:ascii="Times New Roman" w:eastAsia="游ゴシック" w:hAnsi="Times New Roman" w:cs="Times New Roman"/>
                <w:color w:val="000000"/>
                <w:kern w:val="0"/>
                <w:sz w:val="17"/>
                <w:szCs w:val="17"/>
              </w:rPr>
              <w:t>/s</w:t>
            </w:r>
          </w:p>
        </w:tc>
        <w:tc>
          <w:tcPr>
            <w:tcW w:w="946" w:type="dxa"/>
            <w:noWrap/>
            <w:vAlign w:val="center"/>
            <w:hideMark/>
          </w:tcPr>
          <w:p w14:paraId="05687C4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0.922 </w:t>
            </w:r>
          </w:p>
        </w:tc>
        <w:tc>
          <w:tcPr>
            <w:tcW w:w="3969" w:type="dxa"/>
            <w:noWrap/>
            <w:vAlign w:val="center"/>
            <w:hideMark/>
          </w:tcPr>
          <w:p w14:paraId="14748297"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AV</w:t>
            </w:r>
          </w:p>
        </w:tc>
      </w:tr>
      <w:tr w:rsidR="008E698D" w:rsidRPr="008E698D" w14:paraId="3136F700" w14:textId="77777777" w:rsidTr="005A593C">
        <w:trPr>
          <w:trHeight w:val="282"/>
          <w:jc w:val="center"/>
        </w:trPr>
        <w:tc>
          <w:tcPr>
            <w:tcW w:w="3544" w:type="dxa"/>
            <w:noWrap/>
            <w:vAlign w:val="center"/>
            <w:hideMark/>
          </w:tcPr>
          <w:p w14:paraId="4AF45559"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flow rate per day (Qw)</w:t>
            </w:r>
          </w:p>
        </w:tc>
        <w:tc>
          <w:tcPr>
            <w:tcW w:w="992" w:type="dxa"/>
            <w:noWrap/>
            <w:vAlign w:val="center"/>
            <w:hideMark/>
          </w:tcPr>
          <w:p w14:paraId="1A7B08B5"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 xml:space="preserve">47,836 </w:t>
            </w:r>
          </w:p>
        </w:tc>
        <w:tc>
          <w:tcPr>
            <w:tcW w:w="897" w:type="dxa"/>
            <w:noWrap/>
            <w:vAlign w:val="center"/>
            <w:hideMark/>
          </w:tcPr>
          <w:p w14:paraId="7D09C54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tons/day</w:t>
            </w:r>
          </w:p>
        </w:tc>
        <w:tc>
          <w:tcPr>
            <w:tcW w:w="946" w:type="dxa"/>
            <w:noWrap/>
            <w:vAlign w:val="center"/>
            <w:hideMark/>
          </w:tcPr>
          <w:p w14:paraId="7AE1C6C6"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 xml:space="preserve">47,879 </w:t>
            </w:r>
          </w:p>
        </w:tc>
        <w:tc>
          <w:tcPr>
            <w:tcW w:w="3969" w:type="dxa"/>
            <w:noWrap/>
            <w:vAlign w:val="center"/>
            <w:hideMark/>
          </w:tcPr>
          <w:p w14:paraId="42938A8C"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ρQ*3600*24/1000, Target variable (TV)/VV</w:t>
            </w:r>
          </w:p>
        </w:tc>
      </w:tr>
      <w:tr w:rsidR="008E698D" w:rsidRPr="008E698D" w14:paraId="5DF4907E" w14:textId="77777777" w:rsidTr="005A593C">
        <w:trPr>
          <w:trHeight w:val="282"/>
          <w:jc w:val="center"/>
        </w:trPr>
        <w:tc>
          <w:tcPr>
            <w:tcW w:w="3544" w:type="dxa"/>
            <w:noWrap/>
            <w:vAlign w:val="center"/>
            <w:hideMark/>
          </w:tcPr>
          <w:p w14:paraId="24AE822F"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Velocity head (Hv)</w:t>
            </w:r>
          </w:p>
        </w:tc>
        <w:tc>
          <w:tcPr>
            <w:tcW w:w="992" w:type="dxa"/>
            <w:noWrap/>
            <w:vAlign w:val="center"/>
            <w:hideMark/>
          </w:tcPr>
          <w:p w14:paraId="55C50DFA"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0.219 </w:t>
            </w:r>
          </w:p>
        </w:tc>
        <w:tc>
          <w:tcPr>
            <w:tcW w:w="897" w:type="dxa"/>
            <w:noWrap/>
            <w:vAlign w:val="center"/>
            <w:hideMark/>
          </w:tcPr>
          <w:p w14:paraId="03B625E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p>
        </w:tc>
        <w:tc>
          <w:tcPr>
            <w:tcW w:w="946" w:type="dxa"/>
            <w:noWrap/>
            <w:vAlign w:val="center"/>
            <w:hideMark/>
          </w:tcPr>
          <w:p w14:paraId="7DD9194F"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0.219 </w:t>
            </w:r>
          </w:p>
        </w:tc>
        <w:tc>
          <w:tcPr>
            <w:tcW w:w="3969" w:type="dxa"/>
            <w:noWrap/>
            <w:vAlign w:val="center"/>
            <w:hideMark/>
          </w:tcPr>
          <w:p w14:paraId="0CACD85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V</w:t>
            </w:r>
            <w:r w:rsidRPr="008E698D">
              <w:rPr>
                <w:rFonts w:ascii="Times New Roman" w:eastAsia="游ゴシック" w:hAnsi="Times New Roman" w:cs="Times New Roman"/>
                <w:color w:val="000000"/>
                <w:kern w:val="0"/>
                <w:sz w:val="17"/>
                <w:szCs w:val="17"/>
                <w:vertAlign w:val="superscript"/>
              </w:rPr>
              <w:t>2</w:t>
            </w:r>
            <w:r w:rsidRPr="008E698D">
              <w:rPr>
                <w:rFonts w:ascii="Times New Roman" w:eastAsia="游ゴシック" w:hAnsi="Times New Roman" w:cs="Times New Roman"/>
                <w:color w:val="000000"/>
                <w:kern w:val="0"/>
                <w:sz w:val="17"/>
                <w:szCs w:val="17"/>
              </w:rPr>
              <w:t>/2g</w:t>
            </w:r>
          </w:p>
        </w:tc>
      </w:tr>
      <w:tr w:rsidR="008E698D" w:rsidRPr="008E698D" w14:paraId="229A03BC" w14:textId="77777777" w:rsidTr="005A593C">
        <w:trPr>
          <w:trHeight w:val="282"/>
          <w:jc w:val="center"/>
        </w:trPr>
        <w:tc>
          <w:tcPr>
            <w:tcW w:w="3544" w:type="dxa"/>
            <w:noWrap/>
            <w:vAlign w:val="center"/>
            <w:hideMark/>
          </w:tcPr>
          <w:p w14:paraId="0A581A87"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Applied pressure (Pa)</w:t>
            </w:r>
          </w:p>
        </w:tc>
        <w:tc>
          <w:tcPr>
            <w:tcW w:w="992" w:type="dxa"/>
            <w:noWrap/>
            <w:vAlign w:val="center"/>
            <w:hideMark/>
          </w:tcPr>
          <w:p w14:paraId="70FE5DF8"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12.9 </w:t>
            </w:r>
          </w:p>
        </w:tc>
        <w:tc>
          <w:tcPr>
            <w:tcW w:w="897" w:type="dxa"/>
            <w:noWrap/>
            <w:vAlign w:val="center"/>
            <w:hideMark/>
          </w:tcPr>
          <w:p w14:paraId="6967E462"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MPa</w:t>
            </w:r>
          </w:p>
        </w:tc>
        <w:tc>
          <w:tcPr>
            <w:tcW w:w="946" w:type="dxa"/>
            <w:noWrap/>
            <w:vAlign w:val="center"/>
            <w:hideMark/>
          </w:tcPr>
          <w:p w14:paraId="51B17604"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 xml:space="preserve">12.9 </w:t>
            </w:r>
          </w:p>
        </w:tc>
        <w:tc>
          <w:tcPr>
            <w:tcW w:w="3969" w:type="dxa"/>
            <w:noWrap/>
            <w:vAlign w:val="center"/>
            <w:hideMark/>
          </w:tcPr>
          <w:p w14:paraId="20095F4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design pressure*2/3, VV</w:t>
            </w:r>
          </w:p>
        </w:tc>
      </w:tr>
      <w:tr w:rsidR="008E698D" w:rsidRPr="008E698D" w14:paraId="57BD4E2D" w14:textId="77777777" w:rsidTr="005A593C">
        <w:trPr>
          <w:trHeight w:val="282"/>
          <w:jc w:val="center"/>
        </w:trPr>
        <w:tc>
          <w:tcPr>
            <w:tcW w:w="3544" w:type="dxa"/>
            <w:noWrap/>
            <w:vAlign w:val="center"/>
            <w:hideMark/>
          </w:tcPr>
          <w:p w14:paraId="098E1951"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Pressure head (Hp)</w:t>
            </w:r>
          </w:p>
        </w:tc>
        <w:tc>
          <w:tcPr>
            <w:tcW w:w="992" w:type="dxa"/>
            <w:noWrap/>
            <w:vAlign w:val="center"/>
            <w:hideMark/>
          </w:tcPr>
          <w:p w14:paraId="2B6DFFF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2,190 </w:t>
            </w:r>
          </w:p>
        </w:tc>
        <w:tc>
          <w:tcPr>
            <w:tcW w:w="897" w:type="dxa"/>
            <w:noWrap/>
            <w:vAlign w:val="center"/>
            <w:hideMark/>
          </w:tcPr>
          <w:p w14:paraId="36022BE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p>
        </w:tc>
        <w:tc>
          <w:tcPr>
            <w:tcW w:w="946" w:type="dxa"/>
            <w:noWrap/>
            <w:vAlign w:val="center"/>
            <w:hideMark/>
          </w:tcPr>
          <w:p w14:paraId="0C5C2AF2"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2,190 </w:t>
            </w:r>
          </w:p>
        </w:tc>
        <w:tc>
          <w:tcPr>
            <w:tcW w:w="3969" w:type="dxa"/>
            <w:noWrap/>
            <w:vAlign w:val="center"/>
            <w:hideMark/>
          </w:tcPr>
          <w:p w14:paraId="46E8457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P/(ρg)</w:t>
            </w:r>
          </w:p>
        </w:tc>
      </w:tr>
      <w:tr w:rsidR="008E698D" w:rsidRPr="008E698D" w14:paraId="3F8E7F61" w14:textId="77777777" w:rsidTr="005A593C">
        <w:trPr>
          <w:trHeight w:val="282"/>
          <w:jc w:val="center"/>
        </w:trPr>
        <w:tc>
          <w:tcPr>
            <w:tcW w:w="3544" w:type="dxa"/>
            <w:noWrap/>
            <w:vAlign w:val="center"/>
            <w:hideMark/>
          </w:tcPr>
          <w:p w14:paraId="146D08CA"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Pipe length between relay pumps (L)</w:t>
            </w:r>
          </w:p>
        </w:tc>
        <w:tc>
          <w:tcPr>
            <w:tcW w:w="992" w:type="dxa"/>
            <w:noWrap/>
            <w:vAlign w:val="center"/>
            <w:hideMark/>
          </w:tcPr>
          <w:p w14:paraId="35F6EB3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300 </w:t>
            </w:r>
          </w:p>
        </w:tc>
        <w:tc>
          <w:tcPr>
            <w:tcW w:w="897" w:type="dxa"/>
            <w:noWrap/>
            <w:vAlign w:val="center"/>
            <w:hideMark/>
          </w:tcPr>
          <w:p w14:paraId="5CA9D7BF"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km</w:t>
            </w:r>
          </w:p>
        </w:tc>
        <w:tc>
          <w:tcPr>
            <w:tcW w:w="946" w:type="dxa"/>
            <w:noWrap/>
            <w:vAlign w:val="center"/>
            <w:hideMark/>
          </w:tcPr>
          <w:p w14:paraId="7AC69A84"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 xml:space="preserve">300 </w:t>
            </w:r>
          </w:p>
        </w:tc>
        <w:tc>
          <w:tcPr>
            <w:tcW w:w="3969" w:type="dxa"/>
            <w:noWrap/>
            <w:vAlign w:val="center"/>
            <w:hideMark/>
          </w:tcPr>
          <w:p w14:paraId="3022BBE1" w14:textId="77777777" w:rsidR="008E698D" w:rsidRPr="008E698D" w:rsidRDefault="008E698D" w:rsidP="008E698D">
            <w:pPr>
              <w:widowControl/>
              <w:jc w:val="lef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SV/VV</w:t>
            </w:r>
          </w:p>
        </w:tc>
      </w:tr>
      <w:tr w:rsidR="008E698D" w:rsidRPr="008E698D" w14:paraId="34CDD43A" w14:textId="77777777" w:rsidTr="005A593C">
        <w:trPr>
          <w:trHeight w:val="282"/>
          <w:jc w:val="center"/>
        </w:trPr>
        <w:tc>
          <w:tcPr>
            <w:tcW w:w="3544" w:type="dxa"/>
            <w:noWrap/>
            <w:vAlign w:val="center"/>
            <w:hideMark/>
          </w:tcPr>
          <w:p w14:paraId="58B98181"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Difference in elevation (ΔH)</w:t>
            </w:r>
          </w:p>
        </w:tc>
        <w:tc>
          <w:tcPr>
            <w:tcW w:w="992" w:type="dxa"/>
            <w:noWrap/>
            <w:vAlign w:val="center"/>
            <w:hideMark/>
          </w:tcPr>
          <w:p w14:paraId="5FAA26D3"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 xml:space="preserve">0 </w:t>
            </w:r>
          </w:p>
        </w:tc>
        <w:tc>
          <w:tcPr>
            <w:tcW w:w="897" w:type="dxa"/>
            <w:noWrap/>
            <w:vAlign w:val="center"/>
            <w:hideMark/>
          </w:tcPr>
          <w:p w14:paraId="1DA05B40"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t>
            </w:r>
          </w:p>
        </w:tc>
        <w:tc>
          <w:tcPr>
            <w:tcW w:w="946" w:type="dxa"/>
            <w:noWrap/>
            <w:vAlign w:val="center"/>
            <w:hideMark/>
          </w:tcPr>
          <w:p w14:paraId="2BD95DA0" w14:textId="77777777" w:rsidR="008E698D" w:rsidRPr="008E698D" w:rsidRDefault="008E698D" w:rsidP="008E698D">
            <w:pPr>
              <w:widowControl/>
              <w:jc w:val="left"/>
              <w:rPr>
                <w:rFonts w:ascii="Times New Roman" w:eastAsia="游ゴシック" w:hAnsi="Times New Roman" w:cs="Times New Roman"/>
                <w:color w:val="FF0000"/>
                <w:kern w:val="0"/>
                <w:sz w:val="17"/>
                <w:szCs w:val="17"/>
              </w:rPr>
            </w:pPr>
            <w:r w:rsidRPr="008E698D">
              <w:rPr>
                <w:rFonts w:ascii="Times New Roman" w:eastAsia="游ゴシック" w:hAnsi="Times New Roman" w:cs="Times New Roman"/>
                <w:color w:val="FF0000"/>
                <w:kern w:val="0"/>
                <w:sz w:val="17"/>
                <w:szCs w:val="17"/>
              </w:rPr>
              <w:t>0</w:t>
            </w:r>
          </w:p>
        </w:tc>
        <w:tc>
          <w:tcPr>
            <w:tcW w:w="3969" w:type="dxa"/>
            <w:noWrap/>
            <w:vAlign w:val="center"/>
            <w:hideMark/>
          </w:tcPr>
          <w:p w14:paraId="4CE97F8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ΔHp = ΔH</w:t>
            </w:r>
            <w:r w:rsidRPr="008E698D">
              <w:rPr>
                <w:rFonts w:ascii="ＭＳ Ｐゴシック" w:eastAsia="ＭＳ Ｐゴシック" w:hAnsi="ＭＳ Ｐ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ρg, VV</w:t>
            </w:r>
          </w:p>
        </w:tc>
      </w:tr>
      <w:tr w:rsidR="008E698D" w:rsidRPr="008E698D" w14:paraId="0FFCAFC3" w14:textId="77777777" w:rsidTr="005A593C">
        <w:trPr>
          <w:trHeight w:val="282"/>
          <w:jc w:val="center"/>
        </w:trPr>
        <w:tc>
          <w:tcPr>
            <w:tcW w:w="3544" w:type="dxa"/>
            <w:noWrap/>
            <w:vAlign w:val="center"/>
            <w:hideMark/>
          </w:tcPr>
          <w:p w14:paraId="575396C7"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Pressure loss (ΔP)</w:t>
            </w:r>
          </w:p>
        </w:tc>
        <w:tc>
          <w:tcPr>
            <w:tcW w:w="992" w:type="dxa"/>
            <w:noWrap/>
            <w:vAlign w:val="center"/>
            <w:hideMark/>
          </w:tcPr>
          <w:p w14:paraId="3CCC24BD"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10.9 </w:t>
            </w:r>
          </w:p>
        </w:tc>
        <w:tc>
          <w:tcPr>
            <w:tcW w:w="897" w:type="dxa"/>
            <w:noWrap/>
            <w:vAlign w:val="center"/>
            <w:hideMark/>
          </w:tcPr>
          <w:p w14:paraId="7EAA3555"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MPa</w:t>
            </w:r>
          </w:p>
        </w:tc>
        <w:tc>
          <w:tcPr>
            <w:tcW w:w="946" w:type="dxa"/>
            <w:noWrap/>
            <w:vAlign w:val="center"/>
            <w:hideMark/>
          </w:tcPr>
          <w:p w14:paraId="62CCF371"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10.9 </w:t>
            </w:r>
          </w:p>
        </w:tc>
        <w:tc>
          <w:tcPr>
            <w:tcW w:w="3969" w:type="dxa"/>
            <w:noWrap/>
            <w:vAlign w:val="center"/>
            <w:hideMark/>
          </w:tcPr>
          <w:p w14:paraId="6BA40FBD"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λL/d</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ρV</w:t>
            </w:r>
            <w:r w:rsidRPr="008E698D">
              <w:rPr>
                <w:rFonts w:ascii="Times New Roman" w:eastAsia="游ゴシック" w:hAnsi="Times New Roman" w:cs="Times New Roman"/>
                <w:color w:val="000000"/>
                <w:kern w:val="0"/>
                <w:sz w:val="17"/>
                <w:szCs w:val="17"/>
                <w:vertAlign w:val="superscript"/>
              </w:rPr>
              <w:t>2</w:t>
            </w:r>
            <w:r w:rsidRPr="008E698D">
              <w:rPr>
                <w:rFonts w:ascii="Times New Roman" w:eastAsia="游ゴシック" w:hAnsi="Times New Roman" w:cs="Times New Roman"/>
                <w:color w:val="000000"/>
                <w:kern w:val="0"/>
                <w:sz w:val="17"/>
                <w:szCs w:val="17"/>
              </w:rPr>
              <w:t>/2</w:t>
            </w:r>
          </w:p>
        </w:tc>
      </w:tr>
      <w:tr w:rsidR="008E698D" w:rsidRPr="008E698D" w14:paraId="35C61DAB" w14:textId="77777777" w:rsidTr="005A593C">
        <w:trPr>
          <w:trHeight w:val="282"/>
          <w:jc w:val="center"/>
        </w:trPr>
        <w:tc>
          <w:tcPr>
            <w:tcW w:w="3544" w:type="dxa"/>
            <w:noWrap/>
            <w:vAlign w:val="center"/>
            <w:hideMark/>
          </w:tcPr>
          <w:p w14:paraId="6BEF871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liquid sustaining pressure (Pr)</w:t>
            </w:r>
          </w:p>
        </w:tc>
        <w:tc>
          <w:tcPr>
            <w:tcW w:w="992" w:type="dxa"/>
            <w:noWrap/>
            <w:vAlign w:val="center"/>
            <w:hideMark/>
          </w:tcPr>
          <w:p w14:paraId="5F1F0AA5"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2.05 </w:t>
            </w:r>
          </w:p>
        </w:tc>
        <w:tc>
          <w:tcPr>
            <w:tcW w:w="897" w:type="dxa"/>
            <w:noWrap/>
            <w:vAlign w:val="center"/>
            <w:hideMark/>
          </w:tcPr>
          <w:p w14:paraId="44E85540"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MPa</w:t>
            </w:r>
          </w:p>
        </w:tc>
        <w:tc>
          <w:tcPr>
            <w:tcW w:w="946" w:type="dxa"/>
            <w:noWrap/>
            <w:vAlign w:val="center"/>
            <w:hideMark/>
          </w:tcPr>
          <w:p w14:paraId="201B5503" w14:textId="77777777" w:rsidR="008E698D" w:rsidRPr="008E698D" w:rsidRDefault="008E698D" w:rsidP="008E698D">
            <w:pPr>
              <w:widowControl/>
              <w:jc w:val="left"/>
              <w:rPr>
                <w:rFonts w:ascii="Times New Roman" w:eastAsia="游ゴシック" w:hAnsi="Times New Roman" w:cs="Times New Roman"/>
                <w:color w:val="00B050"/>
                <w:kern w:val="0"/>
                <w:sz w:val="17"/>
                <w:szCs w:val="17"/>
              </w:rPr>
            </w:pPr>
            <w:r w:rsidRPr="008E698D">
              <w:rPr>
                <w:rFonts w:ascii="Times New Roman" w:eastAsia="游ゴシック" w:hAnsi="Times New Roman" w:cs="Times New Roman"/>
                <w:color w:val="00B050"/>
                <w:kern w:val="0"/>
                <w:sz w:val="17"/>
                <w:szCs w:val="17"/>
              </w:rPr>
              <w:t xml:space="preserve">2.05 </w:t>
            </w:r>
          </w:p>
        </w:tc>
        <w:tc>
          <w:tcPr>
            <w:tcW w:w="3969" w:type="dxa"/>
            <w:noWrap/>
            <w:vAlign w:val="center"/>
            <w:hideMark/>
          </w:tcPr>
          <w:p w14:paraId="539928FC"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Vapor pressure at T </w:t>
            </w:r>
            <w:r w:rsidRPr="008E698D">
              <w:rPr>
                <w:rFonts w:ascii="Segoe UI Symbol" w:eastAsia="游ゴシック" w:hAnsi="Segoe UI Symbol" w:cs="Times New Roman"/>
                <w:color w:val="000000"/>
                <w:kern w:val="0"/>
                <w:sz w:val="17"/>
                <w:szCs w:val="17"/>
              </w:rPr>
              <w:t>℃</w:t>
            </w:r>
            <w:r w:rsidRPr="008E698D">
              <w:rPr>
                <w:rFonts w:ascii="Times New Roman" w:eastAsia="游ゴシック" w:hAnsi="Times New Roman" w:cs="Times New Roman"/>
                <w:color w:val="000000"/>
                <w:kern w:val="0"/>
                <w:sz w:val="17"/>
                <w:szCs w:val="17"/>
              </w:rPr>
              <w:t xml:space="preserve"> x 1.5, , see figure M1-2(a)</w:t>
            </w:r>
          </w:p>
        </w:tc>
      </w:tr>
      <w:tr w:rsidR="008E698D" w:rsidRPr="008E698D" w14:paraId="35A2CF01" w14:textId="77777777" w:rsidTr="005A593C">
        <w:trPr>
          <w:trHeight w:val="282"/>
          <w:jc w:val="center"/>
        </w:trPr>
        <w:tc>
          <w:tcPr>
            <w:tcW w:w="3544" w:type="dxa"/>
            <w:noWrap/>
            <w:vAlign w:val="center"/>
            <w:hideMark/>
          </w:tcPr>
          <w:p w14:paraId="0C6D05F6"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Pressure pump efficiency (η)</w:t>
            </w:r>
          </w:p>
        </w:tc>
        <w:tc>
          <w:tcPr>
            <w:tcW w:w="992" w:type="dxa"/>
            <w:noWrap/>
            <w:vAlign w:val="center"/>
            <w:hideMark/>
          </w:tcPr>
          <w:p w14:paraId="4D8A63DE"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90%</w:t>
            </w:r>
          </w:p>
        </w:tc>
        <w:tc>
          <w:tcPr>
            <w:tcW w:w="897" w:type="dxa"/>
            <w:noWrap/>
            <w:vAlign w:val="center"/>
            <w:hideMark/>
          </w:tcPr>
          <w:p w14:paraId="512609A6"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w:t>
            </w:r>
          </w:p>
        </w:tc>
        <w:tc>
          <w:tcPr>
            <w:tcW w:w="946" w:type="dxa"/>
            <w:noWrap/>
            <w:vAlign w:val="center"/>
            <w:hideMark/>
          </w:tcPr>
          <w:p w14:paraId="3B4D028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90%</w:t>
            </w:r>
          </w:p>
        </w:tc>
        <w:tc>
          <w:tcPr>
            <w:tcW w:w="3969" w:type="dxa"/>
            <w:noWrap/>
            <w:vAlign w:val="center"/>
            <w:hideMark/>
          </w:tcPr>
          <w:p w14:paraId="14665A4C"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Energy conversion efficiency without fevering</w:t>
            </w:r>
          </w:p>
        </w:tc>
      </w:tr>
      <w:tr w:rsidR="008E698D" w:rsidRPr="008E698D" w14:paraId="27EFD799" w14:textId="77777777" w:rsidTr="005A593C">
        <w:trPr>
          <w:trHeight w:val="282"/>
          <w:jc w:val="center"/>
        </w:trPr>
        <w:tc>
          <w:tcPr>
            <w:tcW w:w="3544" w:type="dxa"/>
            <w:noWrap/>
            <w:vAlign w:val="center"/>
            <w:hideMark/>
          </w:tcPr>
          <w:p w14:paraId="41EC387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Pressure pump energy (Ep)</w:t>
            </w:r>
          </w:p>
        </w:tc>
        <w:tc>
          <w:tcPr>
            <w:tcW w:w="992" w:type="dxa"/>
            <w:noWrap/>
            <w:vAlign w:val="center"/>
            <w:hideMark/>
          </w:tcPr>
          <w:p w14:paraId="1E3E5A8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13.2 </w:t>
            </w:r>
          </w:p>
        </w:tc>
        <w:tc>
          <w:tcPr>
            <w:tcW w:w="897" w:type="dxa"/>
            <w:noWrap/>
            <w:vAlign w:val="center"/>
            <w:hideMark/>
          </w:tcPr>
          <w:p w14:paraId="5923190C"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w:t>
            </w:r>
          </w:p>
        </w:tc>
        <w:tc>
          <w:tcPr>
            <w:tcW w:w="946" w:type="dxa"/>
            <w:noWrap/>
            <w:vAlign w:val="center"/>
            <w:hideMark/>
          </w:tcPr>
          <w:p w14:paraId="3284C9D0"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13.2 </w:t>
            </w:r>
          </w:p>
        </w:tc>
        <w:tc>
          <w:tcPr>
            <w:tcW w:w="3969" w:type="dxa"/>
            <w:noWrap/>
            <w:vAlign w:val="center"/>
            <w:hideMark/>
          </w:tcPr>
          <w:p w14:paraId="2B3EEBFB"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(Hv+Hp)</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Qρg/η, here g = 9.8 m/s</w:t>
            </w:r>
            <w:r w:rsidRPr="008E698D">
              <w:rPr>
                <w:rFonts w:ascii="Times New Roman" w:eastAsia="游ゴシック" w:hAnsi="Times New Roman" w:cs="Times New Roman"/>
                <w:color w:val="000000"/>
                <w:kern w:val="0"/>
                <w:sz w:val="17"/>
                <w:szCs w:val="17"/>
                <w:vertAlign w:val="superscript"/>
              </w:rPr>
              <w:t>2</w:t>
            </w:r>
          </w:p>
        </w:tc>
      </w:tr>
      <w:tr w:rsidR="008E698D" w:rsidRPr="008E698D" w14:paraId="01F59214" w14:textId="77777777" w:rsidTr="005A593C">
        <w:trPr>
          <w:trHeight w:val="282"/>
          <w:jc w:val="center"/>
        </w:trPr>
        <w:tc>
          <w:tcPr>
            <w:tcW w:w="3544" w:type="dxa"/>
            <w:noWrap/>
            <w:vAlign w:val="center"/>
            <w:hideMark/>
          </w:tcPr>
          <w:p w14:paraId="372ED323"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Annual average power generation of FOPV  (Wfopv)</w:t>
            </w:r>
          </w:p>
        </w:tc>
        <w:tc>
          <w:tcPr>
            <w:tcW w:w="992" w:type="dxa"/>
            <w:noWrap/>
            <w:vAlign w:val="center"/>
            <w:hideMark/>
          </w:tcPr>
          <w:p w14:paraId="1A66B54B"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940 </w:t>
            </w:r>
          </w:p>
        </w:tc>
        <w:tc>
          <w:tcPr>
            <w:tcW w:w="897" w:type="dxa"/>
            <w:noWrap/>
            <w:vAlign w:val="center"/>
            <w:hideMark/>
          </w:tcPr>
          <w:p w14:paraId="7145ADF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MW/plant</w:t>
            </w:r>
          </w:p>
        </w:tc>
        <w:tc>
          <w:tcPr>
            <w:tcW w:w="946" w:type="dxa"/>
            <w:noWrap/>
            <w:vAlign w:val="center"/>
            <w:hideMark/>
          </w:tcPr>
          <w:p w14:paraId="19301E59"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940 </w:t>
            </w:r>
          </w:p>
        </w:tc>
        <w:tc>
          <w:tcPr>
            <w:tcW w:w="3969" w:type="dxa"/>
            <w:noWrap/>
            <w:vAlign w:val="center"/>
            <w:hideMark/>
          </w:tcPr>
          <w:p w14:paraId="6608FD9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Average annual power generation of FOPV</w:t>
            </w:r>
          </w:p>
        </w:tc>
      </w:tr>
      <w:tr w:rsidR="008E698D" w:rsidRPr="008E698D" w14:paraId="70F5327C" w14:textId="77777777" w:rsidTr="005A593C">
        <w:trPr>
          <w:trHeight w:val="282"/>
          <w:jc w:val="center"/>
        </w:trPr>
        <w:tc>
          <w:tcPr>
            <w:tcW w:w="3544" w:type="dxa"/>
            <w:noWrap/>
            <w:vAlign w:val="center"/>
            <w:hideMark/>
          </w:tcPr>
          <w:p w14:paraId="44F1C549"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Electricity-to-LNH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conversion efficiency (Eas)</w:t>
            </w:r>
          </w:p>
        </w:tc>
        <w:tc>
          <w:tcPr>
            <w:tcW w:w="992" w:type="dxa"/>
            <w:noWrap/>
            <w:vAlign w:val="center"/>
            <w:hideMark/>
          </w:tcPr>
          <w:p w14:paraId="0A2A47F5"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74.0%</w:t>
            </w:r>
          </w:p>
        </w:tc>
        <w:tc>
          <w:tcPr>
            <w:tcW w:w="897" w:type="dxa"/>
            <w:noWrap/>
            <w:vAlign w:val="center"/>
            <w:hideMark/>
          </w:tcPr>
          <w:p w14:paraId="1317429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w:t>
            </w:r>
          </w:p>
        </w:tc>
        <w:tc>
          <w:tcPr>
            <w:tcW w:w="946" w:type="dxa"/>
            <w:noWrap/>
            <w:vAlign w:val="center"/>
            <w:hideMark/>
          </w:tcPr>
          <w:p w14:paraId="7E628AB8"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74.0%</w:t>
            </w:r>
          </w:p>
        </w:tc>
        <w:tc>
          <w:tcPr>
            <w:tcW w:w="3969" w:type="dxa"/>
            <w:noWrap/>
            <w:vAlign w:val="center"/>
            <w:hideMark/>
          </w:tcPr>
          <w:p w14:paraId="2570BC51"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Including nitrogen air separation efficiency</w:t>
            </w:r>
          </w:p>
        </w:tc>
      </w:tr>
      <w:tr w:rsidR="008E698D" w:rsidRPr="008E698D" w14:paraId="243FEFAC" w14:textId="77777777" w:rsidTr="005A593C">
        <w:trPr>
          <w:trHeight w:val="282"/>
          <w:jc w:val="center"/>
        </w:trPr>
        <w:tc>
          <w:tcPr>
            <w:tcW w:w="3544" w:type="dxa"/>
            <w:noWrap/>
            <w:vAlign w:val="center"/>
            <w:hideMark/>
          </w:tcPr>
          <w:p w14:paraId="099EAEB2"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Daily production of LNH</w:t>
            </w:r>
            <w:r w:rsidRPr="008E698D">
              <w:rPr>
                <w:rFonts w:ascii="Times New Roman" w:eastAsia="游ゴシック" w:hAnsi="Times New Roman" w:cs="Times New Roman"/>
                <w:color w:val="000000"/>
                <w:kern w:val="0"/>
                <w:sz w:val="17"/>
                <w:szCs w:val="17"/>
                <w:vertAlign w:val="subscript"/>
              </w:rPr>
              <w:t>3</w:t>
            </w:r>
            <w:r w:rsidRPr="008E698D">
              <w:rPr>
                <w:rFonts w:ascii="Times New Roman" w:eastAsia="游ゴシック" w:hAnsi="Times New Roman" w:cs="Times New Roman"/>
                <w:color w:val="000000"/>
                <w:kern w:val="0"/>
                <w:sz w:val="17"/>
                <w:szCs w:val="17"/>
              </w:rPr>
              <w:t xml:space="preserve"> by FOPV (Qpv)</w:t>
            </w:r>
          </w:p>
        </w:tc>
        <w:tc>
          <w:tcPr>
            <w:tcW w:w="992" w:type="dxa"/>
            <w:noWrap/>
            <w:vAlign w:val="center"/>
            <w:hideMark/>
          </w:tcPr>
          <w:p w14:paraId="27A088A8"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2,593 </w:t>
            </w:r>
          </w:p>
        </w:tc>
        <w:tc>
          <w:tcPr>
            <w:tcW w:w="897" w:type="dxa"/>
            <w:noWrap/>
            <w:vAlign w:val="center"/>
            <w:hideMark/>
          </w:tcPr>
          <w:p w14:paraId="54A74C07"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tons/day</w:t>
            </w:r>
          </w:p>
        </w:tc>
        <w:tc>
          <w:tcPr>
            <w:tcW w:w="946" w:type="dxa"/>
            <w:noWrap/>
            <w:vAlign w:val="center"/>
            <w:hideMark/>
          </w:tcPr>
          <w:p w14:paraId="311C8ED2"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2593 </w:t>
            </w:r>
          </w:p>
        </w:tc>
        <w:tc>
          <w:tcPr>
            <w:tcW w:w="3969" w:type="dxa"/>
            <w:noWrap/>
            <w:vAlign w:val="center"/>
            <w:hideMark/>
          </w:tcPr>
          <w:p w14:paraId="2F9FE5C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Wfopv</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Eas</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Esc</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 xml:space="preserve">Edc/5,810 Wh/kg, see </w:t>
            </w:r>
            <w:r w:rsidRPr="008E698D">
              <w:rPr>
                <w:rFonts w:ascii="Times New Roman" w:eastAsia="游ゴシック" w:hAnsi="Times New Roman" w:cs="Times New Roman"/>
                <w:b/>
                <w:bCs/>
                <w:color w:val="000000"/>
                <w:kern w:val="0"/>
                <w:sz w:val="17"/>
                <w:szCs w:val="17"/>
              </w:rPr>
              <w:t>Supplementary Fig. S3</w:t>
            </w:r>
          </w:p>
        </w:tc>
      </w:tr>
      <w:tr w:rsidR="008E698D" w:rsidRPr="008E698D" w14:paraId="5D4A767F" w14:textId="77777777" w:rsidTr="005A593C">
        <w:trPr>
          <w:trHeight w:val="282"/>
          <w:jc w:val="center"/>
        </w:trPr>
        <w:tc>
          <w:tcPr>
            <w:tcW w:w="3544" w:type="dxa"/>
            <w:noWrap/>
            <w:vAlign w:val="center"/>
            <w:hideMark/>
          </w:tcPr>
          <w:p w14:paraId="43DA592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Number of FOPV plants per pipeline (Npv)</w:t>
            </w:r>
          </w:p>
        </w:tc>
        <w:tc>
          <w:tcPr>
            <w:tcW w:w="992" w:type="dxa"/>
            <w:noWrap/>
            <w:vAlign w:val="center"/>
            <w:hideMark/>
          </w:tcPr>
          <w:p w14:paraId="2A9BD5F6"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18.4 </w:t>
            </w:r>
          </w:p>
        </w:tc>
        <w:tc>
          <w:tcPr>
            <w:tcW w:w="897" w:type="dxa"/>
            <w:noWrap/>
            <w:vAlign w:val="center"/>
            <w:hideMark/>
          </w:tcPr>
          <w:p w14:paraId="376C0434"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FOPVs</w:t>
            </w:r>
          </w:p>
        </w:tc>
        <w:tc>
          <w:tcPr>
            <w:tcW w:w="946" w:type="dxa"/>
            <w:noWrap/>
            <w:vAlign w:val="center"/>
            <w:hideMark/>
          </w:tcPr>
          <w:p w14:paraId="45E9FD75"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18.4 </w:t>
            </w:r>
          </w:p>
        </w:tc>
        <w:tc>
          <w:tcPr>
            <w:tcW w:w="3969" w:type="dxa"/>
            <w:noWrap/>
            <w:vAlign w:val="center"/>
            <w:hideMark/>
          </w:tcPr>
          <w:p w14:paraId="3CAD3EA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Qw/Qpv</w:t>
            </w:r>
          </w:p>
        </w:tc>
      </w:tr>
      <w:tr w:rsidR="008E698D" w:rsidRPr="008E698D" w14:paraId="619B2F66" w14:textId="77777777" w:rsidTr="005A593C">
        <w:trPr>
          <w:trHeight w:val="282"/>
          <w:jc w:val="center"/>
        </w:trPr>
        <w:tc>
          <w:tcPr>
            <w:tcW w:w="3544" w:type="dxa"/>
            <w:noWrap/>
            <w:vAlign w:val="center"/>
            <w:hideMark/>
          </w:tcPr>
          <w:p w14:paraId="0CB0C573" w14:textId="77777777" w:rsidR="008E698D" w:rsidRPr="008E698D" w:rsidRDefault="008E698D" w:rsidP="008E698D">
            <w:pPr>
              <w:widowControl/>
              <w:jc w:val="right"/>
              <w:rPr>
                <w:rFonts w:ascii="Times New Roman" w:eastAsia="游ゴシック" w:hAnsi="Times New Roman" w:cs="Times New Roman"/>
                <w:kern w:val="0"/>
                <w:sz w:val="17"/>
                <w:szCs w:val="17"/>
              </w:rPr>
            </w:pPr>
            <w:r w:rsidRPr="008E698D">
              <w:rPr>
                <w:rFonts w:ascii="Times New Roman" w:eastAsia="游ゴシック" w:hAnsi="Times New Roman" w:cs="Times New Roman"/>
                <w:kern w:val="0"/>
                <w:sz w:val="17"/>
                <w:szCs w:val="17"/>
              </w:rPr>
              <w:t>FOPV load factor of pumping energy</w:t>
            </w:r>
            <w:r w:rsidRPr="008E698D">
              <w:rPr>
                <w:rFonts w:ascii="游ゴシック" w:eastAsia="游ゴシック" w:hAnsi="游ゴシック" w:cs="Times New Roman" w:hint="eastAsia"/>
                <w:kern w:val="0"/>
                <w:sz w:val="17"/>
                <w:szCs w:val="17"/>
              </w:rPr>
              <w:t xml:space="preserve"> (η)</w:t>
            </w:r>
          </w:p>
        </w:tc>
        <w:tc>
          <w:tcPr>
            <w:tcW w:w="992" w:type="dxa"/>
            <w:noWrap/>
            <w:vAlign w:val="center"/>
            <w:hideMark/>
          </w:tcPr>
          <w:p w14:paraId="7493820C" w14:textId="77777777" w:rsidR="008E698D" w:rsidRPr="008E698D" w:rsidRDefault="008E698D" w:rsidP="008E698D">
            <w:pPr>
              <w:widowControl/>
              <w:jc w:val="righ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0.114%</w:t>
            </w:r>
          </w:p>
        </w:tc>
        <w:tc>
          <w:tcPr>
            <w:tcW w:w="897" w:type="dxa"/>
            <w:noWrap/>
            <w:vAlign w:val="center"/>
            <w:hideMark/>
          </w:tcPr>
          <w:p w14:paraId="59F10C2E"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xml:space="preserve">　</w:t>
            </w:r>
          </w:p>
        </w:tc>
        <w:tc>
          <w:tcPr>
            <w:tcW w:w="946" w:type="dxa"/>
            <w:noWrap/>
            <w:vAlign w:val="center"/>
            <w:hideMark/>
          </w:tcPr>
          <w:p w14:paraId="0F6D2A70"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0.114%</w:t>
            </w:r>
          </w:p>
        </w:tc>
        <w:tc>
          <w:tcPr>
            <w:tcW w:w="3969" w:type="dxa"/>
            <w:noWrap/>
            <w:vAlign w:val="center"/>
            <w:hideMark/>
          </w:tcPr>
          <w:p w14:paraId="6A01C97A" w14:textId="77777777" w:rsidR="008E698D" w:rsidRPr="008E698D" w:rsidRDefault="008E698D" w:rsidP="008E698D">
            <w:pPr>
              <w:widowControl/>
              <w:jc w:val="left"/>
              <w:rPr>
                <w:rFonts w:ascii="Times New Roman" w:eastAsia="游ゴシック" w:hAnsi="Times New Roman" w:cs="Times New Roman"/>
                <w:color w:val="000000"/>
                <w:kern w:val="0"/>
                <w:sz w:val="17"/>
                <w:szCs w:val="17"/>
              </w:rPr>
            </w:pPr>
            <w:r w:rsidRPr="008E698D">
              <w:rPr>
                <w:rFonts w:ascii="Times New Roman" w:eastAsia="游ゴシック" w:hAnsi="Times New Roman" w:cs="Times New Roman"/>
                <w:color w:val="000000"/>
                <w:kern w:val="0"/>
                <w:sz w:val="17"/>
                <w:szCs w:val="17"/>
              </w:rPr>
              <w:t>= Ep/(Wfopv</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Eas</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Esc</w:t>
            </w:r>
            <w:r w:rsidRPr="008E698D">
              <w:rPr>
                <w:rFonts w:ascii="游ゴシック" w:eastAsia="游ゴシック" w:hAnsi="游ゴシック" w:cs="Times New Roman" w:hint="eastAsia"/>
                <w:color w:val="000000"/>
                <w:kern w:val="0"/>
                <w:sz w:val="17"/>
                <w:szCs w:val="17"/>
              </w:rPr>
              <w:t>･</w:t>
            </w:r>
            <w:r w:rsidRPr="008E698D">
              <w:rPr>
                <w:rFonts w:ascii="Times New Roman" w:eastAsia="游ゴシック" w:hAnsi="Times New Roman" w:cs="Times New Roman"/>
                <w:color w:val="000000"/>
                <w:kern w:val="0"/>
                <w:sz w:val="17"/>
                <w:szCs w:val="17"/>
              </w:rPr>
              <w:t xml:space="preserve">Edc) for 300 km, see </w:t>
            </w:r>
            <w:r w:rsidRPr="008E698D">
              <w:rPr>
                <w:rFonts w:ascii="Times New Roman" w:eastAsia="游ゴシック" w:hAnsi="Times New Roman" w:cs="Times New Roman"/>
                <w:b/>
                <w:bCs/>
                <w:color w:val="000000"/>
                <w:kern w:val="0"/>
                <w:sz w:val="17"/>
                <w:szCs w:val="17"/>
              </w:rPr>
              <w:t>Table 1</w:t>
            </w:r>
          </w:p>
        </w:tc>
      </w:tr>
    </w:tbl>
    <w:p w14:paraId="5A6C71EF" w14:textId="77777777" w:rsidR="00C45B74" w:rsidRPr="008E698D" w:rsidRDefault="00C45B74" w:rsidP="000D63F7">
      <w:pPr>
        <w:jc w:val="left"/>
        <w:rPr>
          <w:rFonts w:ascii="Times New Roman" w:hAnsi="Times New Roman" w:cs="Times New Roman"/>
          <w:b/>
          <w:sz w:val="24"/>
        </w:rPr>
      </w:pPr>
    </w:p>
    <w:p w14:paraId="64F6B8DC" w14:textId="73466BA1" w:rsidR="00A91F7D" w:rsidRPr="00C82E0A" w:rsidRDefault="00A91F7D" w:rsidP="00A91F7D">
      <w:pPr>
        <w:jc w:val="left"/>
        <w:rPr>
          <w:rFonts w:ascii="Times New Roman" w:eastAsia="游明朝" w:hAnsi="Times New Roman" w:cs="Times New Roman"/>
          <w:sz w:val="24"/>
        </w:rPr>
      </w:pPr>
      <w:r w:rsidRPr="00C82E0A">
        <w:rPr>
          <w:rFonts w:ascii="Times New Roman" w:eastAsia="Times New Roman" w:hAnsi="Times New Roman" w:cs="Times New Roman"/>
          <w:b/>
          <w:sz w:val="24"/>
        </w:rPr>
        <w:lastRenderedPageBreak/>
        <w:t xml:space="preserve">Supplementary Table </w:t>
      </w:r>
      <w:r w:rsidRPr="00C82E0A">
        <w:rPr>
          <w:rFonts w:ascii="Times New Roman" w:eastAsia="游明朝" w:hAnsi="Times New Roman" w:cs="Times New Roman"/>
          <w:b/>
          <w:sz w:val="24"/>
        </w:rPr>
        <w:t>S4</w:t>
      </w:r>
      <w:r w:rsidRPr="00C82E0A">
        <w:rPr>
          <w:rFonts w:ascii="Times New Roman" w:eastAsia="Times New Roman" w:hAnsi="Times New Roman" w:cs="Times New Roman"/>
          <w:b/>
          <w:sz w:val="24"/>
        </w:rPr>
        <w:t>.</w:t>
      </w:r>
      <w:r w:rsidRPr="00C82E0A">
        <w:rPr>
          <w:rFonts w:ascii="Times New Roman" w:eastAsia="Times New Roman" w:hAnsi="Times New Roman" w:cs="Times New Roman"/>
          <w:b/>
          <w:bCs/>
          <w:sz w:val="24"/>
        </w:rPr>
        <w:t xml:space="preserve"> Continental modeling</w:t>
      </w:r>
      <w:r w:rsidRPr="00C82E0A">
        <w:rPr>
          <w:rFonts w:ascii="Times New Roman" w:eastAsia="游明朝" w:hAnsi="Times New Roman" w:cs="Times New Roman"/>
          <w:b/>
          <w:bCs/>
          <w:sz w:val="24"/>
        </w:rPr>
        <w:t>.</w:t>
      </w:r>
      <w:r w:rsidRPr="00C82E0A">
        <w:rPr>
          <w:rFonts w:ascii="Times New Roman" w:eastAsia="游明朝" w:hAnsi="Times New Roman" w:cs="Times New Roman"/>
          <w:sz w:val="24"/>
        </w:rPr>
        <w:t xml:space="preserve"> To evaluate resource depletion, continents were modeled as targets for energy transport. These modeled continents—Eurasia, North and South America, and Africa—are rectangular areas extending from the equatorial zone to high latitudes. Each continent ha</w:t>
      </w:r>
      <w:r w:rsidR="00C17079">
        <w:rPr>
          <w:rFonts w:ascii="Times New Roman" w:eastAsia="游明朝" w:hAnsi="Times New Roman" w:cs="Times New Roman" w:hint="eastAsia"/>
          <w:sz w:val="24"/>
        </w:rPr>
        <w:t>s</w:t>
      </w:r>
      <w:r w:rsidRPr="00C82E0A">
        <w:rPr>
          <w:rFonts w:ascii="Times New Roman" w:eastAsia="游明朝" w:hAnsi="Times New Roman" w:cs="Times New Roman"/>
          <w:sz w:val="24"/>
        </w:rPr>
        <w:t xml:space="preserve"> a population density of 20 people/km</w:t>
      </w:r>
      <w:r w:rsidRPr="00C82E0A">
        <w:rPr>
          <w:rFonts w:ascii="Times New Roman" w:eastAsia="游明朝" w:hAnsi="Times New Roman" w:cs="Times New Roman"/>
          <w:sz w:val="24"/>
          <w:vertAlign w:val="superscript"/>
        </w:rPr>
        <w:t>2</w:t>
      </w:r>
      <w:r w:rsidRPr="00C82E0A">
        <w:rPr>
          <w:rFonts w:ascii="Times New Roman" w:eastAsia="游明朝" w:hAnsi="Times New Roman" w:cs="Times New Roman"/>
          <w:sz w:val="24"/>
        </w:rPr>
        <w:t xml:space="preserve"> or more.</w:t>
      </w:r>
    </w:p>
    <w:tbl>
      <w:tblPr>
        <w:tblW w:w="9923" w:type="dxa"/>
        <w:jc w:val="center"/>
        <w:tblBorders>
          <w:top w:val="single" w:sz="8" w:space="0" w:color="auto"/>
          <w:bottom w:val="single" w:sz="8" w:space="0" w:color="auto"/>
          <w:right w:val="single" w:sz="4"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4536"/>
        <w:gridCol w:w="1062"/>
        <w:gridCol w:w="1348"/>
        <w:gridCol w:w="2977"/>
      </w:tblGrid>
      <w:tr w:rsidR="00CE3F83" w:rsidRPr="00CE3F83" w14:paraId="6021AB5A" w14:textId="77777777" w:rsidTr="009A2C59">
        <w:trPr>
          <w:trHeight w:val="375"/>
          <w:jc w:val="center"/>
        </w:trPr>
        <w:tc>
          <w:tcPr>
            <w:tcW w:w="4536" w:type="dxa"/>
            <w:tcBorders>
              <w:top w:val="single" w:sz="8" w:space="0" w:color="auto"/>
              <w:bottom w:val="single" w:sz="4" w:space="0" w:color="auto"/>
            </w:tcBorders>
            <w:noWrap/>
            <w:vAlign w:val="center"/>
            <w:hideMark/>
          </w:tcPr>
          <w:p w14:paraId="7B1CE9D9" w14:textId="77777777" w:rsidR="00CE3F83" w:rsidRPr="00CE3F83" w:rsidRDefault="00CE3F83" w:rsidP="00CE3F83">
            <w:pPr>
              <w:widowControl/>
              <w:jc w:val="center"/>
              <w:rPr>
                <w:rFonts w:ascii="Times New Roman" w:eastAsia="游ゴシック" w:hAnsi="Times New Roman" w:cs="Times New Roman"/>
                <w:b/>
                <w:bCs/>
                <w:color w:val="000000"/>
                <w:kern w:val="0"/>
                <w:sz w:val="22"/>
              </w:rPr>
            </w:pPr>
            <w:r w:rsidRPr="00CE3F83">
              <w:rPr>
                <w:rFonts w:ascii="Times New Roman" w:eastAsia="游ゴシック" w:hAnsi="Times New Roman" w:cs="Times New Roman"/>
                <w:b/>
                <w:bCs/>
                <w:color w:val="000000"/>
                <w:kern w:val="0"/>
                <w:sz w:val="22"/>
              </w:rPr>
              <w:t>Item</w:t>
            </w:r>
          </w:p>
        </w:tc>
        <w:tc>
          <w:tcPr>
            <w:tcW w:w="1062" w:type="dxa"/>
            <w:tcBorders>
              <w:top w:val="single" w:sz="8" w:space="0" w:color="auto"/>
              <w:bottom w:val="single" w:sz="4" w:space="0" w:color="auto"/>
            </w:tcBorders>
            <w:noWrap/>
            <w:vAlign w:val="center"/>
            <w:hideMark/>
          </w:tcPr>
          <w:p w14:paraId="1F4416B5" w14:textId="77777777" w:rsidR="00CE3F83" w:rsidRPr="00CE3F83" w:rsidRDefault="00CE3F83" w:rsidP="00CE3F83">
            <w:pPr>
              <w:widowControl/>
              <w:jc w:val="center"/>
              <w:rPr>
                <w:rFonts w:ascii="Times New Roman" w:eastAsia="游ゴシック" w:hAnsi="Times New Roman" w:cs="Times New Roman"/>
                <w:b/>
                <w:bCs/>
                <w:color w:val="000000"/>
                <w:kern w:val="0"/>
                <w:sz w:val="22"/>
              </w:rPr>
            </w:pPr>
            <w:r w:rsidRPr="00CE3F83">
              <w:rPr>
                <w:rFonts w:ascii="Times New Roman" w:eastAsia="游ゴシック" w:hAnsi="Times New Roman" w:cs="Times New Roman"/>
                <w:b/>
                <w:bCs/>
                <w:color w:val="000000"/>
                <w:kern w:val="0"/>
                <w:sz w:val="22"/>
              </w:rPr>
              <w:t>Value</w:t>
            </w:r>
          </w:p>
        </w:tc>
        <w:tc>
          <w:tcPr>
            <w:tcW w:w="1348" w:type="dxa"/>
            <w:tcBorders>
              <w:top w:val="single" w:sz="8" w:space="0" w:color="auto"/>
              <w:bottom w:val="single" w:sz="4" w:space="0" w:color="auto"/>
            </w:tcBorders>
            <w:noWrap/>
            <w:vAlign w:val="center"/>
            <w:hideMark/>
          </w:tcPr>
          <w:p w14:paraId="1227CE63" w14:textId="15B66E38" w:rsidR="00CE3F83" w:rsidRPr="00CE3F83" w:rsidRDefault="00CE3F83" w:rsidP="00CE3F83">
            <w:pPr>
              <w:widowControl/>
              <w:jc w:val="center"/>
              <w:rPr>
                <w:rFonts w:ascii="Times New Roman" w:eastAsia="游ゴシック" w:hAnsi="Times New Roman" w:cs="Times New Roman"/>
                <w:b/>
                <w:bCs/>
                <w:color w:val="000000"/>
                <w:kern w:val="0"/>
                <w:sz w:val="22"/>
              </w:rPr>
            </w:pPr>
            <w:r w:rsidRPr="00CE3F83">
              <w:rPr>
                <w:rFonts w:ascii="Times New Roman" w:eastAsia="游ゴシック" w:hAnsi="Times New Roman" w:cs="Times New Roman"/>
                <w:b/>
                <w:bCs/>
                <w:color w:val="000000"/>
                <w:kern w:val="0"/>
                <w:sz w:val="22"/>
              </w:rPr>
              <w:t>Unit</w:t>
            </w:r>
          </w:p>
        </w:tc>
        <w:tc>
          <w:tcPr>
            <w:tcW w:w="2977" w:type="dxa"/>
            <w:tcBorders>
              <w:top w:val="single" w:sz="8" w:space="0" w:color="auto"/>
              <w:bottom w:val="single" w:sz="4" w:space="0" w:color="auto"/>
              <w:right w:val="nil"/>
            </w:tcBorders>
            <w:noWrap/>
            <w:vAlign w:val="center"/>
            <w:hideMark/>
          </w:tcPr>
          <w:p w14:paraId="1C255B06" w14:textId="77777777" w:rsidR="00CE3F83" w:rsidRPr="00CE3F83" w:rsidRDefault="00CE3F83" w:rsidP="00CE3F83">
            <w:pPr>
              <w:widowControl/>
              <w:jc w:val="center"/>
              <w:rPr>
                <w:rFonts w:ascii="Times New Roman" w:eastAsia="游ゴシック" w:hAnsi="Times New Roman" w:cs="Times New Roman"/>
                <w:b/>
                <w:bCs/>
                <w:color w:val="000000"/>
                <w:kern w:val="0"/>
                <w:sz w:val="22"/>
              </w:rPr>
            </w:pPr>
            <w:r w:rsidRPr="00CE3F83">
              <w:rPr>
                <w:rFonts w:ascii="Times New Roman" w:eastAsia="游ゴシック" w:hAnsi="Times New Roman" w:cs="Times New Roman"/>
                <w:b/>
                <w:bCs/>
                <w:color w:val="000000"/>
                <w:kern w:val="0"/>
                <w:sz w:val="22"/>
              </w:rPr>
              <w:t>Remarks</w:t>
            </w:r>
          </w:p>
        </w:tc>
      </w:tr>
      <w:tr w:rsidR="00CE3F83" w:rsidRPr="00CE3F83" w14:paraId="0CF1E12C" w14:textId="77777777" w:rsidTr="009A2C59">
        <w:trPr>
          <w:trHeight w:val="375"/>
          <w:jc w:val="center"/>
        </w:trPr>
        <w:tc>
          <w:tcPr>
            <w:tcW w:w="4536" w:type="dxa"/>
            <w:tcBorders>
              <w:top w:val="single" w:sz="4" w:space="0" w:color="auto"/>
            </w:tcBorders>
            <w:noWrap/>
            <w:vAlign w:val="center"/>
            <w:hideMark/>
          </w:tcPr>
          <w:p w14:paraId="06B7820D"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Area of modelled continent (Amc)</w:t>
            </w:r>
          </w:p>
        </w:tc>
        <w:tc>
          <w:tcPr>
            <w:tcW w:w="1062" w:type="dxa"/>
            <w:tcBorders>
              <w:top w:val="single" w:sz="4" w:space="0" w:color="auto"/>
            </w:tcBorders>
            <w:noWrap/>
            <w:vAlign w:val="center"/>
            <w:hideMark/>
          </w:tcPr>
          <w:p w14:paraId="4904E4D8"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1.27E+08</w:t>
            </w:r>
          </w:p>
        </w:tc>
        <w:tc>
          <w:tcPr>
            <w:tcW w:w="1348" w:type="dxa"/>
            <w:tcBorders>
              <w:top w:val="single" w:sz="4" w:space="0" w:color="auto"/>
            </w:tcBorders>
            <w:noWrap/>
            <w:vAlign w:val="center"/>
            <w:hideMark/>
          </w:tcPr>
          <w:p w14:paraId="5BCC0E2E"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km</w:t>
            </w:r>
            <w:r w:rsidRPr="00CE3F83">
              <w:rPr>
                <w:rFonts w:ascii="Times New Roman" w:eastAsia="游ゴシック" w:hAnsi="Times New Roman" w:cs="Times New Roman"/>
                <w:color w:val="000000"/>
                <w:kern w:val="0"/>
                <w:sz w:val="22"/>
                <w:vertAlign w:val="superscript"/>
              </w:rPr>
              <w:t>2</w:t>
            </w:r>
          </w:p>
        </w:tc>
        <w:tc>
          <w:tcPr>
            <w:tcW w:w="2977" w:type="dxa"/>
            <w:tcBorders>
              <w:top w:val="single" w:sz="4" w:space="0" w:color="auto"/>
              <w:right w:val="nil"/>
            </w:tcBorders>
            <w:noWrap/>
            <w:vAlign w:val="center"/>
            <w:hideMark/>
          </w:tcPr>
          <w:p w14:paraId="3E48E123"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85.2% of the total land area.</w:t>
            </w:r>
          </w:p>
        </w:tc>
      </w:tr>
      <w:tr w:rsidR="00CE3F83" w:rsidRPr="00CE3F83" w14:paraId="7C8173F6" w14:textId="77777777" w:rsidTr="004301B3">
        <w:trPr>
          <w:trHeight w:val="375"/>
          <w:jc w:val="center"/>
        </w:trPr>
        <w:tc>
          <w:tcPr>
            <w:tcW w:w="4536" w:type="dxa"/>
            <w:noWrap/>
            <w:vAlign w:val="center"/>
            <w:hideMark/>
          </w:tcPr>
          <w:p w14:paraId="36580637"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Population of modelled </w:t>
            </w:r>
            <w:proofErr w:type="gramStart"/>
            <w:r w:rsidRPr="00CE3F83">
              <w:rPr>
                <w:rFonts w:ascii="Times New Roman" w:eastAsia="游ゴシック" w:hAnsi="Times New Roman" w:cs="Times New Roman"/>
                <w:color w:val="000000"/>
                <w:kern w:val="0"/>
                <w:sz w:val="22"/>
              </w:rPr>
              <w:t>continent</w:t>
            </w:r>
            <w:proofErr w:type="gramEnd"/>
            <w:r w:rsidRPr="00CE3F83">
              <w:rPr>
                <w:rFonts w:ascii="Times New Roman" w:eastAsia="游ゴシック" w:hAnsi="Times New Roman" w:cs="Times New Roman"/>
                <w:color w:val="000000"/>
                <w:kern w:val="0"/>
                <w:sz w:val="22"/>
              </w:rPr>
              <w:t xml:space="preserve"> (Pmc)</w:t>
            </w:r>
          </w:p>
        </w:tc>
        <w:tc>
          <w:tcPr>
            <w:tcW w:w="1062" w:type="dxa"/>
            <w:noWrap/>
            <w:vAlign w:val="center"/>
            <w:hideMark/>
          </w:tcPr>
          <w:p w14:paraId="69F32C6B"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6.44E+09</w:t>
            </w:r>
          </w:p>
        </w:tc>
        <w:tc>
          <w:tcPr>
            <w:tcW w:w="1348" w:type="dxa"/>
            <w:noWrap/>
            <w:vAlign w:val="center"/>
            <w:hideMark/>
          </w:tcPr>
          <w:p w14:paraId="30FBE6CE"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persons</w:t>
            </w:r>
          </w:p>
        </w:tc>
        <w:tc>
          <w:tcPr>
            <w:tcW w:w="2977" w:type="dxa"/>
            <w:tcBorders>
              <w:right w:val="nil"/>
            </w:tcBorders>
            <w:noWrap/>
            <w:vAlign w:val="center"/>
            <w:hideMark/>
          </w:tcPr>
          <w:p w14:paraId="4AD22FD2"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99% of the world's population.</w:t>
            </w:r>
          </w:p>
        </w:tc>
      </w:tr>
      <w:tr w:rsidR="00CE3F83" w:rsidRPr="00CE3F83" w14:paraId="43F0A709" w14:textId="77777777" w:rsidTr="004301B3">
        <w:trPr>
          <w:trHeight w:val="375"/>
          <w:jc w:val="center"/>
        </w:trPr>
        <w:tc>
          <w:tcPr>
            <w:tcW w:w="4536" w:type="dxa"/>
            <w:noWrap/>
            <w:vAlign w:val="center"/>
            <w:hideMark/>
          </w:tcPr>
          <w:p w14:paraId="0D4A9B0F"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Average population density (Pad)</w:t>
            </w:r>
          </w:p>
        </w:tc>
        <w:tc>
          <w:tcPr>
            <w:tcW w:w="1062" w:type="dxa"/>
            <w:noWrap/>
            <w:vAlign w:val="center"/>
            <w:hideMark/>
          </w:tcPr>
          <w:p w14:paraId="022B3724"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50.9 </w:t>
            </w:r>
          </w:p>
        </w:tc>
        <w:tc>
          <w:tcPr>
            <w:tcW w:w="1348" w:type="dxa"/>
            <w:noWrap/>
            <w:vAlign w:val="center"/>
            <w:hideMark/>
          </w:tcPr>
          <w:p w14:paraId="4EEF0564"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persons/km</w:t>
            </w:r>
            <w:r w:rsidRPr="00CE3F83">
              <w:rPr>
                <w:rFonts w:ascii="Times New Roman" w:eastAsia="游ゴシック" w:hAnsi="Times New Roman" w:cs="Times New Roman"/>
                <w:color w:val="000000"/>
                <w:kern w:val="0"/>
                <w:sz w:val="22"/>
                <w:vertAlign w:val="superscript"/>
              </w:rPr>
              <w:t>2</w:t>
            </w:r>
          </w:p>
        </w:tc>
        <w:tc>
          <w:tcPr>
            <w:tcW w:w="2977" w:type="dxa"/>
            <w:tcBorders>
              <w:right w:val="nil"/>
            </w:tcBorders>
            <w:noWrap/>
            <w:vAlign w:val="center"/>
            <w:hideMark/>
          </w:tcPr>
          <w:p w14:paraId="42AEB8B4"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=Pmc/Amc</w:t>
            </w:r>
          </w:p>
        </w:tc>
      </w:tr>
      <w:tr w:rsidR="00CE3F83" w:rsidRPr="00CE3F83" w14:paraId="0B17A42A" w14:textId="77777777" w:rsidTr="009A2C59">
        <w:trPr>
          <w:trHeight w:val="375"/>
          <w:jc w:val="center"/>
        </w:trPr>
        <w:tc>
          <w:tcPr>
            <w:tcW w:w="4536" w:type="dxa"/>
            <w:tcBorders>
              <w:bottom w:val="dotted" w:sz="4" w:space="0" w:color="auto"/>
            </w:tcBorders>
            <w:noWrap/>
            <w:vAlign w:val="center"/>
            <w:hideMark/>
          </w:tcPr>
          <w:p w14:paraId="0244CF5A"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East-west distance of modelled continent (Lew)</w:t>
            </w:r>
          </w:p>
        </w:tc>
        <w:tc>
          <w:tcPr>
            <w:tcW w:w="1062" w:type="dxa"/>
            <w:tcBorders>
              <w:bottom w:val="dotted" w:sz="4" w:space="0" w:color="auto"/>
            </w:tcBorders>
            <w:noWrap/>
            <w:vAlign w:val="center"/>
            <w:hideMark/>
          </w:tcPr>
          <w:p w14:paraId="24D36353"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31,675 </w:t>
            </w:r>
          </w:p>
        </w:tc>
        <w:tc>
          <w:tcPr>
            <w:tcW w:w="1348" w:type="dxa"/>
            <w:tcBorders>
              <w:bottom w:val="dotted" w:sz="4" w:space="0" w:color="auto"/>
            </w:tcBorders>
            <w:noWrap/>
            <w:vAlign w:val="center"/>
            <w:hideMark/>
          </w:tcPr>
          <w:p w14:paraId="5C962066"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km</w:t>
            </w:r>
          </w:p>
        </w:tc>
        <w:tc>
          <w:tcPr>
            <w:tcW w:w="2977" w:type="dxa"/>
            <w:tcBorders>
              <w:bottom w:val="dotted" w:sz="4" w:space="0" w:color="auto"/>
              <w:right w:val="nil"/>
            </w:tcBorders>
            <w:noWrap/>
            <w:vAlign w:val="center"/>
            <w:hideMark/>
          </w:tcPr>
          <w:p w14:paraId="0665D135"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=Amc/Lns</w:t>
            </w:r>
          </w:p>
        </w:tc>
      </w:tr>
      <w:tr w:rsidR="00CE3F83" w:rsidRPr="00CE3F83" w14:paraId="0B917E1D" w14:textId="77777777" w:rsidTr="009A2C59">
        <w:trPr>
          <w:trHeight w:val="390"/>
          <w:jc w:val="center"/>
        </w:trPr>
        <w:tc>
          <w:tcPr>
            <w:tcW w:w="4536" w:type="dxa"/>
            <w:tcBorders>
              <w:top w:val="dotted" w:sz="4" w:space="0" w:color="auto"/>
              <w:bottom w:val="single" w:sz="8" w:space="0" w:color="auto"/>
            </w:tcBorders>
            <w:noWrap/>
            <w:vAlign w:val="center"/>
            <w:hideMark/>
          </w:tcPr>
          <w:p w14:paraId="2501A4CB"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Latitudinal distance of modelled continent (Lns)</w:t>
            </w:r>
          </w:p>
        </w:tc>
        <w:tc>
          <w:tcPr>
            <w:tcW w:w="1062" w:type="dxa"/>
            <w:tcBorders>
              <w:top w:val="dotted" w:sz="4" w:space="0" w:color="auto"/>
              <w:bottom w:val="single" w:sz="8" w:space="0" w:color="auto"/>
            </w:tcBorders>
            <w:noWrap/>
            <w:vAlign w:val="center"/>
            <w:hideMark/>
          </w:tcPr>
          <w:p w14:paraId="4B1BC8CD" w14:textId="77777777" w:rsidR="00CE3F83" w:rsidRPr="00CE3F83" w:rsidRDefault="00CE3F83" w:rsidP="00CE3F83">
            <w:pPr>
              <w:widowControl/>
              <w:jc w:val="righ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4,000 </w:t>
            </w:r>
          </w:p>
        </w:tc>
        <w:tc>
          <w:tcPr>
            <w:tcW w:w="1348" w:type="dxa"/>
            <w:tcBorders>
              <w:top w:val="dotted" w:sz="4" w:space="0" w:color="auto"/>
              <w:bottom w:val="single" w:sz="8" w:space="0" w:color="auto"/>
            </w:tcBorders>
            <w:noWrap/>
            <w:vAlign w:val="center"/>
            <w:hideMark/>
          </w:tcPr>
          <w:p w14:paraId="03F33E23"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km</w:t>
            </w:r>
          </w:p>
        </w:tc>
        <w:tc>
          <w:tcPr>
            <w:tcW w:w="2977" w:type="dxa"/>
            <w:tcBorders>
              <w:top w:val="dotted" w:sz="4" w:space="0" w:color="auto"/>
              <w:bottom w:val="single" w:sz="8" w:space="0" w:color="auto"/>
              <w:right w:val="nil"/>
            </w:tcBorders>
            <w:noWrap/>
            <w:vAlign w:val="center"/>
            <w:hideMark/>
          </w:tcPr>
          <w:p w14:paraId="25A37A24" w14:textId="77777777" w:rsidR="00CE3F83" w:rsidRPr="00CE3F83" w:rsidRDefault="00CE3F83" w:rsidP="00CE3F83">
            <w:pPr>
              <w:widowControl/>
              <w:jc w:val="left"/>
              <w:rPr>
                <w:rFonts w:ascii="Times New Roman" w:eastAsia="游ゴシック" w:hAnsi="Times New Roman" w:cs="Times New Roman"/>
                <w:color w:val="000000"/>
                <w:kern w:val="0"/>
                <w:sz w:val="22"/>
              </w:rPr>
            </w:pPr>
            <w:r w:rsidRPr="00CE3F83">
              <w:rPr>
                <w:rFonts w:ascii="Times New Roman" w:eastAsia="游ゴシック" w:hAnsi="Times New Roman" w:cs="Times New Roman"/>
                <w:color w:val="000000"/>
                <w:kern w:val="0"/>
                <w:sz w:val="22"/>
              </w:rPr>
              <w:t xml:space="preserve">　</w:t>
            </w:r>
          </w:p>
        </w:tc>
      </w:tr>
    </w:tbl>
    <w:p w14:paraId="1231164A" w14:textId="2DAC79F2" w:rsidR="000D2331" w:rsidRPr="00E23307" w:rsidRDefault="000D2331" w:rsidP="000D2331">
      <w:pPr>
        <w:widowControl/>
        <w:spacing w:line="480" w:lineRule="auto"/>
        <w:jc w:val="left"/>
        <w:rPr>
          <w:rFonts w:ascii="Times New Roman" w:eastAsia="Times New Roman" w:hAnsi="Times New Roman" w:cs="Times New Roman"/>
          <w:sz w:val="24"/>
        </w:rPr>
      </w:pPr>
    </w:p>
    <w:p w14:paraId="44BFA82B" w14:textId="52E821E2" w:rsidR="00562CFF" w:rsidRPr="0076136A" w:rsidRDefault="000E0857" w:rsidP="00562CFF">
      <w:pPr>
        <w:spacing w:before="120" w:after="120"/>
        <w:jc w:val="left"/>
        <w:rPr>
          <w:rFonts w:ascii="Times New Roman" w:eastAsia="Times New Roman" w:hAnsi="Times New Roman" w:cs="Times New Roman"/>
          <w:bCs/>
          <w:sz w:val="24"/>
        </w:rPr>
      </w:pPr>
      <w:r w:rsidRPr="00A91F7D">
        <w:rPr>
          <w:rFonts w:ascii="Times New Roman" w:eastAsia="Times New Roman" w:hAnsi="Times New Roman" w:cs="Times New Roman"/>
          <w:b/>
          <w:sz w:val="24"/>
        </w:rPr>
        <w:t>Supplementary Table S</w:t>
      </w:r>
      <w:r w:rsidR="00F22A2A" w:rsidRPr="00A91F7D">
        <w:rPr>
          <w:rFonts w:ascii="Times New Roman" w:hAnsi="Times New Roman" w:cs="Times New Roman" w:hint="eastAsia"/>
          <w:b/>
          <w:sz w:val="24"/>
        </w:rPr>
        <w:t>5</w:t>
      </w:r>
      <w:r w:rsidRPr="00A91F7D">
        <w:rPr>
          <w:rFonts w:ascii="Times New Roman" w:eastAsia="Times New Roman" w:hAnsi="Times New Roman" w:cs="Times New Roman"/>
          <w:b/>
          <w:sz w:val="24"/>
        </w:rPr>
        <w:t xml:space="preserve">. </w:t>
      </w:r>
      <w:r w:rsidRPr="00A91F7D">
        <w:rPr>
          <w:rFonts w:ascii="Times New Roman" w:eastAsia="Times New Roman" w:hAnsi="Times New Roman" w:cs="Times New Roman"/>
          <w:b/>
          <w:bCs/>
          <w:sz w:val="24"/>
        </w:rPr>
        <w:t>Resources for submarine HVDC cables between FOPV plants and landing stations.</w:t>
      </w:r>
      <w:r w:rsidRPr="00A91F7D">
        <w:rPr>
          <w:rFonts w:ascii="Times New Roman" w:eastAsia="Times New Roman" w:hAnsi="Times New Roman" w:cs="Times New Roman"/>
          <w:b/>
          <w:sz w:val="24"/>
        </w:rPr>
        <w:t xml:space="preserve"> </w:t>
      </w:r>
      <w:r w:rsidR="00C30D61" w:rsidRPr="00A91F7D">
        <w:rPr>
          <w:rFonts w:ascii="Times New Roman" w:eastAsia="Times New Roman" w:hAnsi="Times New Roman" w:cs="Times New Roman"/>
          <w:bCs/>
          <w:sz w:val="24"/>
        </w:rPr>
        <w:t>The reserves of copper (Cu) and aluminum (Al) required for the manufacture of submarine cables (two cables, one for the positive pole and one for the negative pole) required to transmit CFE2100 generated in equatorial waters to land from the FOPV plant have been evaluated.</w:t>
      </w:r>
      <w:r w:rsidR="009613E0" w:rsidRPr="00A91F7D">
        <w:rPr>
          <w:rFonts w:ascii="Times New Roman" w:hAnsi="Times New Roman" w:cs="Times New Roman" w:hint="eastAsia"/>
          <w:bCs/>
          <w:sz w:val="24"/>
        </w:rPr>
        <w:t xml:space="preserve"> </w:t>
      </w:r>
      <w:r w:rsidR="00C30D61" w:rsidRPr="00A91F7D">
        <w:rPr>
          <w:rFonts w:ascii="Times New Roman" w:eastAsia="Times New Roman" w:hAnsi="Times New Roman" w:cs="Times New Roman"/>
          <w:bCs/>
          <w:sz w:val="24"/>
        </w:rPr>
        <w:t xml:space="preserve">Note that the power from the FOPV is not smoothed to avoid overloading the FOPV. As a result, Cu accounts for approximately 20% of the resource consumption, while Al accounts for approximately 3%. Notes: The voltage </w:t>
      </w:r>
      <w:r w:rsidR="00901FD8" w:rsidRPr="00A91F7D">
        <w:rPr>
          <w:rFonts w:ascii="Times New Roman" w:eastAsia="Times New Roman" w:hAnsi="Times New Roman" w:cs="Times New Roman"/>
          <w:bCs/>
          <w:sz w:val="24"/>
        </w:rPr>
        <w:t>drop,</w:t>
      </w:r>
      <w:r w:rsidR="00C30D61" w:rsidRPr="00A91F7D">
        <w:rPr>
          <w:rFonts w:ascii="Times New Roman" w:eastAsia="Times New Roman" w:hAnsi="Times New Roman" w:cs="Times New Roman"/>
          <w:bCs/>
          <w:sz w:val="24"/>
        </w:rPr>
        <w:t xml:space="preserve"> and conductor cross-sectional area calculations were performed using established formulas</w:t>
      </w:r>
      <w:bookmarkStart w:id="34" w:name="_Hlk205649937"/>
      <w:r w:rsidR="009C4E59" w:rsidRPr="0076136A">
        <w:rPr>
          <w:rFonts w:ascii="Times New Roman" w:eastAsia="Times New Roman" w:hAnsi="Times New Roman" w:cs="Times New Roman"/>
          <w:bCs/>
          <w:sz w:val="24"/>
        </w:rPr>
        <w:t xml:space="preserve"> (</w:t>
      </w:r>
      <w:hyperlink r:id="rId39" w:history="1">
        <w:r w:rsidR="00DD0016" w:rsidRPr="00AD7BFE">
          <w:rPr>
            <w:rStyle w:val="a8"/>
            <w:rFonts w:ascii="Times New Roman" w:eastAsia="Times New Roman" w:hAnsi="Times New Roman" w:cs="Times New Roman"/>
            <w:bCs/>
            <w:color w:val="0000FF"/>
            <w:sz w:val="24"/>
          </w:rPr>
          <w:t>https://www.kk-mitsuboshi.co.jp/product/calc/</w:t>
        </w:r>
      </w:hyperlink>
      <w:r w:rsidR="009C4E59" w:rsidRPr="0076136A">
        <w:rPr>
          <w:rFonts w:ascii="Times New Roman" w:eastAsia="Times New Roman" w:hAnsi="Times New Roman" w:cs="Times New Roman"/>
          <w:bCs/>
          <w:sz w:val="24"/>
        </w:rPr>
        <w:t>)</w:t>
      </w:r>
      <w:bookmarkEnd w:id="34"/>
      <w:r w:rsidR="009C4E59" w:rsidRPr="0076136A">
        <w:rPr>
          <w:rFonts w:ascii="Times New Roman" w:eastAsia="Times New Roman" w:hAnsi="Times New Roman" w:cs="Times New Roman"/>
          <w:bCs/>
          <w:sz w:val="24"/>
        </w:rPr>
        <w:t>.</w:t>
      </w:r>
    </w:p>
    <w:tbl>
      <w:tblPr>
        <w:tblW w:w="10632" w:type="dxa"/>
        <w:jc w:val="center"/>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3402"/>
        <w:gridCol w:w="993"/>
        <w:gridCol w:w="1029"/>
        <w:gridCol w:w="813"/>
        <w:gridCol w:w="4395"/>
      </w:tblGrid>
      <w:tr w:rsidR="00CE3F83" w:rsidRPr="00CE3F83" w14:paraId="678C57B2" w14:textId="77777777" w:rsidTr="009A2C59">
        <w:trPr>
          <w:trHeight w:val="375"/>
          <w:jc w:val="center"/>
        </w:trPr>
        <w:tc>
          <w:tcPr>
            <w:tcW w:w="3402" w:type="dxa"/>
            <w:tcBorders>
              <w:top w:val="single" w:sz="8" w:space="0" w:color="auto"/>
              <w:bottom w:val="single" w:sz="4" w:space="0" w:color="auto"/>
            </w:tcBorders>
            <w:noWrap/>
            <w:vAlign w:val="center"/>
            <w:hideMark/>
          </w:tcPr>
          <w:p w14:paraId="6F29DA93" w14:textId="77777777" w:rsidR="00CE3F83" w:rsidRPr="00CE3F83" w:rsidRDefault="00CE3F83" w:rsidP="00CE3F83">
            <w:pPr>
              <w:widowControl/>
              <w:jc w:val="center"/>
              <w:rPr>
                <w:rFonts w:ascii="Times New Roman" w:eastAsia="游ゴシック" w:hAnsi="Times New Roman" w:cs="Times New Roman"/>
                <w:b/>
                <w:bCs/>
                <w:color w:val="000000"/>
                <w:kern w:val="0"/>
                <w:sz w:val="18"/>
                <w:szCs w:val="18"/>
              </w:rPr>
            </w:pPr>
            <w:r w:rsidRPr="00CE3F83">
              <w:rPr>
                <w:rFonts w:ascii="Times New Roman" w:eastAsia="游ゴシック" w:hAnsi="Times New Roman" w:cs="Times New Roman"/>
                <w:b/>
                <w:bCs/>
                <w:color w:val="000000"/>
                <w:kern w:val="0"/>
                <w:sz w:val="18"/>
                <w:szCs w:val="18"/>
              </w:rPr>
              <w:t>Item</w:t>
            </w:r>
          </w:p>
        </w:tc>
        <w:tc>
          <w:tcPr>
            <w:tcW w:w="993" w:type="dxa"/>
            <w:tcBorders>
              <w:top w:val="single" w:sz="8" w:space="0" w:color="auto"/>
              <w:bottom w:val="single" w:sz="4" w:space="0" w:color="auto"/>
            </w:tcBorders>
            <w:noWrap/>
            <w:vAlign w:val="center"/>
            <w:hideMark/>
          </w:tcPr>
          <w:p w14:paraId="33B32AD8" w14:textId="77777777" w:rsidR="00CE3F83" w:rsidRPr="00CE3F83" w:rsidRDefault="00CE3F83" w:rsidP="00CE3F83">
            <w:pPr>
              <w:widowControl/>
              <w:jc w:val="center"/>
              <w:rPr>
                <w:rFonts w:ascii="Times New Roman" w:eastAsia="游ゴシック" w:hAnsi="Times New Roman" w:cs="Times New Roman"/>
                <w:b/>
                <w:bCs/>
                <w:color w:val="000000"/>
                <w:kern w:val="0"/>
                <w:sz w:val="18"/>
                <w:szCs w:val="18"/>
              </w:rPr>
            </w:pPr>
            <w:r w:rsidRPr="00CE3F83">
              <w:rPr>
                <w:rFonts w:ascii="Times New Roman" w:eastAsia="游ゴシック" w:hAnsi="Times New Roman" w:cs="Times New Roman"/>
                <w:b/>
                <w:bCs/>
                <w:color w:val="000000"/>
                <w:kern w:val="0"/>
                <w:sz w:val="18"/>
                <w:szCs w:val="18"/>
              </w:rPr>
              <w:t>Copper</w:t>
            </w:r>
          </w:p>
        </w:tc>
        <w:tc>
          <w:tcPr>
            <w:tcW w:w="1029" w:type="dxa"/>
            <w:tcBorders>
              <w:top w:val="single" w:sz="8" w:space="0" w:color="auto"/>
              <w:bottom w:val="single" w:sz="4" w:space="0" w:color="auto"/>
            </w:tcBorders>
            <w:noWrap/>
            <w:vAlign w:val="center"/>
            <w:hideMark/>
          </w:tcPr>
          <w:p w14:paraId="7B7F7A9B" w14:textId="77777777" w:rsidR="00CE3F83" w:rsidRPr="00CE3F83" w:rsidRDefault="00CE3F83" w:rsidP="00CE3F83">
            <w:pPr>
              <w:widowControl/>
              <w:jc w:val="center"/>
              <w:rPr>
                <w:rFonts w:ascii="Times New Roman" w:eastAsia="游ゴシック" w:hAnsi="Times New Roman" w:cs="Times New Roman"/>
                <w:b/>
                <w:bCs/>
                <w:color w:val="000000"/>
                <w:kern w:val="0"/>
                <w:sz w:val="18"/>
                <w:szCs w:val="18"/>
              </w:rPr>
            </w:pPr>
            <w:r w:rsidRPr="00CE3F83">
              <w:rPr>
                <w:rFonts w:ascii="Times New Roman" w:eastAsia="游ゴシック" w:hAnsi="Times New Roman" w:cs="Times New Roman"/>
                <w:b/>
                <w:bCs/>
                <w:color w:val="000000"/>
                <w:kern w:val="0"/>
                <w:sz w:val="18"/>
                <w:szCs w:val="18"/>
              </w:rPr>
              <w:t>Aluminum</w:t>
            </w:r>
          </w:p>
        </w:tc>
        <w:tc>
          <w:tcPr>
            <w:tcW w:w="813" w:type="dxa"/>
            <w:tcBorders>
              <w:top w:val="single" w:sz="8" w:space="0" w:color="auto"/>
              <w:bottom w:val="single" w:sz="4" w:space="0" w:color="auto"/>
            </w:tcBorders>
            <w:noWrap/>
            <w:vAlign w:val="center"/>
            <w:hideMark/>
          </w:tcPr>
          <w:p w14:paraId="648F79DA" w14:textId="77777777" w:rsidR="00CE3F83" w:rsidRPr="00CE3F83" w:rsidRDefault="00CE3F83" w:rsidP="00CE3F83">
            <w:pPr>
              <w:widowControl/>
              <w:jc w:val="center"/>
              <w:rPr>
                <w:rFonts w:ascii="Times New Roman" w:eastAsia="游ゴシック" w:hAnsi="Times New Roman" w:cs="Times New Roman"/>
                <w:b/>
                <w:bCs/>
                <w:color w:val="000000"/>
                <w:kern w:val="0"/>
                <w:sz w:val="18"/>
                <w:szCs w:val="18"/>
              </w:rPr>
            </w:pPr>
            <w:r w:rsidRPr="00CE3F83">
              <w:rPr>
                <w:rFonts w:ascii="Times New Roman" w:eastAsia="游ゴシック" w:hAnsi="Times New Roman" w:cs="Times New Roman"/>
                <w:b/>
                <w:bCs/>
                <w:color w:val="000000"/>
                <w:kern w:val="0"/>
                <w:sz w:val="18"/>
                <w:szCs w:val="18"/>
              </w:rPr>
              <w:t>Unit</w:t>
            </w:r>
          </w:p>
        </w:tc>
        <w:tc>
          <w:tcPr>
            <w:tcW w:w="4395" w:type="dxa"/>
            <w:tcBorders>
              <w:top w:val="single" w:sz="8" w:space="0" w:color="auto"/>
              <w:bottom w:val="single" w:sz="4" w:space="0" w:color="auto"/>
            </w:tcBorders>
            <w:noWrap/>
            <w:vAlign w:val="center"/>
            <w:hideMark/>
          </w:tcPr>
          <w:p w14:paraId="6F428F9C" w14:textId="77777777" w:rsidR="00CE3F83" w:rsidRPr="00CE3F83" w:rsidRDefault="00CE3F83" w:rsidP="00CE3F83">
            <w:pPr>
              <w:widowControl/>
              <w:jc w:val="center"/>
              <w:rPr>
                <w:rFonts w:ascii="Times New Roman" w:eastAsia="游ゴシック" w:hAnsi="Times New Roman" w:cs="Times New Roman"/>
                <w:b/>
                <w:bCs/>
                <w:color w:val="000000"/>
                <w:kern w:val="0"/>
                <w:sz w:val="18"/>
                <w:szCs w:val="18"/>
              </w:rPr>
            </w:pPr>
            <w:r w:rsidRPr="00CE3F83">
              <w:rPr>
                <w:rFonts w:ascii="Times New Roman" w:eastAsia="游ゴシック" w:hAnsi="Times New Roman" w:cs="Times New Roman"/>
                <w:b/>
                <w:bCs/>
                <w:color w:val="000000"/>
                <w:kern w:val="0"/>
                <w:sz w:val="18"/>
                <w:szCs w:val="18"/>
              </w:rPr>
              <w:t>Remarks</w:t>
            </w:r>
          </w:p>
        </w:tc>
      </w:tr>
      <w:tr w:rsidR="00CE3F83" w:rsidRPr="00CE3F83" w14:paraId="75FC06CF" w14:textId="77777777" w:rsidTr="009A2C59">
        <w:trPr>
          <w:trHeight w:val="375"/>
          <w:jc w:val="center"/>
        </w:trPr>
        <w:tc>
          <w:tcPr>
            <w:tcW w:w="3402" w:type="dxa"/>
            <w:tcBorders>
              <w:top w:val="single" w:sz="4" w:space="0" w:color="auto"/>
            </w:tcBorders>
            <w:noWrap/>
            <w:vAlign w:val="center"/>
            <w:hideMark/>
          </w:tcPr>
          <w:p w14:paraId="0E0D239B"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Average submarine cable length (Lsma)</w:t>
            </w:r>
          </w:p>
        </w:tc>
        <w:tc>
          <w:tcPr>
            <w:tcW w:w="993" w:type="dxa"/>
            <w:tcBorders>
              <w:top w:val="single" w:sz="4" w:space="0" w:color="auto"/>
            </w:tcBorders>
            <w:noWrap/>
            <w:vAlign w:val="center"/>
            <w:hideMark/>
          </w:tcPr>
          <w:p w14:paraId="291B9FEA"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300</w:t>
            </w:r>
          </w:p>
        </w:tc>
        <w:tc>
          <w:tcPr>
            <w:tcW w:w="1029" w:type="dxa"/>
            <w:tcBorders>
              <w:top w:val="single" w:sz="4" w:space="0" w:color="auto"/>
            </w:tcBorders>
            <w:noWrap/>
            <w:vAlign w:val="center"/>
            <w:hideMark/>
          </w:tcPr>
          <w:p w14:paraId="23D2AD19"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300</w:t>
            </w:r>
          </w:p>
        </w:tc>
        <w:tc>
          <w:tcPr>
            <w:tcW w:w="813" w:type="dxa"/>
            <w:tcBorders>
              <w:top w:val="single" w:sz="4" w:space="0" w:color="auto"/>
            </w:tcBorders>
            <w:noWrap/>
            <w:vAlign w:val="center"/>
            <w:hideMark/>
          </w:tcPr>
          <w:p w14:paraId="644770CC"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km</w:t>
            </w:r>
          </w:p>
        </w:tc>
        <w:tc>
          <w:tcPr>
            <w:tcW w:w="4395" w:type="dxa"/>
            <w:tcBorders>
              <w:top w:val="single" w:sz="4" w:space="0" w:color="auto"/>
            </w:tcBorders>
            <w:noWrap/>
            <w:vAlign w:val="center"/>
            <w:hideMark/>
          </w:tcPr>
          <w:p w14:paraId="23BF1E59"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An average cable length of 300 km is assumed.</w:t>
            </w:r>
          </w:p>
        </w:tc>
      </w:tr>
      <w:tr w:rsidR="00CE3F83" w:rsidRPr="00CE3F83" w14:paraId="0F53EA67" w14:textId="77777777" w:rsidTr="00CE3F83">
        <w:trPr>
          <w:trHeight w:val="375"/>
          <w:jc w:val="center"/>
        </w:trPr>
        <w:tc>
          <w:tcPr>
            <w:tcW w:w="3402" w:type="dxa"/>
            <w:noWrap/>
            <w:vAlign w:val="center"/>
            <w:hideMark/>
          </w:tcPr>
          <w:p w14:paraId="609E222B"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Number of submarine cables (Nsmc)</w:t>
            </w:r>
          </w:p>
        </w:tc>
        <w:tc>
          <w:tcPr>
            <w:tcW w:w="993" w:type="dxa"/>
            <w:noWrap/>
            <w:vAlign w:val="center"/>
            <w:hideMark/>
          </w:tcPr>
          <w:p w14:paraId="2D91A5E9"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51,840</w:t>
            </w:r>
          </w:p>
        </w:tc>
        <w:tc>
          <w:tcPr>
            <w:tcW w:w="1029" w:type="dxa"/>
            <w:noWrap/>
            <w:vAlign w:val="center"/>
            <w:hideMark/>
          </w:tcPr>
          <w:p w14:paraId="4796B0C3"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51,840</w:t>
            </w:r>
          </w:p>
        </w:tc>
        <w:tc>
          <w:tcPr>
            <w:tcW w:w="813" w:type="dxa"/>
            <w:noWrap/>
            <w:vAlign w:val="center"/>
            <w:hideMark/>
          </w:tcPr>
          <w:p w14:paraId="7B080FDD"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cables</w:t>
            </w:r>
          </w:p>
        </w:tc>
        <w:tc>
          <w:tcPr>
            <w:tcW w:w="4395" w:type="dxa"/>
            <w:noWrap/>
            <w:vAlign w:val="center"/>
            <w:hideMark/>
          </w:tcPr>
          <w:p w14:paraId="7F55881E"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FOPVs for CFE2100</w:t>
            </w:r>
          </w:p>
        </w:tc>
      </w:tr>
      <w:tr w:rsidR="00CE3F83" w:rsidRPr="00CE3F83" w14:paraId="0F430391" w14:textId="77777777" w:rsidTr="00CE3F83">
        <w:trPr>
          <w:trHeight w:val="375"/>
          <w:jc w:val="center"/>
        </w:trPr>
        <w:tc>
          <w:tcPr>
            <w:tcW w:w="3402" w:type="dxa"/>
            <w:noWrap/>
            <w:vAlign w:val="center"/>
            <w:hideMark/>
          </w:tcPr>
          <w:p w14:paraId="21541C81"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Maximum transmission voltage (Vsmx)</w:t>
            </w:r>
          </w:p>
        </w:tc>
        <w:tc>
          <w:tcPr>
            <w:tcW w:w="993" w:type="dxa"/>
            <w:noWrap/>
            <w:vAlign w:val="center"/>
            <w:hideMark/>
          </w:tcPr>
          <w:p w14:paraId="32D64559"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500</w:t>
            </w:r>
          </w:p>
        </w:tc>
        <w:tc>
          <w:tcPr>
            <w:tcW w:w="1029" w:type="dxa"/>
            <w:noWrap/>
            <w:vAlign w:val="center"/>
            <w:hideMark/>
          </w:tcPr>
          <w:p w14:paraId="612F41EB"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500</w:t>
            </w:r>
          </w:p>
        </w:tc>
        <w:tc>
          <w:tcPr>
            <w:tcW w:w="813" w:type="dxa"/>
            <w:noWrap/>
            <w:vAlign w:val="center"/>
            <w:hideMark/>
          </w:tcPr>
          <w:p w14:paraId="6D00C55C"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kV</w:t>
            </w:r>
          </w:p>
        </w:tc>
        <w:tc>
          <w:tcPr>
            <w:tcW w:w="4395" w:type="dxa"/>
            <w:noWrap/>
            <w:vAlign w:val="center"/>
            <w:hideMark/>
          </w:tcPr>
          <w:p w14:paraId="51A05754"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w:t>
            </w:r>
          </w:p>
        </w:tc>
      </w:tr>
      <w:tr w:rsidR="00CE3F83" w:rsidRPr="00CE3F83" w14:paraId="0C720439" w14:textId="77777777" w:rsidTr="00CE3F83">
        <w:trPr>
          <w:trHeight w:val="375"/>
          <w:jc w:val="center"/>
        </w:trPr>
        <w:tc>
          <w:tcPr>
            <w:tcW w:w="3402" w:type="dxa"/>
            <w:noWrap/>
            <w:vAlign w:val="center"/>
            <w:hideMark/>
          </w:tcPr>
          <w:p w14:paraId="18EC812F"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Maximum transmission current (Ismx)</w:t>
            </w:r>
          </w:p>
        </w:tc>
        <w:tc>
          <w:tcPr>
            <w:tcW w:w="993" w:type="dxa"/>
            <w:noWrap/>
            <w:vAlign w:val="center"/>
            <w:hideMark/>
          </w:tcPr>
          <w:p w14:paraId="4424A1B2"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9.22 </w:t>
            </w:r>
          </w:p>
        </w:tc>
        <w:tc>
          <w:tcPr>
            <w:tcW w:w="1029" w:type="dxa"/>
            <w:noWrap/>
            <w:vAlign w:val="center"/>
            <w:hideMark/>
          </w:tcPr>
          <w:p w14:paraId="4C5BF74A"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9.22 </w:t>
            </w:r>
          </w:p>
        </w:tc>
        <w:tc>
          <w:tcPr>
            <w:tcW w:w="813" w:type="dxa"/>
            <w:noWrap/>
            <w:vAlign w:val="center"/>
            <w:hideMark/>
          </w:tcPr>
          <w:p w14:paraId="7F2AB29D"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kA</w:t>
            </w:r>
          </w:p>
        </w:tc>
        <w:tc>
          <w:tcPr>
            <w:tcW w:w="4395" w:type="dxa"/>
            <w:noWrap/>
            <w:vAlign w:val="center"/>
            <w:hideMark/>
          </w:tcPr>
          <w:p w14:paraId="24131DFC"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Transmission without leveling</w:t>
            </w:r>
          </w:p>
        </w:tc>
      </w:tr>
      <w:tr w:rsidR="00CE3F83" w:rsidRPr="00CE3F83" w14:paraId="3AA1F17B" w14:textId="77777777" w:rsidTr="00CE3F83">
        <w:trPr>
          <w:trHeight w:val="375"/>
          <w:jc w:val="center"/>
        </w:trPr>
        <w:tc>
          <w:tcPr>
            <w:tcW w:w="3402" w:type="dxa"/>
            <w:noWrap/>
            <w:vAlign w:val="center"/>
            <w:hideMark/>
          </w:tcPr>
          <w:p w14:paraId="0D18B09D"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Power transmission loss (Msc)</w:t>
            </w:r>
          </w:p>
        </w:tc>
        <w:tc>
          <w:tcPr>
            <w:tcW w:w="993" w:type="dxa"/>
            <w:noWrap/>
            <w:vAlign w:val="center"/>
            <w:hideMark/>
          </w:tcPr>
          <w:p w14:paraId="073C2977"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w:t>
            </w:r>
          </w:p>
        </w:tc>
        <w:tc>
          <w:tcPr>
            <w:tcW w:w="1029" w:type="dxa"/>
            <w:noWrap/>
            <w:vAlign w:val="center"/>
            <w:hideMark/>
          </w:tcPr>
          <w:p w14:paraId="2A0F7713"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w:t>
            </w:r>
          </w:p>
        </w:tc>
        <w:tc>
          <w:tcPr>
            <w:tcW w:w="813" w:type="dxa"/>
            <w:noWrap/>
            <w:vAlign w:val="center"/>
            <w:hideMark/>
          </w:tcPr>
          <w:p w14:paraId="2E57DA43"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w:t>
            </w:r>
          </w:p>
        </w:tc>
        <w:tc>
          <w:tcPr>
            <w:tcW w:w="4395" w:type="dxa"/>
            <w:noWrap/>
            <w:vAlign w:val="center"/>
            <w:hideMark/>
          </w:tcPr>
          <w:p w14:paraId="7B5D0551"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w:t>
            </w:r>
          </w:p>
        </w:tc>
      </w:tr>
      <w:tr w:rsidR="00CE3F83" w:rsidRPr="00CE3F83" w14:paraId="7A7CF0AE" w14:textId="77777777" w:rsidTr="00CE3F83">
        <w:trPr>
          <w:trHeight w:val="375"/>
          <w:jc w:val="center"/>
        </w:trPr>
        <w:tc>
          <w:tcPr>
            <w:tcW w:w="3402" w:type="dxa"/>
            <w:noWrap/>
            <w:vAlign w:val="center"/>
            <w:hideMark/>
          </w:tcPr>
          <w:p w14:paraId="71B9DBAA"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Conductor diameter30 (Dsmc)</w:t>
            </w:r>
          </w:p>
        </w:tc>
        <w:tc>
          <w:tcPr>
            <w:tcW w:w="993" w:type="dxa"/>
            <w:noWrap/>
            <w:vAlign w:val="center"/>
            <w:hideMark/>
          </w:tcPr>
          <w:p w14:paraId="022CFCC0"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67.8 </w:t>
            </w:r>
          </w:p>
        </w:tc>
        <w:tc>
          <w:tcPr>
            <w:tcW w:w="1029" w:type="dxa"/>
            <w:noWrap/>
            <w:vAlign w:val="center"/>
            <w:hideMark/>
          </w:tcPr>
          <w:p w14:paraId="12E90C1F"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90.1 </w:t>
            </w:r>
          </w:p>
        </w:tc>
        <w:tc>
          <w:tcPr>
            <w:tcW w:w="813" w:type="dxa"/>
            <w:noWrap/>
            <w:vAlign w:val="center"/>
            <w:hideMark/>
          </w:tcPr>
          <w:p w14:paraId="1182C7DA"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mm</w:t>
            </w:r>
          </w:p>
        </w:tc>
        <w:tc>
          <w:tcPr>
            <w:tcW w:w="4395" w:type="dxa"/>
            <w:noWrap/>
            <w:vAlign w:val="center"/>
            <w:hideMark/>
          </w:tcPr>
          <w:p w14:paraId="61399E5B"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Copper is next to sliver, and aluminum is next to copper.</w:t>
            </w:r>
          </w:p>
        </w:tc>
      </w:tr>
      <w:tr w:rsidR="00CE3F83" w:rsidRPr="00CE3F83" w14:paraId="480CBBBC" w14:textId="77777777" w:rsidTr="00CE3F83">
        <w:trPr>
          <w:trHeight w:val="375"/>
          <w:jc w:val="center"/>
        </w:trPr>
        <w:tc>
          <w:tcPr>
            <w:tcW w:w="3402" w:type="dxa"/>
            <w:noWrap/>
            <w:vAlign w:val="center"/>
            <w:hideMark/>
          </w:tcPr>
          <w:p w14:paraId="262A4B6F"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Submarine cable conductor weight (Wsmc)</w:t>
            </w:r>
          </w:p>
        </w:tc>
        <w:tc>
          <w:tcPr>
            <w:tcW w:w="993" w:type="dxa"/>
            <w:noWrap/>
            <w:vAlign w:val="center"/>
            <w:hideMark/>
          </w:tcPr>
          <w:p w14:paraId="3F9C9D7E"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2.12E+04</w:t>
            </w:r>
          </w:p>
        </w:tc>
        <w:tc>
          <w:tcPr>
            <w:tcW w:w="1029" w:type="dxa"/>
            <w:noWrap/>
            <w:vAlign w:val="center"/>
            <w:hideMark/>
          </w:tcPr>
          <w:p w14:paraId="7652BF24"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1.04E+04</w:t>
            </w:r>
          </w:p>
        </w:tc>
        <w:tc>
          <w:tcPr>
            <w:tcW w:w="813" w:type="dxa"/>
            <w:noWrap/>
            <w:vAlign w:val="center"/>
            <w:hideMark/>
          </w:tcPr>
          <w:p w14:paraId="5F7BB625"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tons</w:t>
            </w:r>
          </w:p>
        </w:tc>
        <w:tc>
          <w:tcPr>
            <w:tcW w:w="4395" w:type="dxa"/>
            <w:noWrap/>
            <w:vAlign w:val="center"/>
            <w:hideMark/>
          </w:tcPr>
          <w:p w14:paraId="2807A334" w14:textId="77777777" w:rsidR="00CE3F83" w:rsidRPr="00CE3F83" w:rsidRDefault="00CE3F83" w:rsidP="00CE3F83">
            <w:pPr>
              <w:widowControl/>
              <w:jc w:val="left"/>
              <w:rPr>
                <w:rFonts w:ascii="Times New Roman" w:eastAsia="游ゴシック" w:hAnsi="Times New Roman" w:cs="Times New Roman"/>
                <w:kern w:val="0"/>
                <w:sz w:val="18"/>
                <w:szCs w:val="18"/>
              </w:rPr>
            </w:pPr>
            <w:r w:rsidRPr="00CE3F83">
              <w:rPr>
                <w:rFonts w:ascii="Times New Roman" w:eastAsia="游ゴシック" w:hAnsi="Times New Roman" w:cs="Times New Roman"/>
                <w:kern w:val="0"/>
                <w:sz w:val="18"/>
                <w:szCs w:val="18"/>
              </w:rPr>
              <w:t>Copper and aluminum have specific gravities of 8.96 and 2.71 g/cm</w:t>
            </w:r>
            <w:r w:rsidRPr="00CE3F83">
              <w:rPr>
                <w:rFonts w:ascii="Times New Roman" w:eastAsia="游ゴシック" w:hAnsi="Times New Roman" w:cs="Times New Roman"/>
                <w:kern w:val="0"/>
                <w:sz w:val="18"/>
                <w:szCs w:val="18"/>
                <w:vertAlign w:val="superscript"/>
              </w:rPr>
              <w:t>3</w:t>
            </w:r>
            <w:r w:rsidRPr="00CE3F83">
              <w:rPr>
                <w:rFonts w:ascii="Times New Roman" w:eastAsia="游ゴシック" w:hAnsi="Times New Roman" w:cs="Times New Roman"/>
                <w:kern w:val="0"/>
                <w:sz w:val="18"/>
                <w:szCs w:val="18"/>
              </w:rPr>
              <w:t>, respectively.</w:t>
            </w:r>
          </w:p>
        </w:tc>
      </w:tr>
      <w:tr w:rsidR="00CE3F83" w:rsidRPr="00CE3F83" w14:paraId="0826EBA2" w14:textId="77777777" w:rsidTr="00CE3F83">
        <w:trPr>
          <w:trHeight w:val="375"/>
          <w:jc w:val="center"/>
        </w:trPr>
        <w:tc>
          <w:tcPr>
            <w:tcW w:w="3402" w:type="dxa"/>
            <w:noWrap/>
            <w:vAlign w:val="center"/>
            <w:hideMark/>
          </w:tcPr>
          <w:p w14:paraId="2B8AFDD4"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Total conductor weight (Wtsc)</w:t>
            </w:r>
          </w:p>
        </w:tc>
        <w:tc>
          <w:tcPr>
            <w:tcW w:w="993" w:type="dxa"/>
            <w:noWrap/>
            <w:vAlign w:val="center"/>
            <w:hideMark/>
          </w:tcPr>
          <w:p w14:paraId="0E388263"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1.10E+09</w:t>
            </w:r>
          </w:p>
        </w:tc>
        <w:tc>
          <w:tcPr>
            <w:tcW w:w="1029" w:type="dxa"/>
            <w:noWrap/>
            <w:vAlign w:val="center"/>
            <w:hideMark/>
          </w:tcPr>
          <w:p w14:paraId="28EED7AC"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5.38E+08</w:t>
            </w:r>
          </w:p>
        </w:tc>
        <w:tc>
          <w:tcPr>
            <w:tcW w:w="813" w:type="dxa"/>
            <w:noWrap/>
            <w:vAlign w:val="center"/>
            <w:hideMark/>
          </w:tcPr>
          <w:p w14:paraId="6DD4B4CD"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tons</w:t>
            </w:r>
          </w:p>
        </w:tc>
        <w:tc>
          <w:tcPr>
            <w:tcW w:w="4395" w:type="dxa"/>
            <w:noWrap/>
            <w:vAlign w:val="center"/>
            <w:hideMark/>
          </w:tcPr>
          <w:p w14:paraId="14291C14"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Nsmc</w:t>
            </w:r>
            <w:r w:rsidRPr="00CE3F83">
              <w:rPr>
                <w:rFonts w:ascii="ＭＳ 明朝" w:eastAsia="ＭＳ 明朝" w:hAnsi="ＭＳ 明朝" w:cs="Times New Roman" w:hint="eastAsia"/>
                <w:color w:val="000000"/>
                <w:kern w:val="0"/>
                <w:sz w:val="18"/>
                <w:szCs w:val="18"/>
              </w:rPr>
              <w:t>･</w:t>
            </w:r>
            <w:r w:rsidRPr="00CE3F83">
              <w:rPr>
                <w:rFonts w:ascii="Times New Roman" w:eastAsia="游ゴシック" w:hAnsi="Times New Roman" w:cs="Times New Roman"/>
                <w:color w:val="000000"/>
                <w:kern w:val="0"/>
                <w:sz w:val="18"/>
                <w:szCs w:val="18"/>
              </w:rPr>
              <w:t>Wsmc</w:t>
            </w:r>
          </w:p>
        </w:tc>
      </w:tr>
      <w:tr w:rsidR="00CE3F83" w:rsidRPr="00CE3F83" w14:paraId="5F40435E" w14:textId="77777777" w:rsidTr="00CE3F83">
        <w:trPr>
          <w:trHeight w:val="375"/>
          <w:jc w:val="center"/>
        </w:trPr>
        <w:tc>
          <w:tcPr>
            <w:tcW w:w="3402" w:type="dxa"/>
            <w:noWrap/>
            <w:vAlign w:val="center"/>
            <w:hideMark/>
          </w:tcPr>
          <w:p w14:paraId="582A5A73" w14:textId="6034D419" w:rsidR="00CE3F83" w:rsidRPr="00CE3F83" w:rsidRDefault="00CE3F83" w:rsidP="00CE3F83">
            <w:pPr>
              <w:widowControl/>
              <w:jc w:val="right"/>
              <w:rPr>
                <w:rFonts w:ascii="Times New Roman" w:eastAsia="游ゴシック" w:hAnsi="Times New Roman" w:cs="Times New Roman"/>
                <w:kern w:val="0"/>
                <w:sz w:val="18"/>
                <w:szCs w:val="18"/>
              </w:rPr>
            </w:pPr>
            <w:r w:rsidRPr="00CE3F83">
              <w:rPr>
                <w:rFonts w:ascii="Times New Roman" w:eastAsia="游ゴシック" w:hAnsi="Times New Roman" w:cs="Times New Roman"/>
                <w:kern w:val="0"/>
                <w:sz w:val="18"/>
                <w:szCs w:val="18"/>
              </w:rPr>
              <w:t>Conductor reserves</w:t>
            </w:r>
            <w:r w:rsidR="00616815">
              <w:rPr>
                <w:rFonts w:ascii="Times New Roman" w:eastAsia="游ゴシック" w:hAnsi="Times New Roman" w:cs="Times New Roman" w:hint="eastAsia"/>
                <w:kern w:val="0"/>
                <w:sz w:val="18"/>
                <w:szCs w:val="18"/>
              </w:rPr>
              <w:t xml:space="preserve"> [15]</w:t>
            </w:r>
            <w:r w:rsidRPr="00CE3F83">
              <w:rPr>
                <w:rFonts w:ascii="Times New Roman" w:eastAsia="游ゴシック" w:hAnsi="Times New Roman" w:cs="Times New Roman"/>
                <w:kern w:val="0"/>
                <w:sz w:val="18"/>
                <w:szCs w:val="18"/>
              </w:rPr>
              <w:t xml:space="preserve"> (Rcdc)</w:t>
            </w:r>
          </w:p>
        </w:tc>
        <w:tc>
          <w:tcPr>
            <w:tcW w:w="993" w:type="dxa"/>
            <w:noWrap/>
            <w:vAlign w:val="center"/>
            <w:hideMark/>
          </w:tcPr>
          <w:p w14:paraId="6BDCDB3F"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5.60E+09</w:t>
            </w:r>
          </w:p>
        </w:tc>
        <w:tc>
          <w:tcPr>
            <w:tcW w:w="1029" w:type="dxa"/>
            <w:noWrap/>
            <w:vAlign w:val="center"/>
            <w:hideMark/>
          </w:tcPr>
          <w:p w14:paraId="12D3E831"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1.65E+10</w:t>
            </w:r>
          </w:p>
        </w:tc>
        <w:tc>
          <w:tcPr>
            <w:tcW w:w="813" w:type="dxa"/>
            <w:noWrap/>
            <w:vAlign w:val="center"/>
            <w:hideMark/>
          </w:tcPr>
          <w:p w14:paraId="667F4D48"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tons</w:t>
            </w:r>
          </w:p>
        </w:tc>
        <w:tc>
          <w:tcPr>
            <w:tcW w:w="4395" w:type="dxa"/>
            <w:noWrap/>
            <w:vAlign w:val="center"/>
            <w:hideMark/>
          </w:tcPr>
          <w:p w14:paraId="3CC4A6D0"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Estimated copper resources, including undiscovered.</w:t>
            </w:r>
          </w:p>
        </w:tc>
      </w:tr>
      <w:tr w:rsidR="00CE3F83" w:rsidRPr="00CE3F83" w14:paraId="42093C41" w14:textId="77777777" w:rsidTr="00CE3F83">
        <w:trPr>
          <w:trHeight w:val="390"/>
          <w:jc w:val="center"/>
        </w:trPr>
        <w:tc>
          <w:tcPr>
            <w:tcW w:w="3402" w:type="dxa"/>
            <w:noWrap/>
            <w:vAlign w:val="center"/>
            <w:hideMark/>
          </w:tcPr>
          <w:p w14:paraId="3F6543C4"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Total conductor weight/reserves (ξsrc)</w:t>
            </w:r>
          </w:p>
        </w:tc>
        <w:tc>
          <w:tcPr>
            <w:tcW w:w="993" w:type="dxa"/>
            <w:noWrap/>
            <w:vAlign w:val="center"/>
            <w:hideMark/>
          </w:tcPr>
          <w:p w14:paraId="2AE58F25"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19.6%</w:t>
            </w:r>
          </w:p>
        </w:tc>
        <w:tc>
          <w:tcPr>
            <w:tcW w:w="1029" w:type="dxa"/>
            <w:noWrap/>
            <w:vAlign w:val="center"/>
            <w:hideMark/>
          </w:tcPr>
          <w:p w14:paraId="43B14938" w14:textId="77777777" w:rsidR="00CE3F83" w:rsidRPr="00CE3F83" w:rsidRDefault="00CE3F83" w:rsidP="00CE3F83">
            <w:pPr>
              <w:widowControl/>
              <w:jc w:val="righ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3.3%</w:t>
            </w:r>
          </w:p>
        </w:tc>
        <w:tc>
          <w:tcPr>
            <w:tcW w:w="813" w:type="dxa"/>
            <w:noWrap/>
            <w:vAlign w:val="center"/>
            <w:hideMark/>
          </w:tcPr>
          <w:p w14:paraId="0352CDD4"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 xml:space="preserve">　</w:t>
            </w:r>
          </w:p>
        </w:tc>
        <w:tc>
          <w:tcPr>
            <w:tcW w:w="4395" w:type="dxa"/>
            <w:noWrap/>
            <w:vAlign w:val="center"/>
            <w:hideMark/>
          </w:tcPr>
          <w:p w14:paraId="1AAEE162" w14:textId="77777777" w:rsidR="00CE3F83" w:rsidRPr="00CE3F83" w:rsidRDefault="00CE3F83" w:rsidP="00CE3F83">
            <w:pPr>
              <w:widowControl/>
              <w:jc w:val="left"/>
              <w:rPr>
                <w:rFonts w:ascii="Times New Roman" w:eastAsia="游ゴシック" w:hAnsi="Times New Roman" w:cs="Times New Roman"/>
                <w:color w:val="000000"/>
                <w:kern w:val="0"/>
                <w:sz w:val="18"/>
                <w:szCs w:val="18"/>
              </w:rPr>
            </w:pPr>
            <w:r w:rsidRPr="00CE3F83">
              <w:rPr>
                <w:rFonts w:ascii="Times New Roman" w:eastAsia="游ゴシック" w:hAnsi="Times New Roman" w:cs="Times New Roman"/>
                <w:color w:val="000000"/>
                <w:kern w:val="0"/>
                <w:sz w:val="18"/>
                <w:szCs w:val="18"/>
              </w:rPr>
              <w:t>Aluminum is the best conductor for submarine cables.</w:t>
            </w:r>
          </w:p>
        </w:tc>
      </w:tr>
    </w:tbl>
    <w:p w14:paraId="0513B3EA" w14:textId="606E5FD0" w:rsidR="000D2331" w:rsidRPr="00787914" w:rsidRDefault="00DC44E6" w:rsidP="000D2331">
      <w:pPr>
        <w:widowControl/>
        <w:spacing w:line="480" w:lineRule="auto"/>
        <w:jc w:val="left"/>
        <w:rPr>
          <w:rFonts w:ascii="Times New Roman" w:eastAsia="Times New Roman" w:hAnsi="Times New Roman" w:cs="Times New Roman"/>
          <w:sz w:val="24"/>
        </w:rPr>
      </w:pPr>
      <w:r w:rsidRPr="008B1E3B">
        <w:rPr>
          <w:rFonts w:ascii="Times New Roman" w:eastAsia="游明朝" w:hAnsi="Times New Roman" w:cs="Times New Roman"/>
        </w:rPr>
        <w:t xml:space="preserve"> </w:t>
      </w:r>
      <w:r w:rsidR="000E0857" w:rsidRPr="008B1E3B">
        <w:rPr>
          <w:rFonts w:ascii="Times New Roman" w:eastAsia="游明朝" w:hAnsi="Times New Roman" w:cs="Times New Roman"/>
        </w:rPr>
        <w:br w:type="page"/>
      </w:r>
    </w:p>
    <w:p w14:paraId="11DFDFDE" w14:textId="77777777" w:rsidR="00A91F7D" w:rsidRPr="00A91F7D" w:rsidRDefault="00A91F7D" w:rsidP="00A91F7D">
      <w:pPr>
        <w:spacing w:before="120" w:after="120"/>
        <w:rPr>
          <w:rFonts w:ascii="Times New Roman" w:eastAsia="游明朝" w:hAnsi="Times New Roman" w:cs="Times New Roman"/>
          <w:sz w:val="24"/>
          <w:szCs w:val="28"/>
        </w:rPr>
      </w:pPr>
      <w:bookmarkStart w:id="35" w:name="_Hlk191064643"/>
      <w:bookmarkStart w:id="36" w:name="_Hlk177113944"/>
      <w:bookmarkEnd w:id="32"/>
      <w:r w:rsidRPr="00A91F7D">
        <w:rPr>
          <w:rFonts w:ascii="Times New Roman" w:eastAsia="Times New Roman" w:hAnsi="Times New Roman" w:cs="Times New Roman"/>
          <w:b/>
          <w:sz w:val="24"/>
        </w:rPr>
        <w:lastRenderedPageBreak/>
        <w:t xml:space="preserve">Supplementary Table </w:t>
      </w:r>
      <w:r w:rsidRPr="00A91F7D">
        <w:rPr>
          <w:rFonts w:ascii="Times New Roman" w:eastAsia="游明朝" w:hAnsi="Times New Roman" w:cs="Times New Roman"/>
          <w:b/>
          <w:sz w:val="24"/>
        </w:rPr>
        <w:t>S</w:t>
      </w:r>
      <w:bookmarkEnd w:id="35"/>
      <w:r w:rsidRPr="00A91F7D">
        <w:rPr>
          <w:rFonts w:ascii="Times New Roman" w:eastAsia="游明朝" w:hAnsi="Times New Roman" w:cs="Times New Roman"/>
          <w:b/>
          <w:sz w:val="24"/>
        </w:rPr>
        <w:t>6</w:t>
      </w:r>
      <w:r w:rsidRPr="00A91F7D">
        <w:rPr>
          <w:rFonts w:ascii="Times New Roman" w:eastAsia="Times New Roman" w:hAnsi="Times New Roman" w:cs="Times New Roman"/>
          <w:b/>
          <w:sz w:val="24"/>
        </w:rPr>
        <w:t>.</w:t>
      </w:r>
      <w:r w:rsidRPr="00A91F7D">
        <w:rPr>
          <w:rFonts w:ascii="Times New Roman" w:eastAsia="Times New Roman" w:hAnsi="Times New Roman" w:cs="Times New Roman"/>
          <w:b/>
          <w:bCs/>
          <w:sz w:val="24"/>
        </w:rPr>
        <w:t xml:space="preserve"> Resources for LNH</w:t>
      </w:r>
      <w:r w:rsidRPr="00A91F7D">
        <w:rPr>
          <w:rFonts w:ascii="Times New Roman" w:eastAsia="Times New Roman" w:hAnsi="Times New Roman" w:cs="Times New Roman"/>
          <w:b/>
          <w:bCs/>
          <w:sz w:val="24"/>
          <w:vertAlign w:val="subscript"/>
        </w:rPr>
        <w:t>3</w:t>
      </w:r>
      <w:r w:rsidRPr="00A91F7D">
        <w:rPr>
          <w:rFonts w:ascii="Times New Roman" w:eastAsia="Times New Roman" w:hAnsi="Times New Roman" w:cs="Times New Roman"/>
          <w:b/>
          <w:bCs/>
          <w:sz w:val="24"/>
        </w:rPr>
        <w:t xml:space="preserve"> pipelines and HVDC grids in intra-continental energy transport</w:t>
      </w:r>
      <w:r w:rsidRPr="00A91F7D">
        <w:rPr>
          <w:rFonts w:ascii="Times New Roman" w:eastAsia="游明朝" w:hAnsi="Times New Roman" w:cs="Times New Roman"/>
          <w:b/>
          <w:bCs/>
          <w:sz w:val="24"/>
        </w:rPr>
        <w:t>.</w:t>
      </w:r>
      <w:r w:rsidRPr="00A91F7D">
        <w:rPr>
          <w:rFonts w:ascii="Times New Roman" w:eastAsia="游明朝" w:hAnsi="Times New Roman" w:cs="Times New Roman"/>
          <w:sz w:val="24"/>
        </w:rPr>
        <w:t xml:space="preserve"> Energy consumption peaks at high latitudes during winter. A system capable of efficiently transporting energy from equatorial waters to high latitudes with minimal losses and without depleting construction resources is critical.</w:t>
      </w:r>
      <w:r w:rsidRPr="00A91F7D">
        <w:rPr>
          <w:rFonts w:ascii="Times New Roman" w:eastAsia="游明朝" w:hAnsi="Times New Roman" w:cs="Times New Roman"/>
          <w:sz w:val="32"/>
          <w:szCs w:val="28"/>
        </w:rPr>
        <w:t xml:space="preserve"> </w:t>
      </w:r>
      <w:r w:rsidRPr="00A91F7D">
        <w:rPr>
          <w:rFonts w:ascii="Times New Roman" w:eastAsia="游明朝" w:hAnsi="Times New Roman" w:cs="Times New Roman"/>
          <w:sz w:val="24"/>
          <w:szCs w:val="28"/>
        </w:rPr>
        <w:t>This table shows the estimated utilization rates of major mineral resources in the HVDC and LNH</w:t>
      </w:r>
      <w:r w:rsidRPr="00A91F7D">
        <w:rPr>
          <w:rFonts w:ascii="Times New Roman" w:eastAsia="游明朝" w:hAnsi="Times New Roman" w:cs="Times New Roman"/>
          <w:sz w:val="24"/>
          <w:szCs w:val="28"/>
          <w:vertAlign w:val="subscript"/>
        </w:rPr>
        <w:t>3</w:t>
      </w:r>
      <w:r w:rsidRPr="00A91F7D">
        <w:rPr>
          <w:rFonts w:ascii="Times New Roman" w:eastAsia="游明朝" w:hAnsi="Times New Roman" w:cs="Times New Roman"/>
          <w:sz w:val="24"/>
          <w:szCs w:val="28"/>
        </w:rPr>
        <w:t xml:space="preserve"> transportation networks under the CFE2100 scenario. The energy transported through both networks is calculated based on the transport capacity of the LNH</w:t>
      </w:r>
      <w:r w:rsidRPr="00A91F7D">
        <w:rPr>
          <w:rFonts w:ascii="Times New Roman" w:eastAsia="游明朝" w:hAnsi="Times New Roman" w:cs="Times New Roman"/>
          <w:sz w:val="24"/>
          <w:szCs w:val="28"/>
          <w:vertAlign w:val="subscript"/>
        </w:rPr>
        <w:t>3</w:t>
      </w:r>
      <w:r w:rsidRPr="00A91F7D">
        <w:rPr>
          <w:rFonts w:ascii="Times New Roman" w:eastAsia="游明朝" w:hAnsi="Times New Roman" w:cs="Times New Roman"/>
          <w:sz w:val="24"/>
          <w:szCs w:val="28"/>
        </w:rPr>
        <w:t xml:space="preserve"> pipeline. Even when a battery is used to smooth the current before transmission in the intercontinental power grid, aluminum accounts for approximately 56% of the total reserves. Iron is the most abundant metal with the lowest energy loss during LNH</w:t>
      </w:r>
      <w:r w:rsidRPr="00A91F7D">
        <w:rPr>
          <w:rFonts w:ascii="Times New Roman" w:eastAsia="游明朝" w:hAnsi="Times New Roman" w:cs="Times New Roman"/>
          <w:sz w:val="24"/>
          <w:szCs w:val="28"/>
          <w:vertAlign w:val="subscript"/>
        </w:rPr>
        <w:t>3</w:t>
      </w:r>
      <w:r w:rsidRPr="00A91F7D">
        <w:rPr>
          <w:rFonts w:ascii="Times New Roman" w:eastAsia="游明朝" w:hAnsi="Times New Roman" w:cs="Times New Roman"/>
          <w:sz w:val="24"/>
          <w:szCs w:val="28"/>
        </w:rPr>
        <w:t xml:space="preserve"> transport. It accounts for approximately 4% of the total reserves. The primary challenge in HVDC grid is the inability to store electrical energy cheaply and in large quantities (for 4–6 months) and the power grid's inertia loss.</w:t>
      </w:r>
    </w:p>
    <w:tbl>
      <w:tblPr>
        <w:tblW w:w="10490" w:type="dxa"/>
        <w:jc w:val="center"/>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3700"/>
        <w:gridCol w:w="1280"/>
        <w:gridCol w:w="1214"/>
        <w:gridCol w:w="944"/>
        <w:gridCol w:w="3352"/>
      </w:tblGrid>
      <w:tr w:rsidR="005A593C" w:rsidRPr="005A593C" w14:paraId="1DCDD03E" w14:textId="77777777" w:rsidTr="009A2C59">
        <w:trPr>
          <w:trHeight w:val="945"/>
          <w:jc w:val="center"/>
        </w:trPr>
        <w:tc>
          <w:tcPr>
            <w:tcW w:w="3700" w:type="dxa"/>
            <w:tcBorders>
              <w:top w:val="single" w:sz="8" w:space="0" w:color="auto"/>
              <w:bottom w:val="single" w:sz="4" w:space="0" w:color="auto"/>
            </w:tcBorders>
            <w:noWrap/>
            <w:vAlign w:val="center"/>
            <w:hideMark/>
          </w:tcPr>
          <w:p w14:paraId="26785C46" w14:textId="77777777" w:rsidR="005A593C" w:rsidRPr="005A593C" w:rsidRDefault="005A593C" w:rsidP="005A593C">
            <w:pPr>
              <w:widowControl/>
              <w:jc w:val="center"/>
              <w:rPr>
                <w:rFonts w:ascii="Times New Roman" w:eastAsia="游ゴシック" w:hAnsi="Times New Roman" w:cs="Times New Roman"/>
                <w:b/>
                <w:bCs/>
                <w:color w:val="000000"/>
                <w:kern w:val="0"/>
                <w:sz w:val="22"/>
              </w:rPr>
            </w:pPr>
            <w:bookmarkStart w:id="37" w:name="_Hlk208845556"/>
            <w:r w:rsidRPr="005A593C">
              <w:rPr>
                <w:rFonts w:ascii="Times New Roman" w:eastAsia="游ゴシック" w:hAnsi="Times New Roman" w:cs="Times New Roman"/>
                <w:b/>
                <w:bCs/>
                <w:color w:val="000000"/>
                <w:kern w:val="0"/>
                <w:sz w:val="22"/>
              </w:rPr>
              <w:t>Item</w:t>
            </w:r>
          </w:p>
        </w:tc>
        <w:tc>
          <w:tcPr>
            <w:tcW w:w="1280" w:type="dxa"/>
            <w:tcBorders>
              <w:top w:val="single" w:sz="8" w:space="0" w:color="auto"/>
              <w:bottom w:val="single" w:sz="4" w:space="0" w:color="auto"/>
            </w:tcBorders>
            <w:noWrap/>
            <w:vAlign w:val="center"/>
            <w:hideMark/>
          </w:tcPr>
          <w:p w14:paraId="7278AD8A" w14:textId="77777777" w:rsidR="005A593C" w:rsidRPr="005A593C" w:rsidRDefault="005A593C" w:rsidP="005A593C">
            <w:pPr>
              <w:widowControl/>
              <w:jc w:val="center"/>
              <w:rPr>
                <w:rFonts w:ascii="Times New Roman" w:eastAsia="游ゴシック" w:hAnsi="Times New Roman" w:cs="Times New Roman"/>
                <w:b/>
                <w:bCs/>
                <w:color w:val="000000"/>
                <w:kern w:val="0"/>
                <w:sz w:val="22"/>
              </w:rPr>
            </w:pPr>
            <w:r w:rsidRPr="005A593C">
              <w:rPr>
                <w:rFonts w:ascii="Times New Roman" w:eastAsia="游ゴシック" w:hAnsi="Times New Roman" w:cs="Times New Roman"/>
                <w:b/>
                <w:bCs/>
                <w:color w:val="000000"/>
                <w:kern w:val="0"/>
                <w:sz w:val="22"/>
              </w:rPr>
              <w:t>HVDC grid</w:t>
            </w:r>
          </w:p>
        </w:tc>
        <w:tc>
          <w:tcPr>
            <w:tcW w:w="1214" w:type="dxa"/>
            <w:tcBorders>
              <w:top w:val="single" w:sz="8" w:space="0" w:color="auto"/>
              <w:bottom w:val="single" w:sz="4" w:space="0" w:color="auto"/>
            </w:tcBorders>
            <w:vAlign w:val="center"/>
            <w:hideMark/>
          </w:tcPr>
          <w:p w14:paraId="1AA670BF" w14:textId="77777777" w:rsidR="005A593C" w:rsidRPr="005A593C" w:rsidRDefault="005A593C" w:rsidP="005A593C">
            <w:pPr>
              <w:widowControl/>
              <w:jc w:val="center"/>
              <w:rPr>
                <w:rFonts w:ascii="Times New Roman" w:eastAsia="游ゴシック" w:hAnsi="Times New Roman" w:cs="Times New Roman"/>
                <w:b/>
                <w:bCs/>
                <w:color w:val="000000"/>
                <w:kern w:val="0"/>
                <w:sz w:val="22"/>
              </w:rPr>
            </w:pPr>
            <w:r w:rsidRPr="005A593C">
              <w:rPr>
                <w:rFonts w:ascii="Times New Roman" w:eastAsia="游ゴシック" w:hAnsi="Times New Roman" w:cs="Times New Roman"/>
                <w:b/>
                <w:bCs/>
                <w:color w:val="000000"/>
                <w:kern w:val="0"/>
                <w:sz w:val="22"/>
              </w:rPr>
              <w:t>LNH</w:t>
            </w:r>
            <w:r w:rsidRPr="005A593C">
              <w:rPr>
                <w:rFonts w:ascii="Times New Roman" w:eastAsia="游ゴシック" w:hAnsi="Times New Roman" w:cs="Times New Roman"/>
                <w:b/>
                <w:bCs/>
                <w:color w:val="000000"/>
                <w:kern w:val="0"/>
                <w:sz w:val="22"/>
                <w:vertAlign w:val="subscript"/>
              </w:rPr>
              <w:t>3</w:t>
            </w:r>
            <w:r w:rsidRPr="005A593C">
              <w:rPr>
                <w:rFonts w:ascii="Times New Roman" w:eastAsia="游ゴシック" w:hAnsi="Times New Roman" w:cs="Times New Roman"/>
                <w:b/>
                <w:bCs/>
                <w:color w:val="000000"/>
                <w:kern w:val="0"/>
                <w:sz w:val="22"/>
              </w:rPr>
              <w:t xml:space="preserve"> pipeline network</w:t>
            </w:r>
          </w:p>
        </w:tc>
        <w:tc>
          <w:tcPr>
            <w:tcW w:w="944" w:type="dxa"/>
            <w:tcBorders>
              <w:top w:val="single" w:sz="8" w:space="0" w:color="auto"/>
              <w:bottom w:val="single" w:sz="4" w:space="0" w:color="auto"/>
            </w:tcBorders>
            <w:noWrap/>
            <w:vAlign w:val="center"/>
            <w:hideMark/>
          </w:tcPr>
          <w:p w14:paraId="7E4016F1" w14:textId="77777777" w:rsidR="005A593C" w:rsidRPr="005A593C" w:rsidRDefault="005A593C" w:rsidP="005A593C">
            <w:pPr>
              <w:widowControl/>
              <w:jc w:val="center"/>
              <w:rPr>
                <w:rFonts w:ascii="Times New Roman" w:eastAsia="游ゴシック" w:hAnsi="Times New Roman" w:cs="Times New Roman"/>
                <w:b/>
                <w:bCs/>
                <w:color w:val="000000"/>
                <w:kern w:val="0"/>
                <w:sz w:val="22"/>
              </w:rPr>
            </w:pPr>
            <w:r w:rsidRPr="005A593C">
              <w:rPr>
                <w:rFonts w:ascii="Times New Roman" w:eastAsia="游ゴシック" w:hAnsi="Times New Roman" w:cs="Times New Roman"/>
                <w:b/>
                <w:bCs/>
                <w:color w:val="000000"/>
                <w:kern w:val="0"/>
                <w:sz w:val="22"/>
              </w:rPr>
              <w:t>Unit</w:t>
            </w:r>
          </w:p>
        </w:tc>
        <w:tc>
          <w:tcPr>
            <w:tcW w:w="3352" w:type="dxa"/>
            <w:tcBorders>
              <w:top w:val="single" w:sz="8" w:space="0" w:color="auto"/>
              <w:bottom w:val="single" w:sz="4" w:space="0" w:color="auto"/>
            </w:tcBorders>
            <w:noWrap/>
            <w:vAlign w:val="center"/>
            <w:hideMark/>
          </w:tcPr>
          <w:p w14:paraId="7BBD074B" w14:textId="77777777" w:rsidR="005A593C" w:rsidRPr="005A593C" w:rsidRDefault="005A593C" w:rsidP="005A593C">
            <w:pPr>
              <w:widowControl/>
              <w:jc w:val="center"/>
              <w:rPr>
                <w:rFonts w:ascii="Times New Roman" w:eastAsia="游ゴシック" w:hAnsi="Times New Roman" w:cs="Times New Roman"/>
                <w:b/>
                <w:bCs/>
                <w:color w:val="000000"/>
                <w:kern w:val="0"/>
                <w:sz w:val="22"/>
              </w:rPr>
            </w:pPr>
            <w:r w:rsidRPr="005A593C">
              <w:rPr>
                <w:rFonts w:ascii="Times New Roman" w:eastAsia="游ゴシック" w:hAnsi="Times New Roman" w:cs="Times New Roman"/>
                <w:b/>
                <w:bCs/>
                <w:color w:val="000000"/>
                <w:kern w:val="0"/>
                <w:sz w:val="22"/>
              </w:rPr>
              <w:t>Remarks</w:t>
            </w:r>
          </w:p>
        </w:tc>
      </w:tr>
      <w:tr w:rsidR="005A593C" w:rsidRPr="005A593C" w14:paraId="5EF4FEDA" w14:textId="77777777" w:rsidTr="009A2C59">
        <w:trPr>
          <w:trHeight w:val="390"/>
          <w:jc w:val="center"/>
        </w:trPr>
        <w:tc>
          <w:tcPr>
            <w:tcW w:w="3700" w:type="dxa"/>
            <w:tcBorders>
              <w:top w:val="single" w:sz="4" w:space="0" w:color="auto"/>
            </w:tcBorders>
            <w:noWrap/>
            <w:vAlign w:val="center"/>
            <w:hideMark/>
          </w:tcPr>
          <w:p w14:paraId="7BBAA812"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Average west–east spacing (Swe)</w:t>
            </w:r>
          </w:p>
        </w:tc>
        <w:tc>
          <w:tcPr>
            <w:tcW w:w="1280" w:type="dxa"/>
            <w:tcBorders>
              <w:top w:val="single" w:sz="4" w:space="0" w:color="auto"/>
            </w:tcBorders>
            <w:noWrap/>
            <w:vAlign w:val="center"/>
            <w:hideMark/>
          </w:tcPr>
          <w:p w14:paraId="42CEBAAB"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11.3 </w:t>
            </w:r>
          </w:p>
        </w:tc>
        <w:tc>
          <w:tcPr>
            <w:tcW w:w="1214" w:type="dxa"/>
            <w:tcBorders>
              <w:top w:val="single" w:sz="4" w:space="0" w:color="auto"/>
            </w:tcBorders>
            <w:noWrap/>
            <w:vAlign w:val="center"/>
            <w:hideMark/>
          </w:tcPr>
          <w:p w14:paraId="0FDBFCFA"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11.3 </w:t>
            </w:r>
          </w:p>
        </w:tc>
        <w:tc>
          <w:tcPr>
            <w:tcW w:w="944" w:type="dxa"/>
            <w:tcBorders>
              <w:top w:val="single" w:sz="4" w:space="0" w:color="auto"/>
            </w:tcBorders>
            <w:noWrap/>
            <w:vAlign w:val="center"/>
            <w:hideMark/>
          </w:tcPr>
          <w:p w14:paraId="0584C7E8"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km</w:t>
            </w:r>
          </w:p>
        </w:tc>
        <w:tc>
          <w:tcPr>
            <w:tcW w:w="3352" w:type="dxa"/>
            <w:tcBorders>
              <w:top w:val="single" w:sz="4" w:space="0" w:color="auto"/>
            </w:tcBorders>
            <w:noWrap/>
            <w:vAlign w:val="center"/>
            <w:hideMark/>
          </w:tcPr>
          <w:p w14:paraId="51F5D4E4"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Lew/Npp</w:t>
            </w:r>
          </w:p>
        </w:tc>
      </w:tr>
      <w:tr w:rsidR="005A593C" w:rsidRPr="005A593C" w14:paraId="589D1D1E" w14:textId="77777777" w:rsidTr="005A593C">
        <w:trPr>
          <w:trHeight w:val="390"/>
          <w:jc w:val="center"/>
        </w:trPr>
        <w:tc>
          <w:tcPr>
            <w:tcW w:w="3700" w:type="dxa"/>
            <w:noWrap/>
            <w:vAlign w:val="center"/>
            <w:hideMark/>
          </w:tcPr>
          <w:p w14:paraId="77E1CABB"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Average latitudinal spacing (Sns)</w:t>
            </w:r>
          </w:p>
        </w:tc>
        <w:tc>
          <w:tcPr>
            <w:tcW w:w="1280" w:type="dxa"/>
            <w:noWrap/>
            <w:vAlign w:val="center"/>
            <w:hideMark/>
          </w:tcPr>
          <w:p w14:paraId="2C2B6A76"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300 </w:t>
            </w:r>
          </w:p>
        </w:tc>
        <w:tc>
          <w:tcPr>
            <w:tcW w:w="1214" w:type="dxa"/>
            <w:noWrap/>
            <w:vAlign w:val="center"/>
            <w:hideMark/>
          </w:tcPr>
          <w:p w14:paraId="189FF488"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300 </w:t>
            </w:r>
          </w:p>
        </w:tc>
        <w:tc>
          <w:tcPr>
            <w:tcW w:w="944" w:type="dxa"/>
            <w:noWrap/>
            <w:vAlign w:val="center"/>
            <w:hideMark/>
          </w:tcPr>
          <w:p w14:paraId="4B74B9B5"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km</w:t>
            </w:r>
          </w:p>
        </w:tc>
        <w:tc>
          <w:tcPr>
            <w:tcW w:w="3352" w:type="dxa"/>
            <w:noWrap/>
            <w:vAlign w:val="center"/>
            <w:hideMark/>
          </w:tcPr>
          <w:p w14:paraId="5805265A"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Standard unit length of pipeline transport.</w:t>
            </w:r>
          </w:p>
        </w:tc>
      </w:tr>
      <w:tr w:rsidR="005A593C" w:rsidRPr="005A593C" w14:paraId="0F019A56" w14:textId="77777777" w:rsidTr="005A593C">
        <w:trPr>
          <w:trHeight w:val="390"/>
          <w:jc w:val="center"/>
        </w:trPr>
        <w:tc>
          <w:tcPr>
            <w:tcW w:w="3700" w:type="dxa"/>
            <w:noWrap/>
            <w:vAlign w:val="center"/>
            <w:hideMark/>
          </w:tcPr>
          <w:p w14:paraId="1E72DA3F"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Total energy transport length (Ltt)</w:t>
            </w:r>
          </w:p>
        </w:tc>
        <w:tc>
          <w:tcPr>
            <w:tcW w:w="1280" w:type="dxa"/>
            <w:noWrap/>
            <w:vAlign w:val="center"/>
            <w:hideMark/>
          </w:tcPr>
          <w:p w14:paraId="372B6E44"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1.17E+07</w:t>
            </w:r>
          </w:p>
        </w:tc>
        <w:tc>
          <w:tcPr>
            <w:tcW w:w="1214" w:type="dxa"/>
            <w:noWrap/>
            <w:vAlign w:val="center"/>
            <w:hideMark/>
          </w:tcPr>
          <w:p w14:paraId="1831F634"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1.17E+07</w:t>
            </w:r>
          </w:p>
        </w:tc>
        <w:tc>
          <w:tcPr>
            <w:tcW w:w="944" w:type="dxa"/>
            <w:noWrap/>
            <w:vAlign w:val="center"/>
            <w:hideMark/>
          </w:tcPr>
          <w:p w14:paraId="4FBEF804"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km</w:t>
            </w:r>
          </w:p>
        </w:tc>
        <w:tc>
          <w:tcPr>
            <w:tcW w:w="3352" w:type="dxa"/>
            <w:noWrap/>
            <w:vAlign w:val="center"/>
            <w:hideMark/>
          </w:tcPr>
          <w:p w14:paraId="6C3D8419"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Lew/Swe</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Lns+Lns/Sns</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Lew</w:t>
            </w:r>
          </w:p>
        </w:tc>
      </w:tr>
      <w:tr w:rsidR="005A593C" w:rsidRPr="005A593C" w14:paraId="4C646CC1" w14:textId="77777777" w:rsidTr="005A593C">
        <w:trPr>
          <w:trHeight w:val="375"/>
          <w:jc w:val="center"/>
        </w:trPr>
        <w:tc>
          <w:tcPr>
            <w:tcW w:w="3700" w:type="dxa"/>
            <w:noWrap/>
            <w:vAlign w:val="center"/>
            <w:hideMark/>
          </w:tcPr>
          <w:p w14:paraId="4B8A9468"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Transmission voltage (Vtx)</w:t>
            </w:r>
          </w:p>
        </w:tc>
        <w:tc>
          <w:tcPr>
            <w:tcW w:w="1280" w:type="dxa"/>
            <w:noWrap/>
            <w:vAlign w:val="center"/>
            <w:hideMark/>
          </w:tcPr>
          <w:p w14:paraId="1E6C3858"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500 </w:t>
            </w:r>
          </w:p>
        </w:tc>
        <w:tc>
          <w:tcPr>
            <w:tcW w:w="1214" w:type="dxa"/>
            <w:noWrap/>
            <w:vAlign w:val="center"/>
            <w:hideMark/>
          </w:tcPr>
          <w:p w14:paraId="38BA4449" w14:textId="77777777" w:rsidR="005A593C" w:rsidRPr="005A593C" w:rsidRDefault="005A593C" w:rsidP="005A593C">
            <w:pPr>
              <w:widowControl/>
              <w:jc w:val="center"/>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w:t>
            </w:r>
          </w:p>
        </w:tc>
        <w:tc>
          <w:tcPr>
            <w:tcW w:w="944" w:type="dxa"/>
            <w:noWrap/>
            <w:vAlign w:val="center"/>
            <w:hideMark/>
          </w:tcPr>
          <w:p w14:paraId="5CDA86D3"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kV</w:t>
            </w:r>
          </w:p>
        </w:tc>
        <w:tc>
          <w:tcPr>
            <w:tcW w:w="3352" w:type="dxa"/>
            <w:noWrap/>
            <w:vAlign w:val="center"/>
            <w:hideMark/>
          </w:tcPr>
          <w:p w14:paraId="4673327B"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TES efficiency = 90%, see </w:t>
            </w:r>
            <w:r w:rsidRPr="005A593C">
              <w:rPr>
                <w:rFonts w:ascii="Times New Roman" w:eastAsia="游ゴシック" w:hAnsi="Times New Roman" w:cs="Times New Roman"/>
                <w:b/>
                <w:bCs/>
                <w:color w:val="000000"/>
                <w:kern w:val="0"/>
                <w:sz w:val="22"/>
              </w:rPr>
              <w:t>Supplementaryy Table S11</w:t>
            </w:r>
            <w:r w:rsidRPr="005A593C">
              <w:rPr>
                <w:rFonts w:ascii="Times New Roman" w:eastAsia="游ゴシック" w:hAnsi="Times New Roman" w:cs="Times New Roman"/>
                <w:color w:val="000000"/>
                <w:kern w:val="0"/>
                <w:sz w:val="22"/>
              </w:rPr>
              <w:t>.</w:t>
            </w:r>
          </w:p>
        </w:tc>
      </w:tr>
      <w:tr w:rsidR="005A593C" w:rsidRPr="005A593C" w14:paraId="01150B2F" w14:textId="77777777" w:rsidTr="005A593C">
        <w:trPr>
          <w:trHeight w:val="405"/>
          <w:jc w:val="center"/>
        </w:trPr>
        <w:tc>
          <w:tcPr>
            <w:tcW w:w="3700" w:type="dxa"/>
            <w:noWrap/>
            <w:vAlign w:val="center"/>
            <w:hideMark/>
          </w:tcPr>
          <w:p w14:paraId="43ACFA4F"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Average transmission current (Itx)</w:t>
            </w:r>
          </w:p>
        </w:tc>
        <w:tc>
          <w:tcPr>
            <w:tcW w:w="1280" w:type="dxa"/>
            <w:noWrap/>
            <w:vAlign w:val="center"/>
            <w:hideMark/>
          </w:tcPr>
          <w:p w14:paraId="5E0B8C81"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31.2 </w:t>
            </w:r>
          </w:p>
        </w:tc>
        <w:tc>
          <w:tcPr>
            <w:tcW w:w="1214" w:type="dxa"/>
            <w:noWrap/>
            <w:vAlign w:val="center"/>
            <w:hideMark/>
          </w:tcPr>
          <w:p w14:paraId="7C1A089A" w14:textId="77777777" w:rsidR="005A593C" w:rsidRPr="005A593C" w:rsidRDefault="005A593C" w:rsidP="005A593C">
            <w:pPr>
              <w:widowControl/>
              <w:jc w:val="center"/>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w:t>
            </w:r>
          </w:p>
        </w:tc>
        <w:tc>
          <w:tcPr>
            <w:tcW w:w="944" w:type="dxa"/>
            <w:noWrap/>
            <w:vAlign w:val="center"/>
            <w:hideMark/>
          </w:tcPr>
          <w:p w14:paraId="0DC8F0B0"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kA</w:t>
            </w:r>
          </w:p>
        </w:tc>
        <w:tc>
          <w:tcPr>
            <w:tcW w:w="3352" w:type="dxa"/>
            <w:noWrap/>
            <w:vAlign w:val="center"/>
            <w:hideMark/>
          </w:tcPr>
          <w:p w14:paraId="70C64369"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Vtx</w:t>
            </w:r>
            <w:r w:rsidRPr="005A593C">
              <w:rPr>
                <w:rFonts w:ascii="游ゴシック" w:eastAsia="游ゴシック" w:hAnsi="游ゴシック" w:cs="Times New Roman" w:hint="eastAsia"/>
                <w:color w:val="000000"/>
                <w:kern w:val="0"/>
                <w:sz w:val="22"/>
              </w:rPr>
              <w:t>･</w:t>
            </w:r>
            <w:r w:rsidRPr="005A593C">
              <w:rPr>
                <w:rFonts w:ascii="Times New Roman" w:eastAsia="游ゴシック" w:hAnsi="Times New Roman" w:cs="Times New Roman"/>
                <w:color w:val="000000"/>
                <w:kern w:val="0"/>
                <w:sz w:val="22"/>
              </w:rPr>
              <w:t>Itx</w:t>
            </w:r>
            <w:r w:rsidRPr="005A593C">
              <w:rPr>
                <w:rFonts w:ascii="游ゴシック" w:eastAsia="游ゴシック" w:hAnsi="游ゴシック" w:cs="Times New Roman" w:hint="eastAsia"/>
                <w:color w:val="000000"/>
                <w:kern w:val="0"/>
                <w:sz w:val="22"/>
              </w:rPr>
              <w:t>･</w:t>
            </w:r>
            <w:r w:rsidRPr="005A593C">
              <w:rPr>
                <w:rFonts w:ascii="Times New Roman" w:eastAsia="游ゴシック" w:hAnsi="Times New Roman" w:cs="Times New Roman"/>
                <w:color w:val="000000"/>
                <w:kern w:val="0"/>
                <w:sz w:val="22"/>
              </w:rPr>
              <w:t>Npv</w:t>
            </w:r>
            <w:r w:rsidRPr="005A593C">
              <w:rPr>
                <w:rFonts w:ascii="游ゴシック" w:eastAsia="游ゴシック" w:hAnsi="游ゴシック" w:cs="Times New Roman" w:hint="eastAsia"/>
                <w:color w:val="000000"/>
                <w:kern w:val="0"/>
                <w:sz w:val="22"/>
              </w:rPr>
              <w:t>･</w:t>
            </w:r>
            <w:r w:rsidRPr="005A593C">
              <w:rPr>
                <w:rFonts w:ascii="Times New Roman" w:eastAsia="游ゴシック" w:hAnsi="Times New Roman" w:cs="Times New Roman"/>
                <w:color w:val="000000"/>
                <w:kern w:val="0"/>
                <w:sz w:val="22"/>
              </w:rPr>
              <w:t>Etes</w:t>
            </w:r>
            <w:r w:rsidRPr="005A593C">
              <w:rPr>
                <w:rFonts w:ascii="游ゴシック" w:eastAsia="游ゴシック" w:hAnsi="游ゴシック" w:cs="Times New Roman" w:hint="eastAsia"/>
                <w:color w:val="000000"/>
                <w:kern w:val="0"/>
                <w:sz w:val="22"/>
              </w:rPr>
              <w:t>･</w:t>
            </w:r>
            <w:r w:rsidRPr="005A593C">
              <w:rPr>
                <w:rFonts w:ascii="Times New Roman" w:eastAsia="游ゴシック" w:hAnsi="Times New Roman" w:cs="Times New Roman"/>
                <w:color w:val="000000"/>
                <w:kern w:val="0"/>
                <w:sz w:val="22"/>
              </w:rPr>
              <w:t>(hours/year) = 137 TWh/year</w:t>
            </w:r>
          </w:p>
        </w:tc>
      </w:tr>
      <w:tr w:rsidR="005A593C" w:rsidRPr="005A593C" w14:paraId="6879A6DF" w14:textId="77777777" w:rsidTr="005A593C">
        <w:trPr>
          <w:trHeight w:val="405"/>
          <w:jc w:val="center"/>
        </w:trPr>
        <w:tc>
          <w:tcPr>
            <w:tcW w:w="3700" w:type="dxa"/>
            <w:noWrap/>
            <w:vAlign w:val="center"/>
            <w:hideMark/>
          </w:tcPr>
          <w:p w14:paraId="1F5ABD41"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LNH</w:t>
            </w:r>
            <w:r w:rsidRPr="005A593C">
              <w:rPr>
                <w:rFonts w:ascii="Times New Roman" w:eastAsia="游ゴシック" w:hAnsi="Times New Roman" w:cs="Times New Roman"/>
                <w:color w:val="000000"/>
                <w:kern w:val="0"/>
                <w:sz w:val="22"/>
                <w:vertAlign w:val="subscript"/>
              </w:rPr>
              <w:t>3</w:t>
            </w:r>
            <w:r w:rsidRPr="005A593C">
              <w:rPr>
                <w:rFonts w:ascii="Times New Roman" w:eastAsia="游ゴシック" w:hAnsi="Times New Roman" w:cs="Times New Roman"/>
                <w:color w:val="000000"/>
                <w:kern w:val="0"/>
                <w:sz w:val="22"/>
              </w:rPr>
              <w:t xml:space="preserve"> flow rate (Qw)</w:t>
            </w:r>
          </w:p>
        </w:tc>
        <w:tc>
          <w:tcPr>
            <w:tcW w:w="1280" w:type="dxa"/>
            <w:noWrap/>
            <w:vAlign w:val="center"/>
            <w:hideMark/>
          </w:tcPr>
          <w:p w14:paraId="771B1C69" w14:textId="77777777" w:rsidR="005A593C" w:rsidRPr="005A593C" w:rsidRDefault="005A593C" w:rsidP="005A593C">
            <w:pPr>
              <w:widowControl/>
              <w:jc w:val="center"/>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w:t>
            </w:r>
          </w:p>
        </w:tc>
        <w:tc>
          <w:tcPr>
            <w:tcW w:w="1214" w:type="dxa"/>
            <w:noWrap/>
            <w:vAlign w:val="center"/>
            <w:hideMark/>
          </w:tcPr>
          <w:p w14:paraId="661DDD85"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47,836 </w:t>
            </w:r>
          </w:p>
        </w:tc>
        <w:tc>
          <w:tcPr>
            <w:tcW w:w="944" w:type="dxa"/>
            <w:noWrap/>
            <w:vAlign w:val="center"/>
            <w:hideMark/>
          </w:tcPr>
          <w:p w14:paraId="22C812CE"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tons/day</w:t>
            </w:r>
          </w:p>
        </w:tc>
        <w:tc>
          <w:tcPr>
            <w:tcW w:w="3352" w:type="dxa"/>
            <w:noWrap/>
            <w:vAlign w:val="center"/>
            <w:hideMark/>
          </w:tcPr>
          <w:p w14:paraId="70863A5B"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Qw</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ED</w:t>
            </w:r>
            <w:r w:rsidRPr="005A593C">
              <w:rPr>
                <w:rFonts w:ascii="Times New Roman" w:eastAsia="游ゴシック" w:hAnsi="Times New Roman" w:cs="Times New Roman"/>
                <w:color w:val="000000"/>
                <w:kern w:val="0"/>
                <w:sz w:val="20"/>
                <w:szCs w:val="20"/>
                <w:vertAlign w:val="subscript"/>
              </w:rPr>
              <w:t>NH3</w:t>
            </w:r>
            <w:r w:rsidRPr="005A593C">
              <w:rPr>
                <w:rFonts w:ascii="Times New Roman" w:eastAsia="游ゴシック" w:hAnsi="Times New Roman" w:cs="Times New Roman"/>
                <w:color w:val="000000"/>
                <w:kern w:val="0"/>
                <w:sz w:val="20"/>
                <w:szCs w:val="20"/>
              </w:rPr>
              <w:t>(=5,810 Wh/kg)</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(days/year) = 101 TWh/year</w:t>
            </w:r>
          </w:p>
        </w:tc>
      </w:tr>
      <w:tr w:rsidR="005A593C" w:rsidRPr="005A593C" w14:paraId="4BA1510A" w14:textId="77777777" w:rsidTr="005A593C">
        <w:trPr>
          <w:trHeight w:val="375"/>
          <w:jc w:val="center"/>
        </w:trPr>
        <w:tc>
          <w:tcPr>
            <w:tcW w:w="3700" w:type="dxa"/>
            <w:noWrap/>
            <w:vAlign w:val="center"/>
            <w:hideMark/>
          </w:tcPr>
          <w:p w14:paraId="1E03B5EB"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Transmission media</w:t>
            </w:r>
          </w:p>
        </w:tc>
        <w:tc>
          <w:tcPr>
            <w:tcW w:w="1280" w:type="dxa"/>
            <w:noWrap/>
            <w:vAlign w:val="center"/>
            <w:hideMark/>
          </w:tcPr>
          <w:p w14:paraId="0F66CA59"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Aluminum</w:t>
            </w:r>
          </w:p>
        </w:tc>
        <w:tc>
          <w:tcPr>
            <w:tcW w:w="1214" w:type="dxa"/>
            <w:noWrap/>
            <w:vAlign w:val="center"/>
            <w:hideMark/>
          </w:tcPr>
          <w:p w14:paraId="756D60DE"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Steel</w:t>
            </w:r>
          </w:p>
        </w:tc>
        <w:tc>
          <w:tcPr>
            <w:tcW w:w="944" w:type="dxa"/>
            <w:noWrap/>
            <w:vAlign w:val="center"/>
            <w:hideMark/>
          </w:tcPr>
          <w:p w14:paraId="002A08C2"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c>
          <w:tcPr>
            <w:tcW w:w="3352" w:type="dxa"/>
            <w:noWrap/>
            <w:vAlign w:val="center"/>
            <w:hideMark/>
          </w:tcPr>
          <w:p w14:paraId="679EA15D"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r>
      <w:tr w:rsidR="005A593C" w:rsidRPr="005A593C" w14:paraId="5851DB6B" w14:textId="77777777" w:rsidTr="005A593C">
        <w:trPr>
          <w:trHeight w:val="375"/>
          <w:jc w:val="center"/>
        </w:trPr>
        <w:tc>
          <w:tcPr>
            <w:tcW w:w="3700" w:type="dxa"/>
            <w:noWrap/>
            <w:vAlign w:val="center"/>
            <w:hideMark/>
          </w:tcPr>
          <w:p w14:paraId="06AED636"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Transmission unit length (Ltu)</w:t>
            </w:r>
          </w:p>
        </w:tc>
        <w:tc>
          <w:tcPr>
            <w:tcW w:w="1280" w:type="dxa"/>
            <w:noWrap/>
            <w:vAlign w:val="center"/>
            <w:hideMark/>
          </w:tcPr>
          <w:p w14:paraId="7C5C8678"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1,000 </w:t>
            </w:r>
          </w:p>
        </w:tc>
        <w:tc>
          <w:tcPr>
            <w:tcW w:w="1214" w:type="dxa"/>
            <w:noWrap/>
            <w:vAlign w:val="center"/>
            <w:hideMark/>
          </w:tcPr>
          <w:p w14:paraId="049F93EC"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300 </w:t>
            </w:r>
          </w:p>
        </w:tc>
        <w:tc>
          <w:tcPr>
            <w:tcW w:w="944" w:type="dxa"/>
            <w:noWrap/>
            <w:vAlign w:val="center"/>
            <w:hideMark/>
          </w:tcPr>
          <w:p w14:paraId="78FA6E9E"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km</w:t>
            </w:r>
          </w:p>
        </w:tc>
        <w:tc>
          <w:tcPr>
            <w:tcW w:w="3352" w:type="dxa"/>
            <w:noWrap/>
            <w:vAlign w:val="center"/>
            <w:hideMark/>
          </w:tcPr>
          <w:p w14:paraId="3A7291D8"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r>
      <w:tr w:rsidR="005A593C" w:rsidRPr="005A593C" w14:paraId="757A88B8" w14:textId="77777777" w:rsidTr="005A593C">
        <w:trPr>
          <w:trHeight w:val="375"/>
          <w:jc w:val="center"/>
        </w:trPr>
        <w:tc>
          <w:tcPr>
            <w:tcW w:w="3700" w:type="dxa"/>
            <w:noWrap/>
            <w:vAlign w:val="center"/>
            <w:hideMark/>
          </w:tcPr>
          <w:p w14:paraId="575B6A71"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Energy loss over Ltu (Mtu)</w:t>
            </w:r>
          </w:p>
        </w:tc>
        <w:tc>
          <w:tcPr>
            <w:tcW w:w="1280" w:type="dxa"/>
            <w:noWrap/>
            <w:vAlign w:val="center"/>
            <w:hideMark/>
          </w:tcPr>
          <w:p w14:paraId="690F5155"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5.00%</w:t>
            </w:r>
          </w:p>
        </w:tc>
        <w:tc>
          <w:tcPr>
            <w:tcW w:w="1214" w:type="dxa"/>
            <w:noWrap/>
            <w:vAlign w:val="center"/>
            <w:hideMark/>
          </w:tcPr>
          <w:p w14:paraId="0BB01362"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0.11%</w:t>
            </w:r>
          </w:p>
        </w:tc>
        <w:tc>
          <w:tcPr>
            <w:tcW w:w="944" w:type="dxa"/>
            <w:noWrap/>
            <w:vAlign w:val="center"/>
            <w:hideMark/>
          </w:tcPr>
          <w:p w14:paraId="7CE4407C"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c>
          <w:tcPr>
            <w:tcW w:w="3352" w:type="dxa"/>
            <w:noWrap/>
            <w:vAlign w:val="center"/>
            <w:hideMark/>
          </w:tcPr>
          <w:p w14:paraId="5B8AC37D"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r>
      <w:tr w:rsidR="005A593C" w:rsidRPr="005A593C" w14:paraId="1D56D422" w14:textId="77777777" w:rsidTr="005A593C">
        <w:trPr>
          <w:trHeight w:val="375"/>
          <w:jc w:val="center"/>
        </w:trPr>
        <w:tc>
          <w:tcPr>
            <w:tcW w:w="3700" w:type="dxa"/>
            <w:noWrap/>
            <w:vAlign w:val="center"/>
            <w:hideMark/>
          </w:tcPr>
          <w:p w14:paraId="78DBF3C6"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Transmission material diameter (Dtm)</w:t>
            </w:r>
          </w:p>
        </w:tc>
        <w:tc>
          <w:tcPr>
            <w:tcW w:w="1280" w:type="dxa"/>
            <w:noWrap/>
            <w:vAlign w:val="center"/>
            <w:hideMark/>
          </w:tcPr>
          <w:p w14:paraId="2923F9BA"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303 </w:t>
            </w:r>
          </w:p>
        </w:tc>
        <w:tc>
          <w:tcPr>
            <w:tcW w:w="1214" w:type="dxa"/>
            <w:noWrap/>
            <w:vAlign w:val="center"/>
            <w:hideMark/>
          </w:tcPr>
          <w:p w14:paraId="643025B7"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ID: 532</w:t>
            </w:r>
          </w:p>
        </w:tc>
        <w:tc>
          <w:tcPr>
            <w:tcW w:w="944" w:type="dxa"/>
            <w:noWrap/>
            <w:vAlign w:val="center"/>
            <w:hideMark/>
          </w:tcPr>
          <w:p w14:paraId="2623D2D2"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mm</w:t>
            </w:r>
          </w:p>
        </w:tc>
        <w:tc>
          <w:tcPr>
            <w:tcW w:w="3352" w:type="dxa"/>
            <w:noWrap/>
            <w:vAlign w:val="center"/>
            <w:hideMark/>
          </w:tcPr>
          <w:p w14:paraId="475B8700"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Pipe OD: 660 mm</w:t>
            </w:r>
          </w:p>
        </w:tc>
      </w:tr>
      <w:tr w:rsidR="005A593C" w:rsidRPr="005A593C" w14:paraId="23DDAEE0" w14:textId="77777777" w:rsidTr="005A593C">
        <w:trPr>
          <w:trHeight w:val="375"/>
          <w:jc w:val="center"/>
        </w:trPr>
        <w:tc>
          <w:tcPr>
            <w:tcW w:w="3700" w:type="dxa"/>
            <w:noWrap/>
            <w:vAlign w:val="center"/>
            <w:hideMark/>
          </w:tcPr>
          <w:p w14:paraId="2714DA9E"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Material weight over Ltu (Wmu)</w:t>
            </w:r>
          </w:p>
        </w:tc>
        <w:tc>
          <w:tcPr>
            <w:tcW w:w="1280" w:type="dxa"/>
            <w:noWrap/>
            <w:vAlign w:val="center"/>
            <w:hideMark/>
          </w:tcPr>
          <w:p w14:paraId="6613B710"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3.90E+05</w:t>
            </w:r>
          </w:p>
        </w:tc>
        <w:tc>
          <w:tcPr>
            <w:tcW w:w="1214" w:type="dxa"/>
            <w:noWrap/>
            <w:vAlign w:val="center"/>
            <w:hideMark/>
          </w:tcPr>
          <w:p w14:paraId="1D62CE96"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2.84E+05</w:t>
            </w:r>
          </w:p>
        </w:tc>
        <w:tc>
          <w:tcPr>
            <w:tcW w:w="944" w:type="dxa"/>
            <w:noWrap/>
            <w:vAlign w:val="center"/>
            <w:hideMark/>
          </w:tcPr>
          <w:p w14:paraId="729C07F0"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tons</w:t>
            </w:r>
          </w:p>
        </w:tc>
        <w:tc>
          <w:tcPr>
            <w:tcW w:w="3352" w:type="dxa"/>
            <w:noWrap/>
            <w:vAlign w:val="center"/>
            <w:hideMark/>
          </w:tcPr>
          <w:p w14:paraId="66E96BE9"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Specific gravity: Al = 2.72, Fe = 7.87 g/cm</w:t>
            </w:r>
            <w:r w:rsidRPr="005A593C">
              <w:rPr>
                <w:rFonts w:ascii="Times New Roman" w:eastAsia="游ゴシック" w:hAnsi="Times New Roman" w:cs="Times New Roman"/>
                <w:color w:val="000000"/>
                <w:kern w:val="0"/>
                <w:sz w:val="22"/>
                <w:vertAlign w:val="superscript"/>
              </w:rPr>
              <w:t>3</w:t>
            </w:r>
          </w:p>
        </w:tc>
      </w:tr>
      <w:tr w:rsidR="005A593C" w:rsidRPr="005A593C" w14:paraId="150AD6D6" w14:textId="77777777" w:rsidTr="005A593C">
        <w:trPr>
          <w:trHeight w:val="375"/>
          <w:jc w:val="center"/>
        </w:trPr>
        <w:tc>
          <w:tcPr>
            <w:tcW w:w="3700" w:type="dxa"/>
            <w:noWrap/>
            <w:vAlign w:val="center"/>
            <w:hideMark/>
          </w:tcPr>
          <w:p w14:paraId="0A8A8A11"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Total material weight (Wtm)</w:t>
            </w:r>
          </w:p>
        </w:tc>
        <w:tc>
          <w:tcPr>
            <w:tcW w:w="1280" w:type="dxa"/>
            <w:noWrap/>
            <w:vAlign w:val="center"/>
            <w:hideMark/>
          </w:tcPr>
          <w:p w14:paraId="7FDF549C"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9.10E+09</w:t>
            </w:r>
          </w:p>
        </w:tc>
        <w:tc>
          <w:tcPr>
            <w:tcW w:w="1214" w:type="dxa"/>
            <w:noWrap/>
            <w:vAlign w:val="center"/>
            <w:hideMark/>
          </w:tcPr>
          <w:p w14:paraId="35BDEBD8"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8.56E+09</w:t>
            </w:r>
          </w:p>
        </w:tc>
        <w:tc>
          <w:tcPr>
            <w:tcW w:w="944" w:type="dxa"/>
            <w:noWrap/>
            <w:vAlign w:val="center"/>
            <w:hideMark/>
          </w:tcPr>
          <w:p w14:paraId="520D8B05"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tons</w:t>
            </w:r>
          </w:p>
        </w:tc>
        <w:tc>
          <w:tcPr>
            <w:tcW w:w="3352" w:type="dxa"/>
            <w:noWrap/>
            <w:vAlign w:val="center"/>
            <w:hideMark/>
          </w:tcPr>
          <w:p w14:paraId="6C9B1894"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Wmu</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Ltt/Ltu</w:t>
            </w:r>
            <w:r w:rsidRPr="005A593C">
              <w:rPr>
                <w:rFonts w:ascii="游ゴシック" w:eastAsia="游ゴシック" w:hAnsi="游ゴシック" w:cs="Times New Roman" w:hint="eastAsia"/>
                <w:color w:val="000000"/>
                <w:kern w:val="0"/>
                <w:sz w:val="22"/>
              </w:rPr>
              <w:t xml:space="preserve">×2 </w:t>
            </w:r>
            <w:r w:rsidRPr="005A593C">
              <w:rPr>
                <w:rFonts w:ascii="Times New Roman" w:eastAsia="游ゴシック" w:hAnsi="Times New Roman" w:cs="Times New Roman"/>
                <w:color w:val="000000"/>
                <w:kern w:val="0"/>
                <w:sz w:val="22"/>
              </w:rPr>
              <w:t>ways in HVDC grid</w:t>
            </w:r>
          </w:p>
        </w:tc>
      </w:tr>
      <w:tr w:rsidR="005A593C" w:rsidRPr="005A593C" w14:paraId="589BA13F" w14:textId="77777777" w:rsidTr="005A593C">
        <w:trPr>
          <w:trHeight w:val="375"/>
          <w:jc w:val="center"/>
        </w:trPr>
        <w:tc>
          <w:tcPr>
            <w:tcW w:w="3700" w:type="dxa"/>
            <w:noWrap/>
            <w:vAlign w:val="center"/>
            <w:hideMark/>
          </w:tcPr>
          <w:p w14:paraId="5BE086F7" w14:textId="5AACC0AB"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Material reserves</w:t>
            </w:r>
            <w:r w:rsidR="00616815">
              <w:rPr>
                <w:rFonts w:ascii="Times New Roman" w:eastAsia="游ゴシック" w:hAnsi="Times New Roman" w:cs="Times New Roman" w:hint="eastAsia"/>
                <w:color w:val="000000"/>
                <w:kern w:val="0"/>
                <w:sz w:val="22"/>
              </w:rPr>
              <w:t xml:space="preserve"> [15]</w:t>
            </w:r>
            <w:r w:rsidRPr="005A593C">
              <w:rPr>
                <w:rFonts w:ascii="Times New Roman" w:eastAsia="游ゴシック" w:hAnsi="Times New Roman" w:cs="Times New Roman"/>
                <w:color w:val="000000"/>
                <w:kern w:val="0"/>
                <w:sz w:val="22"/>
              </w:rPr>
              <w:t xml:space="preserve"> (Rmt)</w:t>
            </w:r>
          </w:p>
        </w:tc>
        <w:tc>
          <w:tcPr>
            <w:tcW w:w="1280" w:type="dxa"/>
            <w:noWrap/>
            <w:vAlign w:val="center"/>
            <w:hideMark/>
          </w:tcPr>
          <w:p w14:paraId="4FA6868C"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1.63E+10</w:t>
            </w:r>
          </w:p>
        </w:tc>
        <w:tc>
          <w:tcPr>
            <w:tcW w:w="1214" w:type="dxa"/>
            <w:noWrap/>
            <w:vAlign w:val="center"/>
            <w:hideMark/>
          </w:tcPr>
          <w:p w14:paraId="42849A60"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2.30E+11</w:t>
            </w:r>
          </w:p>
        </w:tc>
        <w:tc>
          <w:tcPr>
            <w:tcW w:w="944" w:type="dxa"/>
            <w:noWrap/>
            <w:vAlign w:val="center"/>
            <w:hideMark/>
          </w:tcPr>
          <w:p w14:paraId="742335D4"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tons</w:t>
            </w:r>
          </w:p>
        </w:tc>
        <w:tc>
          <w:tcPr>
            <w:tcW w:w="3352" w:type="dxa"/>
            <w:noWrap/>
            <w:vAlign w:val="center"/>
            <w:hideMark/>
          </w:tcPr>
          <w:p w14:paraId="05D507DF"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Suppose that aluminum reserves are 1/4 of bauxite reserves</w:t>
            </w:r>
          </w:p>
        </w:tc>
      </w:tr>
      <w:tr w:rsidR="005A593C" w:rsidRPr="005A593C" w14:paraId="13C29477" w14:textId="77777777" w:rsidTr="005A593C">
        <w:trPr>
          <w:trHeight w:val="375"/>
          <w:jc w:val="center"/>
        </w:trPr>
        <w:tc>
          <w:tcPr>
            <w:tcW w:w="3700" w:type="dxa"/>
            <w:noWrap/>
            <w:vAlign w:val="center"/>
            <w:hideMark/>
          </w:tcPr>
          <w:p w14:paraId="6585C04E" w14:textId="77777777"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Resource usage rate (Wtm/Rmt) (Umr)</w:t>
            </w:r>
          </w:p>
        </w:tc>
        <w:tc>
          <w:tcPr>
            <w:tcW w:w="1280" w:type="dxa"/>
            <w:noWrap/>
            <w:vAlign w:val="center"/>
            <w:hideMark/>
          </w:tcPr>
          <w:p w14:paraId="572F690B" w14:textId="77777777"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56.0%</w:t>
            </w:r>
          </w:p>
        </w:tc>
        <w:tc>
          <w:tcPr>
            <w:tcW w:w="1214" w:type="dxa"/>
            <w:noWrap/>
            <w:vAlign w:val="center"/>
            <w:hideMark/>
          </w:tcPr>
          <w:p w14:paraId="50DDBCBD" w14:textId="77777777"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3.7%</w:t>
            </w:r>
          </w:p>
        </w:tc>
        <w:tc>
          <w:tcPr>
            <w:tcW w:w="944" w:type="dxa"/>
            <w:noWrap/>
            <w:vAlign w:val="center"/>
            <w:hideMark/>
          </w:tcPr>
          <w:p w14:paraId="659E6E28" w14:textId="77777777" w:rsidR="005A593C" w:rsidRPr="00AD7BFE" w:rsidRDefault="005A593C" w:rsidP="005A593C">
            <w:pPr>
              <w:widowControl/>
              <w:jc w:val="lef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 xml:space="preserve">　</w:t>
            </w:r>
          </w:p>
        </w:tc>
        <w:tc>
          <w:tcPr>
            <w:tcW w:w="3352" w:type="dxa"/>
            <w:noWrap/>
            <w:vAlign w:val="center"/>
            <w:hideMark/>
          </w:tcPr>
          <w:p w14:paraId="09F4EA06"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LNH</w:t>
            </w:r>
            <w:r w:rsidRPr="005A593C">
              <w:rPr>
                <w:rFonts w:ascii="Times New Roman" w:eastAsia="游ゴシック" w:hAnsi="Times New Roman" w:cs="Times New Roman"/>
                <w:color w:val="000000"/>
                <w:kern w:val="0"/>
                <w:sz w:val="22"/>
                <w:vertAlign w:val="subscript"/>
              </w:rPr>
              <w:t>3</w:t>
            </w:r>
            <w:r w:rsidRPr="005A593C">
              <w:rPr>
                <w:rFonts w:ascii="Times New Roman" w:eastAsia="游ゴシック" w:hAnsi="Times New Roman" w:cs="Times New Roman"/>
                <w:color w:val="000000"/>
                <w:kern w:val="0"/>
                <w:sz w:val="22"/>
              </w:rPr>
              <w:t xml:space="preserve"> </w:t>
            </w:r>
            <w:proofErr w:type="gramStart"/>
            <w:r w:rsidRPr="005A593C">
              <w:rPr>
                <w:rFonts w:ascii="Times New Roman" w:eastAsia="游ゴシック" w:hAnsi="Times New Roman" w:cs="Times New Roman"/>
                <w:color w:val="000000"/>
                <w:kern w:val="0"/>
                <w:sz w:val="22"/>
              </w:rPr>
              <w:t>pipeline</w:t>
            </w:r>
            <w:proofErr w:type="gramEnd"/>
            <w:r w:rsidRPr="005A593C">
              <w:rPr>
                <w:rFonts w:ascii="Times New Roman" w:eastAsia="游ゴシック" w:hAnsi="Times New Roman" w:cs="Times New Roman"/>
                <w:color w:val="000000"/>
                <w:kern w:val="0"/>
                <w:sz w:val="22"/>
              </w:rPr>
              <w:t xml:space="preserve"> can transport carbon-free energy worldwide.</w:t>
            </w:r>
          </w:p>
        </w:tc>
      </w:tr>
      <w:tr w:rsidR="005A593C" w:rsidRPr="005A593C" w14:paraId="4ECCACD3" w14:textId="77777777" w:rsidTr="005A593C">
        <w:trPr>
          <w:trHeight w:val="375"/>
          <w:jc w:val="center"/>
        </w:trPr>
        <w:tc>
          <w:tcPr>
            <w:tcW w:w="3700" w:type="dxa"/>
            <w:noWrap/>
            <w:vAlign w:val="center"/>
            <w:hideMark/>
          </w:tcPr>
          <w:p w14:paraId="2AC65A1F" w14:textId="77777777"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Total energy loss over Lns (Mel)</w:t>
            </w:r>
          </w:p>
        </w:tc>
        <w:tc>
          <w:tcPr>
            <w:tcW w:w="1280" w:type="dxa"/>
            <w:noWrap/>
            <w:vAlign w:val="center"/>
            <w:hideMark/>
          </w:tcPr>
          <w:p w14:paraId="167C1647" w14:textId="45EFF511"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20</w:t>
            </w:r>
            <w:r w:rsidR="00901FD8" w:rsidRPr="00AD7BFE">
              <w:rPr>
                <w:rFonts w:ascii="Times New Roman" w:eastAsia="游ゴシック" w:hAnsi="Times New Roman" w:cs="Times New Roman" w:hint="eastAsia"/>
                <w:kern w:val="0"/>
                <w:sz w:val="22"/>
              </w:rPr>
              <w:t>.0</w:t>
            </w:r>
            <w:r w:rsidRPr="00AD7BFE">
              <w:rPr>
                <w:rFonts w:ascii="Times New Roman" w:eastAsia="游ゴシック" w:hAnsi="Times New Roman" w:cs="Times New Roman"/>
                <w:kern w:val="0"/>
                <w:sz w:val="22"/>
              </w:rPr>
              <w:t>%</w:t>
            </w:r>
          </w:p>
        </w:tc>
        <w:tc>
          <w:tcPr>
            <w:tcW w:w="1214" w:type="dxa"/>
            <w:noWrap/>
            <w:vAlign w:val="center"/>
            <w:hideMark/>
          </w:tcPr>
          <w:p w14:paraId="316F726B" w14:textId="77777777" w:rsidR="005A593C" w:rsidRPr="00AD7BFE" w:rsidRDefault="005A593C" w:rsidP="005A593C">
            <w:pPr>
              <w:widowControl/>
              <w:jc w:val="righ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1.52%</w:t>
            </w:r>
          </w:p>
        </w:tc>
        <w:tc>
          <w:tcPr>
            <w:tcW w:w="944" w:type="dxa"/>
            <w:noWrap/>
            <w:vAlign w:val="center"/>
            <w:hideMark/>
          </w:tcPr>
          <w:p w14:paraId="1B85376F" w14:textId="77777777" w:rsidR="005A593C" w:rsidRPr="00AD7BFE" w:rsidRDefault="005A593C" w:rsidP="005A593C">
            <w:pPr>
              <w:widowControl/>
              <w:jc w:val="left"/>
              <w:rPr>
                <w:rFonts w:ascii="Times New Roman" w:eastAsia="游ゴシック" w:hAnsi="Times New Roman" w:cs="Times New Roman"/>
                <w:kern w:val="0"/>
                <w:sz w:val="22"/>
              </w:rPr>
            </w:pPr>
            <w:r w:rsidRPr="00AD7BFE">
              <w:rPr>
                <w:rFonts w:ascii="Times New Roman" w:eastAsia="游ゴシック" w:hAnsi="Times New Roman" w:cs="Times New Roman"/>
                <w:kern w:val="0"/>
                <w:sz w:val="22"/>
              </w:rPr>
              <w:t xml:space="preserve">　</w:t>
            </w:r>
          </w:p>
        </w:tc>
        <w:tc>
          <w:tcPr>
            <w:tcW w:w="3352" w:type="dxa"/>
            <w:noWrap/>
            <w:vAlign w:val="center"/>
            <w:hideMark/>
          </w:tcPr>
          <w:p w14:paraId="60AC5884"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Mtu</w:t>
            </w:r>
            <w:r w:rsidRPr="005A593C">
              <w:rPr>
                <w:rFonts w:ascii="ＭＳ 明朝" w:eastAsia="ＭＳ 明朝" w:hAnsi="ＭＳ 明朝" w:cs="Times New Roman" w:hint="eastAsia"/>
                <w:color w:val="000000"/>
                <w:kern w:val="0"/>
                <w:sz w:val="22"/>
              </w:rPr>
              <w:t>･</w:t>
            </w:r>
            <w:r w:rsidRPr="005A593C">
              <w:rPr>
                <w:rFonts w:ascii="Times New Roman" w:eastAsia="游ゴシック" w:hAnsi="Times New Roman" w:cs="Times New Roman"/>
                <w:color w:val="000000"/>
                <w:kern w:val="0"/>
                <w:sz w:val="22"/>
              </w:rPr>
              <w:t>Lns/Ltn</w:t>
            </w:r>
          </w:p>
        </w:tc>
      </w:tr>
      <w:tr w:rsidR="005A593C" w:rsidRPr="005A593C" w14:paraId="63D0A44D" w14:textId="77777777" w:rsidTr="005A593C">
        <w:trPr>
          <w:trHeight w:val="390"/>
          <w:jc w:val="center"/>
        </w:trPr>
        <w:tc>
          <w:tcPr>
            <w:tcW w:w="3700" w:type="dxa"/>
            <w:noWrap/>
            <w:vAlign w:val="center"/>
            <w:hideMark/>
          </w:tcPr>
          <w:p w14:paraId="1D0EF192" w14:textId="77777777" w:rsidR="005A593C" w:rsidRPr="005A593C" w:rsidRDefault="005A593C" w:rsidP="005A593C">
            <w:pPr>
              <w:widowControl/>
              <w:jc w:val="righ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Energy storage</w:t>
            </w:r>
          </w:p>
        </w:tc>
        <w:tc>
          <w:tcPr>
            <w:tcW w:w="1280" w:type="dxa"/>
            <w:noWrap/>
            <w:vAlign w:val="center"/>
            <w:hideMark/>
          </w:tcPr>
          <w:p w14:paraId="61563C7D" w14:textId="77777777" w:rsidR="005A593C" w:rsidRPr="005A593C" w:rsidRDefault="005A593C" w:rsidP="005A593C">
            <w:pPr>
              <w:widowControl/>
              <w:jc w:val="center"/>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Not at any</w:t>
            </w:r>
          </w:p>
        </w:tc>
        <w:tc>
          <w:tcPr>
            <w:tcW w:w="1214" w:type="dxa"/>
            <w:noWrap/>
            <w:vAlign w:val="center"/>
            <w:hideMark/>
          </w:tcPr>
          <w:p w14:paraId="445B6811" w14:textId="77777777" w:rsidR="005A593C" w:rsidRPr="005A593C" w:rsidRDefault="005A593C" w:rsidP="005A593C">
            <w:pPr>
              <w:widowControl/>
              <w:jc w:val="center"/>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Anywhere</w:t>
            </w:r>
          </w:p>
        </w:tc>
        <w:tc>
          <w:tcPr>
            <w:tcW w:w="944" w:type="dxa"/>
            <w:noWrap/>
            <w:vAlign w:val="center"/>
            <w:hideMark/>
          </w:tcPr>
          <w:p w14:paraId="01B43A28"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 xml:space="preserve">　</w:t>
            </w:r>
          </w:p>
        </w:tc>
        <w:tc>
          <w:tcPr>
            <w:tcW w:w="3352" w:type="dxa"/>
            <w:noWrap/>
            <w:vAlign w:val="center"/>
            <w:hideMark/>
          </w:tcPr>
          <w:p w14:paraId="7A27CC2C" w14:textId="77777777" w:rsidR="005A593C" w:rsidRPr="005A593C" w:rsidRDefault="005A593C" w:rsidP="005A593C">
            <w:pPr>
              <w:widowControl/>
              <w:jc w:val="left"/>
              <w:rPr>
                <w:rFonts w:ascii="Times New Roman" w:eastAsia="游ゴシック" w:hAnsi="Times New Roman" w:cs="Times New Roman"/>
                <w:color w:val="000000"/>
                <w:kern w:val="0"/>
                <w:sz w:val="22"/>
              </w:rPr>
            </w:pPr>
            <w:r w:rsidRPr="005A593C">
              <w:rPr>
                <w:rFonts w:ascii="Times New Roman" w:eastAsia="游ゴシック" w:hAnsi="Times New Roman" w:cs="Times New Roman"/>
                <w:color w:val="000000"/>
                <w:kern w:val="0"/>
                <w:sz w:val="22"/>
              </w:rPr>
              <w:t>HVDC grids can only store energy in LNH</w:t>
            </w:r>
            <w:r w:rsidRPr="005A593C">
              <w:rPr>
                <w:rFonts w:ascii="Times New Roman" w:eastAsia="游ゴシック" w:hAnsi="Times New Roman" w:cs="Times New Roman"/>
                <w:color w:val="000000"/>
                <w:kern w:val="0"/>
                <w:sz w:val="22"/>
                <w:vertAlign w:val="subscript"/>
              </w:rPr>
              <w:t>3</w:t>
            </w:r>
            <w:r w:rsidRPr="005A593C">
              <w:rPr>
                <w:rFonts w:ascii="Times New Roman" w:eastAsia="游ゴシック" w:hAnsi="Times New Roman" w:cs="Times New Roman"/>
                <w:color w:val="000000"/>
                <w:kern w:val="0"/>
                <w:sz w:val="22"/>
              </w:rPr>
              <w:t xml:space="preserve"> before converting it into electricity.</w:t>
            </w:r>
          </w:p>
        </w:tc>
      </w:tr>
    </w:tbl>
    <w:bookmarkEnd w:id="37"/>
    <w:p w14:paraId="6CAC6D73" w14:textId="26A557AD" w:rsidR="00A70BD4" w:rsidRPr="00CD7127" w:rsidRDefault="00DC44E6">
      <w:pPr>
        <w:widowControl/>
        <w:jc w:val="left"/>
        <w:rPr>
          <w:rFonts w:ascii="Times New Roman" w:hAnsi="Times New Roman" w:cs="Times New Roman"/>
          <w:sz w:val="22"/>
        </w:rPr>
      </w:pPr>
      <w:r w:rsidRPr="00CD7127">
        <w:rPr>
          <w:rFonts w:ascii="Times New Roman" w:hAnsi="Times New Roman" w:cs="Times New Roman"/>
          <w:sz w:val="22"/>
        </w:rPr>
        <w:t xml:space="preserve"> </w:t>
      </w:r>
      <w:r w:rsidR="000E0857" w:rsidRPr="00CD7127">
        <w:rPr>
          <w:rFonts w:ascii="Times New Roman" w:hAnsi="Times New Roman" w:cs="Times New Roman"/>
          <w:sz w:val="22"/>
        </w:rPr>
        <w:br w:type="page"/>
      </w:r>
    </w:p>
    <w:p w14:paraId="533AF98E" w14:textId="3462CF1F" w:rsidR="003505C8" w:rsidRPr="003C39DD" w:rsidRDefault="003505C8" w:rsidP="004F2C64">
      <w:pPr>
        <w:jc w:val="left"/>
        <w:rPr>
          <w:rFonts w:ascii="Times New Roman" w:hAnsi="Times New Roman" w:cs="Times New Roman"/>
          <w:sz w:val="24"/>
          <w:szCs w:val="24"/>
        </w:rPr>
      </w:pPr>
      <w:bookmarkStart w:id="38" w:name="_Hlk195722625"/>
      <w:r w:rsidRPr="00834373">
        <w:rPr>
          <w:rFonts w:ascii="Times New Roman" w:hAnsi="Times New Roman" w:cs="Times New Roman"/>
          <w:b/>
          <w:bCs/>
          <w:sz w:val="24"/>
          <w:szCs w:val="24"/>
        </w:rPr>
        <w:lastRenderedPageBreak/>
        <w:t>Supplementary Table S</w:t>
      </w:r>
      <w:r w:rsidR="002615CE" w:rsidRPr="00834373">
        <w:rPr>
          <w:rFonts w:ascii="Times New Roman" w:hAnsi="Times New Roman" w:cs="Times New Roman" w:hint="eastAsia"/>
          <w:b/>
          <w:bCs/>
          <w:sz w:val="24"/>
          <w:szCs w:val="24"/>
        </w:rPr>
        <w:t>7</w:t>
      </w:r>
      <w:r w:rsidRPr="00834373">
        <w:rPr>
          <w:rFonts w:ascii="Times New Roman" w:hAnsi="Times New Roman" w:cs="Times New Roman"/>
          <w:b/>
          <w:bCs/>
          <w:sz w:val="24"/>
          <w:szCs w:val="24"/>
        </w:rPr>
        <w:t>. C</w:t>
      </w:r>
      <w:r w:rsidRPr="00364D9F">
        <w:rPr>
          <w:rFonts w:ascii="Times New Roman" w:hAnsi="Times New Roman" w:cs="Times New Roman"/>
          <w:b/>
          <w:bCs/>
          <w:color w:val="000000" w:themeColor="text1"/>
          <w:sz w:val="24"/>
          <w:szCs w:val="24"/>
        </w:rPr>
        <w:t xml:space="preserve">omparison of GHG types and characteristics. </w:t>
      </w:r>
      <w:r w:rsidRPr="00364D9F">
        <w:rPr>
          <w:rFonts w:ascii="Times New Roman" w:hAnsi="Times New Roman" w:cs="Times New Roman"/>
          <w:color w:val="000000" w:themeColor="text1"/>
          <w:sz w:val="24"/>
          <w:szCs w:val="24"/>
        </w:rPr>
        <w:t>The table details the key properties of the three primary greenhouse gases: CO</w:t>
      </w:r>
      <w:r w:rsidRPr="0076136A">
        <w:rPr>
          <w:rFonts w:ascii="Times New Roman" w:hAnsi="Times New Roman" w:cs="Times New Roman"/>
          <w:sz w:val="24"/>
          <w:szCs w:val="24"/>
          <w:vertAlign w:val="subscript"/>
        </w:rPr>
        <w:t>2</w:t>
      </w:r>
      <w:r w:rsidRPr="0076136A">
        <w:rPr>
          <w:rFonts w:ascii="Times New Roman" w:hAnsi="Times New Roman" w:cs="Times New Roman"/>
          <w:sz w:val="24"/>
          <w:szCs w:val="24"/>
        </w:rPr>
        <w:t>, CH</w:t>
      </w:r>
      <w:r w:rsidRPr="0076136A">
        <w:rPr>
          <w:rFonts w:ascii="Times New Roman" w:hAnsi="Times New Roman" w:cs="Times New Roman"/>
          <w:sz w:val="24"/>
          <w:szCs w:val="24"/>
          <w:vertAlign w:val="subscript"/>
        </w:rPr>
        <w:t>4</w:t>
      </w:r>
      <w:r w:rsidRPr="0076136A">
        <w:rPr>
          <w:rFonts w:ascii="Times New Roman" w:hAnsi="Times New Roman" w:cs="Times New Roman"/>
          <w:sz w:val="24"/>
          <w:szCs w:val="24"/>
        </w:rPr>
        <w:t>, and N</w:t>
      </w:r>
      <w:r w:rsidRPr="0076136A">
        <w:rPr>
          <w:rFonts w:ascii="Times New Roman" w:hAnsi="Times New Roman" w:cs="Times New Roman"/>
          <w:sz w:val="24"/>
          <w:szCs w:val="24"/>
          <w:vertAlign w:val="subscript"/>
        </w:rPr>
        <w:t>2</w:t>
      </w:r>
      <w:r w:rsidRPr="0076136A">
        <w:rPr>
          <w:rFonts w:ascii="Times New Roman" w:hAnsi="Times New Roman" w:cs="Times New Roman"/>
          <w:sz w:val="24"/>
          <w:szCs w:val="24"/>
        </w:rPr>
        <w:t xml:space="preserve">O, including their greenhouse gas intensity, atmospheric lifetime, atmospheric proportion, emission sources, removal mechanisms, and </w:t>
      </w:r>
      <w:r w:rsidR="00500C64" w:rsidRPr="0076136A">
        <w:rPr>
          <w:rFonts w:ascii="Times New Roman" w:hAnsi="Times New Roman" w:cs="Times New Roman"/>
          <w:sz w:val="24"/>
          <w:szCs w:val="32"/>
        </w:rPr>
        <w:t>imp</w:t>
      </w:r>
      <w:r w:rsidR="00500C64" w:rsidRPr="003946EB">
        <w:rPr>
          <w:rFonts w:ascii="Times New Roman" w:hAnsi="Times New Roman" w:cs="Times New Roman"/>
          <w:sz w:val="24"/>
          <w:szCs w:val="32"/>
        </w:rPr>
        <w:t xml:space="preserve">act </w:t>
      </w:r>
      <w:r w:rsidR="003946EB" w:rsidRPr="003946EB">
        <w:rPr>
          <w:rFonts w:ascii="Times New Roman" w:eastAsia="游明朝" w:hAnsi="Times New Roman" w:cs="Times New Roman"/>
          <w:sz w:val="22"/>
          <w:szCs w:val="24"/>
          <w14:ligatures w14:val="standardContextual"/>
        </w:rPr>
        <w:t>factor</w:t>
      </w:r>
      <w:r w:rsidRPr="003946EB">
        <w:rPr>
          <w:rFonts w:ascii="Times New Roman" w:hAnsi="Times New Roman" w:cs="Times New Roman"/>
          <w:sz w:val="32"/>
          <w:szCs w:val="32"/>
        </w:rPr>
        <w:t xml:space="preserve"> </w:t>
      </w:r>
      <w:r w:rsidRPr="003946EB">
        <w:rPr>
          <w:rFonts w:ascii="Times New Roman" w:hAnsi="Times New Roman" w:cs="Times New Roman"/>
          <w:sz w:val="24"/>
          <w:szCs w:val="24"/>
        </w:rPr>
        <w:t xml:space="preserve">(product of GHG intensity, </w:t>
      </w:r>
      <w:r w:rsidR="00164E31" w:rsidRPr="003946EB">
        <w:rPr>
          <w:rFonts w:ascii="Times New Roman" w:hAnsi="Times New Roman" w:cs="Times New Roman"/>
          <w:sz w:val="24"/>
          <w:szCs w:val="24"/>
        </w:rPr>
        <w:t>lifetime</w:t>
      </w:r>
      <w:r w:rsidR="00164E31" w:rsidRPr="003946EB">
        <w:rPr>
          <w:rFonts w:ascii="Times New Roman" w:hAnsi="Times New Roman" w:cs="Times New Roman" w:hint="eastAsia"/>
          <w:sz w:val="24"/>
          <w:szCs w:val="24"/>
        </w:rPr>
        <w:t>,</w:t>
      </w:r>
      <w:r w:rsidR="00164E31" w:rsidRPr="003946EB">
        <w:rPr>
          <w:rFonts w:ascii="Times New Roman" w:hAnsi="Times New Roman" w:cs="Times New Roman"/>
          <w:sz w:val="24"/>
          <w:szCs w:val="24"/>
        </w:rPr>
        <w:t xml:space="preserve"> </w:t>
      </w:r>
      <w:r w:rsidR="00164E31" w:rsidRPr="003946EB">
        <w:rPr>
          <w:rFonts w:ascii="Times New Roman" w:hAnsi="Times New Roman" w:cs="Times New Roman" w:hint="eastAsia"/>
          <w:sz w:val="24"/>
          <w:szCs w:val="24"/>
        </w:rPr>
        <w:t xml:space="preserve">and </w:t>
      </w:r>
      <w:r w:rsidRPr="003946EB">
        <w:rPr>
          <w:rFonts w:ascii="Times New Roman" w:hAnsi="Times New Roman" w:cs="Times New Roman"/>
          <w:sz w:val="24"/>
          <w:szCs w:val="24"/>
        </w:rPr>
        <w:t xml:space="preserve">proportion). </w:t>
      </w:r>
      <w:r w:rsidR="00B07140" w:rsidRPr="003946EB">
        <w:rPr>
          <w:rFonts w:ascii="Times New Roman" w:hAnsi="Times New Roman" w:cs="Times New Roman" w:hint="eastAsia"/>
          <w:sz w:val="24"/>
          <w:szCs w:val="24"/>
        </w:rPr>
        <w:t>T</w:t>
      </w:r>
      <w:r w:rsidRPr="003946EB">
        <w:rPr>
          <w:rFonts w:ascii="Times New Roman" w:hAnsi="Times New Roman" w:cs="Times New Roman"/>
          <w:sz w:val="24"/>
          <w:szCs w:val="24"/>
        </w:rPr>
        <w:t xml:space="preserve">he impact </w:t>
      </w:r>
      <w:r w:rsidR="003946EB" w:rsidRPr="003946EB">
        <w:rPr>
          <w:rFonts w:ascii="Times New Roman" w:eastAsia="游明朝" w:hAnsi="Times New Roman" w:cs="Times New Roman"/>
          <w:sz w:val="22"/>
          <w:szCs w:val="24"/>
          <w14:ligatures w14:val="standardContextual"/>
        </w:rPr>
        <w:t>factor</w:t>
      </w:r>
      <w:r w:rsidRPr="003946EB">
        <w:rPr>
          <w:rFonts w:ascii="Times New Roman" w:hAnsi="Times New Roman" w:cs="Times New Roman"/>
          <w:sz w:val="24"/>
          <w:szCs w:val="24"/>
        </w:rPr>
        <w:t xml:space="preserve"> reveals that N</w:t>
      </w:r>
      <w:r w:rsidRPr="003946EB">
        <w:rPr>
          <w:rFonts w:ascii="Times New Roman" w:hAnsi="Times New Roman" w:cs="Times New Roman"/>
          <w:sz w:val="24"/>
          <w:szCs w:val="24"/>
          <w:vertAlign w:val="subscript"/>
        </w:rPr>
        <w:t>2</w:t>
      </w:r>
      <w:r w:rsidRPr="003946EB">
        <w:rPr>
          <w:rFonts w:ascii="Times New Roman" w:hAnsi="Times New Roman" w:cs="Times New Roman"/>
          <w:sz w:val="24"/>
          <w:szCs w:val="24"/>
        </w:rPr>
        <w:t>O poses the most significant threat to global warming, followed by CO</w:t>
      </w:r>
      <w:r w:rsidRPr="003946EB">
        <w:rPr>
          <w:rFonts w:ascii="Times New Roman" w:hAnsi="Times New Roman" w:cs="Times New Roman"/>
          <w:sz w:val="24"/>
          <w:szCs w:val="24"/>
          <w:vertAlign w:val="subscript"/>
        </w:rPr>
        <w:t>2</w:t>
      </w:r>
      <w:r w:rsidRPr="003946EB">
        <w:rPr>
          <w:rFonts w:ascii="Times New Roman" w:hAnsi="Times New Roman" w:cs="Times New Roman"/>
          <w:sz w:val="24"/>
          <w:szCs w:val="24"/>
        </w:rPr>
        <w:t>,</w:t>
      </w:r>
      <w:r w:rsidRPr="003946EB">
        <w:rPr>
          <w:rFonts w:ascii="Times New Roman" w:hAnsi="Times New Roman" w:cs="Times New Roman"/>
          <w:sz w:val="24"/>
          <w:szCs w:val="24"/>
          <w:vertAlign w:val="subscript"/>
        </w:rPr>
        <w:t xml:space="preserve"> </w:t>
      </w:r>
      <w:r w:rsidRPr="003946EB">
        <w:rPr>
          <w:rFonts w:ascii="Times New Roman" w:hAnsi="Times New Roman" w:cs="Times New Roman"/>
          <w:sz w:val="24"/>
          <w:szCs w:val="24"/>
        </w:rPr>
        <w:t>then CH</w:t>
      </w:r>
      <w:r w:rsidRPr="003946EB">
        <w:rPr>
          <w:rFonts w:ascii="Times New Roman" w:hAnsi="Times New Roman" w:cs="Times New Roman"/>
          <w:sz w:val="24"/>
          <w:szCs w:val="24"/>
          <w:vertAlign w:val="subscript"/>
        </w:rPr>
        <w:t>4</w:t>
      </w:r>
      <w:r w:rsidRPr="003946EB">
        <w:rPr>
          <w:rFonts w:ascii="Times New Roman" w:hAnsi="Times New Roman" w:cs="Times New Roman"/>
          <w:sz w:val="24"/>
          <w:szCs w:val="24"/>
        </w:rPr>
        <w:t>. While CO</w:t>
      </w:r>
      <w:r w:rsidRPr="003946EB">
        <w:rPr>
          <w:rFonts w:ascii="Times New Roman" w:hAnsi="Times New Roman" w:cs="Times New Roman"/>
          <w:sz w:val="24"/>
          <w:szCs w:val="24"/>
          <w:vertAlign w:val="subscript"/>
        </w:rPr>
        <w:t xml:space="preserve">2 </w:t>
      </w:r>
      <w:r w:rsidRPr="003946EB">
        <w:rPr>
          <w:rFonts w:ascii="Times New Roman" w:hAnsi="Times New Roman" w:cs="Times New Roman"/>
          <w:sz w:val="24"/>
          <w:szCs w:val="24"/>
        </w:rPr>
        <w:t>removal remains energy-intensive, proposed methods for mitigating the emission of CH</w:t>
      </w:r>
      <w:r w:rsidRPr="003946EB">
        <w:rPr>
          <w:rFonts w:ascii="Times New Roman" w:hAnsi="Times New Roman" w:cs="Times New Roman"/>
          <w:sz w:val="24"/>
          <w:szCs w:val="24"/>
          <w:vertAlign w:val="subscript"/>
        </w:rPr>
        <w:t>4</w:t>
      </w:r>
      <w:r w:rsidRPr="003946EB">
        <w:rPr>
          <w:rFonts w:ascii="Times New Roman" w:hAnsi="Times New Roman" w:cs="Times New Roman"/>
          <w:sz w:val="24"/>
          <w:szCs w:val="24"/>
        </w:rPr>
        <w:t xml:space="preserve"> and N</w:t>
      </w:r>
      <w:r w:rsidRPr="003946EB">
        <w:rPr>
          <w:rFonts w:ascii="Times New Roman" w:hAnsi="Times New Roman" w:cs="Times New Roman"/>
          <w:sz w:val="24"/>
          <w:szCs w:val="24"/>
          <w:vertAlign w:val="subscript"/>
        </w:rPr>
        <w:t>2</w:t>
      </w:r>
      <w:r w:rsidRPr="003946EB">
        <w:rPr>
          <w:rFonts w:ascii="Times New Roman" w:hAnsi="Times New Roman" w:cs="Times New Roman"/>
          <w:sz w:val="24"/>
          <w:szCs w:val="24"/>
        </w:rPr>
        <w:t>O, such as their catalytic conversion to CO</w:t>
      </w:r>
      <w:r w:rsidRPr="003946EB">
        <w:rPr>
          <w:rFonts w:ascii="Times New Roman" w:hAnsi="Times New Roman" w:cs="Times New Roman"/>
          <w:sz w:val="24"/>
          <w:szCs w:val="24"/>
          <w:vertAlign w:val="subscript"/>
        </w:rPr>
        <w:t>2</w:t>
      </w:r>
      <w:r w:rsidRPr="003946EB">
        <w:rPr>
          <w:rFonts w:ascii="Times New Roman" w:hAnsi="Times New Roman" w:cs="Times New Roman"/>
          <w:sz w:val="24"/>
          <w:szCs w:val="24"/>
        </w:rPr>
        <w:t>, bacterial absorption, or decomposition via ultraviolet r</w:t>
      </w:r>
      <w:r w:rsidRPr="0076136A">
        <w:rPr>
          <w:rFonts w:ascii="Times New Roman" w:hAnsi="Times New Roman" w:cs="Times New Roman"/>
          <w:sz w:val="24"/>
          <w:szCs w:val="24"/>
        </w:rPr>
        <w:t xml:space="preserve">ays or chemical reactions, represent potentially lower-energy alternatives. However, these technologies are currently in </w:t>
      </w:r>
      <w:r w:rsidR="00FB5776" w:rsidRPr="00866F29">
        <w:rPr>
          <w:rFonts w:ascii="Times New Roman" w:hAnsi="Times New Roman" w:cs="Times New Roman"/>
          <w:sz w:val="24"/>
          <w:szCs w:val="24"/>
        </w:rPr>
        <w:t>early-stage</w:t>
      </w:r>
      <w:r w:rsidRPr="00866F29">
        <w:rPr>
          <w:rFonts w:ascii="Times New Roman" w:hAnsi="Times New Roman" w:cs="Times New Roman"/>
          <w:sz w:val="24"/>
          <w:szCs w:val="24"/>
        </w:rPr>
        <w:t xml:space="preserve"> developm</w:t>
      </w:r>
      <w:r w:rsidRPr="0076136A">
        <w:rPr>
          <w:rFonts w:ascii="Times New Roman" w:hAnsi="Times New Roman" w:cs="Times New Roman"/>
          <w:sz w:val="24"/>
          <w:szCs w:val="24"/>
        </w:rPr>
        <w:t>ent; their commercializati</w:t>
      </w:r>
      <w:r w:rsidRPr="00364D9F">
        <w:rPr>
          <w:rFonts w:ascii="Times New Roman" w:hAnsi="Times New Roman" w:cs="Times New Roman"/>
          <w:color w:val="000000" w:themeColor="text1"/>
          <w:sz w:val="24"/>
          <w:szCs w:val="24"/>
        </w:rPr>
        <w:t>on is expected to occur</w:t>
      </w:r>
      <w:r w:rsidRPr="003C39DD">
        <w:rPr>
          <w:rFonts w:ascii="Times New Roman" w:hAnsi="Times New Roman" w:cs="Times New Roman"/>
          <w:sz w:val="24"/>
          <w:szCs w:val="24"/>
        </w:rPr>
        <w:t xml:space="preserve"> soon</w:t>
      </w:r>
      <w:r w:rsidR="007078A1" w:rsidRPr="003C39DD">
        <w:rPr>
          <w:rFonts w:ascii="Times New Roman" w:hAnsi="Times New Roman" w:cs="Times New Roman" w:hint="eastAsia"/>
          <w:sz w:val="24"/>
          <w:szCs w:val="24"/>
        </w:rPr>
        <w:t xml:space="preserve"> [1</w:t>
      </w:r>
      <w:r w:rsidR="00616815">
        <w:rPr>
          <w:rFonts w:ascii="Times New Roman" w:hAnsi="Times New Roman" w:cs="Times New Roman" w:hint="eastAsia"/>
          <w:sz w:val="24"/>
          <w:szCs w:val="24"/>
        </w:rPr>
        <w:t>6</w:t>
      </w:r>
      <w:r w:rsidR="007078A1" w:rsidRPr="003C39DD">
        <w:rPr>
          <w:rFonts w:ascii="Times New Roman" w:hAnsi="Times New Roman" w:cs="Times New Roman" w:hint="eastAsia"/>
          <w:sz w:val="24"/>
          <w:szCs w:val="24"/>
        </w:rPr>
        <w:t>-1</w:t>
      </w:r>
      <w:r w:rsidR="00616815">
        <w:rPr>
          <w:rFonts w:ascii="Times New Roman" w:hAnsi="Times New Roman" w:cs="Times New Roman" w:hint="eastAsia"/>
          <w:sz w:val="24"/>
          <w:szCs w:val="24"/>
        </w:rPr>
        <w:t>7</w:t>
      </w:r>
      <w:r w:rsidR="007078A1" w:rsidRPr="003C39DD">
        <w:rPr>
          <w:rFonts w:ascii="Times New Roman" w:hAnsi="Times New Roman" w:cs="Times New Roman" w:hint="eastAsia"/>
          <w:sz w:val="24"/>
          <w:szCs w:val="24"/>
        </w:rPr>
        <w:t>]</w:t>
      </w:r>
      <w:r w:rsidRPr="003C39DD">
        <w:rPr>
          <w:rFonts w:ascii="Times New Roman" w:hAnsi="Times New Roman" w:cs="Times New Roman"/>
          <w:sz w:val="24"/>
          <w:szCs w:val="24"/>
        </w:rPr>
        <w:t>.</w:t>
      </w:r>
    </w:p>
    <w:tbl>
      <w:tblPr>
        <w:tblStyle w:val="51"/>
        <w:tblW w:w="0" w:type="auto"/>
        <w:tblBorders>
          <w:top w:val="single" w:sz="8" w:space="0" w:color="auto"/>
          <w:left w:val="none" w:sz="0" w:space="0" w:color="auto"/>
          <w:bottom w:val="single" w:sz="8" w:space="0" w:color="auto"/>
          <w:right w:val="none" w:sz="0" w:space="0" w:color="auto"/>
          <w:insideH w:val="dotted" w:sz="4" w:space="0" w:color="auto"/>
          <w:insideV w:val="dotted" w:sz="4" w:space="0" w:color="auto"/>
        </w:tblBorders>
        <w:tblLook w:val="04A0" w:firstRow="1" w:lastRow="0" w:firstColumn="1" w:lastColumn="0" w:noHBand="0" w:noVBand="1"/>
      </w:tblPr>
      <w:tblGrid>
        <w:gridCol w:w="2435"/>
        <w:gridCol w:w="2435"/>
        <w:gridCol w:w="2436"/>
        <w:gridCol w:w="2436"/>
      </w:tblGrid>
      <w:tr w:rsidR="00A91F7D" w:rsidRPr="00A91F7D" w14:paraId="74B690FF" w14:textId="77777777" w:rsidTr="002A7DEB">
        <w:trPr>
          <w:trHeight w:val="355"/>
        </w:trPr>
        <w:tc>
          <w:tcPr>
            <w:tcW w:w="2435" w:type="dxa"/>
            <w:tcBorders>
              <w:top w:val="single" w:sz="8" w:space="0" w:color="auto"/>
              <w:bottom w:val="single" w:sz="4" w:space="0" w:color="auto"/>
            </w:tcBorders>
            <w:vAlign w:val="center"/>
          </w:tcPr>
          <w:p w14:paraId="702A2881" w14:textId="77777777" w:rsidR="00FB5776" w:rsidRPr="00A91F7D" w:rsidRDefault="00FB5776" w:rsidP="00FB5776">
            <w:pPr>
              <w:widowControl/>
              <w:jc w:val="center"/>
              <w:rPr>
                <w:rFonts w:ascii="Times New Roman" w:eastAsia="游明朝" w:hAnsi="Times New Roman" w:cs="Times New Roman"/>
                <w:b/>
                <w:bCs/>
                <w:sz w:val="18"/>
                <w:szCs w:val="20"/>
              </w:rPr>
            </w:pPr>
            <w:bookmarkStart w:id="39" w:name="_Hlk194321414"/>
            <w:r w:rsidRPr="00A91F7D">
              <w:rPr>
                <w:rFonts w:ascii="Times New Roman" w:eastAsia="游明朝" w:hAnsi="Times New Roman" w:cs="Times New Roman"/>
                <w:b/>
                <w:bCs/>
                <w:sz w:val="18"/>
                <w:szCs w:val="20"/>
              </w:rPr>
              <w:t>Items</w:t>
            </w:r>
          </w:p>
        </w:tc>
        <w:tc>
          <w:tcPr>
            <w:tcW w:w="2435" w:type="dxa"/>
            <w:tcBorders>
              <w:top w:val="single" w:sz="8" w:space="0" w:color="auto"/>
              <w:bottom w:val="single" w:sz="4" w:space="0" w:color="auto"/>
            </w:tcBorders>
            <w:vAlign w:val="center"/>
          </w:tcPr>
          <w:p w14:paraId="1C60DA72" w14:textId="77777777" w:rsidR="00FB5776" w:rsidRPr="00A91F7D" w:rsidRDefault="00FB5776" w:rsidP="00FB5776">
            <w:pPr>
              <w:widowControl/>
              <w:jc w:val="center"/>
              <w:rPr>
                <w:rFonts w:ascii="Times New Roman" w:eastAsia="游明朝" w:hAnsi="Times New Roman" w:cs="Times New Roman"/>
                <w:b/>
                <w:bCs/>
                <w:sz w:val="18"/>
                <w:szCs w:val="20"/>
              </w:rPr>
            </w:pPr>
            <w:r w:rsidRPr="00A91F7D">
              <w:rPr>
                <w:rFonts w:ascii="Times New Roman" w:eastAsia="游明朝" w:hAnsi="Times New Roman" w:cs="Times New Roman"/>
                <w:b/>
                <w:bCs/>
                <w:sz w:val="18"/>
                <w:szCs w:val="20"/>
              </w:rPr>
              <w:t>CO</w:t>
            </w:r>
            <w:r w:rsidRPr="00A91F7D">
              <w:rPr>
                <w:rFonts w:ascii="Times New Roman" w:eastAsia="游明朝" w:hAnsi="Times New Roman" w:cs="Times New Roman"/>
                <w:b/>
                <w:bCs/>
                <w:sz w:val="18"/>
                <w:szCs w:val="20"/>
                <w:vertAlign w:val="subscript"/>
              </w:rPr>
              <w:t>2</w:t>
            </w:r>
          </w:p>
        </w:tc>
        <w:tc>
          <w:tcPr>
            <w:tcW w:w="2436" w:type="dxa"/>
            <w:tcBorders>
              <w:top w:val="single" w:sz="8" w:space="0" w:color="auto"/>
              <w:bottom w:val="single" w:sz="4" w:space="0" w:color="auto"/>
            </w:tcBorders>
            <w:vAlign w:val="center"/>
          </w:tcPr>
          <w:p w14:paraId="4AA916EA" w14:textId="77777777" w:rsidR="00FB5776" w:rsidRPr="00A91F7D" w:rsidRDefault="00FB5776" w:rsidP="00FB5776">
            <w:pPr>
              <w:widowControl/>
              <w:jc w:val="center"/>
              <w:rPr>
                <w:rFonts w:ascii="Times New Roman" w:eastAsia="游明朝" w:hAnsi="Times New Roman" w:cs="Times New Roman"/>
                <w:b/>
                <w:bCs/>
                <w:sz w:val="18"/>
                <w:szCs w:val="20"/>
              </w:rPr>
            </w:pPr>
            <w:r w:rsidRPr="00A91F7D">
              <w:rPr>
                <w:rFonts w:ascii="Times New Roman" w:eastAsia="游明朝" w:hAnsi="Times New Roman" w:cs="Times New Roman"/>
                <w:b/>
                <w:bCs/>
                <w:sz w:val="18"/>
                <w:szCs w:val="20"/>
              </w:rPr>
              <w:t>CH</w:t>
            </w:r>
            <w:r w:rsidRPr="00A91F7D">
              <w:rPr>
                <w:rFonts w:ascii="Times New Roman" w:eastAsia="游明朝" w:hAnsi="Times New Roman" w:cs="Times New Roman"/>
                <w:b/>
                <w:bCs/>
                <w:sz w:val="18"/>
                <w:szCs w:val="20"/>
                <w:vertAlign w:val="subscript"/>
              </w:rPr>
              <w:t>4</w:t>
            </w:r>
          </w:p>
        </w:tc>
        <w:tc>
          <w:tcPr>
            <w:tcW w:w="2436" w:type="dxa"/>
            <w:tcBorders>
              <w:top w:val="single" w:sz="8" w:space="0" w:color="auto"/>
              <w:bottom w:val="single" w:sz="4" w:space="0" w:color="auto"/>
            </w:tcBorders>
            <w:vAlign w:val="center"/>
          </w:tcPr>
          <w:p w14:paraId="53E0DE22" w14:textId="77777777" w:rsidR="00FB5776" w:rsidRPr="00A91F7D" w:rsidRDefault="00FB5776" w:rsidP="00FB5776">
            <w:pPr>
              <w:widowControl/>
              <w:jc w:val="center"/>
              <w:rPr>
                <w:rFonts w:ascii="Times New Roman" w:eastAsia="游明朝" w:hAnsi="Times New Roman" w:cs="Times New Roman"/>
                <w:b/>
                <w:bCs/>
                <w:sz w:val="18"/>
                <w:szCs w:val="20"/>
              </w:rPr>
            </w:pPr>
            <w:r w:rsidRPr="00A91F7D">
              <w:rPr>
                <w:rFonts w:ascii="Times New Roman" w:eastAsia="游明朝" w:hAnsi="Times New Roman" w:cs="Times New Roman"/>
                <w:b/>
                <w:bCs/>
                <w:sz w:val="18"/>
                <w:szCs w:val="20"/>
              </w:rPr>
              <w:t>N</w:t>
            </w:r>
            <w:r w:rsidRPr="00A91F7D">
              <w:rPr>
                <w:rFonts w:ascii="Times New Roman" w:eastAsia="游明朝" w:hAnsi="Times New Roman" w:cs="Times New Roman"/>
                <w:b/>
                <w:bCs/>
                <w:sz w:val="18"/>
                <w:szCs w:val="20"/>
                <w:vertAlign w:val="subscript"/>
              </w:rPr>
              <w:t>2</w:t>
            </w:r>
            <w:r w:rsidRPr="00A91F7D">
              <w:rPr>
                <w:rFonts w:ascii="Times New Roman" w:eastAsia="游明朝" w:hAnsi="Times New Roman" w:cs="Times New Roman"/>
                <w:b/>
                <w:bCs/>
                <w:sz w:val="18"/>
                <w:szCs w:val="20"/>
              </w:rPr>
              <w:t>O</w:t>
            </w:r>
          </w:p>
        </w:tc>
      </w:tr>
      <w:tr w:rsidR="00A91F7D" w:rsidRPr="00A91F7D" w14:paraId="44BE1F7F" w14:textId="77777777" w:rsidTr="002A7DEB">
        <w:trPr>
          <w:trHeight w:val="409"/>
        </w:trPr>
        <w:tc>
          <w:tcPr>
            <w:tcW w:w="2435" w:type="dxa"/>
            <w:tcBorders>
              <w:top w:val="single" w:sz="4" w:space="0" w:color="auto"/>
            </w:tcBorders>
            <w:vAlign w:val="center"/>
          </w:tcPr>
          <w:p w14:paraId="1AE56DE4"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GHG intensity</w:t>
            </w:r>
          </w:p>
        </w:tc>
        <w:tc>
          <w:tcPr>
            <w:tcW w:w="2435" w:type="dxa"/>
            <w:tcBorders>
              <w:top w:val="single" w:sz="4" w:space="0" w:color="auto"/>
            </w:tcBorders>
            <w:vAlign w:val="center"/>
          </w:tcPr>
          <w:p w14:paraId="6EB582FD"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1</w:t>
            </w:r>
          </w:p>
        </w:tc>
        <w:tc>
          <w:tcPr>
            <w:tcW w:w="2436" w:type="dxa"/>
            <w:tcBorders>
              <w:top w:val="single" w:sz="4" w:space="0" w:color="auto"/>
            </w:tcBorders>
            <w:vAlign w:val="center"/>
          </w:tcPr>
          <w:p w14:paraId="446F28D5"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86 times</w:t>
            </w:r>
          </w:p>
        </w:tc>
        <w:tc>
          <w:tcPr>
            <w:tcW w:w="2436" w:type="dxa"/>
            <w:tcBorders>
              <w:top w:val="single" w:sz="4" w:space="0" w:color="auto"/>
            </w:tcBorders>
            <w:vAlign w:val="center"/>
          </w:tcPr>
          <w:p w14:paraId="777E5635"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265 times</w:t>
            </w:r>
          </w:p>
        </w:tc>
      </w:tr>
      <w:tr w:rsidR="00A91F7D" w:rsidRPr="00A91F7D" w14:paraId="72F9D3FC" w14:textId="77777777" w:rsidTr="009A2C59">
        <w:tc>
          <w:tcPr>
            <w:tcW w:w="2435" w:type="dxa"/>
            <w:vAlign w:val="center"/>
          </w:tcPr>
          <w:p w14:paraId="4CCB28DF"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Atmospheric lifetime</w:t>
            </w:r>
          </w:p>
        </w:tc>
        <w:tc>
          <w:tcPr>
            <w:tcW w:w="2435" w:type="dxa"/>
            <w:vAlign w:val="center"/>
          </w:tcPr>
          <w:p w14:paraId="28EBD5C5"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Hundreds to thousands of years</w:t>
            </w:r>
          </w:p>
        </w:tc>
        <w:tc>
          <w:tcPr>
            <w:tcW w:w="2436" w:type="dxa"/>
            <w:vAlign w:val="center"/>
          </w:tcPr>
          <w:p w14:paraId="7A74A979"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10 years</w:t>
            </w:r>
          </w:p>
        </w:tc>
        <w:tc>
          <w:tcPr>
            <w:tcW w:w="2436" w:type="dxa"/>
            <w:vAlign w:val="center"/>
          </w:tcPr>
          <w:p w14:paraId="68968F06"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121 years</w:t>
            </w:r>
          </w:p>
        </w:tc>
      </w:tr>
      <w:tr w:rsidR="00A91F7D" w:rsidRPr="00A91F7D" w14:paraId="617AD6A2" w14:textId="77777777" w:rsidTr="009A2C59">
        <w:tc>
          <w:tcPr>
            <w:tcW w:w="2435" w:type="dxa"/>
            <w:vAlign w:val="center"/>
          </w:tcPr>
          <w:p w14:paraId="75465F95" w14:textId="77777777" w:rsidR="00FB5776" w:rsidRPr="00A91F7D" w:rsidRDefault="00FB5776" w:rsidP="00FB5776">
            <w:pPr>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Atmospheric proportion</w:t>
            </w:r>
          </w:p>
          <w:p w14:paraId="27CDCCD8"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 xml:space="preserve"> (in 2024)</w:t>
            </w:r>
          </w:p>
        </w:tc>
        <w:tc>
          <w:tcPr>
            <w:tcW w:w="2435" w:type="dxa"/>
            <w:vAlign w:val="center"/>
          </w:tcPr>
          <w:p w14:paraId="1D383BBC"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75.0%</w:t>
            </w:r>
          </w:p>
        </w:tc>
        <w:tc>
          <w:tcPr>
            <w:tcW w:w="2436" w:type="dxa"/>
            <w:vAlign w:val="center"/>
          </w:tcPr>
          <w:p w14:paraId="115856CB"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19.5%</w:t>
            </w:r>
          </w:p>
        </w:tc>
        <w:tc>
          <w:tcPr>
            <w:tcW w:w="2436" w:type="dxa"/>
            <w:vAlign w:val="center"/>
          </w:tcPr>
          <w:p w14:paraId="050665C5"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5.5%</w:t>
            </w:r>
          </w:p>
        </w:tc>
      </w:tr>
      <w:tr w:rsidR="00A91F7D" w:rsidRPr="00A91F7D" w14:paraId="1EE2D260" w14:textId="77777777" w:rsidTr="009A2C59">
        <w:trPr>
          <w:trHeight w:val="729"/>
        </w:trPr>
        <w:tc>
          <w:tcPr>
            <w:tcW w:w="2435" w:type="dxa"/>
            <w:vAlign w:val="center"/>
          </w:tcPr>
          <w:p w14:paraId="4088FB2A"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Emission source</w:t>
            </w:r>
          </w:p>
        </w:tc>
        <w:tc>
          <w:tcPr>
            <w:tcW w:w="2435" w:type="dxa"/>
            <w:vAlign w:val="center"/>
          </w:tcPr>
          <w:p w14:paraId="62184CD4"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Fossil fuels</w:t>
            </w:r>
          </w:p>
        </w:tc>
        <w:tc>
          <w:tcPr>
            <w:tcW w:w="2436" w:type="dxa"/>
            <w:vAlign w:val="center"/>
          </w:tcPr>
          <w:p w14:paraId="5948414C" w14:textId="77777777" w:rsidR="00FB5776" w:rsidRPr="00A91F7D" w:rsidRDefault="00FB5776" w:rsidP="00DA6570">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sz w:val="18"/>
                <w:szCs w:val="20"/>
              </w:rPr>
              <w:t>Natural gas well leakage</w:t>
            </w:r>
          </w:p>
          <w:p w14:paraId="43FDEA1C" w14:textId="77777777" w:rsidR="00FB5776" w:rsidRPr="00A91F7D" w:rsidRDefault="00FB5776" w:rsidP="00DA6570">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sz w:val="18"/>
                <w:szCs w:val="20"/>
              </w:rPr>
              <w:t>Agriculture/Livestock</w:t>
            </w:r>
          </w:p>
        </w:tc>
        <w:tc>
          <w:tcPr>
            <w:tcW w:w="2436" w:type="dxa"/>
            <w:vAlign w:val="center"/>
          </w:tcPr>
          <w:p w14:paraId="7F0B046B" w14:textId="77777777" w:rsidR="00FB5776" w:rsidRPr="00A91F7D" w:rsidRDefault="00FB5776" w:rsidP="00DA6570">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sz w:val="18"/>
                <w:szCs w:val="20"/>
              </w:rPr>
              <w:t>Agricultural soil management</w:t>
            </w:r>
          </w:p>
          <w:p w14:paraId="64B56B50" w14:textId="77777777" w:rsidR="00FB5776" w:rsidRPr="00A91F7D" w:rsidRDefault="00FB5776" w:rsidP="00DA6570">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sz w:val="18"/>
                <w:szCs w:val="20"/>
              </w:rPr>
              <w:t>Stationary combustion, wastewater treatment</w:t>
            </w:r>
          </w:p>
        </w:tc>
      </w:tr>
      <w:tr w:rsidR="00A91F7D" w:rsidRPr="00A91F7D" w14:paraId="2EDF06B4" w14:textId="77777777" w:rsidTr="009A2C59">
        <w:trPr>
          <w:trHeight w:val="785"/>
        </w:trPr>
        <w:tc>
          <w:tcPr>
            <w:tcW w:w="2435" w:type="dxa"/>
            <w:tcBorders>
              <w:bottom w:val="dotted" w:sz="4" w:space="0" w:color="auto"/>
            </w:tcBorders>
            <w:vAlign w:val="center"/>
          </w:tcPr>
          <w:p w14:paraId="7EAD7F71"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Removal mechanisms</w:t>
            </w:r>
          </w:p>
        </w:tc>
        <w:tc>
          <w:tcPr>
            <w:tcW w:w="2435" w:type="dxa"/>
            <w:tcBorders>
              <w:bottom w:val="dotted" w:sz="4" w:space="0" w:color="auto"/>
            </w:tcBorders>
            <w:vAlign w:val="center"/>
          </w:tcPr>
          <w:p w14:paraId="60FF18B2"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DACCS, BECCS, etc.</w:t>
            </w:r>
          </w:p>
          <w:p w14:paraId="35634E3D"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 xml:space="preserve">(see </w:t>
            </w:r>
            <w:r w:rsidRPr="00A91F7D">
              <w:rPr>
                <w:rFonts w:ascii="Times New Roman" w:eastAsia="游明朝" w:hAnsi="Times New Roman" w:cs="Times New Roman"/>
                <w:b/>
                <w:bCs/>
                <w:sz w:val="18"/>
                <w:szCs w:val="20"/>
              </w:rPr>
              <w:t>Fig. 7</w:t>
            </w:r>
            <w:r w:rsidRPr="00A91F7D">
              <w:rPr>
                <w:rFonts w:ascii="Times New Roman" w:eastAsia="游明朝" w:hAnsi="Times New Roman" w:cs="Times New Roman"/>
                <w:sz w:val="18"/>
                <w:szCs w:val="20"/>
              </w:rPr>
              <w:t>)</w:t>
            </w:r>
          </w:p>
        </w:tc>
        <w:tc>
          <w:tcPr>
            <w:tcW w:w="2436" w:type="dxa"/>
            <w:tcBorders>
              <w:bottom w:val="dotted" w:sz="4" w:space="0" w:color="auto"/>
            </w:tcBorders>
            <w:vAlign w:val="center"/>
          </w:tcPr>
          <w:p w14:paraId="3DBD5161" w14:textId="4400F6CA" w:rsidR="00FB5776" w:rsidRPr="00A91F7D" w:rsidRDefault="00DA6570" w:rsidP="00AD60CE">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hint="eastAsia"/>
                <w:sz w:val="18"/>
                <w:szCs w:val="20"/>
              </w:rPr>
              <w:t>CH</w:t>
            </w:r>
            <w:r w:rsidRPr="00A91F7D">
              <w:rPr>
                <w:rFonts w:ascii="Times New Roman" w:eastAsia="游明朝" w:hAnsi="Times New Roman" w:cs="Times New Roman" w:hint="eastAsia"/>
                <w:sz w:val="18"/>
                <w:szCs w:val="20"/>
                <w:vertAlign w:val="subscript"/>
              </w:rPr>
              <w:t>4</w:t>
            </w:r>
            <w:r w:rsidRPr="00A91F7D">
              <w:rPr>
                <w:rFonts w:ascii="Times New Roman" w:eastAsia="游明朝" w:hAnsi="Times New Roman" w:cs="Times New Roman"/>
                <w:sz w:val="18"/>
                <w:szCs w:val="20"/>
              </w:rPr>
              <w:t xml:space="preserve"> is removed from the atmosphere by means of photocatalysts, zeolites, and metal catalysts associated with porous polymer networks.</w:t>
            </w:r>
          </w:p>
        </w:tc>
        <w:tc>
          <w:tcPr>
            <w:tcW w:w="2436" w:type="dxa"/>
            <w:tcBorders>
              <w:bottom w:val="dotted" w:sz="4" w:space="0" w:color="auto"/>
            </w:tcBorders>
            <w:vAlign w:val="center"/>
          </w:tcPr>
          <w:p w14:paraId="22E7BA33" w14:textId="42A685E1" w:rsidR="00FB5776" w:rsidRPr="00A91F7D" w:rsidRDefault="00AD60CE" w:rsidP="00AD60CE">
            <w:pPr>
              <w:widowControl/>
              <w:spacing w:line="240" w:lineRule="exact"/>
              <w:jc w:val="left"/>
              <w:rPr>
                <w:rFonts w:ascii="Times New Roman" w:eastAsia="游明朝" w:hAnsi="Times New Roman" w:cs="Times New Roman"/>
                <w:sz w:val="18"/>
                <w:szCs w:val="20"/>
              </w:rPr>
            </w:pPr>
            <w:r w:rsidRPr="00A91F7D">
              <w:rPr>
                <w:rFonts w:ascii="Times New Roman" w:eastAsia="游明朝" w:hAnsi="Times New Roman" w:cs="Times New Roman" w:hint="eastAsia"/>
                <w:sz w:val="18"/>
                <w:szCs w:val="20"/>
              </w:rPr>
              <w:t>N</w:t>
            </w:r>
            <w:r w:rsidRPr="00A91F7D">
              <w:rPr>
                <w:rFonts w:ascii="Times New Roman" w:eastAsia="游明朝" w:hAnsi="Times New Roman" w:cs="Times New Roman" w:hint="eastAsia"/>
                <w:sz w:val="18"/>
                <w:szCs w:val="20"/>
                <w:vertAlign w:val="subscript"/>
              </w:rPr>
              <w:t>2</w:t>
            </w:r>
            <w:r w:rsidRPr="00A91F7D">
              <w:rPr>
                <w:rFonts w:ascii="Times New Roman" w:eastAsia="游明朝" w:hAnsi="Times New Roman" w:cs="Times New Roman" w:hint="eastAsia"/>
                <w:sz w:val="18"/>
                <w:szCs w:val="20"/>
              </w:rPr>
              <w:t>O</w:t>
            </w:r>
            <w:r w:rsidRPr="00A91F7D">
              <w:rPr>
                <w:rFonts w:ascii="Times New Roman" w:eastAsia="游明朝" w:hAnsi="Times New Roman" w:cs="Times New Roman"/>
                <w:sz w:val="18"/>
                <w:szCs w:val="20"/>
              </w:rPr>
              <w:t xml:space="preserve"> is removed from the atmosphere by nitrogen-fixing bacteria and cyanobacteria, or by decomposition through ultraviolet rays and chemical reactions.</w:t>
            </w:r>
          </w:p>
        </w:tc>
      </w:tr>
      <w:tr w:rsidR="00A91F7D" w:rsidRPr="00A91F7D" w14:paraId="143F6D1A" w14:textId="77777777" w:rsidTr="009A2C59">
        <w:trPr>
          <w:trHeight w:val="379"/>
        </w:trPr>
        <w:tc>
          <w:tcPr>
            <w:tcW w:w="2435" w:type="dxa"/>
            <w:tcBorders>
              <w:top w:val="dotted" w:sz="4" w:space="0" w:color="auto"/>
              <w:bottom w:val="single" w:sz="8" w:space="0" w:color="auto"/>
            </w:tcBorders>
            <w:vAlign w:val="center"/>
          </w:tcPr>
          <w:p w14:paraId="3D10E881" w14:textId="77777777" w:rsidR="00FB5776" w:rsidRPr="00A91F7D" w:rsidRDefault="00FB5776" w:rsidP="00FB5776">
            <w:pPr>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Impact factor</w:t>
            </w:r>
          </w:p>
        </w:tc>
        <w:tc>
          <w:tcPr>
            <w:tcW w:w="2435" w:type="dxa"/>
            <w:tcBorders>
              <w:top w:val="dotted" w:sz="4" w:space="0" w:color="auto"/>
              <w:bottom w:val="single" w:sz="8" w:space="0" w:color="auto"/>
            </w:tcBorders>
            <w:vAlign w:val="center"/>
          </w:tcPr>
          <w:p w14:paraId="4CB470C8"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 xml:space="preserve">Hundreds to thousands </w:t>
            </w:r>
          </w:p>
        </w:tc>
        <w:tc>
          <w:tcPr>
            <w:tcW w:w="2436" w:type="dxa"/>
            <w:tcBorders>
              <w:top w:val="dotted" w:sz="4" w:space="0" w:color="auto"/>
              <w:bottom w:val="single" w:sz="8" w:space="0" w:color="auto"/>
            </w:tcBorders>
            <w:vAlign w:val="center"/>
          </w:tcPr>
          <w:p w14:paraId="41579348"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168</w:t>
            </w:r>
          </w:p>
        </w:tc>
        <w:tc>
          <w:tcPr>
            <w:tcW w:w="2436" w:type="dxa"/>
            <w:tcBorders>
              <w:top w:val="dotted" w:sz="4" w:space="0" w:color="auto"/>
              <w:bottom w:val="single" w:sz="8" w:space="0" w:color="auto"/>
            </w:tcBorders>
            <w:vAlign w:val="center"/>
          </w:tcPr>
          <w:p w14:paraId="57B9F6D7" w14:textId="77777777" w:rsidR="00FB5776" w:rsidRPr="00A91F7D" w:rsidRDefault="00FB5776" w:rsidP="00FB5776">
            <w:pPr>
              <w:widowControl/>
              <w:spacing w:line="240" w:lineRule="exact"/>
              <w:jc w:val="center"/>
              <w:rPr>
                <w:rFonts w:ascii="Times New Roman" w:eastAsia="游明朝" w:hAnsi="Times New Roman" w:cs="Times New Roman"/>
                <w:sz w:val="18"/>
                <w:szCs w:val="20"/>
              </w:rPr>
            </w:pPr>
            <w:r w:rsidRPr="00A91F7D">
              <w:rPr>
                <w:rFonts w:ascii="Times New Roman" w:eastAsia="游明朝" w:hAnsi="Times New Roman" w:cs="Times New Roman"/>
                <w:sz w:val="18"/>
                <w:szCs w:val="20"/>
              </w:rPr>
              <w:t>32,000</w:t>
            </w:r>
          </w:p>
        </w:tc>
      </w:tr>
      <w:bookmarkEnd w:id="39"/>
    </w:tbl>
    <w:p w14:paraId="49C1CB67" w14:textId="77777777" w:rsidR="007C7DBE" w:rsidRPr="0076136A" w:rsidRDefault="007C7DBE" w:rsidP="007C7DBE">
      <w:pPr>
        <w:widowControl/>
        <w:jc w:val="center"/>
        <w:rPr>
          <w:rFonts w:ascii="Times New Roman" w:hAnsi="Times New Roman" w:cs="Times New Roman"/>
          <w:b/>
          <w:bCs/>
          <w:sz w:val="24"/>
          <w:szCs w:val="24"/>
        </w:rPr>
      </w:pPr>
    </w:p>
    <w:p w14:paraId="0C2D51D8" w14:textId="73514CDF" w:rsidR="001C7A77" w:rsidRDefault="007C7DBE" w:rsidP="00063D47">
      <w:pPr>
        <w:spacing w:line="320" w:lineRule="exact"/>
        <w:rPr>
          <w:rFonts w:ascii="Times New Roman" w:hAnsi="Times New Roman" w:cs="Times New Roman"/>
          <w:b/>
          <w:bCs/>
          <w:sz w:val="24"/>
          <w:szCs w:val="24"/>
        </w:rPr>
      </w:pPr>
      <w:r>
        <w:rPr>
          <w:rFonts w:ascii="Times New Roman" w:hAnsi="Times New Roman" w:cs="Times New Roman"/>
          <w:b/>
          <w:bCs/>
          <w:sz w:val="24"/>
          <w:szCs w:val="24"/>
        </w:rPr>
        <w:br w:type="page"/>
      </w:r>
    </w:p>
    <w:p w14:paraId="63EAA0DA" w14:textId="7D2173C6" w:rsidR="00A91F7D" w:rsidRPr="00A91F7D" w:rsidRDefault="00A91F7D" w:rsidP="004F2C64">
      <w:pPr>
        <w:widowControl/>
        <w:jc w:val="left"/>
        <w:rPr>
          <w:rFonts w:ascii="Times New Roman" w:hAnsi="Times New Roman" w:cs="Times New Roman"/>
          <w:sz w:val="24"/>
          <w:szCs w:val="24"/>
        </w:rPr>
      </w:pPr>
      <w:bookmarkStart w:id="40" w:name="_Hlk203995046"/>
      <w:r w:rsidRPr="00A91F7D">
        <w:rPr>
          <w:rFonts w:ascii="Times New Roman" w:hAnsi="Times New Roman" w:cs="Times New Roman"/>
          <w:b/>
          <w:bCs/>
          <w:sz w:val="24"/>
          <w:szCs w:val="24"/>
        </w:rPr>
        <w:lastRenderedPageBreak/>
        <w:t>Supplementary Ta</w:t>
      </w:r>
      <w:r w:rsidRPr="004E4FF5">
        <w:rPr>
          <w:rFonts w:ascii="Times New Roman" w:hAnsi="Times New Roman" w:cs="Times New Roman"/>
          <w:b/>
          <w:bCs/>
          <w:sz w:val="24"/>
          <w:szCs w:val="24"/>
        </w:rPr>
        <w:t>ble S</w:t>
      </w:r>
      <w:r w:rsidR="00063D47" w:rsidRPr="004E4FF5">
        <w:rPr>
          <w:rFonts w:ascii="Times New Roman" w:hAnsi="Times New Roman" w:cs="Times New Roman" w:hint="eastAsia"/>
          <w:b/>
          <w:bCs/>
          <w:sz w:val="24"/>
          <w:szCs w:val="24"/>
        </w:rPr>
        <w:t>8</w:t>
      </w:r>
      <w:r w:rsidRPr="004E4FF5">
        <w:rPr>
          <w:rFonts w:ascii="Times New Roman" w:hAnsi="Times New Roman" w:cs="Times New Roman"/>
          <w:b/>
          <w:bCs/>
          <w:sz w:val="24"/>
          <w:szCs w:val="24"/>
        </w:rPr>
        <w:t>. Eart</w:t>
      </w:r>
      <w:r w:rsidRPr="00A91F7D">
        <w:rPr>
          <w:rFonts w:ascii="Times New Roman" w:hAnsi="Times New Roman" w:cs="Times New Roman"/>
          <w:b/>
          <w:bCs/>
          <w:sz w:val="24"/>
          <w:szCs w:val="24"/>
        </w:rPr>
        <w:t>h’s energy balance due to the installation of FOPVs.</w:t>
      </w:r>
      <w:bookmarkEnd w:id="40"/>
      <w:r w:rsidRPr="00A91F7D">
        <w:rPr>
          <w:rFonts w:ascii="Times New Roman" w:hAnsi="Times New Roman" w:cs="Times New Roman"/>
          <w:sz w:val="24"/>
          <w:szCs w:val="24"/>
        </w:rPr>
        <w:t xml:space="preserve"> Sea ice typically reflects 60%–70% of solar radiation due to its white, sn</w:t>
      </w:r>
      <w:r w:rsidRPr="003C39DD">
        <w:rPr>
          <w:rFonts w:ascii="Times New Roman" w:hAnsi="Times New Roman" w:cs="Times New Roman"/>
          <w:sz w:val="24"/>
          <w:szCs w:val="24"/>
        </w:rPr>
        <w:t>owy surface. In contrast, seawater reflects only around 10% of solar radiation, with the remainder absorbed by the ocean</w:t>
      </w:r>
      <w:r w:rsidR="007078A1" w:rsidRPr="003C39DD">
        <w:rPr>
          <w:rFonts w:ascii="Times New Roman" w:hAnsi="Times New Roman" w:cs="Times New Roman" w:hint="eastAsia"/>
          <w:sz w:val="24"/>
          <w:szCs w:val="24"/>
        </w:rPr>
        <w:t xml:space="preserve"> [18]</w:t>
      </w:r>
      <w:r w:rsidRPr="003C39DD">
        <w:rPr>
          <w:rFonts w:ascii="Times New Roman" w:hAnsi="Times New Roman" w:cs="Times New Roman"/>
          <w:sz w:val="24"/>
          <w:szCs w:val="24"/>
        </w:rPr>
        <w:t>. However, the surface of the FOPV plant is covered with solar panels. According to the Ministry of the Environment, solar panel glass has a reflectivity of approximately 8%</w:t>
      </w:r>
      <w:r w:rsidR="007078A1" w:rsidRPr="003C39DD">
        <w:rPr>
          <w:rFonts w:ascii="Times New Roman" w:hAnsi="Times New Roman" w:cs="Times New Roman" w:hint="eastAsia"/>
          <w:sz w:val="24"/>
          <w:szCs w:val="24"/>
        </w:rPr>
        <w:t xml:space="preserve"> [19]</w:t>
      </w:r>
      <w:r w:rsidRPr="003C39DD">
        <w:rPr>
          <w:rFonts w:ascii="Times New Roman" w:hAnsi="Times New Roman" w:cs="Times New Roman"/>
          <w:sz w:val="24"/>
          <w:szCs w:val="24"/>
        </w:rPr>
        <w:t xml:space="preserve">. Assuming that the solar reflectance of the FOPV frame is 65%, </w:t>
      </w:r>
      <w:proofErr w:type="gramStart"/>
      <w:r w:rsidRPr="003C39DD">
        <w:rPr>
          <w:rFonts w:ascii="Times New Roman" w:hAnsi="Times New Roman" w:cs="Times New Roman"/>
          <w:sz w:val="24"/>
          <w:szCs w:val="24"/>
        </w:rPr>
        <w:t>similar to</w:t>
      </w:r>
      <w:proofErr w:type="gramEnd"/>
      <w:r w:rsidRPr="003C39DD">
        <w:rPr>
          <w:rFonts w:ascii="Times New Roman" w:hAnsi="Times New Roman" w:cs="Times New Roman"/>
          <w:sz w:val="24"/>
          <w:szCs w:val="24"/>
        </w:rPr>
        <w:t xml:space="preserve"> that of sea ice, the following table shows the reflected solar energy and the solar energy absorbed by the ocean, calculated based on </w:t>
      </w:r>
      <w:r w:rsidRPr="003C39DD">
        <w:rPr>
          <w:rFonts w:ascii="Times New Roman" w:hAnsi="Times New Roman" w:cs="Times New Roman"/>
          <w:b/>
          <w:bCs/>
          <w:sz w:val="24"/>
          <w:szCs w:val="24"/>
        </w:rPr>
        <w:t>Table 1</w:t>
      </w:r>
      <w:r w:rsidRPr="003C39DD">
        <w:rPr>
          <w:rFonts w:ascii="Times New Roman" w:hAnsi="Times New Roman" w:cs="Times New Roman"/>
          <w:sz w:val="24"/>
          <w:szCs w:val="24"/>
        </w:rPr>
        <w:t xml:space="preserve"> a</w:t>
      </w:r>
      <w:r w:rsidRPr="00A91F7D">
        <w:rPr>
          <w:rFonts w:ascii="Times New Roman" w:hAnsi="Times New Roman" w:cs="Times New Roman"/>
          <w:sz w:val="24"/>
          <w:szCs w:val="24"/>
        </w:rPr>
        <w:t xml:space="preserve">nd </w:t>
      </w:r>
      <w:r w:rsidRPr="00A91F7D">
        <w:rPr>
          <w:rFonts w:ascii="Times New Roman" w:hAnsi="Times New Roman" w:cs="Times New Roman"/>
          <w:b/>
          <w:bCs/>
          <w:sz w:val="24"/>
          <w:szCs w:val="24"/>
        </w:rPr>
        <w:t>Supplementary Table S1</w:t>
      </w:r>
      <w:r w:rsidRPr="00A91F7D">
        <w:rPr>
          <w:rFonts w:ascii="Times New Roman" w:hAnsi="Times New Roman" w:cs="Times New Roman"/>
          <w:sz w:val="24"/>
          <w:szCs w:val="24"/>
        </w:rPr>
        <w:t xml:space="preserve">. </w:t>
      </w:r>
    </w:p>
    <w:p w14:paraId="3B29B884" w14:textId="297EA7F2" w:rsidR="00A91F7D" w:rsidRPr="00A91F7D" w:rsidRDefault="00A91F7D" w:rsidP="004F2C64">
      <w:pPr>
        <w:widowControl/>
        <w:jc w:val="left"/>
        <w:rPr>
          <w:rFonts w:ascii="Times New Roman" w:hAnsi="Times New Roman" w:cs="Times New Roman"/>
          <w:sz w:val="24"/>
          <w:szCs w:val="24"/>
        </w:rPr>
      </w:pPr>
      <w:r w:rsidRPr="00A91F7D">
        <w:rPr>
          <w:rFonts w:ascii="Times New Roman" w:hAnsi="Times New Roman" w:cs="Times New Roman"/>
          <w:sz w:val="24"/>
          <w:szCs w:val="24"/>
        </w:rPr>
        <w:t>According to this, installing FOPV increases the difference in reflected solar energy (Dsre) between with and without FOPV by 155 PWh. It reduces the difference in solar energy absorbed by the ocean (Doae) by -367 PWh, cooling the ocean beneath the FOPV. However, the electricity generated by the FOPV (Pbfv) of 416 PWh in 2100 is released as thermal energy through various processes. As a result, the Earth's energy balance change due to FOPV installation (Eeb) is -106 PWh. This results in a decrease in radiative energy of -0.024 W/m² globally. This decrease in radiative energy functions to cool the Earth, although the amount is negligible.</w:t>
      </w:r>
    </w:p>
    <w:tbl>
      <w:tblPr>
        <w:tblW w:w="10916" w:type="dxa"/>
        <w:tblInd w:w="-284" w:type="dxa"/>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5068"/>
        <w:gridCol w:w="920"/>
        <w:gridCol w:w="4928"/>
      </w:tblGrid>
      <w:tr w:rsidR="002266BE" w:rsidRPr="002266BE" w14:paraId="2AAB6AFF" w14:textId="77777777" w:rsidTr="000425CF">
        <w:trPr>
          <w:trHeight w:val="375"/>
        </w:trPr>
        <w:tc>
          <w:tcPr>
            <w:tcW w:w="5068" w:type="dxa"/>
            <w:noWrap/>
            <w:vAlign w:val="center"/>
            <w:hideMark/>
          </w:tcPr>
          <w:p w14:paraId="0801822E" w14:textId="77777777" w:rsidR="002266BE" w:rsidRPr="002266BE" w:rsidRDefault="002266BE" w:rsidP="002266BE">
            <w:pPr>
              <w:widowControl/>
              <w:jc w:val="center"/>
              <w:rPr>
                <w:rFonts w:ascii="Times New Roman" w:eastAsia="游ゴシック" w:hAnsi="Times New Roman" w:cs="Times New Roman"/>
                <w:b/>
                <w:bCs/>
                <w:color w:val="000000"/>
                <w:kern w:val="0"/>
                <w:sz w:val="22"/>
              </w:rPr>
            </w:pPr>
            <w:r w:rsidRPr="002266BE">
              <w:rPr>
                <w:rFonts w:ascii="Times New Roman" w:eastAsia="游ゴシック" w:hAnsi="Times New Roman" w:cs="Times New Roman"/>
                <w:b/>
                <w:bCs/>
                <w:color w:val="000000"/>
                <w:kern w:val="0"/>
                <w:sz w:val="22"/>
              </w:rPr>
              <w:t>Parameter</w:t>
            </w:r>
          </w:p>
        </w:tc>
        <w:tc>
          <w:tcPr>
            <w:tcW w:w="920" w:type="dxa"/>
            <w:noWrap/>
            <w:vAlign w:val="center"/>
            <w:hideMark/>
          </w:tcPr>
          <w:p w14:paraId="3CEBC84C" w14:textId="77777777" w:rsidR="002266BE" w:rsidRPr="002266BE" w:rsidRDefault="002266BE" w:rsidP="002266BE">
            <w:pPr>
              <w:widowControl/>
              <w:jc w:val="center"/>
              <w:rPr>
                <w:rFonts w:ascii="Times New Roman" w:eastAsia="游ゴシック" w:hAnsi="Times New Roman" w:cs="Times New Roman"/>
                <w:b/>
                <w:bCs/>
                <w:color w:val="000000"/>
                <w:kern w:val="0"/>
                <w:sz w:val="22"/>
              </w:rPr>
            </w:pPr>
            <w:r w:rsidRPr="002266BE">
              <w:rPr>
                <w:rFonts w:ascii="Times New Roman" w:eastAsia="游ゴシック" w:hAnsi="Times New Roman" w:cs="Times New Roman"/>
                <w:b/>
                <w:bCs/>
                <w:color w:val="000000"/>
                <w:kern w:val="0"/>
                <w:sz w:val="22"/>
              </w:rPr>
              <w:t>Value</w:t>
            </w:r>
          </w:p>
        </w:tc>
        <w:tc>
          <w:tcPr>
            <w:tcW w:w="4928" w:type="dxa"/>
            <w:noWrap/>
            <w:vAlign w:val="center"/>
            <w:hideMark/>
          </w:tcPr>
          <w:p w14:paraId="3C6FDE2E" w14:textId="77777777" w:rsidR="002266BE" w:rsidRPr="002266BE" w:rsidRDefault="002266BE" w:rsidP="002266BE">
            <w:pPr>
              <w:widowControl/>
              <w:jc w:val="center"/>
              <w:rPr>
                <w:rFonts w:ascii="Times New Roman" w:eastAsia="游ゴシック" w:hAnsi="Times New Roman" w:cs="Times New Roman"/>
                <w:b/>
                <w:bCs/>
                <w:color w:val="000000"/>
                <w:kern w:val="0"/>
                <w:sz w:val="22"/>
              </w:rPr>
            </w:pPr>
            <w:r w:rsidRPr="002266BE">
              <w:rPr>
                <w:rFonts w:ascii="Times New Roman" w:eastAsia="游ゴシック" w:hAnsi="Times New Roman" w:cs="Times New Roman"/>
                <w:b/>
                <w:bCs/>
                <w:color w:val="000000"/>
                <w:kern w:val="0"/>
                <w:sz w:val="22"/>
              </w:rPr>
              <w:t>Unit and remarks</w:t>
            </w:r>
          </w:p>
        </w:tc>
      </w:tr>
      <w:tr w:rsidR="002266BE" w:rsidRPr="002266BE" w14:paraId="35DE7A8C" w14:textId="77777777" w:rsidTr="000425CF">
        <w:trPr>
          <w:trHeight w:val="375"/>
        </w:trPr>
        <w:tc>
          <w:tcPr>
            <w:tcW w:w="5068" w:type="dxa"/>
            <w:noWrap/>
            <w:vAlign w:val="center"/>
            <w:hideMark/>
          </w:tcPr>
          <w:p w14:paraId="0D347BC7"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Solar radiation energy to FOPVs in 2100 (Refv)</w:t>
            </w:r>
          </w:p>
        </w:tc>
        <w:tc>
          <w:tcPr>
            <w:tcW w:w="920" w:type="dxa"/>
            <w:noWrap/>
            <w:vAlign w:val="center"/>
            <w:hideMark/>
          </w:tcPr>
          <w:p w14:paraId="317D2B2E"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2486 </w:t>
            </w:r>
          </w:p>
        </w:tc>
        <w:tc>
          <w:tcPr>
            <w:tcW w:w="4928" w:type="dxa"/>
            <w:noWrap/>
            <w:vAlign w:val="center"/>
            <w:hideMark/>
          </w:tcPr>
          <w:p w14:paraId="29EE4BCB"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=Spv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Nfopv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Ravg</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 xml:space="preserve">Nfv  (Nfv in </w:t>
            </w:r>
            <w:r w:rsidRPr="002266BE">
              <w:rPr>
                <w:rFonts w:ascii="Times New Roman" w:eastAsia="游ゴシック" w:hAnsi="Times New Roman" w:cs="Times New Roman"/>
                <w:b/>
                <w:bCs/>
                <w:color w:val="000000"/>
                <w:kern w:val="0"/>
                <w:sz w:val="17"/>
                <w:szCs w:val="17"/>
              </w:rPr>
              <w:t>Table 1</w:t>
            </w:r>
            <w:r w:rsidRPr="002266BE">
              <w:rPr>
                <w:rFonts w:ascii="Times New Roman" w:eastAsia="游ゴシック" w:hAnsi="Times New Roman" w:cs="Times New Roman"/>
                <w:color w:val="000000"/>
                <w:kern w:val="0"/>
                <w:sz w:val="17"/>
                <w:szCs w:val="17"/>
              </w:rPr>
              <w:t>)</w:t>
            </w:r>
          </w:p>
        </w:tc>
      </w:tr>
      <w:tr w:rsidR="002266BE" w:rsidRPr="002266BE" w14:paraId="17E62BB7" w14:textId="77777777" w:rsidTr="000425CF">
        <w:trPr>
          <w:trHeight w:val="375"/>
        </w:trPr>
        <w:tc>
          <w:tcPr>
            <w:tcW w:w="5068" w:type="dxa"/>
            <w:noWrap/>
            <w:vAlign w:val="center"/>
            <w:hideMark/>
          </w:tcPr>
          <w:p w14:paraId="3310117F"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Power generation energy of FOPVs in 2100 (Pbfv)</w:t>
            </w:r>
          </w:p>
        </w:tc>
        <w:tc>
          <w:tcPr>
            <w:tcW w:w="920" w:type="dxa"/>
            <w:noWrap/>
            <w:vAlign w:val="center"/>
            <w:hideMark/>
          </w:tcPr>
          <w:p w14:paraId="0A7BF74D"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416 </w:t>
            </w:r>
          </w:p>
        </w:tc>
        <w:tc>
          <w:tcPr>
            <w:tcW w:w="4928" w:type="dxa"/>
            <w:noWrap/>
            <w:vAlign w:val="center"/>
            <w:hideMark/>
          </w:tcPr>
          <w:p w14:paraId="50CB075C"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=Refv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Sepv/Spv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Epv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Efs</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 xml:space="preserve">Rop, see </w:t>
            </w:r>
            <w:r w:rsidRPr="002266BE">
              <w:rPr>
                <w:rFonts w:ascii="Times New Roman" w:eastAsia="游ゴシック" w:hAnsi="Times New Roman" w:cs="Times New Roman"/>
                <w:b/>
                <w:bCs/>
                <w:color w:val="000000"/>
                <w:kern w:val="0"/>
                <w:sz w:val="17"/>
                <w:szCs w:val="17"/>
              </w:rPr>
              <w:t>Supplementary Table S1</w:t>
            </w:r>
            <w:r w:rsidRPr="002266BE">
              <w:rPr>
                <w:rFonts w:ascii="Times New Roman" w:eastAsia="游ゴシック" w:hAnsi="Times New Roman" w:cs="Times New Roman"/>
                <w:color w:val="000000"/>
                <w:kern w:val="0"/>
                <w:sz w:val="17"/>
                <w:szCs w:val="17"/>
              </w:rPr>
              <w:t>)</w:t>
            </w:r>
          </w:p>
        </w:tc>
      </w:tr>
      <w:tr w:rsidR="002266BE" w:rsidRPr="002266BE" w14:paraId="10634DBA" w14:textId="77777777" w:rsidTr="000425CF">
        <w:trPr>
          <w:trHeight w:val="375"/>
        </w:trPr>
        <w:tc>
          <w:tcPr>
            <w:tcW w:w="5068" w:type="dxa"/>
            <w:noWrap/>
            <w:vAlign w:val="center"/>
            <w:hideMark/>
          </w:tcPr>
          <w:p w14:paraId="7427D668"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G-NH</w:t>
            </w:r>
            <w:r w:rsidRPr="002266BE">
              <w:rPr>
                <w:rFonts w:ascii="Times New Roman" w:eastAsia="游ゴシック" w:hAnsi="Times New Roman" w:cs="Times New Roman"/>
                <w:color w:val="000000"/>
                <w:kern w:val="0"/>
                <w:sz w:val="17"/>
                <w:szCs w:val="17"/>
                <w:vertAlign w:val="subscript"/>
              </w:rPr>
              <w:t>3</w:t>
            </w:r>
            <w:r w:rsidRPr="002266BE">
              <w:rPr>
                <w:rFonts w:ascii="Times New Roman" w:eastAsia="游ゴシック" w:hAnsi="Times New Roman" w:cs="Times New Roman"/>
                <w:color w:val="000000"/>
                <w:kern w:val="0"/>
                <w:sz w:val="17"/>
                <w:szCs w:val="17"/>
              </w:rPr>
              <w:t xml:space="preserve"> hydrogen energy in 2100 (Phe)</w:t>
            </w:r>
          </w:p>
        </w:tc>
        <w:tc>
          <w:tcPr>
            <w:tcW w:w="920" w:type="dxa"/>
            <w:noWrap/>
            <w:vAlign w:val="center"/>
            <w:hideMark/>
          </w:tcPr>
          <w:p w14:paraId="37594633"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285 </w:t>
            </w:r>
          </w:p>
        </w:tc>
        <w:tc>
          <w:tcPr>
            <w:tcW w:w="4928" w:type="dxa"/>
            <w:noWrap/>
            <w:vAlign w:val="center"/>
            <w:hideMark/>
          </w:tcPr>
          <w:p w14:paraId="76E6D416"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 xml:space="preserve">PWh, CFE2100 in </w:t>
            </w:r>
            <w:r w:rsidRPr="002266BE">
              <w:rPr>
                <w:rFonts w:ascii="Times New Roman" w:eastAsia="游ゴシック" w:hAnsi="Times New Roman" w:cs="Times New Roman"/>
                <w:b/>
                <w:bCs/>
                <w:color w:val="000000"/>
                <w:kern w:val="0"/>
                <w:sz w:val="17"/>
                <w:szCs w:val="17"/>
              </w:rPr>
              <w:t>Table 1</w:t>
            </w:r>
          </w:p>
        </w:tc>
      </w:tr>
      <w:tr w:rsidR="002266BE" w:rsidRPr="002266BE" w14:paraId="71C9C2BE" w14:textId="77777777" w:rsidTr="000425CF">
        <w:trPr>
          <w:trHeight w:val="375"/>
        </w:trPr>
        <w:tc>
          <w:tcPr>
            <w:tcW w:w="5068" w:type="dxa"/>
            <w:noWrap/>
            <w:vAlign w:val="center"/>
            <w:hideMark/>
          </w:tcPr>
          <w:p w14:paraId="4CA98441"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Solar radiation reflected by the FOPVs in 2100 (Rsr)</w:t>
            </w:r>
          </w:p>
        </w:tc>
        <w:tc>
          <w:tcPr>
            <w:tcW w:w="920" w:type="dxa"/>
            <w:noWrap/>
            <w:vAlign w:val="center"/>
            <w:hideMark/>
          </w:tcPr>
          <w:p w14:paraId="1E43877C"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404 </w:t>
            </w:r>
          </w:p>
        </w:tc>
        <w:tc>
          <w:tcPr>
            <w:tcW w:w="4928" w:type="dxa"/>
            <w:noWrap/>
            <w:vAlign w:val="center"/>
            <w:hideMark/>
          </w:tcPr>
          <w:p w14:paraId="1FB159AB"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=Refv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((Spv-Sepv)/Spv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65%+Sepv/Spv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 xml:space="preserve">8%), see </w:t>
            </w:r>
            <w:r w:rsidRPr="002266BE">
              <w:rPr>
                <w:rFonts w:ascii="Times New Roman" w:eastAsia="游ゴシック" w:hAnsi="Times New Roman" w:cs="Times New Roman"/>
                <w:b/>
                <w:bCs/>
                <w:color w:val="000000"/>
                <w:kern w:val="0"/>
                <w:sz w:val="17"/>
                <w:szCs w:val="17"/>
              </w:rPr>
              <w:t>Table1</w:t>
            </w:r>
            <w:r w:rsidRPr="002266BE">
              <w:rPr>
                <w:rFonts w:ascii="Times New Roman" w:eastAsia="游ゴシック" w:hAnsi="Times New Roman" w:cs="Times New Roman"/>
                <w:color w:val="000000"/>
                <w:kern w:val="0"/>
                <w:sz w:val="17"/>
                <w:szCs w:val="17"/>
              </w:rPr>
              <w:t xml:space="preserve"> and </w:t>
            </w:r>
            <w:r w:rsidRPr="002266BE">
              <w:rPr>
                <w:rFonts w:ascii="Times New Roman" w:eastAsia="游ゴシック" w:hAnsi="Times New Roman" w:cs="Times New Roman"/>
                <w:b/>
                <w:bCs/>
                <w:color w:val="000000"/>
                <w:kern w:val="0"/>
                <w:sz w:val="17"/>
                <w:szCs w:val="17"/>
              </w:rPr>
              <w:t>Supplementary Table S1)</w:t>
            </w:r>
          </w:p>
        </w:tc>
      </w:tr>
      <w:tr w:rsidR="002266BE" w:rsidRPr="002266BE" w14:paraId="57F88847" w14:textId="77777777" w:rsidTr="000425CF">
        <w:trPr>
          <w:trHeight w:val="375"/>
        </w:trPr>
        <w:tc>
          <w:tcPr>
            <w:tcW w:w="5068" w:type="dxa"/>
            <w:noWrap/>
            <w:vAlign w:val="center"/>
            <w:hideMark/>
          </w:tcPr>
          <w:p w14:paraId="6440FA1E"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Solar radiation reflected energy by the ocean without FOPVs (Rnfv)</w:t>
            </w:r>
          </w:p>
        </w:tc>
        <w:tc>
          <w:tcPr>
            <w:tcW w:w="920" w:type="dxa"/>
            <w:noWrap/>
            <w:vAlign w:val="center"/>
            <w:hideMark/>
          </w:tcPr>
          <w:p w14:paraId="2BC83DEC"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249 </w:t>
            </w:r>
          </w:p>
        </w:tc>
        <w:tc>
          <w:tcPr>
            <w:tcW w:w="4928" w:type="dxa"/>
            <w:noWrap/>
            <w:vAlign w:val="center"/>
            <w:hideMark/>
          </w:tcPr>
          <w:p w14:paraId="3BFC453A"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=Refv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10%</w:t>
            </w:r>
          </w:p>
        </w:tc>
      </w:tr>
      <w:tr w:rsidR="002266BE" w:rsidRPr="002266BE" w14:paraId="7A0CCC30" w14:textId="77777777" w:rsidTr="000425CF">
        <w:trPr>
          <w:trHeight w:val="375"/>
        </w:trPr>
        <w:tc>
          <w:tcPr>
            <w:tcW w:w="5068" w:type="dxa"/>
            <w:noWrap/>
            <w:vAlign w:val="center"/>
            <w:hideMark/>
          </w:tcPr>
          <w:p w14:paraId="7490ED32"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Difference in solar reflected energy with and without FOPVs (Dsre)</w:t>
            </w:r>
          </w:p>
        </w:tc>
        <w:tc>
          <w:tcPr>
            <w:tcW w:w="920" w:type="dxa"/>
            <w:noWrap/>
            <w:vAlign w:val="center"/>
            <w:hideMark/>
          </w:tcPr>
          <w:p w14:paraId="76E89C75"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-155 </w:t>
            </w:r>
          </w:p>
        </w:tc>
        <w:tc>
          <w:tcPr>
            <w:tcW w:w="4928" w:type="dxa"/>
            <w:noWrap/>
            <w:vAlign w:val="center"/>
            <w:hideMark/>
          </w:tcPr>
          <w:p w14:paraId="54C73A1A"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=Rnfv - Rsr</w:t>
            </w:r>
          </w:p>
        </w:tc>
      </w:tr>
      <w:tr w:rsidR="002266BE" w:rsidRPr="002266BE" w14:paraId="2C7328FD" w14:textId="77777777" w:rsidTr="000425CF">
        <w:trPr>
          <w:trHeight w:val="375"/>
        </w:trPr>
        <w:tc>
          <w:tcPr>
            <w:tcW w:w="5068" w:type="dxa"/>
            <w:noWrap/>
            <w:vAlign w:val="center"/>
            <w:hideMark/>
          </w:tcPr>
          <w:p w14:paraId="580237FC"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Ocean absorption energy in 2100 with FOPVs (Oae)</w:t>
            </w:r>
          </w:p>
        </w:tc>
        <w:tc>
          <w:tcPr>
            <w:tcW w:w="920" w:type="dxa"/>
            <w:noWrap/>
            <w:vAlign w:val="center"/>
            <w:hideMark/>
          </w:tcPr>
          <w:p w14:paraId="682AA3C6"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1870 </w:t>
            </w:r>
          </w:p>
        </w:tc>
        <w:tc>
          <w:tcPr>
            <w:tcW w:w="4928" w:type="dxa"/>
            <w:noWrap/>
            <w:vAlign w:val="center"/>
            <w:hideMark/>
          </w:tcPr>
          <w:p w14:paraId="46D9CBFB"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=Refv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92% - Pbfv</w:t>
            </w:r>
          </w:p>
        </w:tc>
      </w:tr>
      <w:tr w:rsidR="002266BE" w:rsidRPr="002266BE" w14:paraId="178D7165" w14:textId="77777777" w:rsidTr="000425CF">
        <w:trPr>
          <w:trHeight w:val="375"/>
        </w:trPr>
        <w:tc>
          <w:tcPr>
            <w:tcW w:w="5068" w:type="dxa"/>
            <w:noWrap/>
            <w:vAlign w:val="center"/>
            <w:hideMark/>
          </w:tcPr>
          <w:p w14:paraId="58F82C5A"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Ocean absorption energy in 2100 without FOPVs (Oanpv)</w:t>
            </w:r>
          </w:p>
        </w:tc>
        <w:tc>
          <w:tcPr>
            <w:tcW w:w="920" w:type="dxa"/>
            <w:noWrap/>
            <w:vAlign w:val="center"/>
            <w:hideMark/>
          </w:tcPr>
          <w:p w14:paraId="43CA6C9C"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2237 </w:t>
            </w:r>
          </w:p>
        </w:tc>
        <w:tc>
          <w:tcPr>
            <w:tcW w:w="4928" w:type="dxa"/>
            <w:noWrap/>
            <w:vAlign w:val="center"/>
            <w:hideMark/>
          </w:tcPr>
          <w:p w14:paraId="47B57670"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=Refv</w:t>
            </w:r>
            <w:r w:rsidRPr="002266BE">
              <w:rPr>
                <w:rFonts w:ascii="游ゴシック" w:eastAsia="游ゴシック" w:hAnsi="游ゴシック" w:cs="Times New Roman" w:hint="eastAsia"/>
                <w:color w:val="000000"/>
                <w:kern w:val="0"/>
                <w:sz w:val="17"/>
                <w:szCs w:val="17"/>
              </w:rPr>
              <w:t>･</w:t>
            </w:r>
            <w:r w:rsidRPr="002266BE">
              <w:rPr>
                <w:rFonts w:ascii="Times New Roman" w:eastAsia="游ゴシック" w:hAnsi="Times New Roman" w:cs="Times New Roman"/>
                <w:color w:val="000000"/>
                <w:kern w:val="0"/>
                <w:sz w:val="17"/>
                <w:szCs w:val="17"/>
              </w:rPr>
              <w:t>90%</w:t>
            </w:r>
          </w:p>
        </w:tc>
      </w:tr>
      <w:tr w:rsidR="002266BE" w:rsidRPr="002266BE" w14:paraId="0B069D61" w14:textId="77777777" w:rsidTr="000425CF">
        <w:trPr>
          <w:trHeight w:val="375"/>
        </w:trPr>
        <w:tc>
          <w:tcPr>
            <w:tcW w:w="5068" w:type="dxa"/>
            <w:noWrap/>
            <w:vAlign w:val="center"/>
            <w:hideMark/>
          </w:tcPr>
          <w:p w14:paraId="2843E6D7"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Difference in ocean absorbed energy with and without FOPVs (Doae)</w:t>
            </w:r>
          </w:p>
        </w:tc>
        <w:tc>
          <w:tcPr>
            <w:tcW w:w="920" w:type="dxa"/>
            <w:noWrap/>
            <w:vAlign w:val="center"/>
            <w:hideMark/>
          </w:tcPr>
          <w:p w14:paraId="4FFB93F5"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-367 </w:t>
            </w:r>
          </w:p>
        </w:tc>
        <w:tc>
          <w:tcPr>
            <w:tcW w:w="4928" w:type="dxa"/>
            <w:noWrap/>
            <w:vAlign w:val="center"/>
            <w:hideMark/>
          </w:tcPr>
          <w:p w14:paraId="0167ED48"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=Oae - Oanpv</w:t>
            </w:r>
          </w:p>
        </w:tc>
      </w:tr>
      <w:tr w:rsidR="002266BE" w:rsidRPr="002266BE" w14:paraId="1054AC63" w14:textId="77777777" w:rsidTr="000425CF">
        <w:trPr>
          <w:trHeight w:val="375"/>
        </w:trPr>
        <w:tc>
          <w:tcPr>
            <w:tcW w:w="5068" w:type="dxa"/>
            <w:noWrap/>
            <w:vAlign w:val="center"/>
            <w:hideMark/>
          </w:tcPr>
          <w:p w14:paraId="17D04AE3"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Changes in Earth's energy balance due to FOPV installation (Eeb)</w:t>
            </w:r>
          </w:p>
        </w:tc>
        <w:tc>
          <w:tcPr>
            <w:tcW w:w="920" w:type="dxa"/>
            <w:noWrap/>
            <w:vAlign w:val="center"/>
            <w:hideMark/>
          </w:tcPr>
          <w:p w14:paraId="2CD5B1BB" w14:textId="77777777" w:rsidR="002266BE" w:rsidRPr="002266BE" w:rsidRDefault="002266BE" w:rsidP="002266BE">
            <w:pPr>
              <w:widowControl/>
              <w:jc w:val="right"/>
              <w:rPr>
                <w:rFonts w:ascii="Times New Roman" w:eastAsia="游ゴシック" w:hAnsi="Times New Roman" w:cs="Times New Roman"/>
                <w:kern w:val="0"/>
                <w:sz w:val="17"/>
                <w:szCs w:val="17"/>
              </w:rPr>
            </w:pPr>
            <w:r w:rsidRPr="002266BE">
              <w:rPr>
                <w:rFonts w:ascii="Times New Roman" w:eastAsia="游ゴシック" w:hAnsi="Times New Roman" w:cs="Times New Roman"/>
                <w:kern w:val="0"/>
                <w:sz w:val="17"/>
                <w:szCs w:val="17"/>
              </w:rPr>
              <w:t xml:space="preserve">-106 </w:t>
            </w:r>
          </w:p>
        </w:tc>
        <w:tc>
          <w:tcPr>
            <w:tcW w:w="4928" w:type="dxa"/>
            <w:noWrap/>
            <w:vAlign w:val="center"/>
            <w:hideMark/>
          </w:tcPr>
          <w:p w14:paraId="1D102B2A"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PWh, =Pbfv+Dsre+Doae</w:t>
            </w:r>
          </w:p>
        </w:tc>
      </w:tr>
      <w:tr w:rsidR="002266BE" w:rsidRPr="002266BE" w14:paraId="463431D2" w14:textId="77777777" w:rsidTr="000425CF">
        <w:trPr>
          <w:trHeight w:val="390"/>
        </w:trPr>
        <w:tc>
          <w:tcPr>
            <w:tcW w:w="5068" w:type="dxa"/>
            <w:noWrap/>
            <w:vAlign w:val="center"/>
            <w:hideMark/>
          </w:tcPr>
          <w:p w14:paraId="1B65FDB0" w14:textId="77777777" w:rsidR="002266BE" w:rsidRPr="002266BE" w:rsidRDefault="002266BE" w:rsidP="002266BE">
            <w:pPr>
              <w:widowControl/>
              <w:jc w:val="righ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Decrease in radiant energy at the Earth's surface in 2100</w:t>
            </w:r>
          </w:p>
        </w:tc>
        <w:tc>
          <w:tcPr>
            <w:tcW w:w="920" w:type="dxa"/>
            <w:noWrap/>
            <w:vAlign w:val="center"/>
            <w:hideMark/>
          </w:tcPr>
          <w:p w14:paraId="32C20F1C" w14:textId="77777777" w:rsidR="002266BE" w:rsidRPr="002266BE" w:rsidRDefault="002266BE" w:rsidP="002266BE">
            <w:pPr>
              <w:widowControl/>
              <w:jc w:val="right"/>
              <w:rPr>
                <w:rFonts w:ascii="游ゴシック" w:eastAsia="游ゴシック" w:hAnsi="游ゴシック" w:cs="ＭＳ Ｐゴシック"/>
                <w:color w:val="000000"/>
                <w:kern w:val="0"/>
                <w:sz w:val="17"/>
                <w:szCs w:val="17"/>
              </w:rPr>
            </w:pPr>
            <w:r w:rsidRPr="002266BE">
              <w:rPr>
                <w:rFonts w:ascii="游ゴシック" w:eastAsia="游ゴシック" w:hAnsi="游ゴシック" w:cs="ＭＳ Ｐゴシック" w:hint="eastAsia"/>
                <w:color w:val="000000"/>
                <w:kern w:val="0"/>
                <w:sz w:val="17"/>
                <w:szCs w:val="17"/>
              </w:rPr>
              <w:t xml:space="preserve">-0.024 </w:t>
            </w:r>
          </w:p>
        </w:tc>
        <w:tc>
          <w:tcPr>
            <w:tcW w:w="4928" w:type="dxa"/>
            <w:vAlign w:val="center"/>
            <w:hideMark/>
          </w:tcPr>
          <w:p w14:paraId="59CA6FE9" w14:textId="77777777" w:rsidR="002266BE" w:rsidRPr="002266BE" w:rsidRDefault="002266BE" w:rsidP="002266BE">
            <w:pPr>
              <w:widowControl/>
              <w:jc w:val="left"/>
              <w:rPr>
                <w:rFonts w:ascii="Times New Roman" w:eastAsia="游ゴシック" w:hAnsi="Times New Roman" w:cs="Times New Roman"/>
                <w:color w:val="000000"/>
                <w:kern w:val="0"/>
                <w:sz w:val="17"/>
                <w:szCs w:val="17"/>
              </w:rPr>
            </w:pPr>
            <w:r w:rsidRPr="002266BE">
              <w:rPr>
                <w:rFonts w:ascii="Times New Roman" w:eastAsia="游ゴシック" w:hAnsi="Times New Roman" w:cs="Times New Roman"/>
                <w:color w:val="000000"/>
                <w:kern w:val="0"/>
                <w:sz w:val="17"/>
                <w:szCs w:val="17"/>
              </w:rPr>
              <w:t>W/m</w:t>
            </w:r>
            <w:r w:rsidRPr="002266BE">
              <w:rPr>
                <w:rFonts w:ascii="Times New Roman" w:eastAsia="游ゴシック" w:hAnsi="Times New Roman" w:cs="Times New Roman"/>
                <w:color w:val="000000"/>
                <w:kern w:val="0"/>
                <w:sz w:val="17"/>
                <w:szCs w:val="17"/>
                <w:vertAlign w:val="superscript"/>
              </w:rPr>
              <w:t>2</w:t>
            </w:r>
            <w:r w:rsidRPr="002266BE">
              <w:rPr>
                <w:rFonts w:ascii="Times New Roman" w:eastAsia="游ゴシック" w:hAnsi="Times New Roman" w:cs="Times New Roman"/>
                <w:color w:val="000000"/>
                <w:kern w:val="0"/>
                <w:sz w:val="17"/>
                <w:szCs w:val="17"/>
              </w:rPr>
              <w:t>, =Eeb/Esfa/(hours per year), Esfa=510 million Km</w:t>
            </w:r>
            <w:r w:rsidRPr="002266BE">
              <w:rPr>
                <w:rFonts w:ascii="Times New Roman" w:eastAsia="游ゴシック" w:hAnsi="Times New Roman" w:cs="Times New Roman"/>
                <w:color w:val="000000"/>
                <w:kern w:val="0"/>
                <w:sz w:val="17"/>
                <w:szCs w:val="17"/>
                <w:vertAlign w:val="superscript"/>
              </w:rPr>
              <w:t>2</w:t>
            </w:r>
          </w:p>
        </w:tc>
      </w:tr>
    </w:tbl>
    <w:p w14:paraId="17EABCA5" w14:textId="77777777" w:rsidR="00C41084" w:rsidRPr="002266BE" w:rsidRDefault="00C41084" w:rsidP="00C41084">
      <w:pPr>
        <w:widowControl/>
        <w:jc w:val="center"/>
        <w:rPr>
          <w:rFonts w:ascii="Times New Roman" w:hAnsi="Times New Roman" w:cs="Times New Roman"/>
          <w:b/>
          <w:bCs/>
          <w:sz w:val="24"/>
          <w:szCs w:val="24"/>
        </w:rPr>
      </w:pPr>
    </w:p>
    <w:p w14:paraId="7142C5DD" w14:textId="2FBD9ADC" w:rsidR="00F5496C" w:rsidRDefault="00F5496C">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bookmarkEnd w:id="38"/>
    <w:p w14:paraId="3B4DED4A" w14:textId="350DA505" w:rsidR="00521EF8" w:rsidRPr="00A91F7D" w:rsidRDefault="003C7235" w:rsidP="004F2C64">
      <w:pPr>
        <w:rPr>
          <w:rFonts w:ascii="Times New Roman" w:eastAsia="ＭＳ 明朝" w:hAnsi="Times New Roman" w:cs="Times New Roman"/>
          <w:sz w:val="24"/>
          <w:szCs w:val="21"/>
          <w14:ligatures w14:val="standardContextual"/>
        </w:rPr>
      </w:pPr>
      <w:r w:rsidRPr="003C7235">
        <w:rPr>
          <w:rFonts w:ascii="Times New Roman" w:hAnsi="Times New Roman" w:cs="Times New Roman"/>
          <w:b/>
          <w:bCs/>
          <w:sz w:val="24"/>
          <w:szCs w:val="24"/>
        </w:rPr>
        <w:lastRenderedPageBreak/>
        <w:t>Supplementary Tab</w:t>
      </w:r>
      <w:r w:rsidRPr="004E4FF5">
        <w:rPr>
          <w:rFonts w:ascii="Times New Roman" w:hAnsi="Times New Roman" w:cs="Times New Roman"/>
          <w:b/>
          <w:bCs/>
          <w:sz w:val="24"/>
          <w:szCs w:val="24"/>
        </w:rPr>
        <w:t>le S</w:t>
      </w:r>
      <w:r w:rsidR="00063D47" w:rsidRPr="004E4FF5">
        <w:rPr>
          <w:rFonts w:ascii="Times New Roman" w:hAnsi="Times New Roman" w:cs="Times New Roman" w:hint="eastAsia"/>
          <w:b/>
          <w:bCs/>
          <w:sz w:val="24"/>
          <w:szCs w:val="24"/>
        </w:rPr>
        <w:t>9</w:t>
      </w:r>
      <w:r w:rsidRPr="004E4FF5">
        <w:rPr>
          <w:rFonts w:ascii="Times New Roman" w:hAnsi="Times New Roman" w:cs="Times New Roman"/>
          <w:b/>
          <w:bCs/>
          <w:sz w:val="24"/>
          <w:szCs w:val="24"/>
        </w:rPr>
        <w:t>: Verifi</w:t>
      </w:r>
      <w:r w:rsidRPr="003C7235">
        <w:rPr>
          <w:rFonts w:ascii="Times New Roman" w:hAnsi="Times New Roman" w:cs="Times New Roman"/>
          <w:b/>
          <w:bCs/>
          <w:sz w:val="24"/>
          <w:szCs w:val="24"/>
        </w:rPr>
        <w:t>cation of radiative forcing based on SSP scenarios using NASA Earth's energy</w:t>
      </w:r>
      <w:r w:rsidRPr="003C39DD">
        <w:rPr>
          <w:rFonts w:ascii="Times New Roman" w:hAnsi="Times New Roman" w:cs="Times New Roman"/>
          <w:b/>
          <w:bCs/>
          <w:sz w:val="24"/>
          <w:szCs w:val="24"/>
        </w:rPr>
        <w:t xml:space="preserve"> budget</w:t>
      </w:r>
      <w:r w:rsidR="007078A1" w:rsidRPr="003C39DD">
        <w:rPr>
          <w:rFonts w:ascii="Times New Roman" w:hAnsi="Times New Roman" w:cs="Times New Roman" w:hint="eastAsia"/>
          <w:b/>
          <w:bCs/>
          <w:sz w:val="24"/>
          <w:szCs w:val="24"/>
        </w:rPr>
        <w:t xml:space="preserve"> </w:t>
      </w:r>
      <w:r w:rsidR="007078A1" w:rsidRPr="003C39DD">
        <w:rPr>
          <w:rFonts w:ascii="Times New Roman" w:hAnsi="Times New Roman" w:cs="Times New Roman" w:hint="eastAsia"/>
          <w:sz w:val="24"/>
          <w:szCs w:val="24"/>
        </w:rPr>
        <w:t>[20]</w:t>
      </w:r>
      <w:r w:rsidRPr="003C39DD">
        <w:rPr>
          <w:rFonts w:ascii="Times New Roman" w:hAnsi="Times New Roman" w:cs="Times New Roman" w:hint="eastAsia"/>
          <w:b/>
          <w:bCs/>
          <w:sz w:val="24"/>
          <w:szCs w:val="24"/>
        </w:rPr>
        <w:t>.</w:t>
      </w:r>
      <w:r w:rsidRPr="003C39DD">
        <w:rPr>
          <w:rFonts w:ascii="Times New Roman" w:hAnsi="Times New Roman" w:cs="Times New Roman" w:hint="eastAsia"/>
          <w:sz w:val="24"/>
          <w:szCs w:val="24"/>
        </w:rPr>
        <w:t xml:space="preserve"> </w:t>
      </w:r>
      <w:r w:rsidR="00521EF8" w:rsidRPr="003C39DD">
        <w:rPr>
          <w:rFonts w:ascii="Times New Roman" w:eastAsia="ＭＳ 明朝" w:hAnsi="Times New Roman" w:cs="Times New Roman"/>
          <w:sz w:val="24"/>
          <w:szCs w:val="21"/>
          <w14:ligatures w14:val="standardContextual"/>
        </w:rPr>
        <w:t xml:space="preserve">To verify the validity of </w:t>
      </w:r>
      <w:r w:rsidR="00521EF8" w:rsidRPr="003C39DD">
        <w:rPr>
          <w:rFonts w:ascii="Times New Roman" w:eastAsia="ＭＳ 明朝" w:hAnsi="Times New Roman" w:cs="Times New Roman"/>
          <w:b/>
          <w:bCs/>
          <w:sz w:val="24"/>
          <w:szCs w:val="21"/>
          <w14:ligatures w14:val="standardContextual"/>
        </w:rPr>
        <w:t xml:space="preserve">Supplementary </w:t>
      </w:r>
      <w:r w:rsidR="00521EF8" w:rsidRPr="003C39DD">
        <w:rPr>
          <w:rFonts w:ascii="Times New Roman" w:eastAsia="ＭＳ 明朝" w:hAnsi="Times New Roman" w:cs="Times New Roman" w:hint="eastAsia"/>
          <w:b/>
          <w:bCs/>
          <w:sz w:val="24"/>
          <w:szCs w:val="21"/>
          <w14:ligatures w14:val="standardContextual"/>
        </w:rPr>
        <w:t>Fig.</w:t>
      </w:r>
      <w:r w:rsidR="00521EF8" w:rsidRPr="003C39DD">
        <w:rPr>
          <w:rFonts w:ascii="Times New Roman" w:eastAsia="ＭＳ 明朝" w:hAnsi="Times New Roman" w:cs="Times New Roman"/>
          <w:b/>
          <w:bCs/>
          <w:sz w:val="24"/>
          <w:szCs w:val="21"/>
          <w14:ligatures w14:val="standardContextual"/>
        </w:rPr>
        <w:t xml:space="preserve"> S9</w:t>
      </w:r>
      <w:r w:rsidR="00521EF8" w:rsidRPr="003C39DD">
        <w:rPr>
          <w:rFonts w:ascii="Times New Roman" w:eastAsia="ＭＳ 明朝" w:hAnsi="Times New Roman" w:cs="Times New Roman"/>
          <w:sz w:val="24"/>
          <w:szCs w:val="21"/>
          <w14:ligatures w14:val="standardContextual"/>
        </w:rPr>
        <w:t xml:space="preserve">, NASA's “Earth's Energy Budget in 2009” was used. According to the </w:t>
      </w:r>
      <w:r w:rsidR="00521EF8" w:rsidRPr="00A91F7D">
        <w:rPr>
          <w:rFonts w:ascii="Times New Roman" w:eastAsia="ＭＳ 明朝" w:hAnsi="Times New Roman" w:cs="Times New Roman"/>
          <w:sz w:val="24"/>
          <w:szCs w:val="21"/>
          <w14:ligatures w14:val="standardContextual"/>
        </w:rPr>
        <w:t xml:space="preserve">notes in the figure, the data is the average of </w:t>
      </w:r>
      <w:r w:rsidR="00521EF8" w:rsidRPr="00A91F7D">
        <w:rPr>
          <w:rFonts w:ascii="Times New Roman" w:eastAsia="ＭＳ 明朝" w:hAnsi="Times New Roman" w:cs="Times New Roman" w:hint="eastAsia"/>
          <w:sz w:val="24"/>
          <w:szCs w:val="21"/>
          <w14:ligatures w14:val="standardContextual"/>
        </w:rPr>
        <w:t>ten</w:t>
      </w:r>
      <w:r w:rsidR="00521EF8" w:rsidRPr="00A91F7D">
        <w:rPr>
          <w:rFonts w:ascii="Times New Roman" w:eastAsia="ＭＳ 明朝" w:hAnsi="Times New Roman" w:cs="Times New Roman"/>
          <w:sz w:val="24"/>
          <w:szCs w:val="21"/>
          <w14:ligatures w14:val="standardContextual"/>
        </w:rPr>
        <w:t xml:space="preserve"> years (assuming 2000 to 2009).</w:t>
      </w:r>
      <w:r w:rsidR="00521EF8" w:rsidRPr="00A91F7D">
        <w:rPr>
          <w:rFonts w:ascii="Times New Roman" w:eastAsia="ＭＳ 明朝" w:hAnsi="Times New Roman" w:cs="Times New Roman" w:hint="eastAsia"/>
          <w:sz w:val="24"/>
          <w:szCs w:val="21"/>
          <w14:ligatures w14:val="standardContextual"/>
        </w:rPr>
        <w:t xml:space="preserve"> </w:t>
      </w:r>
      <w:r w:rsidR="00521EF8" w:rsidRPr="00A91F7D">
        <w:rPr>
          <w:rFonts w:ascii="Times New Roman" w:eastAsia="ＭＳ 明朝" w:hAnsi="Times New Roman" w:cs="Times New Roman"/>
          <w:sz w:val="24"/>
          <w:szCs w:val="21"/>
          <w14:ligatures w14:val="standardContextual"/>
        </w:rPr>
        <w:t>When comparing the temperature rise Tdio</w:t>
      </w:r>
      <w:r w:rsidR="00DA6906" w:rsidRPr="00DA6906">
        <w:rPr>
          <w:rFonts w:ascii="Times New Roman" w:eastAsia="ＭＳ 明朝" w:hAnsi="Times New Roman" w:cs="Times New Roman"/>
          <w:sz w:val="24"/>
          <w:szCs w:val="21"/>
          <w14:ligatures w14:val="standardContextual"/>
        </w:rPr>
        <w:t xml:space="preserve"> relative to 1850 to 1900</w:t>
      </w:r>
      <w:r w:rsidR="00521EF8" w:rsidRPr="00A91F7D">
        <w:rPr>
          <w:rFonts w:ascii="Times New Roman" w:eastAsia="ＭＳ 明朝" w:hAnsi="Times New Roman" w:cs="Times New Roman"/>
          <w:sz w:val="24"/>
          <w:szCs w:val="21"/>
          <w14:ligatures w14:val="standardContextual"/>
        </w:rPr>
        <w:t xml:space="preserve"> estimated from the difference (Dio) between the radiant energy incoming to the Earth's surface</w:t>
      </w:r>
      <w:r w:rsidR="00521EF8" w:rsidRPr="00A91F7D">
        <w:rPr>
          <w:rFonts w:ascii="Times New Roman" w:eastAsia="ＭＳ 明朝" w:hAnsi="Times New Roman" w:cs="Times New Roman" w:hint="eastAsia"/>
          <w:sz w:val="24"/>
          <w:szCs w:val="21"/>
          <w14:ligatures w14:val="standardContextual"/>
        </w:rPr>
        <w:t xml:space="preserve"> (Iic)</w:t>
      </w:r>
      <w:r w:rsidR="00521EF8" w:rsidRPr="00A91F7D">
        <w:rPr>
          <w:rFonts w:ascii="Times New Roman" w:eastAsia="ＭＳ 明朝" w:hAnsi="Times New Roman" w:cs="Times New Roman"/>
          <w:sz w:val="24"/>
          <w:szCs w:val="21"/>
          <w14:ligatures w14:val="standardContextual"/>
        </w:rPr>
        <w:t xml:space="preserve"> and the energy </w:t>
      </w:r>
      <w:r w:rsidR="00521EF8" w:rsidRPr="00A91F7D">
        <w:rPr>
          <w:rFonts w:ascii="Times New Roman" w:eastAsia="ＭＳ 明朝" w:hAnsi="Times New Roman" w:cs="Times New Roman" w:hint="eastAsia"/>
          <w:sz w:val="24"/>
          <w:szCs w:val="21"/>
          <w14:ligatures w14:val="standardContextual"/>
        </w:rPr>
        <w:t>outgoing</w:t>
      </w:r>
      <w:r w:rsidR="00521EF8" w:rsidRPr="00A91F7D">
        <w:rPr>
          <w:rFonts w:ascii="Times New Roman" w:eastAsia="ＭＳ 明朝" w:hAnsi="Times New Roman" w:cs="Times New Roman"/>
          <w:sz w:val="24"/>
          <w:szCs w:val="21"/>
          <w14:ligatures w14:val="standardContextual"/>
        </w:rPr>
        <w:t xml:space="preserve"> from the Earth's surface</w:t>
      </w:r>
      <w:r w:rsidR="00521EF8" w:rsidRPr="00A91F7D">
        <w:rPr>
          <w:rFonts w:ascii="Times New Roman" w:eastAsia="ＭＳ 明朝" w:hAnsi="Times New Roman" w:cs="Times New Roman" w:hint="eastAsia"/>
          <w:sz w:val="24"/>
          <w:szCs w:val="21"/>
          <w14:ligatures w14:val="standardContextual"/>
        </w:rPr>
        <w:t xml:space="preserve"> (Osf)</w:t>
      </w:r>
      <w:r w:rsidR="00521EF8" w:rsidRPr="00A91F7D">
        <w:rPr>
          <w:rFonts w:ascii="Times New Roman" w:eastAsia="ＭＳ 明朝" w:hAnsi="Times New Roman" w:cs="Times New Roman"/>
          <w:sz w:val="24"/>
          <w:szCs w:val="21"/>
          <w14:ligatures w14:val="standardContextual"/>
        </w:rPr>
        <w:t xml:space="preserve"> with the average actual temperature rise Taar in the Excel file used for numerical analysis of global warming, the difference Dioa between the two is 0.0°C, which is within the error range, as shown in </w:t>
      </w:r>
      <w:r w:rsidR="00521EF8" w:rsidRPr="00A91F7D">
        <w:rPr>
          <w:rFonts w:ascii="Times New Roman" w:eastAsia="ＭＳ 明朝" w:hAnsi="Times New Roman" w:cs="Times New Roman" w:hint="eastAsia"/>
          <w:sz w:val="24"/>
          <w:szCs w:val="21"/>
          <w14:ligatures w14:val="standardContextual"/>
        </w:rPr>
        <w:t>th</w:t>
      </w:r>
      <w:r w:rsidR="00825966" w:rsidRPr="00A91F7D">
        <w:rPr>
          <w:rFonts w:ascii="Times New Roman" w:eastAsia="ＭＳ 明朝" w:hAnsi="Times New Roman" w:cs="Times New Roman" w:hint="eastAsia"/>
          <w:sz w:val="24"/>
          <w:szCs w:val="21"/>
          <w14:ligatures w14:val="standardContextual"/>
        </w:rPr>
        <w:t>is</w:t>
      </w:r>
      <w:r w:rsidR="00521EF8" w:rsidRPr="00A91F7D">
        <w:rPr>
          <w:rFonts w:ascii="Times New Roman" w:eastAsia="ＭＳ 明朝" w:hAnsi="Times New Roman" w:cs="Times New Roman" w:hint="eastAsia"/>
          <w:sz w:val="24"/>
          <w:szCs w:val="21"/>
          <w14:ligatures w14:val="standardContextual"/>
        </w:rPr>
        <w:t xml:space="preserve"> table</w:t>
      </w:r>
      <w:r w:rsidR="00521EF8" w:rsidRPr="00A91F7D">
        <w:rPr>
          <w:rFonts w:ascii="Times New Roman" w:eastAsia="ＭＳ 明朝" w:hAnsi="Times New Roman" w:cs="Times New Roman"/>
          <w:sz w:val="24"/>
          <w:szCs w:val="21"/>
          <w14:ligatures w14:val="standardContextual"/>
        </w:rPr>
        <w:t xml:space="preserve">. Therefore, </w:t>
      </w:r>
      <w:r w:rsidR="00521EF8" w:rsidRPr="00A91F7D">
        <w:rPr>
          <w:rFonts w:ascii="Times New Roman" w:eastAsia="ＭＳ 明朝" w:hAnsi="Times New Roman" w:cs="Times New Roman"/>
          <w:b/>
          <w:bCs/>
          <w:sz w:val="24"/>
          <w:szCs w:val="21"/>
          <w14:ligatures w14:val="standardContextual"/>
        </w:rPr>
        <w:t xml:space="preserve">Supplementary </w:t>
      </w:r>
      <w:r w:rsidR="00825966" w:rsidRPr="00A91F7D">
        <w:rPr>
          <w:rFonts w:ascii="Times New Roman" w:eastAsia="ＭＳ 明朝" w:hAnsi="Times New Roman" w:cs="Times New Roman" w:hint="eastAsia"/>
          <w:b/>
          <w:bCs/>
          <w:sz w:val="24"/>
          <w:szCs w:val="21"/>
          <w14:ligatures w14:val="standardContextual"/>
        </w:rPr>
        <w:t>Fig.</w:t>
      </w:r>
      <w:r w:rsidR="00521EF8" w:rsidRPr="00A91F7D">
        <w:rPr>
          <w:rFonts w:ascii="Times New Roman" w:eastAsia="ＭＳ 明朝" w:hAnsi="Times New Roman" w:cs="Times New Roman"/>
          <w:b/>
          <w:bCs/>
          <w:sz w:val="24"/>
          <w:szCs w:val="21"/>
          <w14:ligatures w14:val="standardContextual"/>
        </w:rPr>
        <w:t xml:space="preserve"> S9</w:t>
      </w:r>
      <w:r w:rsidR="00521EF8" w:rsidRPr="00A91F7D">
        <w:rPr>
          <w:rFonts w:ascii="Times New Roman" w:eastAsia="ＭＳ 明朝" w:hAnsi="Times New Roman" w:cs="Times New Roman"/>
          <w:sz w:val="24"/>
          <w:szCs w:val="21"/>
          <w14:ligatures w14:val="standardContextual"/>
        </w:rPr>
        <w:t xml:space="preserve"> can be considered a reasonable linear approximation.</w:t>
      </w:r>
    </w:p>
    <w:tbl>
      <w:tblPr>
        <w:tblW w:w="9957" w:type="dxa"/>
        <w:jc w:val="center"/>
        <w:tblBorders>
          <w:top w:val="single" w:sz="8" w:space="0" w:color="auto"/>
          <w:bottom w:val="single" w:sz="8" w:space="0" w:color="auto"/>
          <w:insideH w:val="dotted" w:sz="4" w:space="0" w:color="auto"/>
          <w:insideV w:val="dotted" w:sz="4" w:space="0" w:color="auto"/>
        </w:tblBorders>
        <w:tblCellMar>
          <w:left w:w="99" w:type="dxa"/>
          <w:right w:w="99" w:type="dxa"/>
        </w:tblCellMar>
        <w:tblLook w:val="04A0" w:firstRow="1" w:lastRow="0" w:firstColumn="1" w:lastColumn="0" w:noHBand="0" w:noVBand="1"/>
      </w:tblPr>
      <w:tblGrid>
        <w:gridCol w:w="4874"/>
        <w:gridCol w:w="1355"/>
        <w:gridCol w:w="3728"/>
      </w:tblGrid>
      <w:tr w:rsidR="006A7EB8" w:rsidRPr="006A7EB8" w14:paraId="150DB145" w14:textId="77777777" w:rsidTr="00551788">
        <w:trPr>
          <w:trHeight w:val="375"/>
          <w:jc w:val="center"/>
        </w:trPr>
        <w:tc>
          <w:tcPr>
            <w:tcW w:w="4874" w:type="dxa"/>
            <w:tcBorders>
              <w:top w:val="single" w:sz="8" w:space="0" w:color="auto"/>
              <w:bottom w:val="single" w:sz="4" w:space="0" w:color="auto"/>
            </w:tcBorders>
            <w:noWrap/>
            <w:vAlign w:val="center"/>
            <w:hideMark/>
          </w:tcPr>
          <w:p w14:paraId="0AA60E38" w14:textId="77777777" w:rsidR="006A7EB8" w:rsidRPr="006A7EB8" w:rsidRDefault="006A7EB8" w:rsidP="006A7EB8">
            <w:pPr>
              <w:widowControl/>
              <w:jc w:val="center"/>
              <w:rPr>
                <w:rFonts w:ascii="Times New Roman" w:eastAsia="游ゴシック" w:hAnsi="Times New Roman" w:cs="Times New Roman"/>
                <w:b/>
                <w:bCs/>
                <w:kern w:val="0"/>
                <w:sz w:val="18"/>
                <w:szCs w:val="18"/>
              </w:rPr>
            </w:pPr>
            <w:bookmarkStart w:id="41" w:name="_Hlk205651168"/>
            <w:r w:rsidRPr="006A7EB8">
              <w:rPr>
                <w:rFonts w:ascii="Times New Roman" w:eastAsia="游ゴシック" w:hAnsi="Times New Roman" w:cs="Times New Roman"/>
                <w:b/>
                <w:bCs/>
                <w:kern w:val="0"/>
                <w:sz w:val="18"/>
                <w:szCs w:val="18"/>
              </w:rPr>
              <w:t>Parameter</w:t>
            </w:r>
          </w:p>
        </w:tc>
        <w:tc>
          <w:tcPr>
            <w:tcW w:w="1355" w:type="dxa"/>
            <w:tcBorders>
              <w:top w:val="single" w:sz="8" w:space="0" w:color="auto"/>
              <w:bottom w:val="single" w:sz="4" w:space="0" w:color="auto"/>
            </w:tcBorders>
            <w:noWrap/>
            <w:vAlign w:val="center"/>
            <w:hideMark/>
          </w:tcPr>
          <w:p w14:paraId="1F7C4367" w14:textId="77777777" w:rsidR="006A7EB8" w:rsidRPr="006A7EB8" w:rsidRDefault="006A7EB8" w:rsidP="006A7EB8">
            <w:pPr>
              <w:widowControl/>
              <w:jc w:val="center"/>
              <w:rPr>
                <w:rFonts w:ascii="Times New Roman" w:eastAsia="游ゴシック" w:hAnsi="Times New Roman" w:cs="Times New Roman"/>
                <w:b/>
                <w:bCs/>
                <w:kern w:val="0"/>
                <w:sz w:val="18"/>
                <w:szCs w:val="18"/>
              </w:rPr>
            </w:pPr>
            <w:r w:rsidRPr="006A7EB8">
              <w:rPr>
                <w:rFonts w:ascii="Times New Roman" w:eastAsia="游ゴシック" w:hAnsi="Times New Roman" w:cs="Times New Roman"/>
                <w:b/>
                <w:bCs/>
                <w:kern w:val="0"/>
                <w:sz w:val="18"/>
                <w:szCs w:val="18"/>
              </w:rPr>
              <w:t>Value</w:t>
            </w:r>
          </w:p>
        </w:tc>
        <w:tc>
          <w:tcPr>
            <w:tcW w:w="3728" w:type="dxa"/>
            <w:tcBorders>
              <w:top w:val="single" w:sz="8" w:space="0" w:color="auto"/>
              <w:bottom w:val="single" w:sz="4" w:space="0" w:color="auto"/>
            </w:tcBorders>
            <w:noWrap/>
            <w:vAlign w:val="center"/>
            <w:hideMark/>
          </w:tcPr>
          <w:p w14:paraId="7D327DB6" w14:textId="77777777" w:rsidR="006A7EB8" w:rsidRPr="006A7EB8" w:rsidRDefault="006A7EB8" w:rsidP="006A7EB8">
            <w:pPr>
              <w:widowControl/>
              <w:jc w:val="center"/>
              <w:rPr>
                <w:rFonts w:ascii="Times New Roman" w:eastAsia="游ゴシック" w:hAnsi="Times New Roman" w:cs="Times New Roman"/>
                <w:b/>
                <w:bCs/>
                <w:kern w:val="0"/>
                <w:sz w:val="18"/>
                <w:szCs w:val="18"/>
              </w:rPr>
            </w:pPr>
            <w:r w:rsidRPr="006A7EB8">
              <w:rPr>
                <w:rFonts w:ascii="Times New Roman" w:eastAsia="游ゴシック" w:hAnsi="Times New Roman" w:cs="Times New Roman"/>
                <w:b/>
                <w:bCs/>
                <w:kern w:val="0"/>
                <w:sz w:val="18"/>
                <w:szCs w:val="18"/>
              </w:rPr>
              <w:t>Unit and remarks</w:t>
            </w:r>
          </w:p>
        </w:tc>
      </w:tr>
      <w:tr w:rsidR="006A7EB8" w:rsidRPr="006A7EB8" w14:paraId="44EC9E71" w14:textId="77777777" w:rsidTr="00551788">
        <w:trPr>
          <w:trHeight w:val="375"/>
          <w:jc w:val="center"/>
        </w:trPr>
        <w:tc>
          <w:tcPr>
            <w:tcW w:w="4874" w:type="dxa"/>
            <w:tcBorders>
              <w:top w:val="single" w:sz="4" w:space="0" w:color="auto"/>
            </w:tcBorders>
            <w:noWrap/>
            <w:vAlign w:val="center"/>
            <w:hideMark/>
          </w:tcPr>
          <w:p w14:paraId="49566B2C" w14:textId="592DCF59"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Absorption of solar radiation by the earth's surface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Ias</w:t>
            </w:r>
            <w:r w:rsidR="00551788">
              <w:rPr>
                <w:rFonts w:ascii="Times New Roman" w:eastAsia="游ゴシック" w:hAnsi="Times New Roman" w:cs="Times New Roman" w:hint="eastAsia"/>
                <w:kern w:val="0"/>
                <w:sz w:val="18"/>
                <w:szCs w:val="18"/>
              </w:rPr>
              <w:t>)</w:t>
            </w:r>
          </w:p>
        </w:tc>
        <w:tc>
          <w:tcPr>
            <w:tcW w:w="1355" w:type="dxa"/>
            <w:tcBorders>
              <w:top w:val="single" w:sz="4" w:space="0" w:color="auto"/>
            </w:tcBorders>
            <w:noWrap/>
            <w:vAlign w:val="center"/>
            <w:hideMark/>
          </w:tcPr>
          <w:p w14:paraId="135A5F4A"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163.3 </w:t>
            </w:r>
          </w:p>
        </w:tc>
        <w:tc>
          <w:tcPr>
            <w:tcW w:w="3728" w:type="dxa"/>
            <w:tcBorders>
              <w:top w:val="single" w:sz="4" w:space="0" w:color="auto"/>
            </w:tcBorders>
            <w:noWrap/>
            <w:vAlign w:val="center"/>
            <w:hideMark/>
          </w:tcPr>
          <w:p w14:paraId="0D06475E" w14:textId="6707CAC0"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002A7DEB" w:rsidRPr="002A7DEB">
              <w:rPr>
                <w:rFonts w:ascii="Times New Roman" w:eastAsia="游ゴシック" w:hAnsi="Times New Roman" w:cs="Times New Roman" w:hint="eastAsia"/>
                <w:kern w:val="0"/>
                <w:sz w:val="18"/>
                <w:szCs w:val="18"/>
              </w:rPr>
              <w:t xml:space="preserve">, </w:t>
            </w:r>
            <w:r w:rsidR="003076BD">
              <w:rPr>
                <w:rFonts w:ascii="Times New Roman" w:eastAsia="游ゴシック" w:hAnsi="Times New Roman" w:cs="Times New Roman" w:hint="eastAsia"/>
                <w:kern w:val="0"/>
                <w:sz w:val="18"/>
                <w:szCs w:val="18"/>
              </w:rPr>
              <w:t>see</w:t>
            </w:r>
            <w:r w:rsidR="002A7DEB">
              <w:rPr>
                <w:rFonts w:ascii="Times New Roman" w:eastAsia="游ゴシック" w:hAnsi="Times New Roman" w:cs="Times New Roman" w:hint="eastAsia"/>
                <w:kern w:val="0"/>
                <w:sz w:val="18"/>
                <w:szCs w:val="18"/>
              </w:rPr>
              <w:t xml:space="preserve"> </w:t>
            </w:r>
            <w:r w:rsidR="002A7DEB" w:rsidRPr="002A7DEB">
              <w:rPr>
                <w:rFonts w:ascii="Times New Roman" w:eastAsia="游ゴシック" w:hAnsi="Times New Roman" w:cs="Times New Roman"/>
                <w:kern w:val="0"/>
                <w:sz w:val="18"/>
                <w:szCs w:val="18"/>
              </w:rPr>
              <w:t>NASA Earth's energy budget</w:t>
            </w:r>
            <w:r w:rsidR="002A7DEB" w:rsidRPr="002A7DEB">
              <w:rPr>
                <w:rFonts w:ascii="Times New Roman" w:eastAsia="游ゴシック" w:hAnsi="Times New Roman" w:cs="Times New Roman" w:hint="eastAsia"/>
                <w:kern w:val="0"/>
                <w:sz w:val="18"/>
                <w:szCs w:val="18"/>
                <w:vertAlign w:val="superscript"/>
              </w:rPr>
              <w:t>19</w:t>
            </w:r>
          </w:p>
        </w:tc>
      </w:tr>
      <w:tr w:rsidR="006A7EB8" w:rsidRPr="006A7EB8" w14:paraId="5D943AA9" w14:textId="77777777" w:rsidTr="00551788">
        <w:trPr>
          <w:trHeight w:val="375"/>
          <w:jc w:val="center"/>
        </w:trPr>
        <w:tc>
          <w:tcPr>
            <w:tcW w:w="4874" w:type="dxa"/>
            <w:noWrap/>
            <w:vAlign w:val="center"/>
            <w:hideMark/>
          </w:tcPr>
          <w:p w14:paraId="44871EDB" w14:textId="2113A30B"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Back radiation from greenhouse </w:t>
            </w:r>
            <w:proofErr w:type="gramStart"/>
            <w:r w:rsidRPr="006A7EB8">
              <w:rPr>
                <w:rFonts w:ascii="Times New Roman" w:eastAsia="游ゴシック" w:hAnsi="Times New Roman" w:cs="Times New Roman"/>
                <w:kern w:val="0"/>
                <w:sz w:val="18"/>
                <w:szCs w:val="18"/>
              </w:rPr>
              <w:t>gasses</w:t>
            </w:r>
            <w:proofErr w:type="gramEnd"/>
            <w:r w:rsidRPr="006A7EB8">
              <w:rPr>
                <w:rFonts w:ascii="Times New Roman" w:eastAsia="游ゴシック" w:hAnsi="Times New Roman" w:cs="Times New Roman"/>
                <w:kern w:val="0"/>
                <w:sz w:val="18"/>
                <w:szCs w:val="18"/>
              </w:rPr>
              <w:t xml:space="preserv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Ibg</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0EB78E2E"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340.3 </w:t>
            </w:r>
          </w:p>
        </w:tc>
        <w:tc>
          <w:tcPr>
            <w:tcW w:w="3728" w:type="dxa"/>
            <w:noWrap/>
            <w:vAlign w:val="center"/>
            <w:hideMark/>
          </w:tcPr>
          <w:p w14:paraId="32D62D4A" w14:textId="05324BF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003076BD" w:rsidRPr="002A7DEB">
              <w:rPr>
                <w:rFonts w:ascii="Times New Roman" w:eastAsia="游ゴシック" w:hAnsi="Times New Roman" w:cs="Times New Roman" w:hint="eastAsia"/>
                <w:kern w:val="0"/>
                <w:sz w:val="18"/>
                <w:szCs w:val="18"/>
              </w:rPr>
              <w:t xml:space="preserve">, </w:t>
            </w:r>
            <w:r w:rsidR="003076BD">
              <w:rPr>
                <w:rFonts w:ascii="Times New Roman" w:eastAsia="游ゴシック" w:hAnsi="Times New Roman" w:cs="Times New Roman" w:hint="eastAsia"/>
                <w:kern w:val="0"/>
                <w:sz w:val="18"/>
                <w:szCs w:val="18"/>
              </w:rPr>
              <w:t xml:space="preserve">see </w:t>
            </w:r>
            <w:r w:rsidR="003076BD" w:rsidRPr="002A7DEB">
              <w:rPr>
                <w:rFonts w:ascii="Times New Roman" w:eastAsia="游ゴシック" w:hAnsi="Times New Roman" w:cs="Times New Roman"/>
                <w:kern w:val="0"/>
                <w:sz w:val="18"/>
                <w:szCs w:val="18"/>
              </w:rPr>
              <w:t>NASA Earth's energy budget</w:t>
            </w:r>
            <w:r w:rsidR="003076BD" w:rsidRPr="002A7DEB">
              <w:rPr>
                <w:rFonts w:ascii="Times New Roman" w:eastAsia="游ゴシック" w:hAnsi="Times New Roman" w:cs="Times New Roman" w:hint="eastAsia"/>
                <w:kern w:val="0"/>
                <w:sz w:val="18"/>
                <w:szCs w:val="18"/>
                <w:vertAlign w:val="superscript"/>
              </w:rPr>
              <w:t>19</w:t>
            </w:r>
          </w:p>
        </w:tc>
      </w:tr>
      <w:tr w:rsidR="006A7EB8" w:rsidRPr="006A7EB8" w14:paraId="6764D490" w14:textId="77777777" w:rsidTr="00551788">
        <w:trPr>
          <w:trHeight w:val="375"/>
          <w:jc w:val="center"/>
        </w:trPr>
        <w:tc>
          <w:tcPr>
            <w:tcW w:w="4874" w:type="dxa"/>
            <w:noWrap/>
            <w:vAlign w:val="center"/>
            <w:hideMark/>
          </w:tcPr>
          <w:p w14:paraId="1A9B49E0" w14:textId="278949E5"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Emission from the Earth's surface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Oes</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526DE01B"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398.2 </w:t>
            </w:r>
          </w:p>
        </w:tc>
        <w:tc>
          <w:tcPr>
            <w:tcW w:w="3728" w:type="dxa"/>
            <w:noWrap/>
            <w:vAlign w:val="center"/>
            <w:hideMark/>
          </w:tcPr>
          <w:p w14:paraId="5C3B3B75" w14:textId="7599075D"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003076BD" w:rsidRPr="002A7DEB">
              <w:rPr>
                <w:rFonts w:ascii="Times New Roman" w:eastAsia="游ゴシック" w:hAnsi="Times New Roman" w:cs="Times New Roman" w:hint="eastAsia"/>
                <w:kern w:val="0"/>
                <w:sz w:val="18"/>
                <w:szCs w:val="18"/>
              </w:rPr>
              <w:t xml:space="preserve">, </w:t>
            </w:r>
            <w:r w:rsidR="003076BD">
              <w:rPr>
                <w:rFonts w:ascii="Times New Roman" w:eastAsia="游ゴシック" w:hAnsi="Times New Roman" w:cs="Times New Roman" w:hint="eastAsia"/>
                <w:kern w:val="0"/>
                <w:sz w:val="18"/>
                <w:szCs w:val="18"/>
              </w:rPr>
              <w:t xml:space="preserve">see </w:t>
            </w:r>
            <w:r w:rsidR="003076BD" w:rsidRPr="002A7DEB">
              <w:rPr>
                <w:rFonts w:ascii="Times New Roman" w:eastAsia="游ゴシック" w:hAnsi="Times New Roman" w:cs="Times New Roman"/>
                <w:kern w:val="0"/>
                <w:sz w:val="18"/>
                <w:szCs w:val="18"/>
              </w:rPr>
              <w:t>NASA Earth's energy budget</w:t>
            </w:r>
            <w:r w:rsidR="003076BD" w:rsidRPr="002A7DEB">
              <w:rPr>
                <w:rFonts w:ascii="Times New Roman" w:eastAsia="游ゴシック" w:hAnsi="Times New Roman" w:cs="Times New Roman" w:hint="eastAsia"/>
                <w:kern w:val="0"/>
                <w:sz w:val="18"/>
                <w:szCs w:val="18"/>
                <w:vertAlign w:val="superscript"/>
              </w:rPr>
              <w:t>19</w:t>
            </w:r>
          </w:p>
        </w:tc>
      </w:tr>
      <w:tr w:rsidR="006A7EB8" w:rsidRPr="006A7EB8" w14:paraId="4DE1CC68" w14:textId="77777777" w:rsidTr="00551788">
        <w:trPr>
          <w:trHeight w:val="375"/>
          <w:jc w:val="center"/>
        </w:trPr>
        <w:tc>
          <w:tcPr>
            <w:tcW w:w="4874" w:type="dxa"/>
            <w:noWrap/>
            <w:vAlign w:val="center"/>
            <w:hideMark/>
          </w:tcPr>
          <w:p w14:paraId="223B8915" w14:textId="5605EE50"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Thermals (conduction/convection)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Otm</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6106AC44"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18.4 </w:t>
            </w:r>
          </w:p>
        </w:tc>
        <w:tc>
          <w:tcPr>
            <w:tcW w:w="3728" w:type="dxa"/>
            <w:noWrap/>
            <w:vAlign w:val="center"/>
            <w:hideMark/>
          </w:tcPr>
          <w:p w14:paraId="580B8B09" w14:textId="0ABC6350"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003076BD" w:rsidRPr="002A7DEB">
              <w:rPr>
                <w:rFonts w:ascii="Times New Roman" w:eastAsia="游ゴシック" w:hAnsi="Times New Roman" w:cs="Times New Roman" w:hint="eastAsia"/>
                <w:kern w:val="0"/>
                <w:sz w:val="18"/>
                <w:szCs w:val="18"/>
              </w:rPr>
              <w:t xml:space="preserve">, </w:t>
            </w:r>
            <w:r w:rsidR="003076BD">
              <w:rPr>
                <w:rFonts w:ascii="Times New Roman" w:eastAsia="游ゴシック" w:hAnsi="Times New Roman" w:cs="Times New Roman" w:hint="eastAsia"/>
                <w:kern w:val="0"/>
                <w:sz w:val="18"/>
                <w:szCs w:val="18"/>
              </w:rPr>
              <w:t xml:space="preserve">see </w:t>
            </w:r>
            <w:r w:rsidR="003076BD" w:rsidRPr="002A7DEB">
              <w:rPr>
                <w:rFonts w:ascii="Times New Roman" w:eastAsia="游ゴシック" w:hAnsi="Times New Roman" w:cs="Times New Roman"/>
                <w:kern w:val="0"/>
                <w:sz w:val="18"/>
                <w:szCs w:val="18"/>
              </w:rPr>
              <w:t>NASA Earth's energy budget</w:t>
            </w:r>
            <w:r w:rsidR="003076BD" w:rsidRPr="002A7DEB">
              <w:rPr>
                <w:rFonts w:ascii="Times New Roman" w:eastAsia="游ゴシック" w:hAnsi="Times New Roman" w:cs="Times New Roman" w:hint="eastAsia"/>
                <w:kern w:val="0"/>
                <w:sz w:val="18"/>
                <w:szCs w:val="18"/>
                <w:vertAlign w:val="superscript"/>
              </w:rPr>
              <w:t>19</w:t>
            </w:r>
          </w:p>
        </w:tc>
      </w:tr>
      <w:tr w:rsidR="006A7EB8" w:rsidRPr="006A7EB8" w14:paraId="0C474614" w14:textId="77777777" w:rsidTr="00551788">
        <w:trPr>
          <w:trHeight w:val="375"/>
          <w:jc w:val="center"/>
        </w:trPr>
        <w:tc>
          <w:tcPr>
            <w:tcW w:w="4874" w:type="dxa"/>
            <w:noWrap/>
            <w:vAlign w:val="center"/>
            <w:hideMark/>
          </w:tcPr>
          <w:p w14:paraId="6A6BA073" w14:textId="22709368"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latent heat (change of state)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Olh</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3DF7407B"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86.4 </w:t>
            </w:r>
          </w:p>
        </w:tc>
        <w:tc>
          <w:tcPr>
            <w:tcW w:w="3728" w:type="dxa"/>
            <w:noWrap/>
            <w:vAlign w:val="center"/>
            <w:hideMark/>
          </w:tcPr>
          <w:p w14:paraId="51718D51" w14:textId="783AB685"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003076BD" w:rsidRPr="002A7DEB">
              <w:rPr>
                <w:rFonts w:ascii="Times New Roman" w:eastAsia="游ゴシック" w:hAnsi="Times New Roman" w:cs="Times New Roman" w:hint="eastAsia"/>
                <w:kern w:val="0"/>
                <w:sz w:val="18"/>
                <w:szCs w:val="18"/>
              </w:rPr>
              <w:t xml:space="preserve">, </w:t>
            </w:r>
            <w:r w:rsidR="003076BD">
              <w:rPr>
                <w:rFonts w:ascii="Times New Roman" w:eastAsia="游ゴシック" w:hAnsi="Times New Roman" w:cs="Times New Roman" w:hint="eastAsia"/>
                <w:kern w:val="0"/>
                <w:sz w:val="18"/>
                <w:szCs w:val="18"/>
              </w:rPr>
              <w:t xml:space="preserve">see </w:t>
            </w:r>
            <w:r w:rsidR="003076BD" w:rsidRPr="002A7DEB">
              <w:rPr>
                <w:rFonts w:ascii="Times New Roman" w:eastAsia="游ゴシック" w:hAnsi="Times New Roman" w:cs="Times New Roman"/>
                <w:kern w:val="0"/>
                <w:sz w:val="18"/>
                <w:szCs w:val="18"/>
              </w:rPr>
              <w:t>NASA Earth's energy budget</w:t>
            </w:r>
            <w:r w:rsidR="003076BD" w:rsidRPr="002A7DEB">
              <w:rPr>
                <w:rFonts w:ascii="Times New Roman" w:eastAsia="游ゴシック" w:hAnsi="Times New Roman" w:cs="Times New Roman" w:hint="eastAsia"/>
                <w:kern w:val="0"/>
                <w:sz w:val="18"/>
                <w:szCs w:val="18"/>
                <w:vertAlign w:val="superscript"/>
              </w:rPr>
              <w:t>19</w:t>
            </w:r>
          </w:p>
        </w:tc>
      </w:tr>
      <w:tr w:rsidR="006A7EB8" w:rsidRPr="006A7EB8" w14:paraId="0E5E7B13" w14:textId="77777777" w:rsidTr="00551788">
        <w:trPr>
          <w:trHeight w:val="375"/>
          <w:jc w:val="center"/>
        </w:trPr>
        <w:tc>
          <w:tcPr>
            <w:tcW w:w="4874" w:type="dxa"/>
            <w:noWrap/>
            <w:vAlign w:val="center"/>
            <w:hideMark/>
          </w:tcPr>
          <w:p w14:paraId="25582517" w14:textId="004ACA09"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Incoming solar radiation to the earth’s surface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Iic</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4193A332"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503.6 </w:t>
            </w:r>
          </w:p>
        </w:tc>
        <w:tc>
          <w:tcPr>
            <w:tcW w:w="3728" w:type="dxa"/>
            <w:noWrap/>
            <w:vAlign w:val="center"/>
            <w:hideMark/>
          </w:tcPr>
          <w:p w14:paraId="57E885B6"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Pr="006A7EB8">
              <w:rPr>
                <w:rFonts w:ascii="Times New Roman" w:eastAsia="游ゴシック" w:hAnsi="Times New Roman" w:cs="Times New Roman"/>
                <w:kern w:val="0"/>
                <w:sz w:val="18"/>
                <w:szCs w:val="18"/>
              </w:rPr>
              <w:t>, =Ias+Ibg</w:t>
            </w:r>
          </w:p>
        </w:tc>
      </w:tr>
      <w:tr w:rsidR="006A7EB8" w:rsidRPr="006A7EB8" w14:paraId="6AD2AC88" w14:textId="77777777" w:rsidTr="00494080">
        <w:trPr>
          <w:trHeight w:val="375"/>
          <w:jc w:val="center"/>
        </w:trPr>
        <w:tc>
          <w:tcPr>
            <w:tcW w:w="4874" w:type="dxa"/>
            <w:tcBorders>
              <w:bottom w:val="dotted" w:sz="4" w:space="0" w:color="auto"/>
            </w:tcBorders>
            <w:noWrap/>
            <w:vAlign w:val="center"/>
            <w:hideMark/>
          </w:tcPr>
          <w:p w14:paraId="59A44737" w14:textId="29D5AA5E"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Outgoing from the earth’s surface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Osf</w:t>
            </w:r>
            <w:r w:rsidR="00551788">
              <w:rPr>
                <w:rFonts w:ascii="Times New Roman" w:eastAsia="游ゴシック" w:hAnsi="Times New Roman" w:cs="Times New Roman" w:hint="eastAsia"/>
                <w:kern w:val="0"/>
                <w:sz w:val="18"/>
                <w:szCs w:val="18"/>
              </w:rPr>
              <w:t>)</w:t>
            </w:r>
          </w:p>
        </w:tc>
        <w:tc>
          <w:tcPr>
            <w:tcW w:w="1355" w:type="dxa"/>
            <w:tcBorders>
              <w:bottom w:val="dotted" w:sz="4" w:space="0" w:color="auto"/>
            </w:tcBorders>
            <w:noWrap/>
            <w:vAlign w:val="center"/>
            <w:hideMark/>
          </w:tcPr>
          <w:p w14:paraId="0E4CF57B"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503.0 </w:t>
            </w:r>
          </w:p>
        </w:tc>
        <w:tc>
          <w:tcPr>
            <w:tcW w:w="3728" w:type="dxa"/>
            <w:tcBorders>
              <w:bottom w:val="dotted" w:sz="4" w:space="0" w:color="auto"/>
            </w:tcBorders>
            <w:noWrap/>
            <w:vAlign w:val="center"/>
            <w:hideMark/>
          </w:tcPr>
          <w:p w14:paraId="397223C2"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Pr="006A7EB8">
              <w:rPr>
                <w:rFonts w:ascii="Times New Roman" w:eastAsia="游ゴシック" w:hAnsi="Times New Roman" w:cs="Times New Roman"/>
                <w:kern w:val="0"/>
                <w:sz w:val="18"/>
                <w:szCs w:val="18"/>
              </w:rPr>
              <w:t>, =Oes+Otm+Olh</w:t>
            </w:r>
          </w:p>
        </w:tc>
      </w:tr>
      <w:tr w:rsidR="006A7EB8" w:rsidRPr="006A7EB8" w14:paraId="5E2F1F1A" w14:textId="77777777" w:rsidTr="00494080">
        <w:trPr>
          <w:trHeight w:val="375"/>
          <w:jc w:val="center"/>
        </w:trPr>
        <w:tc>
          <w:tcPr>
            <w:tcW w:w="4874" w:type="dxa"/>
            <w:tcBorders>
              <w:top w:val="dotted" w:sz="4" w:space="0" w:color="auto"/>
              <w:bottom w:val="single" w:sz="6" w:space="0" w:color="auto"/>
            </w:tcBorders>
            <w:noWrap/>
            <w:vAlign w:val="center"/>
            <w:hideMark/>
          </w:tcPr>
          <w:p w14:paraId="2F31BC31" w14:textId="3C8842C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Difference </w:t>
            </w:r>
            <w:r w:rsidR="00996983">
              <w:rPr>
                <w:rFonts w:ascii="Times New Roman" w:eastAsia="游ゴシック" w:hAnsi="Times New Roman" w:cs="Times New Roman" w:hint="eastAsia"/>
                <w:kern w:val="0"/>
                <w:sz w:val="18"/>
                <w:szCs w:val="18"/>
              </w:rPr>
              <w:t>in</w:t>
            </w:r>
            <w:r w:rsidRPr="006A7EB8">
              <w:rPr>
                <w:rFonts w:ascii="Times New Roman" w:eastAsia="游ゴシック" w:hAnsi="Times New Roman" w:cs="Times New Roman"/>
                <w:kern w:val="0"/>
                <w:sz w:val="18"/>
                <w:szCs w:val="18"/>
              </w:rPr>
              <w:t xml:space="preserve"> in</w:t>
            </w:r>
            <w:r w:rsidRPr="006A7EB8">
              <w:rPr>
                <w:rFonts w:ascii="Times New Roman" w:eastAsia="游ゴシック" w:hAnsi="Times New Roman" w:cs="Times New Roman" w:hint="eastAsia"/>
                <w:kern w:val="0"/>
                <w:sz w:val="18"/>
                <w:szCs w:val="18"/>
              </w:rPr>
              <w:t>coming</w:t>
            </w:r>
            <w:r w:rsidRPr="006A7EB8">
              <w:rPr>
                <w:rFonts w:ascii="Times New Roman" w:eastAsia="游ゴシック" w:hAnsi="Times New Roman" w:cs="Times New Roman"/>
                <w:kern w:val="0"/>
                <w:sz w:val="18"/>
                <w:szCs w:val="18"/>
              </w:rPr>
              <w:t xml:space="preserve"> and out</w:t>
            </w:r>
            <w:r w:rsidRPr="006A7EB8">
              <w:rPr>
                <w:rFonts w:ascii="Times New Roman" w:eastAsia="游ゴシック" w:hAnsi="Times New Roman" w:cs="Times New Roman" w:hint="eastAsia"/>
                <w:kern w:val="0"/>
                <w:sz w:val="18"/>
                <w:szCs w:val="18"/>
              </w:rPr>
              <w:t>going</w:t>
            </w:r>
            <w:r w:rsidRPr="006A7EB8">
              <w:rPr>
                <w:rFonts w:ascii="Times New Roman" w:eastAsia="游ゴシック" w:hAnsi="Times New Roman" w:cs="Times New Roman"/>
                <w:kern w:val="0"/>
                <w:sz w:val="18"/>
                <w:szCs w:val="18"/>
              </w:rPr>
              <w:t xml:space="preserve"> radiation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Dio</w:t>
            </w:r>
            <w:r w:rsidR="00551788">
              <w:rPr>
                <w:rFonts w:ascii="Times New Roman" w:eastAsia="游ゴシック" w:hAnsi="Times New Roman" w:cs="Times New Roman" w:hint="eastAsia"/>
                <w:kern w:val="0"/>
                <w:sz w:val="18"/>
                <w:szCs w:val="18"/>
              </w:rPr>
              <w:t>)</w:t>
            </w:r>
          </w:p>
        </w:tc>
        <w:tc>
          <w:tcPr>
            <w:tcW w:w="1355" w:type="dxa"/>
            <w:tcBorders>
              <w:top w:val="dotted" w:sz="4" w:space="0" w:color="auto"/>
              <w:bottom w:val="single" w:sz="6" w:space="0" w:color="auto"/>
            </w:tcBorders>
            <w:noWrap/>
            <w:vAlign w:val="center"/>
            <w:hideMark/>
          </w:tcPr>
          <w:p w14:paraId="220D751A"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0.6 </w:t>
            </w:r>
          </w:p>
        </w:tc>
        <w:tc>
          <w:tcPr>
            <w:tcW w:w="3728" w:type="dxa"/>
            <w:tcBorders>
              <w:top w:val="dotted" w:sz="4" w:space="0" w:color="auto"/>
              <w:bottom w:val="single" w:sz="6" w:space="0" w:color="auto"/>
            </w:tcBorders>
            <w:noWrap/>
            <w:vAlign w:val="center"/>
            <w:hideMark/>
          </w:tcPr>
          <w:p w14:paraId="79521CFD"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W/m</w:t>
            </w:r>
            <w:r w:rsidRPr="006A7EB8">
              <w:rPr>
                <w:rFonts w:ascii="Times New Roman" w:eastAsia="游ゴシック" w:hAnsi="Times New Roman" w:cs="Times New Roman"/>
                <w:kern w:val="0"/>
                <w:sz w:val="18"/>
                <w:szCs w:val="18"/>
                <w:vertAlign w:val="superscript"/>
              </w:rPr>
              <w:t>2</w:t>
            </w:r>
            <w:r w:rsidRPr="006A7EB8">
              <w:rPr>
                <w:rFonts w:ascii="Times New Roman" w:eastAsia="游ゴシック" w:hAnsi="Times New Roman" w:cs="Times New Roman"/>
                <w:kern w:val="0"/>
                <w:sz w:val="18"/>
                <w:szCs w:val="18"/>
              </w:rPr>
              <w:t>, =Iic-Osf</w:t>
            </w:r>
          </w:p>
        </w:tc>
      </w:tr>
      <w:tr w:rsidR="006A7EB8" w:rsidRPr="006A7EB8" w14:paraId="1F7C4BDC" w14:textId="77777777" w:rsidTr="00494080">
        <w:trPr>
          <w:trHeight w:val="375"/>
          <w:jc w:val="center"/>
        </w:trPr>
        <w:tc>
          <w:tcPr>
            <w:tcW w:w="4874" w:type="dxa"/>
            <w:tcBorders>
              <w:top w:val="single" w:sz="6" w:space="0" w:color="auto"/>
            </w:tcBorders>
            <w:noWrap/>
            <w:vAlign w:val="center"/>
            <w:hideMark/>
          </w:tcPr>
          <w:p w14:paraId="50C918C3" w14:textId="65288D4D"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Temperature prediction from Dio in 2000</w:t>
            </w:r>
            <w:r w:rsidRPr="006A7EB8">
              <w:rPr>
                <w:rFonts w:ascii="Times New Roman" w:eastAsia="游ゴシック" w:hAnsi="Times New Roman" w:cs="Times New Roman" w:hint="eastAsia"/>
                <w:kern w:val="0"/>
                <w:sz w:val="18"/>
                <w:szCs w:val="18"/>
              </w:rPr>
              <w:t xml:space="preserve"> to </w:t>
            </w:r>
            <w:r w:rsidRPr="006A7EB8">
              <w:rPr>
                <w:rFonts w:ascii="Times New Roman" w:eastAsia="游ゴシック" w:hAnsi="Times New Roman" w:cs="Times New Roman"/>
                <w:kern w:val="0"/>
                <w:sz w:val="18"/>
                <w:szCs w:val="18"/>
              </w:rPr>
              <w:t xml:space="preserve">2009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Tdio</w:t>
            </w:r>
            <w:r w:rsidR="00551788">
              <w:rPr>
                <w:rFonts w:ascii="Times New Roman" w:eastAsia="游ゴシック" w:hAnsi="Times New Roman" w:cs="Times New Roman" w:hint="eastAsia"/>
                <w:kern w:val="0"/>
                <w:sz w:val="18"/>
                <w:szCs w:val="18"/>
              </w:rPr>
              <w:t>)</w:t>
            </w:r>
          </w:p>
        </w:tc>
        <w:tc>
          <w:tcPr>
            <w:tcW w:w="1355" w:type="dxa"/>
            <w:tcBorders>
              <w:top w:val="single" w:sz="6" w:space="0" w:color="auto"/>
            </w:tcBorders>
            <w:noWrap/>
            <w:vAlign w:val="center"/>
            <w:hideMark/>
          </w:tcPr>
          <w:p w14:paraId="4DC7D565"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0.9 [0.6 to 1.2]</w:t>
            </w:r>
          </w:p>
        </w:tc>
        <w:tc>
          <w:tcPr>
            <w:tcW w:w="3728" w:type="dxa"/>
            <w:tcBorders>
              <w:top w:val="single" w:sz="6" w:space="0" w:color="auto"/>
            </w:tcBorders>
            <w:noWrap/>
            <w:vAlign w:val="center"/>
            <w:hideMark/>
          </w:tcPr>
          <w:p w14:paraId="06525465"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Segoe UI Symbol" w:eastAsia="游ゴシック" w:hAnsi="Segoe UI Symbol" w:cs="Times New Roman"/>
                <w:kern w:val="0"/>
                <w:sz w:val="18"/>
                <w:szCs w:val="18"/>
              </w:rPr>
              <w:t>℃</w:t>
            </w:r>
            <w:r w:rsidRPr="006A7EB8">
              <w:rPr>
                <w:rFonts w:ascii="Times New Roman" w:eastAsia="游ゴシック" w:hAnsi="Times New Roman" w:cs="Times New Roman"/>
                <w:kern w:val="0"/>
                <w:sz w:val="18"/>
                <w:szCs w:val="18"/>
              </w:rPr>
              <w:t xml:space="preserve">, see </w:t>
            </w:r>
            <w:r w:rsidRPr="006A7EB8">
              <w:rPr>
                <w:rFonts w:ascii="Times New Roman" w:eastAsia="游ゴシック" w:hAnsi="Times New Roman" w:cs="Times New Roman"/>
                <w:b/>
                <w:bCs/>
                <w:kern w:val="0"/>
                <w:sz w:val="18"/>
                <w:szCs w:val="18"/>
              </w:rPr>
              <w:t>Supplementary Fig. S9</w:t>
            </w:r>
          </w:p>
        </w:tc>
      </w:tr>
      <w:tr w:rsidR="006A7EB8" w:rsidRPr="006A7EB8" w14:paraId="4E064911" w14:textId="77777777" w:rsidTr="00551788">
        <w:trPr>
          <w:trHeight w:val="375"/>
          <w:jc w:val="center"/>
        </w:trPr>
        <w:tc>
          <w:tcPr>
            <w:tcW w:w="4874" w:type="dxa"/>
            <w:noWrap/>
            <w:vAlign w:val="center"/>
            <w:hideMark/>
          </w:tcPr>
          <w:p w14:paraId="7E76EDFE" w14:textId="22F9FA1B"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Average actual surface temperature rise in 2000</w:t>
            </w:r>
            <w:r w:rsidRPr="006A7EB8">
              <w:rPr>
                <w:rFonts w:ascii="Times New Roman" w:eastAsia="游ゴシック" w:hAnsi="Times New Roman" w:cs="Times New Roman" w:hint="eastAsia"/>
                <w:kern w:val="0"/>
                <w:sz w:val="18"/>
                <w:szCs w:val="18"/>
              </w:rPr>
              <w:t xml:space="preserve"> to </w:t>
            </w:r>
            <w:r w:rsidRPr="006A7EB8">
              <w:rPr>
                <w:rFonts w:ascii="Times New Roman" w:eastAsia="游ゴシック" w:hAnsi="Times New Roman" w:cs="Times New Roman"/>
                <w:kern w:val="0"/>
                <w:sz w:val="18"/>
                <w:szCs w:val="18"/>
              </w:rPr>
              <w:t xml:space="preserve">2009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Taar</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33951685"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0.9 [0.7 to 1.0]</w:t>
            </w:r>
          </w:p>
        </w:tc>
        <w:tc>
          <w:tcPr>
            <w:tcW w:w="3728" w:type="dxa"/>
            <w:noWrap/>
            <w:vAlign w:val="center"/>
            <w:hideMark/>
          </w:tcPr>
          <w:p w14:paraId="798DBFDC"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Segoe UI Symbol" w:eastAsia="游ゴシック" w:hAnsi="Segoe UI Symbol" w:cs="Times New Roman"/>
                <w:kern w:val="0"/>
                <w:sz w:val="18"/>
                <w:szCs w:val="18"/>
              </w:rPr>
              <w:t>℃</w:t>
            </w:r>
            <w:r w:rsidRPr="006A7EB8">
              <w:rPr>
                <w:rFonts w:ascii="Times New Roman" w:eastAsia="游ゴシック" w:hAnsi="Times New Roman" w:cs="Times New Roman"/>
                <w:kern w:val="0"/>
                <w:sz w:val="18"/>
                <w:szCs w:val="18"/>
              </w:rPr>
              <w:t>, see</w:t>
            </w:r>
            <w:r w:rsidRPr="006A7EB8">
              <w:rPr>
                <w:rFonts w:ascii="Times New Roman" w:eastAsia="游ゴシック" w:hAnsi="Times New Roman" w:cs="Times New Roman"/>
                <w:b/>
                <w:bCs/>
                <w:kern w:val="0"/>
                <w:sz w:val="18"/>
                <w:szCs w:val="18"/>
              </w:rPr>
              <w:t xml:space="preserve"> </w:t>
            </w:r>
            <w:r w:rsidRPr="006A7EB8">
              <w:rPr>
                <w:rFonts w:ascii="Times New Roman" w:eastAsia="游ゴシック" w:hAnsi="Times New Roman" w:cs="Times New Roman"/>
                <w:kern w:val="0"/>
                <w:sz w:val="18"/>
                <w:szCs w:val="18"/>
              </w:rPr>
              <w:t xml:space="preserve">The Excel file in </w:t>
            </w:r>
            <w:r w:rsidRPr="006A7EB8">
              <w:rPr>
                <w:rFonts w:ascii="Times New Roman" w:eastAsia="游ゴシック" w:hAnsi="Times New Roman" w:cs="Times New Roman"/>
                <w:b/>
                <w:bCs/>
                <w:kern w:val="0"/>
                <w:sz w:val="18"/>
                <w:szCs w:val="18"/>
              </w:rPr>
              <w:t>Data availability</w:t>
            </w:r>
          </w:p>
        </w:tc>
      </w:tr>
      <w:tr w:rsidR="006A7EB8" w:rsidRPr="006A7EB8" w14:paraId="1F5C744D" w14:textId="77777777" w:rsidTr="00551788">
        <w:trPr>
          <w:trHeight w:val="390"/>
          <w:jc w:val="center"/>
        </w:trPr>
        <w:tc>
          <w:tcPr>
            <w:tcW w:w="4874" w:type="dxa"/>
            <w:noWrap/>
            <w:vAlign w:val="center"/>
            <w:hideMark/>
          </w:tcPr>
          <w:p w14:paraId="622DEB9D" w14:textId="5F24A676"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xml:space="preserve">Difference </w:t>
            </w:r>
            <w:r w:rsidR="00996983">
              <w:rPr>
                <w:rFonts w:ascii="Times New Roman" w:eastAsia="游ゴシック" w:hAnsi="Times New Roman" w:cs="Times New Roman" w:hint="eastAsia"/>
                <w:kern w:val="0"/>
                <w:sz w:val="18"/>
                <w:szCs w:val="18"/>
              </w:rPr>
              <w:t>in</w:t>
            </w:r>
            <w:r w:rsidRPr="006A7EB8">
              <w:rPr>
                <w:rFonts w:ascii="Times New Roman" w:eastAsia="游ゴシック" w:hAnsi="Times New Roman" w:cs="Times New Roman"/>
                <w:kern w:val="0"/>
                <w:sz w:val="18"/>
                <w:szCs w:val="18"/>
              </w:rPr>
              <w:t xml:space="preserve"> best estimates of Tdio and Taar </w:t>
            </w:r>
            <w:r w:rsidR="00551788">
              <w:rPr>
                <w:rFonts w:ascii="Times New Roman" w:eastAsia="游ゴシック" w:hAnsi="Times New Roman" w:cs="Times New Roman" w:hint="eastAsia"/>
                <w:kern w:val="0"/>
                <w:sz w:val="18"/>
                <w:szCs w:val="18"/>
              </w:rPr>
              <w:t>(</w:t>
            </w:r>
            <w:r w:rsidRPr="006A7EB8">
              <w:rPr>
                <w:rFonts w:ascii="Times New Roman" w:eastAsia="游ゴシック" w:hAnsi="Times New Roman" w:cs="Times New Roman"/>
                <w:kern w:val="0"/>
                <w:sz w:val="18"/>
                <w:szCs w:val="18"/>
              </w:rPr>
              <w:t>D</w:t>
            </w:r>
            <w:r w:rsidRPr="006A7EB8">
              <w:rPr>
                <w:rFonts w:ascii="Times New Roman" w:eastAsia="游ゴシック" w:hAnsi="Times New Roman" w:cs="Times New Roman" w:hint="eastAsia"/>
                <w:kern w:val="0"/>
                <w:sz w:val="18"/>
                <w:szCs w:val="18"/>
              </w:rPr>
              <w:t>ioa</w:t>
            </w:r>
            <w:r w:rsidR="00551788">
              <w:rPr>
                <w:rFonts w:ascii="Times New Roman" w:eastAsia="游ゴシック" w:hAnsi="Times New Roman" w:cs="Times New Roman" w:hint="eastAsia"/>
                <w:kern w:val="0"/>
                <w:sz w:val="18"/>
                <w:szCs w:val="18"/>
              </w:rPr>
              <w:t>)</w:t>
            </w:r>
          </w:p>
        </w:tc>
        <w:tc>
          <w:tcPr>
            <w:tcW w:w="1355" w:type="dxa"/>
            <w:noWrap/>
            <w:vAlign w:val="center"/>
            <w:hideMark/>
          </w:tcPr>
          <w:p w14:paraId="16B4C918" w14:textId="77777777" w:rsidR="006A7EB8" w:rsidRPr="006A7EB8" w:rsidRDefault="006A7EB8" w:rsidP="006A7EB8">
            <w:pPr>
              <w:widowControl/>
              <w:jc w:val="righ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0.0 [-0.</w:t>
            </w:r>
            <w:r w:rsidRPr="006A7EB8">
              <w:rPr>
                <w:rFonts w:ascii="Times New Roman" w:eastAsia="游ゴシック" w:hAnsi="Times New Roman" w:cs="Times New Roman" w:hint="eastAsia"/>
                <w:kern w:val="0"/>
                <w:sz w:val="18"/>
                <w:szCs w:val="18"/>
              </w:rPr>
              <w:t>1</w:t>
            </w:r>
            <w:r w:rsidRPr="006A7EB8">
              <w:rPr>
                <w:rFonts w:ascii="Times New Roman" w:eastAsia="游ゴシック" w:hAnsi="Times New Roman" w:cs="Times New Roman"/>
                <w:kern w:val="0"/>
                <w:sz w:val="18"/>
                <w:szCs w:val="18"/>
              </w:rPr>
              <w:t xml:space="preserve"> to 0.</w:t>
            </w:r>
            <w:r w:rsidRPr="006A7EB8">
              <w:rPr>
                <w:rFonts w:ascii="Times New Roman" w:eastAsia="游ゴシック" w:hAnsi="Times New Roman" w:cs="Times New Roman" w:hint="eastAsia"/>
                <w:kern w:val="0"/>
                <w:sz w:val="18"/>
                <w:szCs w:val="18"/>
              </w:rPr>
              <w:t>1</w:t>
            </w:r>
            <w:r w:rsidRPr="006A7EB8">
              <w:rPr>
                <w:rFonts w:ascii="Times New Roman" w:eastAsia="游ゴシック" w:hAnsi="Times New Roman" w:cs="Times New Roman"/>
                <w:kern w:val="0"/>
                <w:sz w:val="18"/>
                <w:szCs w:val="18"/>
              </w:rPr>
              <w:t>]</w:t>
            </w:r>
          </w:p>
        </w:tc>
        <w:tc>
          <w:tcPr>
            <w:tcW w:w="3728" w:type="dxa"/>
            <w:noWrap/>
            <w:vAlign w:val="center"/>
            <w:hideMark/>
          </w:tcPr>
          <w:p w14:paraId="30935624" w14:textId="77777777" w:rsidR="006A7EB8" w:rsidRPr="006A7EB8" w:rsidRDefault="006A7EB8" w:rsidP="006A7EB8">
            <w:pPr>
              <w:widowControl/>
              <w:jc w:val="left"/>
              <w:rPr>
                <w:rFonts w:ascii="Times New Roman" w:eastAsia="游ゴシック" w:hAnsi="Times New Roman" w:cs="Times New Roman"/>
                <w:kern w:val="0"/>
                <w:sz w:val="18"/>
                <w:szCs w:val="18"/>
              </w:rPr>
            </w:pPr>
            <w:r w:rsidRPr="006A7EB8">
              <w:rPr>
                <w:rFonts w:ascii="Times New Roman" w:eastAsia="游ゴシック" w:hAnsi="Times New Roman" w:cs="Times New Roman"/>
                <w:kern w:val="0"/>
                <w:sz w:val="18"/>
                <w:szCs w:val="18"/>
              </w:rPr>
              <w:t>℃, range at Tr = 0℃ in S</w:t>
            </w:r>
            <w:r w:rsidRPr="006A7EB8">
              <w:rPr>
                <w:rFonts w:ascii="Times New Roman" w:eastAsia="游ゴシック" w:hAnsi="Times New Roman" w:cs="Times New Roman"/>
                <w:b/>
                <w:bCs/>
                <w:kern w:val="0"/>
                <w:sz w:val="18"/>
                <w:szCs w:val="18"/>
              </w:rPr>
              <w:t>upplementary Fig. S9</w:t>
            </w:r>
          </w:p>
        </w:tc>
      </w:tr>
      <w:bookmarkEnd w:id="41"/>
    </w:tbl>
    <w:p w14:paraId="660042DE" w14:textId="77777777" w:rsidR="003C7235" w:rsidRPr="003C7235" w:rsidRDefault="003C7235" w:rsidP="003C7235">
      <w:pPr>
        <w:widowControl/>
        <w:jc w:val="center"/>
        <w:rPr>
          <w:rFonts w:ascii="Times New Roman" w:hAnsi="Times New Roman" w:cs="Times New Roman"/>
          <w:b/>
          <w:bCs/>
          <w:sz w:val="24"/>
          <w:szCs w:val="24"/>
        </w:rPr>
      </w:pPr>
    </w:p>
    <w:p w14:paraId="2E608F42" w14:textId="3D830269" w:rsidR="003C7235" w:rsidRDefault="003C7235">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3A8B987" w14:textId="4A0658AF" w:rsidR="00A50830" w:rsidRPr="00A50830" w:rsidRDefault="00A50830" w:rsidP="004F2C64">
      <w:pPr>
        <w:spacing w:line="320" w:lineRule="exact"/>
        <w:rPr>
          <w:rFonts w:ascii="Times New Roman" w:eastAsia="ＭＳ 明朝" w:hAnsi="Times New Roman" w:cs="Times New Roman"/>
          <w:sz w:val="24"/>
          <w:szCs w:val="40"/>
          <w14:ligatures w14:val="standardContextual"/>
        </w:rPr>
      </w:pPr>
      <w:r w:rsidRPr="00A50830">
        <w:rPr>
          <w:rFonts w:ascii="Times New Roman" w:hAnsi="Times New Roman" w:cs="Times New Roman"/>
          <w:b/>
          <w:bCs/>
          <w:sz w:val="24"/>
          <w:szCs w:val="24"/>
        </w:rPr>
        <w:lastRenderedPageBreak/>
        <w:t>Supplementary</w:t>
      </w:r>
      <w:r w:rsidRPr="004E4FF5">
        <w:rPr>
          <w:rFonts w:ascii="Times New Roman" w:hAnsi="Times New Roman" w:cs="Times New Roman"/>
          <w:b/>
          <w:bCs/>
          <w:sz w:val="24"/>
          <w:szCs w:val="24"/>
        </w:rPr>
        <w:t xml:space="preserve"> Table S1</w:t>
      </w:r>
      <w:r w:rsidR="00063D47" w:rsidRPr="004E4FF5">
        <w:rPr>
          <w:rFonts w:ascii="Times New Roman" w:hAnsi="Times New Roman" w:cs="Times New Roman" w:hint="eastAsia"/>
          <w:b/>
          <w:bCs/>
          <w:sz w:val="24"/>
          <w:szCs w:val="24"/>
        </w:rPr>
        <w:t>0</w:t>
      </w:r>
      <w:r w:rsidRPr="004E4FF5">
        <w:rPr>
          <w:rFonts w:ascii="Times New Roman" w:hAnsi="Times New Roman" w:cs="Times New Roman"/>
          <w:b/>
          <w:bCs/>
          <w:sz w:val="24"/>
          <w:szCs w:val="24"/>
        </w:rPr>
        <w:t>. Com</w:t>
      </w:r>
      <w:r w:rsidRPr="00A50830">
        <w:rPr>
          <w:rFonts w:ascii="Times New Roman" w:hAnsi="Times New Roman" w:cs="Times New Roman"/>
          <w:b/>
          <w:bCs/>
          <w:sz w:val="24"/>
          <w:szCs w:val="24"/>
        </w:rPr>
        <w:t>parison of energy storage capabilities.</w:t>
      </w:r>
      <w:r w:rsidRPr="00A50830">
        <w:rPr>
          <w:rFonts w:ascii="Times New Roman" w:hAnsi="Times New Roman" w:cs="Times New Roman"/>
          <w:sz w:val="24"/>
          <w:szCs w:val="24"/>
        </w:rPr>
        <w:t xml:space="preserve"> </w:t>
      </w:r>
      <w:r w:rsidRPr="00A50830">
        <w:rPr>
          <w:rFonts w:ascii="Times New Roman" w:eastAsia="ＭＳ 明朝" w:hAnsi="Times New Roman" w:cs="Times New Roman"/>
          <w:sz w:val="24"/>
          <w:szCs w:val="40"/>
          <w14:ligatures w14:val="standardContextual"/>
        </w:rPr>
        <w:t>Energy storage methods that smooth out the large fluctuations of renewable energy include (</w:t>
      </w:r>
      <w:r w:rsidRPr="00A50830">
        <w:rPr>
          <w:rFonts w:ascii="Times New Roman" w:eastAsia="ＭＳ 明朝" w:hAnsi="Times New Roman" w:cs="Times New Roman"/>
          <w:b/>
          <w:bCs/>
          <w:sz w:val="24"/>
          <w:szCs w:val="40"/>
          <w14:ligatures w14:val="standardContextual"/>
        </w:rPr>
        <w:t>a</w:t>
      </w:r>
      <w:r w:rsidRPr="00A50830">
        <w:rPr>
          <w:rFonts w:ascii="Times New Roman" w:eastAsia="ＭＳ 明朝" w:hAnsi="Times New Roman" w:cs="Times New Roman"/>
          <w:sz w:val="24"/>
          <w:szCs w:val="40"/>
          <w14:ligatures w14:val="standardContextual"/>
        </w:rPr>
        <w:t>) batteries, (</w:t>
      </w:r>
      <w:r w:rsidRPr="00A50830">
        <w:rPr>
          <w:rFonts w:ascii="Times New Roman" w:eastAsia="ＭＳ 明朝" w:hAnsi="Times New Roman" w:cs="Times New Roman"/>
          <w:b/>
          <w:bCs/>
          <w:sz w:val="24"/>
          <w:szCs w:val="40"/>
          <w14:ligatures w14:val="standardContextual"/>
        </w:rPr>
        <w:t>b</w:t>
      </w:r>
      <w:r w:rsidRPr="00A50830">
        <w:rPr>
          <w:rFonts w:ascii="Times New Roman" w:eastAsia="ＭＳ 明朝" w:hAnsi="Times New Roman" w:cs="Times New Roman"/>
          <w:sz w:val="24"/>
          <w:szCs w:val="40"/>
          <w14:ligatures w14:val="standardContextual"/>
        </w:rPr>
        <w:t>) compressed air energy storag</w:t>
      </w:r>
      <w:r w:rsidRPr="003C39DD">
        <w:rPr>
          <w:rFonts w:ascii="Times New Roman" w:eastAsia="ＭＳ 明朝" w:hAnsi="Times New Roman" w:cs="Times New Roman"/>
          <w:sz w:val="24"/>
          <w:szCs w:val="40"/>
          <w14:ligatures w14:val="standardContextual"/>
        </w:rPr>
        <w:t>e (CAES)</w:t>
      </w:r>
      <w:r w:rsidR="007078A1" w:rsidRPr="003C39DD">
        <w:rPr>
          <w:rFonts w:ascii="Times New Roman" w:eastAsia="ＭＳ 明朝" w:hAnsi="Times New Roman" w:cs="Times New Roman" w:hint="eastAsia"/>
          <w:sz w:val="24"/>
          <w:szCs w:val="40"/>
          <w14:ligatures w14:val="standardContextual"/>
        </w:rPr>
        <w:t xml:space="preserve"> [21]</w:t>
      </w:r>
      <w:r w:rsidRPr="003C39DD">
        <w:rPr>
          <w:rFonts w:ascii="Times New Roman" w:eastAsia="ＭＳ 明朝" w:hAnsi="Times New Roman" w:cs="Times New Roman"/>
          <w:sz w:val="24"/>
          <w:szCs w:val="40"/>
          <w14:ligatures w14:val="standardContextual"/>
        </w:rPr>
        <w:t>, (</w:t>
      </w:r>
      <w:r w:rsidRPr="003C39DD">
        <w:rPr>
          <w:rFonts w:ascii="Times New Roman" w:eastAsia="ＭＳ 明朝" w:hAnsi="Times New Roman" w:cs="Times New Roman"/>
          <w:b/>
          <w:bCs/>
          <w:sz w:val="24"/>
          <w:szCs w:val="40"/>
          <w14:ligatures w14:val="standardContextual"/>
        </w:rPr>
        <w:t>c</w:t>
      </w:r>
      <w:r w:rsidRPr="003C39DD">
        <w:rPr>
          <w:rFonts w:ascii="Times New Roman" w:eastAsia="ＭＳ 明朝" w:hAnsi="Times New Roman" w:cs="Times New Roman"/>
          <w:sz w:val="24"/>
          <w:szCs w:val="40"/>
          <w14:ligatures w14:val="standardContextual"/>
        </w:rPr>
        <w:t>) thermal energy storage (TES)</w:t>
      </w:r>
      <w:r w:rsidR="007078A1" w:rsidRPr="003C39DD">
        <w:rPr>
          <w:rFonts w:ascii="Times New Roman" w:eastAsia="ＭＳ 明朝" w:hAnsi="Times New Roman" w:cs="Times New Roman" w:hint="eastAsia"/>
          <w:sz w:val="24"/>
          <w:szCs w:val="40"/>
          <w14:ligatures w14:val="standardContextual"/>
        </w:rPr>
        <w:t xml:space="preserve"> [22], </w:t>
      </w:r>
      <w:r w:rsidRPr="003C39DD">
        <w:rPr>
          <w:rFonts w:ascii="Times New Roman" w:eastAsia="ＭＳ 明朝" w:hAnsi="Times New Roman" w:cs="Times New Roman"/>
          <w:sz w:val="24"/>
          <w:szCs w:val="40"/>
          <w14:ligatures w14:val="standardContextual"/>
        </w:rPr>
        <w:t>and (</w:t>
      </w:r>
      <w:r w:rsidRPr="003C39DD">
        <w:rPr>
          <w:rFonts w:ascii="Times New Roman" w:eastAsia="ＭＳ 明朝" w:hAnsi="Times New Roman" w:cs="Times New Roman"/>
          <w:b/>
          <w:bCs/>
          <w:sz w:val="24"/>
          <w:szCs w:val="40"/>
          <w14:ligatures w14:val="standardContextual"/>
        </w:rPr>
        <w:t>d</w:t>
      </w:r>
      <w:r w:rsidRPr="003C39DD">
        <w:rPr>
          <w:rFonts w:ascii="Times New Roman" w:eastAsia="ＭＳ 明朝" w:hAnsi="Times New Roman" w:cs="Times New Roman"/>
          <w:sz w:val="24"/>
          <w:szCs w:val="40"/>
          <w14:ligatures w14:val="standardContextual"/>
        </w:rPr>
        <w:t>) h</w:t>
      </w:r>
      <w:r w:rsidRPr="00A50830">
        <w:rPr>
          <w:rFonts w:ascii="Times New Roman" w:eastAsia="ＭＳ 明朝" w:hAnsi="Times New Roman" w:cs="Times New Roman"/>
          <w:sz w:val="24"/>
          <w:szCs w:val="40"/>
          <w14:ligatures w14:val="standardContextual"/>
        </w:rPr>
        <w:t>ydrogen energy carriers. Lithium-ion batteries are suitable for small-scale, short-term applications due to their high energy density and initial cost. CAES is a technology that stores electricity as compressed air and is considered a promising solution for addressing the instability of renewable energy. It works by compressing excess electricity during periods of low demand and generating electricity by expanding the compressed air during periods of high demand, enabling flexible responses to regional electricity demand. TES is a technology that stores thermal energy, such as concentrated sunlight, for later reuse. Adopting various technologies makes it possible to store excess thermal energy for several hours, days, or even months. The scale of storage and use varies from individual processes to districts, towns, or regions, ranging from small-scale to large-scale applications. Examples include balancing energy demand between day and night, storing summer heat for winter heating, or storing winter cool air for summer cooling. Hydrogen energy carriers such as LNH</w:t>
      </w:r>
      <w:r w:rsidRPr="00A50830">
        <w:rPr>
          <w:rFonts w:ascii="Times New Roman" w:eastAsia="ＭＳ 明朝" w:hAnsi="Times New Roman" w:cs="Times New Roman"/>
          <w:sz w:val="24"/>
          <w:szCs w:val="40"/>
          <w:vertAlign w:val="subscript"/>
          <w14:ligatures w14:val="standardContextual"/>
        </w:rPr>
        <w:t>3</w:t>
      </w:r>
      <w:r w:rsidRPr="00A50830">
        <w:rPr>
          <w:rFonts w:ascii="Times New Roman" w:eastAsia="ＭＳ 明朝" w:hAnsi="Times New Roman" w:cs="Times New Roman"/>
          <w:sz w:val="24"/>
          <w:szCs w:val="40"/>
          <w14:ligatures w14:val="standardContextual"/>
        </w:rPr>
        <w:t xml:space="preserve"> (with </w:t>
      </w:r>
      <w:r w:rsidR="00F36858" w:rsidRPr="00F36858">
        <w:rPr>
          <w:rFonts w:ascii="Times New Roman" w:eastAsia="ＭＳ 明朝" w:hAnsi="Times New Roman" w:cs="Times New Roman"/>
          <w:szCs w:val="40"/>
          <w14:ligatures w14:val="standardContextual"/>
        </w:rPr>
        <w:t xml:space="preserve">energy density is much higher than that of </w:t>
      </w:r>
      <w:r w:rsidR="00F36858" w:rsidRPr="00F36858">
        <w:rPr>
          <w:rFonts w:ascii="Times New Roman" w:eastAsia="ＭＳ 明朝" w:hAnsi="Times New Roman" w:cs="Times New Roman"/>
          <w:b/>
          <w:bCs/>
          <w:szCs w:val="40"/>
          <w14:ligatures w14:val="standardContextual"/>
        </w:rPr>
        <w:t>a</w:t>
      </w:r>
      <w:r w:rsidR="00F36858" w:rsidRPr="00F36858">
        <w:rPr>
          <w:rFonts w:ascii="Times New Roman" w:eastAsia="ＭＳ 明朝" w:hAnsi="Times New Roman" w:cs="Times New Roman"/>
          <w:szCs w:val="40"/>
          <w14:ligatures w14:val="standardContextual"/>
        </w:rPr>
        <w:t xml:space="preserve"> to </w:t>
      </w:r>
      <w:r w:rsidR="00F36858" w:rsidRPr="00F36858">
        <w:rPr>
          <w:rFonts w:ascii="Times New Roman" w:eastAsia="ＭＳ 明朝" w:hAnsi="Times New Roman" w:cs="Times New Roman"/>
          <w:b/>
          <w:bCs/>
          <w:szCs w:val="40"/>
          <w14:ligatures w14:val="standardContextual"/>
        </w:rPr>
        <w:t>c</w:t>
      </w:r>
      <w:r w:rsidRPr="00A50830">
        <w:rPr>
          <w:rFonts w:ascii="Times New Roman" w:eastAsia="ＭＳ 明朝" w:hAnsi="Times New Roman" w:cs="Times New Roman"/>
          <w:sz w:val="24"/>
          <w:szCs w:val="40"/>
          <w14:ligatures w14:val="standardContextual"/>
        </w:rPr>
        <w:t xml:space="preserve">), synthesized from hydrogen and nitrogen using electrical energy, enable the transportation of large amounts of energy over long distances </w:t>
      </w:r>
      <w:r w:rsidR="005F5E27" w:rsidRPr="005F5E27">
        <w:rPr>
          <w:rFonts w:ascii="Times New Roman" w:eastAsia="ＭＳ 明朝" w:hAnsi="Times New Roman" w:cs="Times New Roman"/>
          <w:sz w:val="24"/>
          <w:szCs w:val="40"/>
          <w14:ligatures w14:val="standardContextual"/>
        </w:rPr>
        <w:t xml:space="preserve">via pipelines </w:t>
      </w:r>
      <w:r w:rsidRPr="00A50830">
        <w:rPr>
          <w:rFonts w:ascii="Times New Roman" w:eastAsia="ＭＳ 明朝" w:hAnsi="Times New Roman" w:cs="Times New Roman"/>
          <w:sz w:val="24"/>
          <w:szCs w:val="40"/>
          <w14:ligatures w14:val="standardContextual"/>
        </w:rPr>
        <w:t xml:space="preserve">with </w:t>
      </w:r>
      <w:r w:rsidR="005F5E27">
        <w:rPr>
          <w:rFonts w:ascii="Times New Roman" w:eastAsia="ＭＳ 明朝" w:hAnsi="Times New Roman" w:cs="Times New Roman" w:hint="eastAsia"/>
          <w:sz w:val="24"/>
          <w:szCs w:val="40"/>
          <w14:ligatures w14:val="standardContextual"/>
        </w:rPr>
        <w:t>little</w:t>
      </w:r>
      <w:r w:rsidRPr="00A50830">
        <w:rPr>
          <w:rFonts w:ascii="Times New Roman" w:eastAsia="ＭＳ 明朝" w:hAnsi="Times New Roman" w:cs="Times New Roman"/>
          <w:sz w:val="24"/>
          <w:szCs w:val="40"/>
          <w14:ligatures w14:val="standardContextual"/>
        </w:rPr>
        <w:t xml:space="preserve"> loss.</w:t>
      </w:r>
    </w:p>
    <w:p w14:paraId="7AE23067" w14:textId="77777777" w:rsidR="00A50830" w:rsidRPr="00A50830" w:rsidRDefault="00A50830" w:rsidP="004F2C64">
      <w:pPr>
        <w:spacing w:line="320" w:lineRule="exact"/>
        <w:rPr>
          <w:rFonts w:ascii="Times New Roman" w:eastAsia="ＭＳ 明朝" w:hAnsi="Times New Roman" w:cs="Times New Roman"/>
          <w:sz w:val="24"/>
          <w:szCs w:val="40"/>
          <w14:ligatures w14:val="standardContextual"/>
        </w:rPr>
      </w:pPr>
      <w:r w:rsidRPr="00A50830">
        <w:rPr>
          <w:rFonts w:ascii="Times New Roman" w:eastAsia="ＭＳ 明朝" w:hAnsi="Times New Roman" w:cs="Times New Roman"/>
          <w:sz w:val="24"/>
          <w:szCs w:val="40"/>
          <w14:ligatures w14:val="standardContextual"/>
        </w:rPr>
        <w:t xml:space="preserve">This paper's power stabilizer, shown in </w:t>
      </w:r>
      <w:r w:rsidRPr="00A50830">
        <w:rPr>
          <w:rFonts w:ascii="Times New Roman" w:eastAsia="ＭＳ 明朝" w:hAnsi="Times New Roman" w:cs="Times New Roman"/>
          <w:b/>
          <w:bCs/>
          <w:sz w:val="24"/>
          <w:szCs w:val="40"/>
          <w14:ligatures w14:val="standardContextual"/>
        </w:rPr>
        <w:t>Supplementary Fig. S3</w:t>
      </w:r>
      <w:r w:rsidRPr="00A50830">
        <w:rPr>
          <w:rFonts w:ascii="Times New Roman" w:eastAsia="ＭＳ 明朝" w:hAnsi="Times New Roman" w:cs="Times New Roman"/>
          <w:sz w:val="24"/>
          <w:szCs w:val="40"/>
          <w14:ligatures w14:val="standardContextual"/>
        </w:rPr>
        <w:t xml:space="preserve"> is suitable for short-term smoothing, making lithium-ion or lead-acid batteries appropriate. CAES and TES may be suitable for storing traditional regional clean energy (TCE).</w:t>
      </w:r>
    </w:p>
    <w:tbl>
      <w:tblPr>
        <w:tblW w:w="10632" w:type="dxa"/>
        <w:tblInd w:w="-284" w:type="dxa"/>
        <w:tblCellMar>
          <w:left w:w="99" w:type="dxa"/>
          <w:right w:w="99" w:type="dxa"/>
        </w:tblCellMar>
        <w:tblLook w:val="04A0" w:firstRow="1" w:lastRow="0" w:firstColumn="1" w:lastColumn="0" w:noHBand="0" w:noVBand="1"/>
      </w:tblPr>
      <w:tblGrid>
        <w:gridCol w:w="1702"/>
        <w:gridCol w:w="1701"/>
        <w:gridCol w:w="1921"/>
        <w:gridCol w:w="1399"/>
        <w:gridCol w:w="3909"/>
      </w:tblGrid>
      <w:tr w:rsidR="009A2C59" w:rsidRPr="009A2C59" w14:paraId="77B7B958" w14:textId="77777777" w:rsidTr="00BA0AC1">
        <w:trPr>
          <w:trHeight w:val="495"/>
        </w:trPr>
        <w:tc>
          <w:tcPr>
            <w:tcW w:w="3403" w:type="dxa"/>
            <w:gridSpan w:val="2"/>
            <w:tcBorders>
              <w:top w:val="single" w:sz="8" w:space="0" w:color="auto"/>
              <w:left w:val="nil"/>
              <w:bottom w:val="single" w:sz="4" w:space="0" w:color="auto"/>
              <w:right w:val="dotted" w:sz="4" w:space="0" w:color="000000"/>
            </w:tcBorders>
            <w:vAlign w:val="center"/>
            <w:hideMark/>
          </w:tcPr>
          <w:p w14:paraId="1F79C8D6" w14:textId="77777777" w:rsidR="009322A4" w:rsidRPr="009A2C59" w:rsidRDefault="009322A4" w:rsidP="009322A4">
            <w:pPr>
              <w:widowControl/>
              <w:jc w:val="center"/>
              <w:rPr>
                <w:rFonts w:ascii="Times New Roman" w:eastAsia="游明朝" w:hAnsi="Times New Roman" w:cs="Times New Roman"/>
                <w:b/>
                <w:bCs/>
                <w:kern w:val="0"/>
                <w:sz w:val="22"/>
              </w:rPr>
            </w:pPr>
            <w:bookmarkStart w:id="42" w:name="_Hlk206341630"/>
            <w:r w:rsidRPr="009A2C59">
              <w:rPr>
                <w:rFonts w:ascii="Times New Roman" w:eastAsia="游明朝" w:hAnsi="Times New Roman" w:cs="Times New Roman"/>
                <w:b/>
                <w:bCs/>
                <w:kern w:val="0"/>
                <w:sz w:val="22"/>
              </w:rPr>
              <w:t>Type of energy storage</w:t>
            </w:r>
          </w:p>
        </w:tc>
        <w:tc>
          <w:tcPr>
            <w:tcW w:w="1921" w:type="dxa"/>
            <w:tcBorders>
              <w:top w:val="single" w:sz="8" w:space="0" w:color="auto"/>
              <w:left w:val="nil"/>
              <w:bottom w:val="single" w:sz="4" w:space="0" w:color="auto"/>
              <w:right w:val="dotted" w:sz="4" w:space="0" w:color="auto"/>
            </w:tcBorders>
            <w:vAlign w:val="center"/>
            <w:hideMark/>
          </w:tcPr>
          <w:p w14:paraId="1E1A7769" w14:textId="77777777" w:rsidR="009322A4" w:rsidRPr="009A2C59" w:rsidRDefault="009322A4" w:rsidP="009322A4">
            <w:pPr>
              <w:widowControl/>
              <w:jc w:val="center"/>
              <w:rPr>
                <w:rFonts w:ascii="Times New Roman" w:eastAsia="游明朝" w:hAnsi="Times New Roman" w:cs="Times New Roman"/>
                <w:b/>
                <w:bCs/>
                <w:kern w:val="0"/>
                <w:sz w:val="22"/>
              </w:rPr>
            </w:pPr>
            <w:r w:rsidRPr="009A2C59">
              <w:rPr>
                <w:rFonts w:ascii="Times New Roman" w:eastAsia="游明朝" w:hAnsi="Times New Roman" w:cs="Times New Roman"/>
                <w:b/>
                <w:bCs/>
                <w:kern w:val="0"/>
                <w:sz w:val="22"/>
              </w:rPr>
              <w:t>Energy density</w:t>
            </w:r>
          </w:p>
        </w:tc>
        <w:tc>
          <w:tcPr>
            <w:tcW w:w="1399" w:type="dxa"/>
            <w:tcBorders>
              <w:top w:val="single" w:sz="8" w:space="0" w:color="auto"/>
              <w:left w:val="nil"/>
              <w:bottom w:val="single" w:sz="4" w:space="0" w:color="auto"/>
              <w:right w:val="dotted" w:sz="4" w:space="0" w:color="auto"/>
            </w:tcBorders>
            <w:vAlign w:val="center"/>
            <w:hideMark/>
          </w:tcPr>
          <w:p w14:paraId="7863BD6D" w14:textId="77777777" w:rsidR="009322A4" w:rsidRPr="009A2C59" w:rsidRDefault="009322A4" w:rsidP="009322A4">
            <w:pPr>
              <w:widowControl/>
              <w:jc w:val="center"/>
              <w:rPr>
                <w:rFonts w:ascii="Times New Roman" w:eastAsia="游明朝" w:hAnsi="Times New Roman" w:cs="Times New Roman"/>
                <w:b/>
                <w:bCs/>
                <w:kern w:val="0"/>
                <w:sz w:val="22"/>
              </w:rPr>
            </w:pPr>
            <w:r w:rsidRPr="009A2C59">
              <w:rPr>
                <w:rFonts w:ascii="Times New Roman" w:eastAsia="游明朝" w:hAnsi="Times New Roman" w:cs="Times New Roman"/>
                <w:b/>
                <w:bCs/>
                <w:kern w:val="0"/>
                <w:sz w:val="22"/>
              </w:rPr>
              <w:t>Efficiency</w:t>
            </w:r>
          </w:p>
        </w:tc>
        <w:tc>
          <w:tcPr>
            <w:tcW w:w="3909" w:type="dxa"/>
            <w:tcBorders>
              <w:top w:val="single" w:sz="8" w:space="0" w:color="auto"/>
              <w:left w:val="nil"/>
              <w:bottom w:val="single" w:sz="4" w:space="0" w:color="auto"/>
              <w:right w:val="nil"/>
            </w:tcBorders>
            <w:vAlign w:val="center"/>
            <w:hideMark/>
          </w:tcPr>
          <w:p w14:paraId="2566E6FA" w14:textId="77777777" w:rsidR="009322A4" w:rsidRPr="009A2C59" w:rsidRDefault="009322A4" w:rsidP="009322A4">
            <w:pPr>
              <w:widowControl/>
              <w:jc w:val="center"/>
              <w:rPr>
                <w:rFonts w:ascii="Times New Roman" w:eastAsia="游明朝" w:hAnsi="Times New Roman" w:cs="Times New Roman"/>
                <w:b/>
                <w:bCs/>
                <w:kern w:val="0"/>
                <w:sz w:val="22"/>
              </w:rPr>
            </w:pPr>
            <w:r w:rsidRPr="009A2C59">
              <w:rPr>
                <w:rFonts w:ascii="Times New Roman" w:eastAsia="游明朝" w:hAnsi="Times New Roman" w:cs="Times New Roman"/>
                <w:b/>
                <w:bCs/>
                <w:kern w:val="0"/>
                <w:sz w:val="22"/>
              </w:rPr>
              <w:t>Remarks</w:t>
            </w:r>
          </w:p>
        </w:tc>
      </w:tr>
      <w:tr w:rsidR="009A2C59" w:rsidRPr="009A2C59" w14:paraId="09AD1DC4" w14:textId="77777777" w:rsidTr="00BA0AC1">
        <w:trPr>
          <w:trHeight w:val="759"/>
        </w:trPr>
        <w:tc>
          <w:tcPr>
            <w:tcW w:w="1702" w:type="dxa"/>
            <w:vMerge w:val="restart"/>
            <w:tcBorders>
              <w:top w:val="single" w:sz="4" w:space="0" w:color="auto"/>
              <w:left w:val="nil"/>
              <w:bottom w:val="dotted" w:sz="4" w:space="0" w:color="000000"/>
              <w:right w:val="dotted" w:sz="4" w:space="0" w:color="auto"/>
            </w:tcBorders>
            <w:vAlign w:val="center"/>
            <w:hideMark/>
          </w:tcPr>
          <w:p w14:paraId="5E4E4B78" w14:textId="69186D62" w:rsidR="009322A4" w:rsidRPr="005524CB" w:rsidRDefault="005524CB" w:rsidP="005524CB">
            <w:pPr>
              <w:widowControl/>
              <w:jc w:val="lef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w:t>
            </w:r>
            <w:r w:rsidRPr="005524CB">
              <w:rPr>
                <w:rFonts w:ascii="Times New Roman" w:eastAsia="游ゴシック" w:hAnsi="Times New Roman" w:cs="Times New Roman" w:hint="eastAsia"/>
                <w:b/>
                <w:bCs/>
                <w:kern w:val="0"/>
                <w:sz w:val="22"/>
              </w:rPr>
              <w:t>a</w:t>
            </w:r>
            <w:r>
              <w:rPr>
                <w:rFonts w:ascii="Times New Roman" w:eastAsia="游ゴシック" w:hAnsi="Times New Roman" w:cs="Times New Roman" w:hint="eastAsia"/>
                <w:kern w:val="0"/>
                <w:sz w:val="22"/>
              </w:rPr>
              <w:t xml:space="preserve">) </w:t>
            </w:r>
            <w:r w:rsidR="009322A4" w:rsidRPr="005524CB">
              <w:rPr>
                <w:rFonts w:ascii="Times New Roman" w:eastAsia="游ゴシック" w:hAnsi="Times New Roman" w:cs="Times New Roman"/>
                <w:kern w:val="0"/>
                <w:sz w:val="22"/>
              </w:rPr>
              <w:t>Battery</w:t>
            </w:r>
          </w:p>
        </w:tc>
        <w:tc>
          <w:tcPr>
            <w:tcW w:w="1701" w:type="dxa"/>
            <w:tcBorders>
              <w:top w:val="single" w:sz="4" w:space="0" w:color="auto"/>
              <w:left w:val="nil"/>
              <w:bottom w:val="dotted" w:sz="4" w:space="0" w:color="auto"/>
              <w:right w:val="dotted" w:sz="4" w:space="0" w:color="auto"/>
            </w:tcBorders>
            <w:vAlign w:val="center"/>
            <w:hideMark/>
          </w:tcPr>
          <w:p w14:paraId="7CB22703"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Li-ion</w:t>
            </w:r>
          </w:p>
        </w:tc>
        <w:tc>
          <w:tcPr>
            <w:tcW w:w="1921" w:type="dxa"/>
            <w:tcBorders>
              <w:top w:val="single" w:sz="4" w:space="0" w:color="auto"/>
              <w:left w:val="nil"/>
              <w:bottom w:val="dotted" w:sz="4" w:space="0" w:color="auto"/>
              <w:right w:val="dotted" w:sz="4" w:space="0" w:color="auto"/>
            </w:tcBorders>
            <w:vAlign w:val="center"/>
            <w:hideMark/>
          </w:tcPr>
          <w:p w14:paraId="598F97EC"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700 Wh/L</w:t>
            </w:r>
            <w:r w:rsidRPr="009A2C59">
              <w:rPr>
                <w:rFonts w:ascii="Times New Roman" w:eastAsia="游ゴシック" w:hAnsi="Times New Roman" w:cs="Times New Roman"/>
                <w:kern w:val="0"/>
                <w:sz w:val="22"/>
              </w:rPr>
              <w:br/>
              <w:t>150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250 Wh/kg</w:t>
            </w:r>
          </w:p>
        </w:tc>
        <w:tc>
          <w:tcPr>
            <w:tcW w:w="1399" w:type="dxa"/>
            <w:tcBorders>
              <w:top w:val="single" w:sz="4" w:space="0" w:color="auto"/>
              <w:left w:val="nil"/>
              <w:bottom w:val="dotted" w:sz="4" w:space="0" w:color="auto"/>
              <w:right w:val="dotted" w:sz="4" w:space="0" w:color="auto"/>
            </w:tcBorders>
            <w:vAlign w:val="center"/>
            <w:hideMark/>
          </w:tcPr>
          <w:p w14:paraId="74C4200F"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90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95%</w:t>
            </w:r>
          </w:p>
        </w:tc>
        <w:tc>
          <w:tcPr>
            <w:tcW w:w="3909" w:type="dxa"/>
            <w:tcBorders>
              <w:top w:val="single" w:sz="4" w:space="0" w:color="auto"/>
              <w:left w:val="nil"/>
              <w:bottom w:val="dotted" w:sz="4" w:space="0" w:color="auto"/>
              <w:right w:val="nil"/>
            </w:tcBorders>
            <w:vAlign w:val="center"/>
            <w:hideMark/>
          </w:tcPr>
          <w:p w14:paraId="230ECBCC"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Longer (5-10 years or more) lifespan and higher upfront cost.</w:t>
            </w:r>
          </w:p>
        </w:tc>
      </w:tr>
      <w:tr w:rsidR="009A2C59" w:rsidRPr="009A2C59" w14:paraId="269C8ECB" w14:textId="77777777" w:rsidTr="00BA0AC1">
        <w:trPr>
          <w:trHeight w:val="567"/>
        </w:trPr>
        <w:tc>
          <w:tcPr>
            <w:tcW w:w="1702" w:type="dxa"/>
            <w:vMerge/>
            <w:tcBorders>
              <w:top w:val="nil"/>
              <w:left w:val="nil"/>
              <w:bottom w:val="dotted" w:sz="4" w:space="0" w:color="000000"/>
              <w:right w:val="dotted" w:sz="4" w:space="0" w:color="auto"/>
            </w:tcBorders>
            <w:vAlign w:val="center"/>
            <w:hideMark/>
          </w:tcPr>
          <w:p w14:paraId="515B94B6" w14:textId="77777777" w:rsidR="009322A4" w:rsidRPr="009A2C59" w:rsidRDefault="009322A4" w:rsidP="009322A4">
            <w:pPr>
              <w:widowControl/>
              <w:jc w:val="left"/>
              <w:rPr>
                <w:rFonts w:ascii="Times New Roman" w:eastAsia="游ゴシック" w:hAnsi="Times New Roman" w:cs="Times New Roman"/>
                <w:kern w:val="0"/>
                <w:sz w:val="22"/>
              </w:rPr>
            </w:pPr>
          </w:p>
        </w:tc>
        <w:tc>
          <w:tcPr>
            <w:tcW w:w="1701" w:type="dxa"/>
            <w:tcBorders>
              <w:top w:val="dotted" w:sz="4" w:space="0" w:color="auto"/>
              <w:left w:val="nil"/>
              <w:bottom w:val="dotted" w:sz="4" w:space="0" w:color="auto"/>
              <w:right w:val="dotted" w:sz="4" w:space="0" w:color="auto"/>
            </w:tcBorders>
            <w:vAlign w:val="center"/>
            <w:hideMark/>
          </w:tcPr>
          <w:p w14:paraId="4164DFE9"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lead-acid</w:t>
            </w:r>
          </w:p>
        </w:tc>
        <w:tc>
          <w:tcPr>
            <w:tcW w:w="1921" w:type="dxa"/>
            <w:tcBorders>
              <w:top w:val="dotted" w:sz="4" w:space="0" w:color="auto"/>
              <w:left w:val="nil"/>
              <w:bottom w:val="dotted" w:sz="4" w:space="0" w:color="auto"/>
              <w:right w:val="dotted" w:sz="4" w:space="0" w:color="auto"/>
            </w:tcBorders>
            <w:vAlign w:val="center"/>
            <w:hideMark/>
          </w:tcPr>
          <w:p w14:paraId="55EEC6A9"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60 to 110 Wh/L</w:t>
            </w:r>
            <w:r w:rsidRPr="009A2C59">
              <w:rPr>
                <w:rFonts w:ascii="Times New Roman" w:eastAsia="游ゴシック" w:hAnsi="Times New Roman" w:cs="Times New Roman"/>
                <w:kern w:val="0"/>
                <w:sz w:val="22"/>
              </w:rPr>
              <w:br/>
              <w:t>30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50 Wh/kg</w:t>
            </w:r>
          </w:p>
        </w:tc>
        <w:tc>
          <w:tcPr>
            <w:tcW w:w="1399" w:type="dxa"/>
            <w:tcBorders>
              <w:top w:val="dotted" w:sz="4" w:space="0" w:color="auto"/>
              <w:left w:val="nil"/>
              <w:bottom w:val="dotted" w:sz="4" w:space="0" w:color="auto"/>
              <w:right w:val="dotted" w:sz="4" w:space="0" w:color="auto"/>
            </w:tcBorders>
            <w:vAlign w:val="center"/>
            <w:hideMark/>
          </w:tcPr>
          <w:p w14:paraId="44481324"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80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90%</w:t>
            </w:r>
          </w:p>
        </w:tc>
        <w:tc>
          <w:tcPr>
            <w:tcW w:w="3909" w:type="dxa"/>
            <w:tcBorders>
              <w:top w:val="dotted" w:sz="4" w:space="0" w:color="auto"/>
              <w:left w:val="nil"/>
              <w:bottom w:val="dotted" w:sz="4" w:space="0" w:color="auto"/>
              <w:right w:val="nil"/>
            </w:tcBorders>
            <w:vAlign w:val="center"/>
            <w:hideMark/>
          </w:tcPr>
          <w:p w14:paraId="1C132C70"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Shorter (3-5 years) lifespan and lower upfront cost.</w:t>
            </w:r>
          </w:p>
        </w:tc>
      </w:tr>
      <w:tr w:rsidR="009A2C59" w:rsidRPr="009A2C59" w14:paraId="43A4F9A2" w14:textId="77777777" w:rsidTr="00BA0AC1">
        <w:trPr>
          <w:trHeight w:val="930"/>
        </w:trPr>
        <w:tc>
          <w:tcPr>
            <w:tcW w:w="3403" w:type="dxa"/>
            <w:gridSpan w:val="2"/>
            <w:tcBorders>
              <w:top w:val="dotted" w:sz="4" w:space="0" w:color="auto"/>
              <w:left w:val="nil"/>
              <w:bottom w:val="dotted" w:sz="4" w:space="0" w:color="auto"/>
              <w:right w:val="dotted" w:sz="4" w:space="0" w:color="000000"/>
            </w:tcBorders>
            <w:vAlign w:val="center"/>
            <w:hideMark/>
          </w:tcPr>
          <w:p w14:paraId="5F1ECDDF" w14:textId="0A5960CD" w:rsidR="009322A4" w:rsidRPr="005524CB" w:rsidRDefault="005524CB" w:rsidP="005524CB">
            <w:pPr>
              <w:widowControl/>
              <w:ind w:left="330" w:hangingChars="150" w:hanging="330"/>
              <w:jc w:val="lef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w:t>
            </w:r>
            <w:r w:rsidRPr="005524CB">
              <w:rPr>
                <w:rFonts w:ascii="Times New Roman" w:eastAsia="游ゴシック" w:hAnsi="Times New Roman" w:cs="Times New Roman" w:hint="eastAsia"/>
                <w:b/>
                <w:bCs/>
                <w:kern w:val="0"/>
                <w:sz w:val="22"/>
              </w:rPr>
              <w:t>b</w:t>
            </w:r>
            <w:r>
              <w:rPr>
                <w:rFonts w:ascii="Times New Roman" w:eastAsia="游ゴシック" w:hAnsi="Times New Roman" w:cs="Times New Roman" w:hint="eastAsia"/>
                <w:kern w:val="0"/>
                <w:sz w:val="22"/>
              </w:rPr>
              <w:t xml:space="preserve">) </w:t>
            </w:r>
            <w:r w:rsidR="009322A4" w:rsidRPr="005524CB">
              <w:rPr>
                <w:rFonts w:ascii="Times New Roman" w:eastAsia="游ゴシック" w:hAnsi="Times New Roman" w:cs="Times New Roman"/>
                <w:kern w:val="0"/>
                <w:sz w:val="22"/>
              </w:rPr>
              <w:t>Compressed air energy storage (CAES)</w:t>
            </w:r>
          </w:p>
        </w:tc>
        <w:tc>
          <w:tcPr>
            <w:tcW w:w="1921" w:type="dxa"/>
            <w:tcBorders>
              <w:top w:val="dotted" w:sz="4" w:space="0" w:color="auto"/>
              <w:left w:val="nil"/>
              <w:bottom w:val="dotted" w:sz="4" w:space="0" w:color="auto"/>
              <w:right w:val="dotted" w:sz="4" w:space="0" w:color="auto"/>
            </w:tcBorders>
            <w:vAlign w:val="center"/>
            <w:hideMark/>
          </w:tcPr>
          <w:p w14:paraId="3BCCD2D5"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4 to 32 Wh/L</w:t>
            </w:r>
          </w:p>
        </w:tc>
        <w:tc>
          <w:tcPr>
            <w:tcW w:w="1399" w:type="dxa"/>
            <w:tcBorders>
              <w:top w:val="dotted" w:sz="4" w:space="0" w:color="auto"/>
              <w:left w:val="nil"/>
              <w:bottom w:val="dotted" w:sz="4" w:space="0" w:color="auto"/>
              <w:right w:val="dotted" w:sz="4" w:space="0" w:color="auto"/>
            </w:tcBorders>
            <w:vAlign w:val="center"/>
            <w:hideMark/>
          </w:tcPr>
          <w:p w14:paraId="3BC101A8"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70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80%</w:t>
            </w:r>
          </w:p>
        </w:tc>
        <w:tc>
          <w:tcPr>
            <w:tcW w:w="3909" w:type="dxa"/>
            <w:tcBorders>
              <w:top w:val="dotted" w:sz="4" w:space="0" w:color="auto"/>
              <w:left w:val="nil"/>
              <w:bottom w:val="dotted" w:sz="4" w:space="0" w:color="auto"/>
              <w:right w:val="nil"/>
            </w:tcBorders>
            <w:vAlign w:val="center"/>
            <w:hideMark/>
          </w:tcPr>
          <w:p w14:paraId="7669606C"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Energy is stored in underground caverns and porous layers, enabling grid-scale energy storage.</w:t>
            </w:r>
          </w:p>
        </w:tc>
      </w:tr>
      <w:tr w:rsidR="009A2C59" w:rsidRPr="009A2C59" w14:paraId="566371EB" w14:textId="77777777" w:rsidTr="00AA6871">
        <w:trPr>
          <w:trHeight w:val="1823"/>
        </w:trPr>
        <w:tc>
          <w:tcPr>
            <w:tcW w:w="3403" w:type="dxa"/>
            <w:gridSpan w:val="2"/>
            <w:tcBorders>
              <w:top w:val="dotted" w:sz="4" w:space="0" w:color="auto"/>
              <w:left w:val="nil"/>
              <w:bottom w:val="dotted" w:sz="4" w:space="0" w:color="auto"/>
              <w:right w:val="dotted" w:sz="4" w:space="0" w:color="000000"/>
            </w:tcBorders>
            <w:vAlign w:val="center"/>
            <w:hideMark/>
          </w:tcPr>
          <w:p w14:paraId="2B0992FF" w14:textId="45C7C3E5" w:rsidR="009322A4" w:rsidRPr="005524CB" w:rsidRDefault="005524CB" w:rsidP="005524CB">
            <w:pPr>
              <w:widowControl/>
              <w:jc w:val="lef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w:t>
            </w:r>
            <w:r w:rsidRPr="005524CB">
              <w:rPr>
                <w:rFonts w:ascii="Times New Roman" w:eastAsia="游ゴシック" w:hAnsi="Times New Roman" w:cs="Times New Roman" w:hint="eastAsia"/>
                <w:b/>
                <w:bCs/>
                <w:kern w:val="0"/>
                <w:sz w:val="22"/>
              </w:rPr>
              <w:t>c</w:t>
            </w:r>
            <w:r>
              <w:rPr>
                <w:rFonts w:ascii="Times New Roman" w:eastAsia="游ゴシック" w:hAnsi="Times New Roman" w:cs="Times New Roman" w:hint="eastAsia"/>
                <w:kern w:val="0"/>
                <w:sz w:val="22"/>
              </w:rPr>
              <w:t xml:space="preserve">) </w:t>
            </w:r>
            <w:r w:rsidR="009322A4" w:rsidRPr="005524CB">
              <w:rPr>
                <w:rFonts w:ascii="Times New Roman" w:eastAsia="游ゴシック" w:hAnsi="Times New Roman" w:cs="Times New Roman"/>
                <w:kern w:val="0"/>
                <w:sz w:val="22"/>
              </w:rPr>
              <w:t>Thermal energy storage (TES)</w:t>
            </w:r>
          </w:p>
        </w:tc>
        <w:tc>
          <w:tcPr>
            <w:tcW w:w="1921" w:type="dxa"/>
            <w:tcBorders>
              <w:top w:val="nil"/>
              <w:left w:val="nil"/>
              <w:bottom w:val="dotted" w:sz="4" w:space="0" w:color="000000"/>
              <w:right w:val="dotted" w:sz="4" w:space="0" w:color="auto"/>
            </w:tcBorders>
            <w:vAlign w:val="center"/>
            <w:hideMark/>
          </w:tcPr>
          <w:p w14:paraId="2958FDA1"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50 to 600 Wh/L</w:t>
            </w:r>
          </w:p>
        </w:tc>
        <w:tc>
          <w:tcPr>
            <w:tcW w:w="1399" w:type="dxa"/>
            <w:tcBorders>
              <w:top w:val="nil"/>
              <w:left w:val="nil"/>
              <w:bottom w:val="dotted" w:sz="4" w:space="0" w:color="000000"/>
              <w:right w:val="dotted" w:sz="4" w:space="0" w:color="auto"/>
            </w:tcBorders>
            <w:vAlign w:val="center"/>
            <w:hideMark/>
          </w:tcPr>
          <w:p w14:paraId="5606DDC8" w14:textId="77777777" w:rsidR="009322A4" w:rsidRPr="009A2C59" w:rsidRDefault="009322A4" w:rsidP="009322A4">
            <w:pPr>
              <w:widowControl/>
              <w:jc w:val="righ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70</w:t>
            </w:r>
            <w:r w:rsidRPr="009A2C59">
              <w:rPr>
                <w:rFonts w:ascii="Times New Roman" w:eastAsia="游ゴシック" w:hAnsi="Times New Roman" w:cs="Times New Roman"/>
                <w:kern w:val="0"/>
                <w:sz w:val="22"/>
              </w:rPr>
              <w:t>－</w:t>
            </w:r>
            <w:r w:rsidRPr="009A2C59">
              <w:rPr>
                <w:rFonts w:ascii="Times New Roman" w:eastAsia="游ゴシック" w:hAnsi="Times New Roman" w:cs="Times New Roman"/>
                <w:kern w:val="0"/>
                <w:sz w:val="22"/>
              </w:rPr>
              <w:t>90%</w:t>
            </w:r>
          </w:p>
        </w:tc>
        <w:tc>
          <w:tcPr>
            <w:tcW w:w="3909" w:type="dxa"/>
            <w:tcBorders>
              <w:top w:val="dotted" w:sz="4" w:space="0" w:color="auto"/>
              <w:left w:val="nil"/>
              <w:bottom w:val="dotted" w:sz="4" w:space="0" w:color="000000"/>
              <w:right w:val="nil"/>
            </w:tcBorders>
            <w:vAlign w:val="center"/>
            <w:hideMark/>
          </w:tcPr>
          <w:p w14:paraId="607728C2" w14:textId="77777777" w:rsidR="009322A4" w:rsidRPr="009A2C59" w:rsidRDefault="009322A4" w:rsidP="009322A4">
            <w:pPr>
              <w:widowControl/>
              <w:jc w:val="left"/>
              <w:rPr>
                <w:rFonts w:ascii="Times New Roman" w:eastAsia="游ゴシック" w:hAnsi="Times New Roman" w:cs="Times New Roman"/>
                <w:kern w:val="0"/>
                <w:sz w:val="22"/>
              </w:rPr>
            </w:pPr>
            <w:r w:rsidRPr="009A2C59">
              <w:rPr>
                <w:rFonts w:ascii="Times New Roman" w:eastAsia="游ゴシック" w:hAnsi="Times New Roman" w:cs="Times New Roman"/>
                <w:kern w:val="0"/>
                <w:sz w:val="22"/>
              </w:rPr>
              <w:t xml:space="preserve">Stores excess energy and releases it as needed to compensate for the intermittent nature of renewable energy sources. Energy density varies widely depending on the energy storage material. Summer heat can also be stored for use in winter </w:t>
            </w:r>
            <w:proofErr w:type="gramStart"/>
            <w:r w:rsidRPr="009A2C59">
              <w:rPr>
                <w:rFonts w:ascii="Times New Roman" w:eastAsia="游ゴシック" w:hAnsi="Times New Roman" w:cs="Times New Roman"/>
                <w:kern w:val="0"/>
                <w:sz w:val="22"/>
              </w:rPr>
              <w:t>heating</w:t>
            </w:r>
            <w:proofErr w:type="gramEnd"/>
            <w:r w:rsidRPr="009A2C59">
              <w:rPr>
                <w:rFonts w:ascii="Times New Roman" w:eastAsia="游ゴシック" w:hAnsi="Times New Roman" w:cs="Times New Roman"/>
                <w:kern w:val="0"/>
                <w:sz w:val="22"/>
              </w:rPr>
              <w:t>.</w:t>
            </w:r>
          </w:p>
        </w:tc>
      </w:tr>
      <w:tr w:rsidR="000622E1" w:rsidRPr="009A2C59" w14:paraId="60A90901" w14:textId="77777777" w:rsidTr="00AA6871">
        <w:trPr>
          <w:trHeight w:val="1823"/>
        </w:trPr>
        <w:tc>
          <w:tcPr>
            <w:tcW w:w="3403" w:type="dxa"/>
            <w:gridSpan w:val="2"/>
            <w:tcBorders>
              <w:top w:val="dotted" w:sz="4" w:space="0" w:color="auto"/>
              <w:left w:val="nil"/>
              <w:bottom w:val="single" w:sz="8" w:space="0" w:color="auto"/>
              <w:right w:val="dotted" w:sz="4" w:space="0" w:color="000000"/>
            </w:tcBorders>
            <w:vAlign w:val="center"/>
          </w:tcPr>
          <w:p w14:paraId="09EA61CA" w14:textId="76CF691E" w:rsidR="000622E1" w:rsidRPr="005524CB" w:rsidRDefault="005524CB" w:rsidP="005524CB">
            <w:pPr>
              <w:widowControl/>
              <w:jc w:val="lef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w:t>
            </w:r>
            <w:r w:rsidRPr="005524CB">
              <w:rPr>
                <w:rFonts w:ascii="Times New Roman" w:eastAsia="游ゴシック" w:hAnsi="Times New Roman" w:cs="Times New Roman" w:hint="eastAsia"/>
                <w:b/>
                <w:bCs/>
                <w:kern w:val="0"/>
                <w:sz w:val="22"/>
              </w:rPr>
              <w:t>d</w:t>
            </w:r>
            <w:r>
              <w:rPr>
                <w:rFonts w:ascii="Times New Roman" w:eastAsia="游ゴシック" w:hAnsi="Times New Roman" w:cs="Times New Roman" w:hint="eastAsia"/>
                <w:kern w:val="0"/>
                <w:sz w:val="22"/>
              </w:rPr>
              <w:t xml:space="preserve">) </w:t>
            </w:r>
            <w:r w:rsidR="00833C3D" w:rsidRPr="005524CB">
              <w:rPr>
                <w:rFonts w:ascii="Times New Roman" w:eastAsia="游ゴシック" w:hAnsi="Times New Roman" w:cs="Times New Roman"/>
                <w:kern w:val="0"/>
                <w:sz w:val="22"/>
              </w:rPr>
              <w:t>Liquefied ammonia</w:t>
            </w:r>
            <w:r w:rsidR="00833C3D" w:rsidRPr="005524CB">
              <w:rPr>
                <w:rFonts w:ascii="Times New Roman" w:eastAsia="游ゴシック" w:hAnsi="Times New Roman" w:cs="Times New Roman" w:hint="eastAsia"/>
                <w:kern w:val="0"/>
                <w:sz w:val="22"/>
              </w:rPr>
              <w:t xml:space="preserve"> (LNH</w:t>
            </w:r>
            <w:r w:rsidR="00833C3D" w:rsidRPr="005524CB">
              <w:rPr>
                <w:rFonts w:ascii="Times New Roman" w:eastAsia="游ゴシック" w:hAnsi="Times New Roman" w:cs="Times New Roman" w:hint="eastAsia"/>
                <w:kern w:val="0"/>
                <w:sz w:val="22"/>
                <w:vertAlign w:val="subscript"/>
              </w:rPr>
              <w:t>3</w:t>
            </w:r>
            <w:r w:rsidR="00833C3D" w:rsidRPr="005524CB">
              <w:rPr>
                <w:rFonts w:ascii="Times New Roman" w:eastAsia="游ゴシック" w:hAnsi="Times New Roman" w:cs="Times New Roman" w:hint="eastAsia"/>
                <w:kern w:val="0"/>
                <w:sz w:val="22"/>
              </w:rPr>
              <w:t>)</w:t>
            </w:r>
          </w:p>
        </w:tc>
        <w:tc>
          <w:tcPr>
            <w:tcW w:w="1921" w:type="dxa"/>
            <w:tcBorders>
              <w:top w:val="dotted" w:sz="4" w:space="0" w:color="000000"/>
              <w:left w:val="nil"/>
              <w:bottom w:val="single" w:sz="8" w:space="0" w:color="auto"/>
              <w:right w:val="dotted" w:sz="4" w:space="0" w:color="auto"/>
            </w:tcBorders>
            <w:vAlign w:val="center"/>
          </w:tcPr>
          <w:p w14:paraId="5C2CE629" w14:textId="7619F3C0" w:rsidR="000622E1" w:rsidRDefault="00833C3D" w:rsidP="00833C3D">
            <w:pPr>
              <w:widowControl/>
              <w:wordWrap w:val="0"/>
              <w:jc w:val="righ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3,960 Wh/L</w:t>
            </w:r>
          </w:p>
          <w:p w14:paraId="7FB62A2B" w14:textId="7C4D1B46" w:rsidR="00833C3D" w:rsidRPr="009A2C59" w:rsidRDefault="00833C3D" w:rsidP="00833C3D">
            <w:pPr>
              <w:widowControl/>
              <w:wordWrap w:val="0"/>
              <w:jc w:val="righ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5,810 Wh/kg</w:t>
            </w:r>
          </w:p>
        </w:tc>
        <w:tc>
          <w:tcPr>
            <w:tcW w:w="1399" w:type="dxa"/>
            <w:tcBorders>
              <w:top w:val="dotted" w:sz="4" w:space="0" w:color="000000"/>
              <w:left w:val="nil"/>
              <w:bottom w:val="single" w:sz="8" w:space="0" w:color="auto"/>
              <w:right w:val="dotted" w:sz="4" w:space="0" w:color="auto"/>
            </w:tcBorders>
            <w:vAlign w:val="center"/>
          </w:tcPr>
          <w:p w14:paraId="0A7C9EC6" w14:textId="174D5731" w:rsidR="000622E1" w:rsidRPr="009A2C59" w:rsidRDefault="00833C3D" w:rsidP="009322A4">
            <w:pPr>
              <w:widowControl/>
              <w:jc w:val="right"/>
              <w:rPr>
                <w:rFonts w:ascii="Times New Roman" w:eastAsia="游ゴシック" w:hAnsi="Times New Roman" w:cs="Times New Roman"/>
                <w:kern w:val="0"/>
                <w:sz w:val="22"/>
              </w:rPr>
            </w:pPr>
            <w:r>
              <w:rPr>
                <w:rFonts w:ascii="Times New Roman" w:eastAsia="游ゴシック" w:hAnsi="Times New Roman" w:cs="Times New Roman" w:hint="eastAsia"/>
                <w:kern w:val="0"/>
                <w:sz w:val="22"/>
              </w:rPr>
              <w:t>74%</w:t>
            </w:r>
          </w:p>
        </w:tc>
        <w:tc>
          <w:tcPr>
            <w:tcW w:w="3909" w:type="dxa"/>
            <w:tcBorders>
              <w:top w:val="dotted" w:sz="4" w:space="0" w:color="000000"/>
              <w:left w:val="nil"/>
              <w:bottom w:val="single" w:sz="8" w:space="0" w:color="auto"/>
              <w:right w:val="nil"/>
            </w:tcBorders>
            <w:vAlign w:val="center"/>
          </w:tcPr>
          <w:p w14:paraId="69E3BBD0" w14:textId="40DBA400" w:rsidR="000622E1" w:rsidRPr="009A2C59" w:rsidRDefault="005174DF" w:rsidP="009322A4">
            <w:pPr>
              <w:widowControl/>
              <w:jc w:val="left"/>
              <w:rPr>
                <w:rFonts w:ascii="Times New Roman" w:eastAsia="游ゴシック" w:hAnsi="Times New Roman" w:cs="Times New Roman"/>
                <w:kern w:val="0"/>
                <w:sz w:val="22"/>
              </w:rPr>
            </w:pPr>
            <w:r w:rsidRPr="005174DF">
              <w:rPr>
                <w:rFonts w:ascii="Times New Roman" w:eastAsia="游ゴシック" w:hAnsi="Times New Roman" w:cs="Times New Roman"/>
                <w:kern w:val="0"/>
                <w:sz w:val="22"/>
              </w:rPr>
              <w:t>As a hydrogen energy carrier, it has a high energy density, and the energy storage material itself can be transported over long distances via pipelines with little energy loss.</w:t>
            </w:r>
            <w:r>
              <w:rPr>
                <w:rFonts w:ascii="Times New Roman" w:eastAsia="游ゴシック" w:hAnsi="Times New Roman" w:cs="Times New Roman" w:hint="eastAsia"/>
                <w:kern w:val="0"/>
                <w:sz w:val="22"/>
              </w:rPr>
              <w:t xml:space="preserve"> See </w:t>
            </w:r>
            <w:r w:rsidRPr="005174DF">
              <w:rPr>
                <w:rFonts w:ascii="Times New Roman" w:eastAsia="游ゴシック" w:hAnsi="Times New Roman" w:cs="Times New Roman"/>
                <w:b/>
                <w:bCs/>
                <w:kern w:val="0"/>
                <w:sz w:val="22"/>
              </w:rPr>
              <w:t>Supplementary Table S2</w:t>
            </w:r>
            <w:r w:rsidRPr="005174DF">
              <w:rPr>
                <w:rFonts w:ascii="Times New Roman" w:eastAsia="游ゴシック" w:hAnsi="Times New Roman" w:cs="Times New Roman"/>
                <w:kern w:val="0"/>
                <w:sz w:val="22"/>
              </w:rPr>
              <w:t>.</w:t>
            </w:r>
          </w:p>
        </w:tc>
      </w:tr>
      <w:bookmarkEnd w:id="42"/>
    </w:tbl>
    <w:p w14:paraId="0E0AB098" w14:textId="77777777" w:rsidR="006D02F2" w:rsidRDefault="006D02F2">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7E8BB4D3" w14:textId="485F60A0" w:rsidR="00A70BD4" w:rsidRPr="00E73CF5" w:rsidRDefault="000E0857" w:rsidP="00967B17">
      <w:pPr>
        <w:spacing w:afterLines="50" w:after="144" w:line="280" w:lineRule="exact"/>
        <w:rPr>
          <w:rFonts w:ascii="Times New Roman" w:hAnsi="Times New Roman" w:cs="Times New Roman"/>
          <w:b/>
          <w:bCs/>
          <w:sz w:val="24"/>
          <w:szCs w:val="24"/>
        </w:rPr>
      </w:pPr>
      <w:bookmarkStart w:id="43" w:name="_Hlk205651387"/>
      <w:r w:rsidRPr="00A97CCD">
        <w:rPr>
          <w:rFonts w:ascii="Times New Roman" w:hAnsi="Times New Roman" w:cs="Times New Roman"/>
          <w:b/>
          <w:bCs/>
          <w:sz w:val="24"/>
          <w:szCs w:val="24"/>
        </w:rPr>
        <w:lastRenderedPageBreak/>
        <w:t>Supplement</w:t>
      </w:r>
      <w:r w:rsidRPr="00E73CF5">
        <w:rPr>
          <w:rFonts w:ascii="Times New Roman" w:hAnsi="Times New Roman" w:cs="Times New Roman"/>
          <w:b/>
          <w:bCs/>
          <w:sz w:val="24"/>
          <w:szCs w:val="24"/>
        </w:rPr>
        <w:t xml:space="preserve">al </w:t>
      </w:r>
      <w:r w:rsidR="00967B17" w:rsidRPr="00E73CF5">
        <w:rPr>
          <w:rFonts w:ascii="Times New Roman" w:hAnsi="Times New Roman" w:cs="Times New Roman"/>
          <w:b/>
          <w:bCs/>
          <w:sz w:val="24"/>
          <w:szCs w:val="24"/>
        </w:rPr>
        <w:t>R</w:t>
      </w:r>
      <w:r w:rsidRPr="00E73CF5">
        <w:rPr>
          <w:rFonts w:ascii="Times New Roman" w:hAnsi="Times New Roman" w:cs="Times New Roman"/>
          <w:b/>
          <w:bCs/>
          <w:sz w:val="24"/>
          <w:szCs w:val="24"/>
        </w:rPr>
        <w:t xml:space="preserve">eferences </w:t>
      </w:r>
    </w:p>
    <w:p w14:paraId="6C32DB76" w14:textId="77777777"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bookmarkStart w:id="44" w:name="_Hlk208846809"/>
      <w:r w:rsidRPr="002E2413">
        <w:rPr>
          <w:rFonts w:ascii="Times New Roman" w:hAnsi="Times New Roman" w:cs="Times New Roman"/>
          <w:sz w:val="24"/>
          <w:szCs w:val="24"/>
        </w:rPr>
        <w:t>Energy Institute - Statistical Review of World Energy (2024)</w:t>
      </w:r>
      <w:r w:rsidR="00AF01CB" w:rsidRPr="002E2413">
        <w:rPr>
          <w:rFonts w:ascii="Times New Roman" w:hAnsi="Times New Roman" w:cs="Times New Roman"/>
          <w:sz w:val="24"/>
          <w:szCs w:val="24"/>
        </w:rPr>
        <w:t>.</w:t>
      </w:r>
      <w:r w:rsidRPr="002E2413">
        <w:rPr>
          <w:rFonts w:ascii="Times New Roman" w:hAnsi="Times New Roman" w:cs="Times New Roman"/>
          <w:sz w:val="24"/>
          <w:szCs w:val="24"/>
        </w:rPr>
        <w:t xml:space="preserve"> </w:t>
      </w:r>
      <w:hyperlink r:id="rId40" w:history="1">
        <w:r w:rsidR="00A70BD4" w:rsidRPr="002E2413">
          <w:rPr>
            <w:rStyle w:val="a8"/>
            <w:rFonts w:ascii="Times New Roman" w:hAnsi="Times New Roman" w:cs="Times New Roman"/>
            <w:sz w:val="24"/>
            <w:szCs w:val="24"/>
          </w:rPr>
          <w:t>https://ourworldindata.org/grapher/global-primary-energy</w:t>
        </w:r>
      </w:hyperlink>
    </w:p>
    <w:p w14:paraId="6415D9BA" w14:textId="657FA03B"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游明朝" w:hAnsi="Times New Roman" w:cs="Times New Roman"/>
          <w:sz w:val="24"/>
          <w:szCs w:val="24"/>
          <w14:ligatures w14:val="standardContextual"/>
        </w:rPr>
        <w:t xml:space="preserve">IEA, World Energy Outlook 2024, World electricity generation in the Stated Policies Scenario (STEPS) </w:t>
      </w:r>
      <w:r w:rsidR="002878B9" w:rsidRPr="002E2413">
        <w:rPr>
          <w:rFonts w:ascii="Times New Roman" w:eastAsia="游明朝" w:hAnsi="Times New Roman" w:cs="Times New Roman"/>
          <w:sz w:val="24"/>
          <w:szCs w:val="24"/>
          <w14:ligatures w14:val="standardContextual"/>
        </w:rPr>
        <w:t>(</w:t>
      </w:r>
      <w:r w:rsidRPr="002E2413">
        <w:rPr>
          <w:rFonts w:ascii="Times New Roman" w:eastAsia="游明朝" w:hAnsi="Times New Roman" w:cs="Times New Roman"/>
          <w:sz w:val="24"/>
          <w:szCs w:val="24"/>
          <w14:ligatures w14:val="standardContextual"/>
        </w:rPr>
        <w:t>2010</w:t>
      </w:r>
      <w:r w:rsidR="00AF01CB" w:rsidRPr="002E2413">
        <w:rPr>
          <w:rFonts w:ascii="Times New Roman" w:eastAsia="游明朝" w:hAnsi="Times New Roman" w:cs="Times New Roman"/>
          <w:sz w:val="24"/>
          <w:szCs w:val="24"/>
          <w14:ligatures w14:val="standardContextual"/>
        </w:rPr>
        <w:t>－</w:t>
      </w:r>
      <w:r w:rsidRPr="002E2413">
        <w:rPr>
          <w:rFonts w:ascii="Times New Roman" w:eastAsia="游明朝" w:hAnsi="Times New Roman" w:cs="Times New Roman"/>
          <w:sz w:val="24"/>
          <w:szCs w:val="24"/>
          <w14:ligatures w14:val="standardContextual"/>
        </w:rPr>
        <w:t>2035</w:t>
      </w:r>
      <w:r w:rsidR="002878B9" w:rsidRPr="002E2413">
        <w:rPr>
          <w:rFonts w:ascii="Times New Roman" w:eastAsia="游明朝" w:hAnsi="Times New Roman" w:cs="Times New Roman"/>
          <w:sz w:val="24"/>
          <w:szCs w:val="24"/>
          <w14:ligatures w14:val="standardContextual"/>
        </w:rPr>
        <w:t>)</w:t>
      </w:r>
      <w:r w:rsidR="00046436" w:rsidRPr="002E2413">
        <w:rPr>
          <w:rFonts w:ascii="Times New Roman" w:eastAsia="游明朝" w:hAnsi="Times New Roman" w:cs="Times New Roman"/>
          <w:sz w:val="24"/>
          <w:szCs w:val="24"/>
          <w14:ligatures w14:val="standardContextual"/>
        </w:rPr>
        <w:t>.</w:t>
      </w:r>
      <w:r w:rsidRPr="002E2413">
        <w:rPr>
          <w:rFonts w:ascii="Times New Roman" w:eastAsia="游明朝" w:hAnsi="Times New Roman" w:cs="Times New Roman"/>
          <w:sz w:val="24"/>
          <w:szCs w:val="24"/>
          <w14:ligatures w14:val="standardContextual"/>
        </w:rPr>
        <w:t xml:space="preserve"> </w:t>
      </w:r>
      <w:hyperlink r:id="rId41" w:history="1">
        <w:r w:rsidR="00A70BD4" w:rsidRPr="002E2413">
          <w:rPr>
            <w:rFonts w:ascii="Times New Roman" w:eastAsia="游明朝" w:hAnsi="Times New Roman" w:cs="Times New Roman"/>
            <w:color w:val="0070C0"/>
            <w:sz w:val="24"/>
            <w:szCs w:val="24"/>
            <w14:ligatures w14:val="standardContextual"/>
          </w:rPr>
          <w:t>https://www.iea.org/reports/world-energy-outlook-2024/executive-summary</w:t>
        </w:r>
      </w:hyperlink>
    </w:p>
    <w:p w14:paraId="11C08BF6" w14:textId="745460E3"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游明朝" w:hAnsi="Times New Roman" w:cs="Times New Roman"/>
          <w:sz w:val="24"/>
          <w:szCs w:val="24"/>
          <w14:ligatures w14:val="standardContextual"/>
        </w:rPr>
        <w:t>IEA, World Energy Outlook 2023</w:t>
      </w:r>
      <w:r w:rsidR="00AF01CB" w:rsidRPr="002E2413">
        <w:rPr>
          <w:rFonts w:ascii="Times New Roman" w:eastAsia="游明朝" w:hAnsi="Times New Roman" w:cs="Times New Roman"/>
          <w:sz w:val="24"/>
          <w:szCs w:val="24"/>
          <w14:ligatures w14:val="standardContextual"/>
        </w:rPr>
        <w:t>.</w:t>
      </w:r>
      <w:r w:rsidRPr="002E2413">
        <w:rPr>
          <w:rFonts w:ascii="Times New Roman" w:eastAsia="游明朝" w:hAnsi="Times New Roman" w:cs="Times New Roman"/>
          <w:color w:val="0070C0"/>
          <w:sz w:val="24"/>
          <w:szCs w:val="24"/>
          <w14:ligatures w14:val="standardContextual"/>
        </w:rPr>
        <w:t xml:space="preserve"> </w:t>
      </w:r>
      <w:hyperlink r:id="rId42" w:history="1">
        <w:r w:rsidR="00A70BD4" w:rsidRPr="002E2413">
          <w:rPr>
            <w:rFonts w:ascii="Times New Roman" w:eastAsia="游明朝" w:hAnsi="Times New Roman" w:cs="Times New Roman"/>
            <w:color w:val="0070C0"/>
            <w:sz w:val="24"/>
            <w:szCs w:val="24"/>
            <w14:ligatures w14:val="standardContextual"/>
          </w:rPr>
          <w:t>https://www.iea.org/reports/world-energy-outlook-2023/executive-summary</w:t>
        </w:r>
      </w:hyperlink>
    </w:p>
    <w:p w14:paraId="68DB3478" w14:textId="242DF299"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游明朝" w:hAnsi="Times New Roman" w:cs="Times New Roman"/>
          <w:sz w:val="24"/>
          <w:szCs w:val="24"/>
          <w14:ligatures w14:val="standardContextual"/>
        </w:rPr>
        <w:t xml:space="preserve">Zhang, H., Wang, L., Maréchal, F. &amp; Desideri, U., Techno-economic comparison of green ammonia production processes. </w:t>
      </w:r>
      <w:r w:rsidRPr="002E2413">
        <w:rPr>
          <w:rFonts w:ascii="Times New Roman" w:eastAsia="游明朝" w:hAnsi="Times New Roman" w:cs="Times New Roman"/>
          <w:i/>
          <w:iCs/>
          <w:sz w:val="24"/>
          <w:szCs w:val="24"/>
          <w14:ligatures w14:val="standardContextual"/>
        </w:rPr>
        <w:t>Appl.</w:t>
      </w:r>
      <w:r w:rsidRPr="002E2413">
        <w:rPr>
          <w:rFonts w:ascii="Times New Roman" w:eastAsia="游明朝" w:hAnsi="Times New Roman" w:cs="Times New Roman"/>
          <w:i/>
          <w:sz w:val="24"/>
          <w:szCs w:val="24"/>
          <w14:ligatures w14:val="standardContextual"/>
        </w:rPr>
        <w:t xml:space="preserve"> Energy</w:t>
      </w:r>
      <w:r w:rsidRPr="002E2413">
        <w:rPr>
          <w:rFonts w:ascii="Times New Roman" w:eastAsia="游明朝" w:hAnsi="Times New Roman" w:cs="Times New Roman"/>
          <w:sz w:val="24"/>
          <w:szCs w:val="24"/>
          <w14:ligatures w14:val="standardContextual"/>
        </w:rPr>
        <w:t xml:space="preserve"> </w:t>
      </w:r>
      <w:r w:rsidRPr="002E2413">
        <w:rPr>
          <w:rFonts w:ascii="Times New Roman" w:eastAsia="游明朝" w:hAnsi="Times New Roman" w:cs="Times New Roman"/>
          <w:b/>
          <w:sz w:val="24"/>
          <w:szCs w:val="24"/>
          <w14:ligatures w14:val="standardContextual"/>
        </w:rPr>
        <w:t>259</w:t>
      </w:r>
      <w:r w:rsidRPr="002E2413">
        <w:rPr>
          <w:rFonts w:ascii="Times New Roman" w:eastAsia="游明朝" w:hAnsi="Times New Roman" w:cs="Times New Roman"/>
          <w:sz w:val="24"/>
          <w:szCs w:val="24"/>
          <w14:ligatures w14:val="standardContextual"/>
        </w:rPr>
        <w:t>, 114135</w:t>
      </w:r>
      <w:r w:rsidR="00046436" w:rsidRPr="002E2413">
        <w:rPr>
          <w:rFonts w:ascii="Times New Roman" w:eastAsia="游明朝" w:hAnsi="Times New Roman" w:cs="Times New Roman"/>
          <w:sz w:val="24"/>
          <w:szCs w:val="24"/>
          <w14:ligatures w14:val="standardContextual"/>
        </w:rPr>
        <w:t xml:space="preserve"> (2020)</w:t>
      </w:r>
      <w:r w:rsidRPr="002E2413">
        <w:rPr>
          <w:rFonts w:ascii="Times New Roman" w:eastAsia="游明朝" w:hAnsi="Times New Roman" w:cs="Times New Roman"/>
          <w:sz w:val="24"/>
          <w:szCs w:val="24"/>
          <w14:ligatures w14:val="standardContextual"/>
        </w:rPr>
        <w:t>.</w:t>
      </w:r>
      <w:r w:rsidR="00306589" w:rsidRPr="002E2413">
        <w:rPr>
          <w:rFonts w:ascii="Times New Roman" w:eastAsia="游明朝" w:hAnsi="Times New Roman" w:cs="Times New Roman"/>
          <w:sz w:val="24"/>
          <w:szCs w:val="24"/>
          <w14:ligatures w14:val="standardContextual"/>
        </w:rPr>
        <w:t xml:space="preserve"> </w:t>
      </w:r>
      <w:hyperlink r:id="rId43" w:history="1">
        <w:r w:rsidR="00306589" w:rsidRPr="002E2413">
          <w:rPr>
            <w:rStyle w:val="a8"/>
            <w:rFonts w:ascii="Times New Roman" w:eastAsia="游明朝" w:hAnsi="Times New Roman" w:cs="Times New Roman"/>
            <w:sz w:val="24"/>
            <w:szCs w:val="24"/>
            <w14:ligatures w14:val="standardContextual"/>
          </w:rPr>
          <w:t>https://doi.org/10.1016/j.apenergy.2019.114135</w:t>
        </w:r>
      </w:hyperlink>
    </w:p>
    <w:p w14:paraId="0DBE5220" w14:textId="4DA25D1E"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SimSun" w:hAnsi="Times New Roman" w:cs="Times New Roman"/>
          <w:kern w:val="0"/>
          <w:sz w:val="24"/>
          <w:szCs w:val="24"/>
          <w:lang w:eastAsia="zh-CN" w:bidi="ta-IN"/>
        </w:rPr>
        <w:t>Ye, T.N., et al. Vacancy-enabled N</w:t>
      </w:r>
      <w:r w:rsidRPr="002E2413">
        <w:rPr>
          <w:rFonts w:ascii="Times New Roman" w:eastAsia="SimSun" w:hAnsi="Times New Roman" w:cs="Times New Roman"/>
          <w:kern w:val="0"/>
          <w:sz w:val="24"/>
          <w:szCs w:val="24"/>
          <w:vertAlign w:val="subscript"/>
          <w:lang w:eastAsia="zh-CN" w:bidi="ta-IN"/>
        </w:rPr>
        <w:t>2</w:t>
      </w:r>
      <w:r w:rsidRPr="002E2413">
        <w:rPr>
          <w:rFonts w:ascii="Times New Roman" w:eastAsia="SimSun" w:hAnsi="Times New Roman" w:cs="Times New Roman"/>
          <w:kern w:val="0"/>
          <w:sz w:val="24"/>
          <w:szCs w:val="24"/>
          <w:lang w:eastAsia="zh-CN" w:bidi="ta-IN"/>
        </w:rPr>
        <w:t xml:space="preserve"> activation for ammonia synthesis on an Ni-loaded catalyst. </w:t>
      </w:r>
      <w:r w:rsidRPr="002E2413">
        <w:rPr>
          <w:rFonts w:ascii="Times New Roman" w:eastAsia="SimSun" w:hAnsi="Times New Roman" w:cs="Times New Roman"/>
          <w:i/>
          <w:kern w:val="0"/>
          <w:sz w:val="24"/>
          <w:szCs w:val="24"/>
          <w:lang w:eastAsia="zh-CN" w:bidi="ta-IN"/>
        </w:rPr>
        <w:t>Nature</w:t>
      </w:r>
      <w:r w:rsidRPr="002E2413">
        <w:rPr>
          <w:rFonts w:ascii="Times New Roman" w:eastAsia="SimSun" w:hAnsi="Times New Roman" w:cs="Times New Roman"/>
          <w:kern w:val="0"/>
          <w:sz w:val="24"/>
          <w:szCs w:val="24"/>
          <w:lang w:eastAsia="zh-CN" w:bidi="ta-IN"/>
        </w:rPr>
        <w:t xml:space="preserve"> </w:t>
      </w:r>
      <w:r w:rsidRPr="002E2413">
        <w:rPr>
          <w:rFonts w:ascii="Times New Roman" w:eastAsia="SimSun" w:hAnsi="Times New Roman" w:cs="Times New Roman"/>
          <w:b/>
          <w:kern w:val="0"/>
          <w:sz w:val="24"/>
          <w:szCs w:val="24"/>
          <w:lang w:eastAsia="zh-CN" w:bidi="ta-IN"/>
        </w:rPr>
        <w:t>583</w:t>
      </w:r>
      <w:r w:rsidRPr="002E2413">
        <w:rPr>
          <w:rFonts w:ascii="Times New Roman" w:eastAsia="SimSun" w:hAnsi="Times New Roman" w:cs="Times New Roman"/>
          <w:kern w:val="0"/>
          <w:sz w:val="24"/>
          <w:szCs w:val="24"/>
          <w:lang w:eastAsia="zh-CN" w:bidi="ta-IN"/>
        </w:rPr>
        <w:t>, 391–395</w:t>
      </w:r>
      <w:r w:rsidRPr="002E2413">
        <w:rPr>
          <w:rFonts w:ascii="Times New Roman" w:hAnsi="Times New Roman" w:cs="Times New Roman"/>
          <w:kern w:val="0"/>
          <w:sz w:val="24"/>
          <w:szCs w:val="24"/>
          <w:lang w:bidi="ta-IN"/>
        </w:rPr>
        <w:t xml:space="preserve"> </w:t>
      </w:r>
      <w:r w:rsidRPr="002E2413">
        <w:rPr>
          <w:rFonts w:ascii="Times New Roman" w:eastAsia="SimSun" w:hAnsi="Times New Roman" w:cs="Times New Roman"/>
          <w:kern w:val="0"/>
          <w:sz w:val="24"/>
          <w:szCs w:val="24"/>
          <w:lang w:eastAsia="zh-CN" w:bidi="ta-IN"/>
        </w:rPr>
        <w:t xml:space="preserve">(2020).  </w:t>
      </w:r>
      <w:hyperlink r:id="rId44" w:tgtFrame="_new" w:history="1">
        <w:r w:rsidR="00A70BD4" w:rsidRPr="002E2413">
          <w:rPr>
            <w:rFonts w:ascii="Times New Roman" w:eastAsia="Times New Roman" w:hAnsi="Times New Roman" w:cs="Times New Roman"/>
            <w:color w:val="0070C0"/>
            <w:kern w:val="0"/>
            <w:sz w:val="24"/>
            <w:szCs w:val="24"/>
            <w:lang w:eastAsia="zh-CN" w:bidi="ta-IN"/>
          </w:rPr>
          <w:t>https://doi.org/10.1038/s41586-020-2464-9</w:t>
        </w:r>
      </w:hyperlink>
      <w:bookmarkStart w:id="45" w:name="_Hlk191655785"/>
      <w:r w:rsidRPr="002E2413">
        <w:rPr>
          <w:rFonts w:ascii="Times New Roman" w:eastAsia="ＭＳ Ｐゴシック" w:hAnsi="Times New Roman" w:cs="Times New Roman"/>
          <w:kern w:val="0"/>
          <w:sz w:val="24"/>
          <w:szCs w:val="24"/>
        </w:rPr>
        <w:t xml:space="preserve"> </w:t>
      </w:r>
    </w:p>
    <w:p w14:paraId="50E9AE8B" w14:textId="15B2F71A" w:rsidR="002E2413"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Times New Roman" w:hAnsi="Times New Roman" w:cs="Times New Roman"/>
          <w:kern w:val="0"/>
          <w:sz w:val="24"/>
          <w:szCs w:val="24"/>
          <w:lang w:eastAsia="zh-CN" w:bidi="ta-IN"/>
        </w:rPr>
        <w:t xml:space="preserve">Kobayashi, H. Carbon-free energy supply system using floating offshore photovoltaics and hydrogen energy carriers: towards the achievement of the Paris Agreement goal. </w:t>
      </w:r>
      <w:r w:rsidRPr="002E2413">
        <w:rPr>
          <w:rFonts w:ascii="Times New Roman" w:eastAsia="Times New Roman" w:hAnsi="Times New Roman" w:cs="Times New Roman"/>
          <w:i/>
          <w:iCs/>
          <w:kern w:val="0"/>
          <w:sz w:val="24"/>
          <w:szCs w:val="24"/>
          <w:lang w:eastAsia="zh-CN" w:bidi="ta-IN"/>
        </w:rPr>
        <w:t>J. Jpn. Soc. Energy Resour.</w:t>
      </w:r>
      <w:r w:rsidRPr="002E2413">
        <w:rPr>
          <w:rFonts w:ascii="Times New Roman" w:eastAsia="Times New Roman" w:hAnsi="Times New Roman" w:cs="Times New Roman"/>
          <w:kern w:val="0"/>
          <w:sz w:val="24"/>
          <w:szCs w:val="24"/>
          <w:lang w:eastAsia="zh-CN" w:bidi="ta-IN"/>
        </w:rPr>
        <w:t xml:space="preserve"> </w:t>
      </w:r>
      <w:r w:rsidRPr="002E2413">
        <w:rPr>
          <w:rFonts w:ascii="Times New Roman" w:eastAsia="Times New Roman" w:hAnsi="Times New Roman" w:cs="Times New Roman"/>
          <w:b/>
          <w:kern w:val="0"/>
          <w:sz w:val="24"/>
          <w:szCs w:val="24"/>
          <w:lang w:eastAsia="zh-CN" w:bidi="ta-IN"/>
        </w:rPr>
        <w:t>43</w:t>
      </w:r>
      <w:r w:rsidRPr="002E2413">
        <w:rPr>
          <w:rFonts w:ascii="Times New Roman" w:eastAsia="Times New Roman" w:hAnsi="Times New Roman" w:cs="Times New Roman"/>
          <w:kern w:val="0"/>
          <w:sz w:val="24"/>
          <w:szCs w:val="24"/>
          <w:lang w:eastAsia="zh-CN" w:bidi="ta-IN"/>
        </w:rPr>
        <w:t>, 274–284</w:t>
      </w:r>
      <w:r w:rsidR="00046436" w:rsidRPr="002E2413">
        <w:rPr>
          <w:rFonts w:ascii="Times New Roman" w:hAnsi="Times New Roman" w:cs="Times New Roman"/>
          <w:kern w:val="0"/>
          <w:sz w:val="24"/>
          <w:szCs w:val="24"/>
          <w:lang w:bidi="ta-IN"/>
        </w:rPr>
        <w:t xml:space="preserve"> (2020)</w:t>
      </w:r>
      <w:r w:rsidRPr="002E2413">
        <w:rPr>
          <w:rFonts w:ascii="Times New Roman" w:eastAsia="Times New Roman" w:hAnsi="Times New Roman" w:cs="Times New Roman"/>
          <w:kern w:val="0"/>
          <w:sz w:val="24"/>
          <w:szCs w:val="24"/>
          <w:lang w:eastAsia="zh-CN" w:bidi="ta-IN"/>
        </w:rPr>
        <w:t xml:space="preserve">. </w:t>
      </w:r>
      <w:hyperlink r:id="rId45" w:tgtFrame="_new" w:history="1">
        <w:r w:rsidR="00A70BD4" w:rsidRPr="002E2413">
          <w:rPr>
            <w:rStyle w:val="a8"/>
            <w:rFonts w:ascii="Times New Roman" w:eastAsia="Times New Roman" w:hAnsi="Times New Roman" w:cs="Times New Roman"/>
            <w:kern w:val="0"/>
            <w:sz w:val="24"/>
            <w:szCs w:val="24"/>
            <w:lang w:eastAsia="zh-CN" w:bidi="ta-IN"/>
          </w:rPr>
          <w:t>https://doi.org/10.24778/jjser.43.6_274</w:t>
        </w:r>
      </w:hyperlink>
      <w:bookmarkEnd w:id="45"/>
    </w:p>
    <w:p w14:paraId="09B25797" w14:textId="6351B716" w:rsidR="00E73CF5" w:rsidRPr="002E2413" w:rsidRDefault="000E08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r w:rsidRPr="002E2413">
        <w:rPr>
          <w:rFonts w:ascii="Times New Roman" w:eastAsia="SimSun" w:hAnsi="Times New Roman" w:cs="Times New Roman"/>
          <w:kern w:val="0"/>
          <w:sz w:val="24"/>
          <w:szCs w:val="24"/>
          <w:lang w:eastAsia="zh-CN" w:bidi="ta-IN"/>
        </w:rPr>
        <w:t xml:space="preserve">Japanese Industrial Standards Committee. JIS: G3455: Carbon steel pipes for high pressure service (2020). </w:t>
      </w:r>
      <w:hyperlink r:id="rId46" w:history="1">
        <w:r w:rsidRPr="002E2413">
          <w:rPr>
            <w:rStyle w:val="a8"/>
            <w:rFonts w:ascii="Times New Roman" w:eastAsia="SimSun" w:hAnsi="Times New Roman" w:cs="Times New Roman"/>
            <w:kern w:val="0"/>
            <w:sz w:val="24"/>
            <w:szCs w:val="24"/>
            <w:lang w:eastAsia="zh-CN" w:bidi="ta-IN"/>
          </w:rPr>
          <w:t>https://webdesk.jsa.or.jp/preview/pre_jis_g_03455_000_000_2020_e_ed10_ch.pdf</w:t>
        </w:r>
      </w:hyperlink>
      <w:bookmarkStart w:id="46" w:name="_Hlk195770919"/>
    </w:p>
    <w:p w14:paraId="361633EA" w14:textId="77777777" w:rsidR="00E73CF5" w:rsidRPr="00E73CF5" w:rsidRDefault="002B31D1" w:rsidP="00C33E8A">
      <w:pPr>
        <w:pStyle w:val="a4"/>
        <w:widowControl/>
        <w:numPr>
          <w:ilvl w:val="0"/>
          <w:numId w:val="35"/>
        </w:numPr>
        <w:spacing w:line="280" w:lineRule="exact"/>
        <w:ind w:left="284" w:hanging="298"/>
        <w:contextualSpacing/>
        <w:jc w:val="left"/>
        <w:rPr>
          <w:rFonts w:ascii="Times New Roman" w:eastAsia="游明朝" w:hAnsi="Times New Roman" w:cs="Times New Roman"/>
          <w:kern w:val="0"/>
          <w:sz w:val="24"/>
          <w:szCs w:val="24"/>
        </w:rPr>
      </w:pPr>
      <w:r w:rsidRPr="00E73CF5">
        <w:rPr>
          <w:rFonts w:ascii="Times New Roman" w:eastAsia="SimSun" w:hAnsi="Times New Roman" w:cs="Times New Roman"/>
          <w:kern w:val="0"/>
          <w:sz w:val="24"/>
          <w:szCs w:val="24"/>
          <w:lang w:eastAsia="zh-CN" w:bidi="ta-IN"/>
        </w:rPr>
        <w:t>Wong, C., et al. Life Expectancy of Decommissioned Pipelines Under External Corrosion: Probabilistic Modeling, International Pipeline Conference, ASME (2021).</w:t>
      </w:r>
      <w:bookmarkStart w:id="47" w:name="_Hlk191655633"/>
      <w:bookmarkEnd w:id="46"/>
    </w:p>
    <w:p w14:paraId="0EF170C7" w14:textId="5CEAC862" w:rsidR="00AC7426" w:rsidRPr="00E73CF5" w:rsidRDefault="000E0857" w:rsidP="00C33E8A">
      <w:pPr>
        <w:pStyle w:val="a4"/>
        <w:widowControl/>
        <w:numPr>
          <w:ilvl w:val="0"/>
          <w:numId w:val="35"/>
        </w:numPr>
        <w:spacing w:line="280" w:lineRule="exact"/>
        <w:ind w:left="284" w:hanging="298"/>
        <w:contextualSpacing/>
        <w:jc w:val="left"/>
        <w:rPr>
          <w:rFonts w:ascii="Times New Roman" w:eastAsia="游明朝" w:hAnsi="Times New Roman" w:cs="Times New Roman"/>
          <w:kern w:val="0"/>
          <w:sz w:val="24"/>
          <w:szCs w:val="24"/>
        </w:rPr>
      </w:pPr>
      <w:r w:rsidRPr="00E73CF5">
        <w:rPr>
          <w:rFonts w:ascii="Times New Roman" w:eastAsia="游明朝" w:hAnsi="Times New Roman" w:cs="Times New Roman"/>
          <w:sz w:val="24"/>
          <w:szCs w:val="24"/>
          <w14:ligatures w14:val="standardContextual"/>
        </w:rPr>
        <w:t>FLUIDAT® on the net</w:t>
      </w:r>
      <w:r w:rsidR="00AF01CB" w:rsidRPr="00E73CF5">
        <w:rPr>
          <w:rFonts w:ascii="Times New Roman" w:eastAsia="游明朝" w:hAnsi="Times New Roman" w:cs="Times New Roman"/>
          <w:sz w:val="24"/>
          <w:szCs w:val="24"/>
          <w14:ligatures w14:val="standardContextual"/>
        </w:rPr>
        <w:t>, (Accessed 2024).</w:t>
      </w:r>
      <w:r w:rsidRPr="00E73CF5">
        <w:rPr>
          <w:rFonts w:ascii="Times New Roman" w:eastAsia="游明朝" w:hAnsi="Times New Roman" w:cs="Times New Roman"/>
          <w:sz w:val="24"/>
          <w:szCs w:val="24"/>
          <w14:ligatures w14:val="standardContextual"/>
        </w:rPr>
        <w:t xml:space="preserve"> </w:t>
      </w:r>
      <w:hyperlink r:id="rId47" w:tgtFrame="_new" w:history="1">
        <w:r w:rsidR="00A70BD4" w:rsidRPr="00E73CF5">
          <w:rPr>
            <w:rStyle w:val="a8"/>
            <w:rFonts w:ascii="Times New Roman" w:eastAsia="游明朝" w:hAnsi="Times New Roman" w:cs="Times New Roman"/>
            <w:sz w:val="24"/>
            <w:szCs w:val="24"/>
            <w14:ligatures w14:val="standardContextual"/>
          </w:rPr>
          <w:t>https://www.fluidat.com/default.asp</w:t>
        </w:r>
      </w:hyperlink>
      <w:bookmarkStart w:id="48" w:name="_Hlk191655478"/>
      <w:bookmarkEnd w:id="47"/>
    </w:p>
    <w:p w14:paraId="227618A8" w14:textId="65086AAE" w:rsidR="00AC7426" w:rsidRPr="00E73CF5" w:rsidRDefault="00AC7426" w:rsidP="00C33E8A">
      <w:pPr>
        <w:pStyle w:val="a4"/>
        <w:widowControl/>
        <w:numPr>
          <w:ilvl w:val="0"/>
          <w:numId w:val="35"/>
        </w:numPr>
        <w:spacing w:line="280" w:lineRule="exact"/>
        <w:ind w:left="284" w:hanging="298"/>
        <w:contextualSpacing/>
        <w:jc w:val="left"/>
        <w:rPr>
          <w:rFonts w:ascii="Times New Roman" w:eastAsia="游明朝" w:hAnsi="Times New Roman" w:cs="Times New Roman"/>
          <w:kern w:val="0"/>
          <w:sz w:val="24"/>
          <w:szCs w:val="24"/>
        </w:rPr>
      </w:pPr>
      <w:r w:rsidRPr="00E73CF5">
        <w:rPr>
          <w:rFonts w:ascii="Times New Roman" w:eastAsia="游明朝" w:hAnsi="Times New Roman" w:cs="Times New Roman"/>
          <w:kern w:val="0"/>
          <w:sz w:val="24"/>
          <w:szCs w:val="24"/>
        </w:rPr>
        <w:t xml:space="preserve">Randers, J. &amp; Goluke, U. An earth system model shows self-sustained thawing of permafrost even if all man-made GHG emissions stop in 2020. </w:t>
      </w:r>
      <w:r w:rsidRPr="00E73CF5">
        <w:rPr>
          <w:rFonts w:ascii="Times New Roman" w:eastAsia="游明朝" w:hAnsi="Times New Roman" w:cs="Times New Roman"/>
          <w:i/>
          <w:kern w:val="0"/>
          <w:sz w:val="24"/>
          <w:szCs w:val="24"/>
        </w:rPr>
        <w:t>Sci. Rep.</w:t>
      </w:r>
      <w:r w:rsidRPr="00E73CF5">
        <w:rPr>
          <w:rFonts w:ascii="Times New Roman" w:eastAsia="游明朝" w:hAnsi="Times New Roman" w:cs="Times New Roman"/>
          <w:kern w:val="0"/>
          <w:sz w:val="24"/>
          <w:szCs w:val="24"/>
        </w:rPr>
        <w:t xml:space="preserve"> </w:t>
      </w:r>
      <w:r w:rsidRPr="00E73CF5">
        <w:rPr>
          <w:rFonts w:ascii="Times New Roman" w:eastAsia="游明朝" w:hAnsi="Times New Roman" w:cs="Times New Roman"/>
          <w:b/>
          <w:kern w:val="0"/>
          <w:sz w:val="24"/>
          <w:szCs w:val="24"/>
        </w:rPr>
        <w:t>10</w:t>
      </w:r>
      <w:r w:rsidRPr="00E73CF5">
        <w:rPr>
          <w:rFonts w:ascii="Times New Roman" w:eastAsia="游明朝" w:hAnsi="Times New Roman" w:cs="Times New Roman"/>
          <w:kern w:val="0"/>
          <w:sz w:val="24"/>
          <w:szCs w:val="24"/>
        </w:rPr>
        <w:t>, 18456 (2020).</w:t>
      </w:r>
      <w:r w:rsidRPr="00E73CF5">
        <w:rPr>
          <w:rFonts w:ascii="Times New Roman" w:eastAsia="游明朝" w:hAnsi="Times New Roman" w:cs="Times New Roman"/>
          <w:color w:val="0070C0"/>
          <w:kern w:val="0"/>
          <w:sz w:val="24"/>
          <w:szCs w:val="24"/>
        </w:rPr>
        <w:t xml:space="preserve"> </w:t>
      </w:r>
      <w:hyperlink r:id="rId48" w:history="1">
        <w:r w:rsidRPr="00E73CF5">
          <w:rPr>
            <w:rFonts w:ascii="Times New Roman" w:eastAsia="游明朝" w:hAnsi="Times New Roman" w:cs="Times New Roman"/>
            <w:color w:val="0070C0"/>
            <w:kern w:val="0"/>
            <w:sz w:val="24"/>
            <w:szCs w:val="24"/>
          </w:rPr>
          <w:t>10.1038/s41598-020-75481-z</w:t>
        </w:r>
      </w:hyperlink>
      <w:r w:rsidRPr="00E73CF5">
        <w:rPr>
          <w:rFonts w:ascii="Times New Roman" w:eastAsia="游明朝" w:hAnsi="Times New Roman" w:cs="Times New Roman"/>
          <w:kern w:val="0"/>
          <w:sz w:val="24"/>
          <w:szCs w:val="24"/>
        </w:rPr>
        <w:t>, PubMed:</w:t>
      </w:r>
      <w:r w:rsidRPr="00E73CF5">
        <w:rPr>
          <w:rFonts w:ascii="Times New Roman" w:eastAsia="游明朝" w:hAnsi="Times New Roman" w:cs="Times New Roman"/>
          <w:color w:val="0070C0"/>
          <w:kern w:val="0"/>
          <w:sz w:val="24"/>
          <w:szCs w:val="24"/>
        </w:rPr>
        <w:t xml:space="preserve"> </w:t>
      </w:r>
      <w:hyperlink r:id="rId49" w:history="1">
        <w:r w:rsidRPr="00E73CF5">
          <w:rPr>
            <w:rFonts w:ascii="Times New Roman" w:eastAsia="游明朝" w:hAnsi="Times New Roman" w:cs="Times New Roman"/>
            <w:color w:val="0070C0"/>
            <w:kern w:val="0"/>
            <w:sz w:val="24"/>
            <w:szCs w:val="24"/>
          </w:rPr>
          <w:t>33184311</w:t>
        </w:r>
      </w:hyperlink>
      <w:r w:rsidRPr="00E73CF5">
        <w:rPr>
          <w:rFonts w:ascii="Times New Roman" w:eastAsia="游明朝" w:hAnsi="Times New Roman" w:cs="Times New Roman"/>
          <w:kern w:val="0"/>
          <w:sz w:val="24"/>
          <w:szCs w:val="24"/>
        </w:rPr>
        <w:t>.</w:t>
      </w:r>
    </w:p>
    <w:p w14:paraId="470E3464" w14:textId="2817CE9F" w:rsidR="00983F6F" w:rsidRDefault="000E0857" w:rsidP="00C33E8A">
      <w:pPr>
        <w:pStyle w:val="a4"/>
        <w:numPr>
          <w:ilvl w:val="0"/>
          <w:numId w:val="35"/>
        </w:numPr>
        <w:spacing w:line="280" w:lineRule="exact"/>
        <w:ind w:left="284" w:hanging="298"/>
        <w:jc w:val="left"/>
        <w:rPr>
          <w:rFonts w:ascii="Times New Roman" w:hAnsi="Times New Roman" w:cs="Times New Roman"/>
          <w:sz w:val="24"/>
          <w:szCs w:val="24"/>
        </w:rPr>
      </w:pPr>
      <w:r w:rsidRPr="00E73CF5">
        <w:rPr>
          <w:rFonts w:ascii="Times New Roman" w:hAnsi="Times New Roman" w:cs="Times New Roman"/>
          <w:sz w:val="24"/>
          <w:szCs w:val="24"/>
        </w:rPr>
        <w:t>Shiozawa, B. The potential of ammonia as a CO</w:t>
      </w:r>
      <w:r w:rsidRPr="00E73CF5">
        <w:rPr>
          <w:rFonts w:ascii="Times New Roman" w:hAnsi="Times New Roman" w:cs="Times New Roman"/>
          <w:sz w:val="24"/>
          <w:szCs w:val="24"/>
          <w:vertAlign w:val="subscript"/>
        </w:rPr>
        <w:t>2</w:t>
      </w:r>
      <w:r w:rsidRPr="00E73CF5">
        <w:rPr>
          <w:rFonts w:ascii="Times New Roman" w:hAnsi="Times New Roman" w:cs="Times New Roman"/>
          <w:sz w:val="24"/>
          <w:szCs w:val="24"/>
        </w:rPr>
        <w:t>-free fuel and hydrogen energy carrier (Parts 1–1</w:t>
      </w:r>
      <w:r w:rsidR="005400CE">
        <w:rPr>
          <w:rFonts w:ascii="Times New Roman" w:hAnsi="Times New Roman" w:cs="Times New Roman" w:hint="eastAsia"/>
          <w:sz w:val="24"/>
          <w:szCs w:val="24"/>
        </w:rPr>
        <w:t>4</w:t>
      </w:r>
      <w:r w:rsidRPr="00E73CF5">
        <w:rPr>
          <w:rFonts w:ascii="Times New Roman" w:hAnsi="Times New Roman" w:cs="Times New Roman"/>
          <w:sz w:val="24"/>
          <w:szCs w:val="24"/>
        </w:rPr>
        <w:t>) - Results of SIP Energy Carriers (2019–202</w:t>
      </w:r>
      <w:r w:rsidR="005400CE">
        <w:rPr>
          <w:rFonts w:ascii="Times New Roman" w:hAnsi="Times New Roman" w:cs="Times New Roman" w:hint="eastAsia"/>
          <w:sz w:val="24"/>
          <w:szCs w:val="24"/>
        </w:rPr>
        <w:t>4</w:t>
      </w:r>
      <w:r w:rsidRPr="00E73CF5">
        <w:rPr>
          <w:rFonts w:ascii="Times New Roman" w:hAnsi="Times New Roman" w:cs="Times New Roman"/>
          <w:sz w:val="24"/>
          <w:szCs w:val="24"/>
        </w:rPr>
        <w:t xml:space="preserve">). </w:t>
      </w:r>
      <w:hyperlink r:id="rId50" w:tgtFrame="_new" w:history="1">
        <w:r w:rsidR="00983F6F" w:rsidRPr="00E73CF5">
          <w:rPr>
            <w:rStyle w:val="a8"/>
            <w:rFonts w:ascii="Times New Roman" w:hAnsi="Times New Roman" w:cs="Times New Roman"/>
            <w:sz w:val="24"/>
            <w:szCs w:val="24"/>
          </w:rPr>
          <w:t>https://ieei.or.jp/2019/11/expl191107/</w:t>
        </w:r>
      </w:hyperlink>
      <w:r w:rsidRPr="00E73CF5">
        <w:rPr>
          <w:rFonts w:ascii="Times New Roman" w:hAnsi="Times New Roman" w:cs="Times New Roman"/>
          <w:sz w:val="24"/>
          <w:szCs w:val="24"/>
        </w:rPr>
        <w:t xml:space="preserve"> </w:t>
      </w:r>
    </w:p>
    <w:p w14:paraId="233AFA37" w14:textId="70BF76B5" w:rsidR="009B2486" w:rsidRPr="00902A63" w:rsidRDefault="009B2486" w:rsidP="00C33E8A">
      <w:pPr>
        <w:pStyle w:val="a4"/>
        <w:numPr>
          <w:ilvl w:val="0"/>
          <w:numId w:val="35"/>
        </w:numPr>
        <w:ind w:left="284" w:hanging="298"/>
        <w:jc w:val="left"/>
        <w:rPr>
          <w:rFonts w:ascii="Times New Roman" w:eastAsia="游明朝" w:hAnsi="Times New Roman" w:cs="Times New Roman"/>
          <w:kern w:val="0"/>
          <w:sz w:val="24"/>
          <w:szCs w:val="24"/>
        </w:rPr>
      </w:pPr>
      <w:r w:rsidRPr="00902A63">
        <w:rPr>
          <w:rFonts w:ascii="Times New Roman" w:eastAsia="游明朝" w:hAnsi="Times New Roman" w:cs="Times New Roman"/>
          <w:kern w:val="0"/>
          <w:sz w:val="24"/>
          <w:szCs w:val="24"/>
        </w:rPr>
        <w:t xml:space="preserve">The Future of Hydrogen, Seizing today’s opportunities, IEA, (2019). </w:t>
      </w:r>
      <w:hyperlink r:id="rId51" w:history="1">
        <w:r w:rsidRPr="00FA5F52">
          <w:rPr>
            <w:rStyle w:val="a8"/>
            <w:rFonts w:ascii="Times New Roman" w:eastAsia="游明朝" w:hAnsi="Times New Roman" w:cs="Times New Roman"/>
            <w:kern w:val="0"/>
            <w:sz w:val="24"/>
            <w:szCs w:val="24"/>
          </w:rPr>
          <w:t>https://www.iea.org/reports/the-future-of-hydrogen</w:t>
        </w:r>
      </w:hyperlink>
    </w:p>
    <w:p w14:paraId="06FCAE7B" w14:textId="2DDA8DAD" w:rsidR="00983F6F" w:rsidRPr="00E73CF5" w:rsidRDefault="00524C57" w:rsidP="00C33E8A">
      <w:pPr>
        <w:pStyle w:val="a4"/>
        <w:widowControl/>
        <w:numPr>
          <w:ilvl w:val="0"/>
          <w:numId w:val="35"/>
        </w:numPr>
        <w:spacing w:line="280" w:lineRule="exact"/>
        <w:ind w:left="284" w:hanging="298"/>
        <w:contextualSpacing/>
        <w:jc w:val="left"/>
        <w:rPr>
          <w:rFonts w:ascii="Times New Roman" w:eastAsia="SimSun" w:hAnsi="Times New Roman" w:cs="Times New Roman"/>
          <w:kern w:val="0"/>
          <w:sz w:val="24"/>
          <w:szCs w:val="24"/>
          <w:lang w:eastAsia="zh-CN" w:bidi="ta-IN"/>
        </w:rPr>
      </w:pPr>
      <w:bookmarkStart w:id="49" w:name="_Hlk210648568"/>
      <w:r w:rsidRPr="00524C57">
        <w:rPr>
          <w:rFonts w:ascii="Times New Roman" w:eastAsia="SimSun" w:hAnsi="Times New Roman" w:cs="Times New Roman"/>
          <w:kern w:val="0"/>
          <w:sz w:val="24"/>
          <w:szCs w:val="24"/>
          <w:lang w:eastAsia="zh-CN" w:bidi="ta-IN"/>
        </w:rPr>
        <w:t>Ogasawara, K., Miyazaki, M., Miyashita, K., Abe, H., Kitano, M., Hosono, H. et al.</w:t>
      </w:r>
      <w:bookmarkEnd w:id="49"/>
      <w:r w:rsidRPr="00524C57">
        <w:rPr>
          <w:rFonts w:ascii="Times New Roman" w:eastAsia="SimSun" w:hAnsi="Times New Roman" w:cs="Times New Roman"/>
          <w:kern w:val="0"/>
          <w:sz w:val="24"/>
          <w:szCs w:val="24"/>
          <w:lang w:eastAsia="zh-CN" w:bidi="ta-IN"/>
        </w:rPr>
        <w:t xml:space="preserve"> Ammonia decomposition over water-durable hexagonal BaTiO</w:t>
      </w:r>
      <w:r w:rsidRPr="00524C57">
        <w:rPr>
          <w:rFonts w:ascii="Times New Roman" w:eastAsia="SimSun" w:hAnsi="Times New Roman" w:cs="Times New Roman"/>
          <w:kern w:val="0"/>
          <w:sz w:val="24"/>
          <w:szCs w:val="24"/>
          <w:vertAlign w:val="subscript"/>
          <w:lang w:eastAsia="zh-CN" w:bidi="ta-IN"/>
        </w:rPr>
        <w:t>3−x</w:t>
      </w:r>
      <w:r w:rsidRPr="00524C57">
        <w:rPr>
          <w:rFonts w:ascii="Times New Roman" w:eastAsia="SimSun" w:hAnsi="Times New Roman" w:cs="Times New Roman"/>
          <w:kern w:val="0"/>
          <w:sz w:val="24"/>
          <w:szCs w:val="24"/>
          <w:lang w:eastAsia="zh-CN" w:bidi="ta-IN"/>
        </w:rPr>
        <w:t>N</w:t>
      </w:r>
      <w:r w:rsidRPr="00524C57">
        <w:rPr>
          <w:rFonts w:ascii="Times New Roman" w:eastAsia="SimSun" w:hAnsi="Times New Roman" w:cs="Times New Roman"/>
          <w:kern w:val="0"/>
          <w:sz w:val="24"/>
          <w:szCs w:val="24"/>
          <w:vertAlign w:val="subscript"/>
          <w:lang w:eastAsia="zh-CN" w:bidi="ta-IN"/>
        </w:rPr>
        <w:t>y</w:t>
      </w:r>
      <w:r w:rsidRPr="00524C57">
        <w:rPr>
          <w:rFonts w:ascii="Times New Roman" w:eastAsia="SimSun" w:hAnsi="Times New Roman" w:cs="Times New Roman"/>
          <w:kern w:val="0"/>
          <w:sz w:val="24"/>
          <w:szCs w:val="24"/>
          <w:lang w:eastAsia="zh-CN" w:bidi="ta-IN"/>
        </w:rPr>
        <w:t xml:space="preserve">-supported Ni catalysts. </w:t>
      </w:r>
      <w:r w:rsidRPr="00524C57">
        <w:rPr>
          <w:rFonts w:ascii="Times New Roman" w:eastAsia="SimSun" w:hAnsi="Times New Roman" w:cs="Times New Roman"/>
          <w:i/>
          <w:kern w:val="0"/>
          <w:sz w:val="24"/>
          <w:szCs w:val="24"/>
          <w:lang w:eastAsia="zh-CN" w:bidi="ta-IN"/>
        </w:rPr>
        <w:t>Adv. Energy Mater.</w:t>
      </w:r>
      <w:r w:rsidRPr="00524C57">
        <w:rPr>
          <w:rFonts w:ascii="Times New Roman" w:eastAsia="SimSun" w:hAnsi="Times New Roman" w:cs="Times New Roman"/>
          <w:kern w:val="0"/>
          <w:sz w:val="24"/>
          <w:szCs w:val="24"/>
          <w:lang w:eastAsia="zh-CN" w:bidi="ta-IN"/>
        </w:rPr>
        <w:t xml:space="preserve"> </w:t>
      </w:r>
      <w:r w:rsidRPr="00524C57">
        <w:rPr>
          <w:rFonts w:ascii="Times New Roman" w:eastAsia="SimSun" w:hAnsi="Times New Roman" w:cs="Times New Roman"/>
          <w:b/>
          <w:kern w:val="0"/>
          <w:sz w:val="24"/>
          <w:szCs w:val="24"/>
          <w:lang w:eastAsia="zh-CN" w:bidi="ta-IN"/>
        </w:rPr>
        <w:t>13</w:t>
      </w:r>
      <w:r w:rsidRPr="00524C57">
        <w:rPr>
          <w:rFonts w:ascii="Times New Roman" w:eastAsia="SimSun" w:hAnsi="Times New Roman" w:cs="Times New Roman"/>
          <w:kern w:val="0"/>
          <w:sz w:val="24"/>
          <w:szCs w:val="24"/>
          <w:lang w:eastAsia="zh-CN" w:bidi="ta-IN"/>
        </w:rPr>
        <w:t xml:space="preserve"> (2023).</w:t>
      </w:r>
      <w:r w:rsidR="000E0857" w:rsidRPr="00E73CF5">
        <w:rPr>
          <w:rFonts w:ascii="Times New Roman" w:eastAsia="SimSun" w:hAnsi="Times New Roman" w:cs="Times New Roman"/>
          <w:kern w:val="0"/>
          <w:sz w:val="24"/>
          <w:szCs w:val="24"/>
          <w:lang w:eastAsia="zh-CN" w:bidi="ta-IN"/>
        </w:rPr>
        <w:t xml:space="preserve"> </w:t>
      </w:r>
      <w:hyperlink r:id="rId52" w:history="1">
        <w:r w:rsidR="00983F6F" w:rsidRPr="00E73CF5">
          <w:rPr>
            <w:rStyle w:val="a8"/>
            <w:rFonts w:ascii="Times New Roman" w:hAnsi="Times New Roman" w:cs="Times New Roman"/>
          </w:rPr>
          <w:t>https://doi.org/10.1002/aenm.202301286</w:t>
        </w:r>
      </w:hyperlink>
      <w:r w:rsidR="000E0857" w:rsidRPr="00E73CF5">
        <w:rPr>
          <w:rFonts w:ascii="Times New Roman" w:eastAsia="SimSun" w:hAnsi="Times New Roman" w:cs="Times New Roman"/>
          <w:kern w:val="0"/>
          <w:sz w:val="24"/>
          <w:szCs w:val="24"/>
          <w:lang w:eastAsia="zh-CN" w:bidi="ta-IN"/>
        </w:rPr>
        <w:t xml:space="preserve"> </w:t>
      </w:r>
    </w:p>
    <w:p w14:paraId="636D7F29" w14:textId="25FD4D33" w:rsidR="00620704" w:rsidRPr="00E73CF5" w:rsidRDefault="00620704" w:rsidP="00C33E8A">
      <w:pPr>
        <w:widowControl/>
        <w:numPr>
          <w:ilvl w:val="0"/>
          <w:numId w:val="35"/>
        </w:numPr>
        <w:ind w:left="284" w:hanging="298"/>
        <w:jc w:val="left"/>
        <w:rPr>
          <w:rFonts w:ascii="Times New Roman" w:eastAsia="游明朝" w:hAnsi="Times New Roman" w:cs="Times New Roman"/>
          <w:kern w:val="0"/>
          <w:sz w:val="24"/>
          <w:szCs w:val="24"/>
        </w:rPr>
      </w:pPr>
      <w:r w:rsidRPr="005400CE">
        <w:rPr>
          <w:rFonts w:ascii="Times New Roman" w:eastAsia="游明朝" w:hAnsi="Times New Roman" w:cs="Times New Roman"/>
          <w:kern w:val="0"/>
          <w:sz w:val="24"/>
          <w:szCs w:val="24"/>
        </w:rPr>
        <w:t>Using Ammonia as Fuel | Carbon Dioxide-free Power Generation Using Ammonia | Toward the commercialization of gas turbines using 100% ammonia, IHI, (202</w:t>
      </w:r>
      <w:r w:rsidRPr="005400CE">
        <w:rPr>
          <w:rFonts w:ascii="Times New Roman" w:eastAsia="游明朝" w:hAnsi="Times New Roman" w:cs="Times New Roman" w:hint="eastAsia"/>
          <w:kern w:val="0"/>
          <w:sz w:val="24"/>
          <w:szCs w:val="24"/>
        </w:rPr>
        <w:t>4</w:t>
      </w:r>
      <w:r w:rsidRPr="005400CE">
        <w:rPr>
          <w:rFonts w:ascii="Times New Roman" w:eastAsia="游明朝" w:hAnsi="Times New Roman" w:cs="Times New Roman"/>
          <w:kern w:val="0"/>
          <w:sz w:val="24"/>
          <w:szCs w:val="24"/>
        </w:rPr>
        <w:t>).</w:t>
      </w:r>
      <w:r w:rsidR="00A73FD8" w:rsidRPr="005400CE">
        <w:t xml:space="preserve"> </w:t>
      </w:r>
      <w:hyperlink r:id="rId53" w:history="1">
        <w:r w:rsidR="00A73FD8" w:rsidRPr="00E73CF5">
          <w:rPr>
            <w:rStyle w:val="a8"/>
            <w:rFonts w:ascii="Times New Roman" w:eastAsia="游明朝" w:hAnsi="Times New Roman" w:cs="Times New Roman"/>
            <w:kern w:val="0"/>
            <w:sz w:val="24"/>
            <w:szCs w:val="24"/>
          </w:rPr>
          <w:t>https://www.ihi.co.jp/en/sustainable/environmental/climatechange/ammonia_energy/</w:t>
        </w:r>
      </w:hyperlink>
    </w:p>
    <w:bookmarkEnd w:id="48"/>
    <w:p w14:paraId="71E0F0B0" w14:textId="77777777" w:rsidR="00983F6F" w:rsidRPr="00E73CF5" w:rsidRDefault="000E0857" w:rsidP="00C33E8A">
      <w:pPr>
        <w:pStyle w:val="a4"/>
        <w:numPr>
          <w:ilvl w:val="0"/>
          <w:numId w:val="35"/>
        </w:numPr>
        <w:spacing w:line="280" w:lineRule="exact"/>
        <w:ind w:left="284" w:hanging="298"/>
        <w:jc w:val="left"/>
        <w:rPr>
          <w:rFonts w:ascii="Times New Roman" w:eastAsia="SimSun" w:hAnsi="Times New Roman" w:cs="Times New Roman"/>
          <w:kern w:val="0"/>
          <w:sz w:val="24"/>
          <w:szCs w:val="24"/>
          <w:lang w:eastAsia="zh-CN" w:bidi="ta-IN"/>
        </w:rPr>
      </w:pPr>
      <w:r w:rsidRPr="00E73CF5">
        <w:rPr>
          <w:rFonts w:ascii="Times New Roman" w:eastAsia="SimSun" w:hAnsi="Times New Roman" w:cs="Times New Roman"/>
          <w:kern w:val="0"/>
          <w:sz w:val="24"/>
          <w:szCs w:val="24"/>
          <w:lang w:eastAsia="zh-CN" w:bidi="ta-IN"/>
        </w:rPr>
        <w:t xml:space="preserve">Mineral Commodity Summaries 2024, U.S. Geological Survey. </w:t>
      </w:r>
      <w:hyperlink r:id="rId54" w:history="1">
        <w:r w:rsidRPr="00E73CF5">
          <w:rPr>
            <w:rStyle w:val="a8"/>
            <w:rFonts w:ascii="Times New Roman" w:eastAsia="SimSun" w:hAnsi="Times New Roman" w:cs="Times New Roman"/>
            <w:kern w:val="0"/>
            <w:sz w:val="24"/>
            <w:szCs w:val="24"/>
            <w:lang w:eastAsia="zh-CN" w:bidi="ta-IN"/>
          </w:rPr>
          <w:t>https://doi.org/10.3133/mcs2024</w:t>
        </w:r>
      </w:hyperlink>
    </w:p>
    <w:bookmarkEnd w:id="33"/>
    <w:bookmarkEnd w:id="36"/>
    <w:p w14:paraId="4C496E24" w14:textId="759ABB75" w:rsidR="00EF7395" w:rsidRPr="00E73CF5" w:rsidRDefault="00EF7395" w:rsidP="00C33E8A">
      <w:pPr>
        <w:pStyle w:val="a4"/>
        <w:numPr>
          <w:ilvl w:val="0"/>
          <w:numId w:val="35"/>
        </w:numPr>
        <w:ind w:left="284" w:hanging="298"/>
        <w:jc w:val="left"/>
        <w:rPr>
          <w:rFonts w:ascii="Times New Roman" w:eastAsia="SimSun" w:hAnsi="Times New Roman" w:cs="Times New Roman"/>
          <w:kern w:val="0"/>
          <w:sz w:val="24"/>
          <w:szCs w:val="24"/>
          <w:lang w:eastAsia="zh-CN" w:bidi="ta-IN"/>
        </w:rPr>
      </w:pPr>
      <w:r w:rsidRPr="00E73CF5">
        <w:rPr>
          <w:rFonts w:ascii="Times New Roman" w:eastAsia="SimSun" w:hAnsi="Times New Roman" w:cs="Times New Roman"/>
          <w:color w:val="000000" w:themeColor="text1"/>
          <w:kern w:val="0"/>
          <w:sz w:val="24"/>
          <w:szCs w:val="24"/>
          <w:lang w:eastAsia="zh-CN" w:bidi="ta-IN"/>
        </w:rPr>
        <w:t>Crownhart, C. Pulling met</w:t>
      </w:r>
      <w:r w:rsidRPr="00E73CF5">
        <w:rPr>
          <w:rFonts w:ascii="Times New Roman" w:eastAsia="SimSun" w:hAnsi="Times New Roman" w:cs="Times New Roman"/>
          <w:kern w:val="0"/>
          <w:sz w:val="24"/>
          <w:szCs w:val="24"/>
          <w:lang w:eastAsia="zh-CN" w:bidi="ta-IN"/>
        </w:rPr>
        <w:t xml:space="preserve">hane out of the atmosphere could slow global warming—if we can figure out how to do it, MIT Technology Review (2021). </w:t>
      </w:r>
      <w:hyperlink r:id="rId55" w:history="1">
        <w:r w:rsidRPr="00E73CF5">
          <w:rPr>
            <w:rStyle w:val="a8"/>
            <w:rFonts w:ascii="Times New Roman" w:eastAsia="SimSun" w:hAnsi="Times New Roman" w:cs="Times New Roman"/>
            <w:kern w:val="0"/>
            <w:sz w:val="24"/>
            <w:szCs w:val="24"/>
            <w:lang w:eastAsia="zh-CN" w:bidi="ta-IN"/>
          </w:rPr>
          <w:t>https://www.technologyreview.com/2021/09/27/1036284/methane-removal-slow-global-warming/</w:t>
        </w:r>
      </w:hyperlink>
    </w:p>
    <w:p w14:paraId="66A7FBFA" w14:textId="16E9D29E" w:rsidR="00EF7395" w:rsidRPr="00E73CF5" w:rsidRDefault="00EF7395" w:rsidP="00C33E8A">
      <w:pPr>
        <w:pStyle w:val="a4"/>
        <w:numPr>
          <w:ilvl w:val="0"/>
          <w:numId w:val="35"/>
        </w:numPr>
        <w:ind w:left="284" w:hanging="298"/>
        <w:jc w:val="left"/>
        <w:rPr>
          <w:rFonts w:ascii="Times New Roman" w:eastAsia="SimSun" w:hAnsi="Times New Roman" w:cs="Times New Roman"/>
          <w:kern w:val="0"/>
          <w:sz w:val="24"/>
          <w:szCs w:val="24"/>
          <w:lang w:eastAsia="zh-CN" w:bidi="ta-IN"/>
        </w:rPr>
      </w:pPr>
      <w:r w:rsidRPr="00E73CF5">
        <w:rPr>
          <w:rFonts w:ascii="Times New Roman" w:eastAsia="SimSun" w:hAnsi="Times New Roman" w:cs="Times New Roman"/>
          <w:color w:val="000000" w:themeColor="text1"/>
          <w:kern w:val="0"/>
          <w:sz w:val="24"/>
          <w:szCs w:val="24"/>
          <w:lang w:eastAsia="zh-CN" w:bidi="ta-IN"/>
        </w:rPr>
        <w:t>Nitrous Oxide Emissions, EP</w:t>
      </w:r>
      <w:r w:rsidRPr="00E73CF5">
        <w:rPr>
          <w:rFonts w:ascii="Times New Roman" w:eastAsia="SimSun" w:hAnsi="Times New Roman" w:cs="Times New Roman"/>
          <w:kern w:val="0"/>
          <w:sz w:val="24"/>
          <w:szCs w:val="24"/>
          <w:lang w:eastAsia="zh-CN" w:bidi="ta-IN"/>
        </w:rPr>
        <w:t xml:space="preserve">A. (2025). </w:t>
      </w:r>
      <w:hyperlink r:id="rId56" w:anchor="nitrous" w:history="1">
        <w:r w:rsidRPr="00E73CF5">
          <w:rPr>
            <w:rStyle w:val="a8"/>
            <w:rFonts w:ascii="Times New Roman" w:eastAsia="SimSun" w:hAnsi="Times New Roman" w:cs="Times New Roman"/>
            <w:kern w:val="0"/>
            <w:sz w:val="24"/>
            <w:szCs w:val="24"/>
            <w:lang w:eastAsia="zh-CN" w:bidi="ta-IN"/>
          </w:rPr>
          <w:t>https://www.epa.gov/ghgemissions/nitrous-oxide-emissions#nitrous</w:t>
        </w:r>
      </w:hyperlink>
    </w:p>
    <w:p w14:paraId="19910404" w14:textId="6D685539" w:rsidR="00264B68" w:rsidRPr="00E73CF5" w:rsidRDefault="00264B68" w:rsidP="00C33E8A">
      <w:pPr>
        <w:pStyle w:val="a4"/>
        <w:numPr>
          <w:ilvl w:val="0"/>
          <w:numId w:val="35"/>
        </w:numPr>
        <w:ind w:left="284" w:hanging="298"/>
        <w:rPr>
          <w:rFonts w:ascii="Times New Roman" w:eastAsia="SimSun" w:hAnsi="Times New Roman" w:cs="Times New Roman"/>
          <w:kern w:val="0"/>
          <w:sz w:val="24"/>
          <w:szCs w:val="24"/>
          <w:lang w:eastAsia="zh-CN" w:bidi="ta-IN"/>
        </w:rPr>
      </w:pPr>
      <w:r w:rsidRPr="00E73CF5">
        <w:rPr>
          <w:rFonts w:ascii="Times New Roman" w:eastAsia="SimSun" w:hAnsi="Times New Roman" w:cs="Times New Roman"/>
          <w:kern w:val="0"/>
          <w:sz w:val="24"/>
          <w:szCs w:val="24"/>
          <w:lang w:eastAsia="zh-CN" w:bidi="ta-IN"/>
        </w:rPr>
        <w:t xml:space="preserve">Does ice change the Earth's climate? Hokkaido University, Institute of Low Temperature Science. </w:t>
      </w:r>
      <w:hyperlink r:id="rId57" w:history="1">
        <w:r w:rsidRPr="00E73CF5">
          <w:rPr>
            <w:rStyle w:val="a8"/>
            <w:rFonts w:ascii="Times New Roman" w:eastAsia="SimSun" w:hAnsi="Times New Roman" w:cs="Times New Roman"/>
            <w:kern w:val="0"/>
            <w:sz w:val="24"/>
            <w:szCs w:val="24"/>
            <w:lang w:eastAsia="zh-CN" w:bidi="ta-IN"/>
          </w:rPr>
          <w:t>https://www2.lowtem.hokudai.ac.jp/wwwod/kaihyo/kikou.htm</w:t>
        </w:r>
      </w:hyperlink>
    </w:p>
    <w:p w14:paraId="0727750F" w14:textId="49889373" w:rsidR="00264B68" w:rsidRPr="00E73CF5" w:rsidRDefault="00264B68" w:rsidP="00C33E8A">
      <w:pPr>
        <w:pStyle w:val="a4"/>
        <w:numPr>
          <w:ilvl w:val="0"/>
          <w:numId w:val="35"/>
        </w:numPr>
        <w:ind w:left="284" w:hanging="298"/>
        <w:rPr>
          <w:rFonts w:ascii="Times New Roman" w:eastAsia="SimSun" w:hAnsi="Times New Roman" w:cs="Times New Roman"/>
          <w:kern w:val="0"/>
          <w:sz w:val="24"/>
          <w:szCs w:val="24"/>
          <w:lang w:eastAsia="zh-CN" w:bidi="ta-IN"/>
        </w:rPr>
      </w:pPr>
      <w:bookmarkStart w:id="50" w:name="_Hlk202346317"/>
      <w:r w:rsidRPr="00E73CF5">
        <w:rPr>
          <w:rFonts w:ascii="Times New Roman" w:eastAsia="SimSun" w:hAnsi="Times New Roman" w:cs="Times New Roman"/>
          <w:kern w:val="0"/>
          <w:sz w:val="24"/>
          <w:szCs w:val="24"/>
          <w:lang w:eastAsia="zh-CN" w:bidi="ta-IN"/>
        </w:rPr>
        <w:t xml:space="preserve">Solar power generation system landscape survey, Ministry of the Environment, Japan (1989). </w:t>
      </w:r>
      <w:hyperlink r:id="rId58" w:history="1">
        <w:r w:rsidRPr="00E73CF5">
          <w:rPr>
            <w:rStyle w:val="a8"/>
            <w:rFonts w:ascii="Times New Roman" w:eastAsia="SimSun" w:hAnsi="Times New Roman" w:cs="Times New Roman"/>
            <w:kern w:val="0"/>
            <w:sz w:val="24"/>
            <w:szCs w:val="24"/>
            <w:lang w:eastAsia="zh-CN" w:bidi="ta-IN"/>
          </w:rPr>
          <w:t>https://www.env.go.jp/content/900492244.pdf</w:t>
        </w:r>
      </w:hyperlink>
      <w:bookmarkEnd w:id="50"/>
    </w:p>
    <w:p w14:paraId="221F5D07" w14:textId="3E580044" w:rsidR="00610728" w:rsidRPr="00E73CF5" w:rsidRDefault="00BF45A2" w:rsidP="00C33E8A">
      <w:pPr>
        <w:pStyle w:val="a4"/>
        <w:numPr>
          <w:ilvl w:val="0"/>
          <w:numId w:val="35"/>
        </w:numPr>
        <w:ind w:left="284" w:hanging="298"/>
        <w:rPr>
          <w:rFonts w:ascii="Times New Roman" w:eastAsia="SimSun" w:hAnsi="Times New Roman" w:cs="Times New Roman"/>
          <w:kern w:val="0"/>
          <w:sz w:val="24"/>
          <w:szCs w:val="24"/>
          <w:lang w:eastAsia="zh-CN" w:bidi="ta-IN"/>
        </w:rPr>
      </w:pPr>
      <w:r w:rsidRPr="00E73CF5">
        <w:rPr>
          <w:rFonts w:ascii="Times New Roman" w:eastAsia="SimSun" w:hAnsi="Times New Roman" w:cs="Times New Roman"/>
          <w:kern w:val="0"/>
          <w:sz w:val="24"/>
          <w:szCs w:val="24"/>
          <w:lang w:eastAsia="zh-CN" w:bidi="ta-IN"/>
        </w:rPr>
        <w:t>Earth's Energy Budget</w:t>
      </w:r>
      <w:r w:rsidRPr="00E73CF5">
        <w:rPr>
          <w:rFonts w:ascii="Times New Roman" w:hAnsi="Times New Roman" w:cs="Times New Roman" w:hint="eastAsia"/>
          <w:kern w:val="0"/>
          <w:sz w:val="24"/>
          <w:szCs w:val="24"/>
          <w:lang w:bidi="ta-IN"/>
        </w:rPr>
        <w:t xml:space="preserve">, </w:t>
      </w:r>
      <w:r w:rsidRPr="00E73CF5">
        <w:rPr>
          <w:rFonts w:ascii="Times New Roman" w:hAnsi="Times New Roman" w:cs="Times New Roman"/>
          <w:kern w:val="0"/>
          <w:sz w:val="24"/>
          <w:szCs w:val="24"/>
          <w:lang w:bidi="ta-IN"/>
        </w:rPr>
        <w:t>My NASA data</w:t>
      </w:r>
      <w:r w:rsidRPr="00E73CF5">
        <w:rPr>
          <w:rFonts w:ascii="Times New Roman" w:hAnsi="Times New Roman" w:cs="Times New Roman" w:hint="eastAsia"/>
          <w:kern w:val="0"/>
          <w:sz w:val="24"/>
          <w:szCs w:val="24"/>
          <w:lang w:bidi="ta-IN"/>
        </w:rPr>
        <w:t xml:space="preserve"> (2022). </w:t>
      </w:r>
      <w:hyperlink r:id="rId59" w:history="1">
        <w:r w:rsidRPr="00E73CF5">
          <w:rPr>
            <w:rStyle w:val="a8"/>
            <w:rFonts w:ascii="Times New Roman" w:hAnsi="Times New Roman" w:cs="Times New Roman"/>
            <w:kern w:val="0"/>
            <w:sz w:val="24"/>
            <w:szCs w:val="24"/>
            <w:lang w:bidi="ta-IN"/>
          </w:rPr>
          <w:t>https://mynasadata.larc.nasa.gov/basic-page/earths-energy-budget</w:t>
        </w:r>
      </w:hyperlink>
    </w:p>
    <w:p w14:paraId="01684059" w14:textId="77777777" w:rsidR="002E2413" w:rsidRPr="002E2413" w:rsidRDefault="0005055D" w:rsidP="00C33E8A">
      <w:pPr>
        <w:pStyle w:val="a4"/>
        <w:numPr>
          <w:ilvl w:val="0"/>
          <w:numId w:val="35"/>
        </w:numPr>
        <w:snapToGrid w:val="0"/>
        <w:ind w:left="284" w:hanging="298"/>
        <w:jc w:val="left"/>
        <w:rPr>
          <w:rFonts w:ascii="Times New Roman" w:eastAsia="SimSun" w:hAnsi="Times New Roman" w:cs="Times New Roman"/>
          <w:kern w:val="0"/>
          <w:sz w:val="24"/>
          <w:szCs w:val="24"/>
          <w:lang w:eastAsia="zh-CN" w:bidi="ta-IN"/>
        </w:rPr>
      </w:pPr>
      <w:r w:rsidRPr="0026003F">
        <w:rPr>
          <w:rFonts w:ascii="Times New Roman" w:hAnsi="Times New Roman" w:cs="Times New Roman"/>
        </w:rPr>
        <w:t>Gao, Z. et al., Thermod</w:t>
      </w:r>
      <w:r w:rsidRPr="0026003F">
        <w:rPr>
          <w:rFonts w:ascii="Times New Roman" w:hAnsi="Times New Roman" w:cs="Times New Roman"/>
          <w:sz w:val="24"/>
          <w:szCs w:val="28"/>
        </w:rPr>
        <w:t xml:space="preserve">ynamic analysis of isothermal compressed air energy storage system with </w:t>
      </w:r>
      <w:r w:rsidRPr="0026003F">
        <w:rPr>
          <w:rFonts w:ascii="Times New Roman" w:hAnsi="Times New Roman" w:cs="Times New Roman"/>
          <w:sz w:val="24"/>
          <w:szCs w:val="28"/>
        </w:rPr>
        <w:lastRenderedPageBreak/>
        <w:t>droplets injection, ScienceDirect, Energy,</w:t>
      </w:r>
      <w:r w:rsidR="007637DD" w:rsidRPr="0026003F">
        <w:rPr>
          <w:rFonts w:ascii="Times New Roman" w:hAnsi="Times New Roman" w:cs="Times New Roman"/>
          <w:sz w:val="24"/>
          <w:szCs w:val="28"/>
        </w:rPr>
        <w:t xml:space="preserve"> </w:t>
      </w:r>
      <w:r w:rsidRPr="0026003F">
        <w:rPr>
          <w:rFonts w:ascii="Times New Roman" w:hAnsi="Times New Roman" w:cs="Times New Roman"/>
          <w:sz w:val="24"/>
          <w:szCs w:val="28"/>
        </w:rPr>
        <w:t xml:space="preserve">(2023). </w:t>
      </w:r>
      <w:hyperlink r:id="rId60" w:history="1">
        <w:r w:rsidRPr="002E2413">
          <w:rPr>
            <w:rStyle w:val="a8"/>
            <w:sz w:val="24"/>
            <w:szCs w:val="28"/>
          </w:rPr>
          <w:t>https://doi.org/10.1016/j.energy.2023.129304</w:t>
        </w:r>
      </w:hyperlink>
    </w:p>
    <w:p w14:paraId="29ED71AA" w14:textId="190F7781" w:rsidR="0005055D" w:rsidRPr="002E2413" w:rsidRDefault="0005055D" w:rsidP="00C33E8A">
      <w:pPr>
        <w:pStyle w:val="a4"/>
        <w:numPr>
          <w:ilvl w:val="0"/>
          <w:numId w:val="35"/>
        </w:numPr>
        <w:snapToGrid w:val="0"/>
        <w:ind w:left="284" w:hanging="298"/>
        <w:jc w:val="left"/>
        <w:rPr>
          <w:rFonts w:ascii="Times New Roman" w:eastAsia="SimSun" w:hAnsi="Times New Roman" w:cs="Times New Roman"/>
          <w:kern w:val="0"/>
          <w:sz w:val="24"/>
          <w:szCs w:val="24"/>
          <w:lang w:eastAsia="zh-CN" w:bidi="ta-IN"/>
        </w:rPr>
      </w:pPr>
      <w:r w:rsidRPr="005400CE">
        <w:rPr>
          <w:rFonts w:ascii="Times New Roman" w:eastAsia="SimSun" w:hAnsi="Times New Roman" w:cs="Times New Roman"/>
          <w:kern w:val="0"/>
          <w:sz w:val="24"/>
          <w:szCs w:val="24"/>
          <w:lang w:eastAsia="zh-CN" w:bidi="ta-IN"/>
        </w:rPr>
        <w:t>Reed,</w:t>
      </w:r>
      <w:r w:rsidRPr="005400CE">
        <w:rPr>
          <w:rFonts w:ascii="Times New Roman" w:hAnsi="Times New Roman" w:cs="Times New Roman" w:hint="eastAsia"/>
          <w:kern w:val="0"/>
          <w:sz w:val="24"/>
          <w:szCs w:val="24"/>
          <w:lang w:bidi="ta-IN"/>
        </w:rPr>
        <w:t xml:space="preserve"> S. et al., </w:t>
      </w:r>
      <w:r w:rsidRPr="005400CE">
        <w:rPr>
          <w:rFonts w:ascii="Times New Roman" w:hAnsi="Times New Roman" w:cs="Times New Roman"/>
          <w:kern w:val="0"/>
          <w:sz w:val="24"/>
          <w:szCs w:val="24"/>
          <w:lang w:bidi="ta-IN"/>
        </w:rPr>
        <w:t>High temperature thermal storage materials with high energy density and conductivity</w:t>
      </w:r>
      <w:r w:rsidRPr="005400CE">
        <w:rPr>
          <w:rFonts w:ascii="Times New Roman" w:hAnsi="Times New Roman" w:cs="Times New Roman" w:hint="eastAsia"/>
          <w:kern w:val="0"/>
          <w:sz w:val="24"/>
          <w:szCs w:val="24"/>
          <w:lang w:bidi="ta-IN"/>
        </w:rPr>
        <w:t xml:space="preserve">, </w:t>
      </w:r>
      <w:r w:rsidRPr="005400CE">
        <w:rPr>
          <w:rFonts w:ascii="Times New Roman" w:hAnsi="Times New Roman" w:cs="Times New Roman"/>
          <w:kern w:val="0"/>
          <w:sz w:val="24"/>
          <w:szCs w:val="24"/>
          <w:lang w:bidi="ta-IN"/>
        </w:rPr>
        <w:t>Science Direct</w:t>
      </w:r>
      <w:r w:rsidRPr="005400CE">
        <w:rPr>
          <w:rFonts w:ascii="Times New Roman" w:hAnsi="Times New Roman" w:cs="Times New Roman" w:hint="eastAsia"/>
          <w:kern w:val="0"/>
          <w:sz w:val="24"/>
          <w:szCs w:val="24"/>
          <w:lang w:bidi="ta-IN"/>
        </w:rPr>
        <w:t xml:space="preserve">, </w:t>
      </w:r>
      <w:r w:rsidRPr="005400CE">
        <w:rPr>
          <w:rFonts w:ascii="Times New Roman" w:hAnsi="Times New Roman" w:cs="Times New Roman"/>
          <w:kern w:val="0"/>
          <w:sz w:val="24"/>
          <w:szCs w:val="24"/>
          <w:lang w:bidi="ta-IN"/>
        </w:rPr>
        <w:t>Solar Energy</w:t>
      </w:r>
      <w:r w:rsidRPr="005400CE">
        <w:rPr>
          <w:rFonts w:ascii="Times New Roman" w:hAnsi="Times New Roman" w:cs="Times New Roman" w:hint="eastAsia"/>
          <w:kern w:val="0"/>
          <w:sz w:val="24"/>
          <w:szCs w:val="24"/>
          <w:lang w:bidi="ta-IN"/>
        </w:rPr>
        <w:t>, (2018).</w:t>
      </w:r>
      <w:r w:rsidRPr="002E2413">
        <w:rPr>
          <w:rFonts w:ascii="Times New Roman" w:hAnsi="Times New Roman" w:cs="Times New Roman" w:hint="eastAsia"/>
          <w:kern w:val="0"/>
          <w:sz w:val="24"/>
          <w:szCs w:val="24"/>
          <w:lang w:bidi="ta-IN"/>
        </w:rPr>
        <w:t xml:space="preserve"> </w:t>
      </w:r>
      <w:hyperlink r:id="rId61" w:history="1">
        <w:r w:rsidR="007637DD" w:rsidRPr="002E2413">
          <w:rPr>
            <w:rStyle w:val="a8"/>
            <w:rFonts w:ascii="Times New Roman" w:hAnsi="Times New Roman" w:cs="Times New Roman"/>
            <w:kern w:val="0"/>
            <w:sz w:val="24"/>
            <w:szCs w:val="24"/>
            <w:lang w:bidi="ta-IN"/>
          </w:rPr>
          <w:t>https://doi.org/10.1016/j.solener.2018.02.005</w:t>
        </w:r>
      </w:hyperlink>
    </w:p>
    <w:bookmarkEnd w:id="43"/>
    <w:bookmarkEnd w:id="44"/>
    <w:p w14:paraId="617D9F0E" w14:textId="77777777" w:rsidR="007637DD" w:rsidRPr="00E73CF5" w:rsidRDefault="007637DD" w:rsidP="00C33E8A">
      <w:pPr>
        <w:pStyle w:val="a4"/>
        <w:ind w:left="284" w:hanging="298"/>
        <w:jc w:val="left"/>
        <w:rPr>
          <w:rFonts w:ascii="Times New Roman" w:eastAsia="SimSun" w:hAnsi="Times New Roman" w:cs="Times New Roman"/>
          <w:kern w:val="0"/>
          <w:sz w:val="24"/>
          <w:szCs w:val="24"/>
          <w:lang w:eastAsia="zh-CN" w:bidi="ta-IN"/>
        </w:rPr>
      </w:pPr>
    </w:p>
    <w:sectPr w:rsidR="007637DD" w:rsidRPr="00E73CF5" w:rsidSect="005B7AA2">
      <w:pgSz w:w="12240" w:h="15840" w:code="1"/>
      <w:pgMar w:top="1134" w:right="1134" w:bottom="1134" w:left="1134" w:header="720" w:footer="397" w:gutter="0"/>
      <w:cols w:space="720"/>
      <w:docGrid w:type="lines" w:linePitch="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4D018" w14:textId="77777777" w:rsidR="00FF1690" w:rsidRDefault="00FF1690">
      <w:r>
        <w:separator/>
      </w:r>
    </w:p>
  </w:endnote>
  <w:endnote w:type="continuationSeparator" w:id="0">
    <w:p w14:paraId="4C5038D8" w14:textId="77777777" w:rsidR="00FF1690" w:rsidRDefault="00FF1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Sitka Subheading Semibold">
    <w:panose1 w:val="00000000000000000000"/>
    <w:charset w:val="00"/>
    <w:family w:val="auto"/>
    <w:pitch w:val="variable"/>
    <w:sig w:usb0="A00002EF" w:usb1="4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2CC9C" w14:textId="77777777" w:rsidR="00AF457F" w:rsidRPr="00946545" w:rsidRDefault="000E0857">
    <w:pPr>
      <w:pStyle w:val="a6"/>
      <w:jc w:val="center"/>
      <w:rPr>
        <w:rFonts w:ascii="游明朝" w:eastAsia="游明朝" w:hAnsi="游明朝" w:cs="游明朝"/>
        <w:sz w:val="16"/>
      </w:rPr>
    </w:pPr>
    <w:r w:rsidRPr="00946545">
      <w:rPr>
        <w:rFonts w:ascii="游明朝" w:eastAsia="游明朝" w:hAnsi="游明朝" w:cs="游明朝"/>
      </w:rPr>
      <w:t xml:space="preserve"> </w:t>
    </w:r>
    <w:r w:rsidRPr="00946545">
      <w:rPr>
        <w:b/>
        <w:bCs/>
        <w:sz w:val="20"/>
        <w:szCs w:val="20"/>
      </w:rPr>
      <w:fldChar w:fldCharType="begin"/>
    </w:r>
    <w:r w:rsidRPr="00946545">
      <w:rPr>
        <w:b/>
        <w:bCs/>
        <w:sz w:val="16"/>
        <w:szCs w:val="18"/>
      </w:rPr>
      <w:instrText>PAGE</w:instrText>
    </w:r>
    <w:r w:rsidRPr="00946545">
      <w:rPr>
        <w:b/>
        <w:bCs/>
        <w:sz w:val="20"/>
        <w:szCs w:val="20"/>
      </w:rPr>
      <w:fldChar w:fldCharType="separate"/>
    </w:r>
    <w:r w:rsidR="00BC30C4">
      <w:rPr>
        <w:b/>
        <w:bCs/>
        <w:noProof/>
        <w:sz w:val="16"/>
        <w:szCs w:val="18"/>
      </w:rPr>
      <w:t>9</w:t>
    </w:r>
    <w:r w:rsidRPr="00946545">
      <w:rPr>
        <w:rFonts w:ascii="游明朝" w:eastAsia="游明朝" w:hAnsi="游明朝" w:cs="游明朝"/>
        <w:sz w:val="16"/>
      </w:rPr>
      <w:fldChar w:fldCharType="end"/>
    </w:r>
    <w:r w:rsidRPr="00946545">
      <w:rPr>
        <w:rFonts w:ascii="游明朝" w:eastAsia="游明朝" w:hAnsi="游明朝" w:cs="游明朝"/>
        <w:sz w:val="16"/>
      </w:rPr>
      <w:t xml:space="preserve"> / </w:t>
    </w:r>
    <w:r w:rsidRPr="00946545">
      <w:rPr>
        <w:b/>
        <w:bCs/>
        <w:sz w:val="20"/>
        <w:szCs w:val="20"/>
      </w:rPr>
      <w:fldChar w:fldCharType="begin"/>
    </w:r>
    <w:r w:rsidRPr="00946545">
      <w:rPr>
        <w:b/>
        <w:bCs/>
        <w:sz w:val="16"/>
        <w:szCs w:val="18"/>
      </w:rPr>
      <w:instrText>NUMPAGES</w:instrText>
    </w:r>
    <w:r w:rsidRPr="00946545">
      <w:rPr>
        <w:b/>
        <w:bCs/>
        <w:sz w:val="20"/>
        <w:szCs w:val="20"/>
      </w:rPr>
      <w:fldChar w:fldCharType="separate"/>
    </w:r>
    <w:r w:rsidR="00BC30C4">
      <w:rPr>
        <w:b/>
        <w:bCs/>
        <w:noProof/>
        <w:sz w:val="16"/>
        <w:szCs w:val="18"/>
      </w:rPr>
      <w:t>9</w:t>
    </w:r>
    <w:r w:rsidRPr="00946545">
      <w:rPr>
        <w:rFonts w:ascii="游明朝" w:eastAsia="游明朝" w:hAnsi="游明朝" w:cs="游明朝"/>
        <w:sz w:val="16"/>
      </w:rPr>
      <w:fldChar w:fldCharType="end"/>
    </w:r>
  </w:p>
  <w:p w14:paraId="53108078" w14:textId="77777777" w:rsidR="00AF457F" w:rsidRPr="00946545" w:rsidRDefault="00AF457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9761F" w14:textId="77777777" w:rsidR="00FF1690" w:rsidRDefault="00FF1690">
      <w:r>
        <w:separator/>
      </w:r>
    </w:p>
  </w:footnote>
  <w:footnote w:type="continuationSeparator" w:id="0">
    <w:p w14:paraId="04F35CD5" w14:textId="77777777" w:rsidR="00FF1690" w:rsidRDefault="00FF16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5BAC04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9F4A58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3806D4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BEC1F8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320A5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DFA0E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3AC388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57482B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88E8D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82CADE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3F5"/>
    <w:multiLevelType w:val="hybridMultilevel"/>
    <w:tmpl w:val="E60048FA"/>
    <w:lvl w:ilvl="0" w:tplc="11AAFB02">
      <w:start w:val="1"/>
      <w:numFmt w:val="lowerLetter"/>
      <w:lvlText w:val="(%1)"/>
      <w:lvlJc w:val="left"/>
      <w:pPr>
        <w:ind w:left="360" w:hanging="360"/>
      </w:pPr>
      <w:rPr>
        <w:rFonts w:hint="default"/>
        <w:b/>
        <w:bC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07A32F3D"/>
    <w:multiLevelType w:val="multilevel"/>
    <w:tmpl w:val="046A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1A36CB"/>
    <w:multiLevelType w:val="hybridMultilevel"/>
    <w:tmpl w:val="79786D64"/>
    <w:lvl w:ilvl="0" w:tplc="3814D7C4">
      <w:start w:val="1"/>
      <w:numFmt w:val="decimal"/>
      <w:lvlText w:val="%1."/>
      <w:lvlJc w:val="left"/>
      <w:pPr>
        <w:ind w:left="440" w:hanging="440"/>
      </w:pPr>
      <w:rPr>
        <w:rFonts w:eastAsia="ＭＳ 明朝" w:hint="default"/>
      </w:rPr>
    </w:lvl>
    <w:lvl w:ilvl="1" w:tplc="05F24D8A" w:tentative="1">
      <w:start w:val="1"/>
      <w:numFmt w:val="aiueoFullWidth"/>
      <w:lvlText w:val="(%2)"/>
      <w:lvlJc w:val="left"/>
      <w:pPr>
        <w:ind w:left="880" w:hanging="440"/>
      </w:pPr>
    </w:lvl>
    <w:lvl w:ilvl="2" w:tplc="1C38D5BE" w:tentative="1">
      <w:start w:val="1"/>
      <w:numFmt w:val="decimalEnclosedCircle"/>
      <w:lvlText w:val="%3"/>
      <w:lvlJc w:val="left"/>
      <w:pPr>
        <w:ind w:left="1320" w:hanging="440"/>
      </w:pPr>
    </w:lvl>
    <w:lvl w:ilvl="3" w:tplc="83E8FB94" w:tentative="1">
      <w:start w:val="1"/>
      <w:numFmt w:val="decimal"/>
      <w:lvlText w:val="%4."/>
      <w:lvlJc w:val="left"/>
      <w:pPr>
        <w:ind w:left="1760" w:hanging="440"/>
      </w:pPr>
    </w:lvl>
    <w:lvl w:ilvl="4" w:tplc="2A4608E8" w:tentative="1">
      <w:start w:val="1"/>
      <w:numFmt w:val="aiueoFullWidth"/>
      <w:lvlText w:val="(%5)"/>
      <w:lvlJc w:val="left"/>
      <w:pPr>
        <w:ind w:left="2200" w:hanging="440"/>
      </w:pPr>
    </w:lvl>
    <w:lvl w:ilvl="5" w:tplc="09C4EE22" w:tentative="1">
      <w:start w:val="1"/>
      <w:numFmt w:val="decimalEnclosedCircle"/>
      <w:lvlText w:val="%6"/>
      <w:lvlJc w:val="left"/>
      <w:pPr>
        <w:ind w:left="2640" w:hanging="440"/>
      </w:pPr>
    </w:lvl>
    <w:lvl w:ilvl="6" w:tplc="14F4559A" w:tentative="1">
      <w:start w:val="1"/>
      <w:numFmt w:val="decimal"/>
      <w:lvlText w:val="%7."/>
      <w:lvlJc w:val="left"/>
      <w:pPr>
        <w:ind w:left="3080" w:hanging="440"/>
      </w:pPr>
    </w:lvl>
    <w:lvl w:ilvl="7" w:tplc="5CC42838" w:tentative="1">
      <w:start w:val="1"/>
      <w:numFmt w:val="aiueoFullWidth"/>
      <w:lvlText w:val="(%8)"/>
      <w:lvlJc w:val="left"/>
      <w:pPr>
        <w:ind w:left="3520" w:hanging="440"/>
      </w:pPr>
    </w:lvl>
    <w:lvl w:ilvl="8" w:tplc="52A4C166" w:tentative="1">
      <w:start w:val="1"/>
      <w:numFmt w:val="decimalEnclosedCircle"/>
      <w:lvlText w:val="%9"/>
      <w:lvlJc w:val="left"/>
      <w:pPr>
        <w:ind w:left="3960" w:hanging="440"/>
      </w:pPr>
    </w:lvl>
  </w:abstractNum>
  <w:abstractNum w:abstractNumId="13" w15:restartNumberingAfterBreak="0">
    <w:nsid w:val="10607339"/>
    <w:multiLevelType w:val="hybridMultilevel"/>
    <w:tmpl w:val="5290E7C2"/>
    <w:lvl w:ilvl="0" w:tplc="B734EC40">
      <w:start w:val="1"/>
      <w:numFmt w:val="decimal"/>
      <w:lvlText w:val="%1."/>
      <w:lvlJc w:val="left"/>
      <w:pPr>
        <w:ind w:left="440" w:hanging="440"/>
      </w:pPr>
      <w:rPr>
        <w:rFonts w:eastAsia="ＭＳ 明朝" w:hint="default"/>
      </w:rPr>
    </w:lvl>
    <w:lvl w:ilvl="1" w:tplc="00E49852" w:tentative="1">
      <w:start w:val="1"/>
      <w:numFmt w:val="aiueoFullWidth"/>
      <w:lvlText w:val="(%2)"/>
      <w:lvlJc w:val="left"/>
      <w:pPr>
        <w:ind w:left="880" w:hanging="440"/>
      </w:pPr>
    </w:lvl>
    <w:lvl w:ilvl="2" w:tplc="EABA8406" w:tentative="1">
      <w:start w:val="1"/>
      <w:numFmt w:val="decimalEnclosedCircle"/>
      <w:lvlText w:val="%3"/>
      <w:lvlJc w:val="left"/>
      <w:pPr>
        <w:ind w:left="1320" w:hanging="440"/>
      </w:pPr>
    </w:lvl>
    <w:lvl w:ilvl="3" w:tplc="605887DE" w:tentative="1">
      <w:start w:val="1"/>
      <w:numFmt w:val="decimal"/>
      <w:lvlText w:val="%4."/>
      <w:lvlJc w:val="left"/>
      <w:pPr>
        <w:ind w:left="1760" w:hanging="440"/>
      </w:pPr>
    </w:lvl>
    <w:lvl w:ilvl="4" w:tplc="DCA4FE9A" w:tentative="1">
      <w:start w:val="1"/>
      <w:numFmt w:val="aiueoFullWidth"/>
      <w:lvlText w:val="(%5)"/>
      <w:lvlJc w:val="left"/>
      <w:pPr>
        <w:ind w:left="2200" w:hanging="440"/>
      </w:pPr>
    </w:lvl>
    <w:lvl w:ilvl="5" w:tplc="EC4A79F2" w:tentative="1">
      <w:start w:val="1"/>
      <w:numFmt w:val="decimalEnclosedCircle"/>
      <w:lvlText w:val="%6"/>
      <w:lvlJc w:val="left"/>
      <w:pPr>
        <w:ind w:left="2640" w:hanging="440"/>
      </w:pPr>
    </w:lvl>
    <w:lvl w:ilvl="6" w:tplc="A830C894" w:tentative="1">
      <w:start w:val="1"/>
      <w:numFmt w:val="decimal"/>
      <w:lvlText w:val="%7."/>
      <w:lvlJc w:val="left"/>
      <w:pPr>
        <w:ind w:left="3080" w:hanging="440"/>
      </w:pPr>
    </w:lvl>
    <w:lvl w:ilvl="7" w:tplc="6DC24A74" w:tentative="1">
      <w:start w:val="1"/>
      <w:numFmt w:val="aiueoFullWidth"/>
      <w:lvlText w:val="(%8)"/>
      <w:lvlJc w:val="left"/>
      <w:pPr>
        <w:ind w:left="3520" w:hanging="440"/>
      </w:pPr>
    </w:lvl>
    <w:lvl w:ilvl="8" w:tplc="B64054F8" w:tentative="1">
      <w:start w:val="1"/>
      <w:numFmt w:val="decimalEnclosedCircle"/>
      <w:lvlText w:val="%9"/>
      <w:lvlJc w:val="left"/>
      <w:pPr>
        <w:ind w:left="3960" w:hanging="440"/>
      </w:pPr>
    </w:lvl>
  </w:abstractNum>
  <w:abstractNum w:abstractNumId="14" w15:restartNumberingAfterBreak="0">
    <w:nsid w:val="12073FED"/>
    <w:multiLevelType w:val="hybridMultilevel"/>
    <w:tmpl w:val="B5EA65C4"/>
    <w:lvl w:ilvl="0" w:tplc="1122AAEC">
      <w:start w:val="1"/>
      <w:numFmt w:val="decimal"/>
      <w:lvlText w:val="%1."/>
      <w:lvlJc w:val="left"/>
      <w:pPr>
        <w:ind w:left="720" w:hanging="360"/>
      </w:pPr>
      <w:rPr>
        <w:rFonts w:eastAsia="Times New Roman" w:hint="default"/>
      </w:rPr>
    </w:lvl>
    <w:lvl w:ilvl="1" w:tplc="939070D6" w:tentative="1">
      <w:start w:val="1"/>
      <w:numFmt w:val="lowerLetter"/>
      <w:lvlText w:val="%2."/>
      <w:lvlJc w:val="left"/>
      <w:pPr>
        <w:ind w:left="1440" w:hanging="360"/>
      </w:pPr>
    </w:lvl>
    <w:lvl w:ilvl="2" w:tplc="1C10FB28" w:tentative="1">
      <w:start w:val="1"/>
      <w:numFmt w:val="lowerRoman"/>
      <w:lvlText w:val="%3."/>
      <w:lvlJc w:val="right"/>
      <w:pPr>
        <w:ind w:left="2160" w:hanging="180"/>
      </w:pPr>
    </w:lvl>
    <w:lvl w:ilvl="3" w:tplc="F3246EAA" w:tentative="1">
      <w:start w:val="1"/>
      <w:numFmt w:val="decimal"/>
      <w:lvlText w:val="%4."/>
      <w:lvlJc w:val="left"/>
      <w:pPr>
        <w:ind w:left="2880" w:hanging="360"/>
      </w:pPr>
    </w:lvl>
    <w:lvl w:ilvl="4" w:tplc="CDB88496" w:tentative="1">
      <w:start w:val="1"/>
      <w:numFmt w:val="lowerLetter"/>
      <w:lvlText w:val="%5."/>
      <w:lvlJc w:val="left"/>
      <w:pPr>
        <w:ind w:left="3600" w:hanging="360"/>
      </w:pPr>
    </w:lvl>
    <w:lvl w:ilvl="5" w:tplc="D18436CA" w:tentative="1">
      <w:start w:val="1"/>
      <w:numFmt w:val="lowerRoman"/>
      <w:lvlText w:val="%6."/>
      <w:lvlJc w:val="right"/>
      <w:pPr>
        <w:ind w:left="4320" w:hanging="180"/>
      </w:pPr>
    </w:lvl>
    <w:lvl w:ilvl="6" w:tplc="4E1E31C2" w:tentative="1">
      <w:start w:val="1"/>
      <w:numFmt w:val="decimal"/>
      <w:lvlText w:val="%7."/>
      <w:lvlJc w:val="left"/>
      <w:pPr>
        <w:ind w:left="5040" w:hanging="360"/>
      </w:pPr>
    </w:lvl>
    <w:lvl w:ilvl="7" w:tplc="4C1638DC" w:tentative="1">
      <w:start w:val="1"/>
      <w:numFmt w:val="lowerLetter"/>
      <w:lvlText w:val="%8."/>
      <w:lvlJc w:val="left"/>
      <w:pPr>
        <w:ind w:left="5760" w:hanging="360"/>
      </w:pPr>
    </w:lvl>
    <w:lvl w:ilvl="8" w:tplc="ABB82B72" w:tentative="1">
      <w:start w:val="1"/>
      <w:numFmt w:val="lowerRoman"/>
      <w:lvlText w:val="%9."/>
      <w:lvlJc w:val="right"/>
      <w:pPr>
        <w:ind w:left="6480" w:hanging="180"/>
      </w:pPr>
    </w:lvl>
  </w:abstractNum>
  <w:abstractNum w:abstractNumId="15" w15:restartNumberingAfterBreak="0">
    <w:nsid w:val="12BA23A7"/>
    <w:multiLevelType w:val="hybridMultilevel"/>
    <w:tmpl w:val="B2C83C4C"/>
    <w:lvl w:ilvl="0" w:tplc="35E60A9E">
      <w:start w:val="1"/>
      <w:numFmt w:val="decimal"/>
      <w:lvlText w:val="%1."/>
      <w:lvlJc w:val="left"/>
      <w:pPr>
        <w:ind w:left="720" w:hanging="360"/>
      </w:pPr>
      <w:rPr>
        <w:rFonts w:eastAsia="Times New Roman" w:hint="default"/>
      </w:rPr>
    </w:lvl>
    <w:lvl w:ilvl="1" w:tplc="A52E53C4" w:tentative="1">
      <w:start w:val="1"/>
      <w:numFmt w:val="lowerLetter"/>
      <w:lvlText w:val="%2."/>
      <w:lvlJc w:val="left"/>
      <w:pPr>
        <w:ind w:left="1440" w:hanging="360"/>
      </w:pPr>
    </w:lvl>
    <w:lvl w:ilvl="2" w:tplc="E90ABF94" w:tentative="1">
      <w:start w:val="1"/>
      <w:numFmt w:val="lowerRoman"/>
      <w:lvlText w:val="%3."/>
      <w:lvlJc w:val="right"/>
      <w:pPr>
        <w:ind w:left="2160" w:hanging="180"/>
      </w:pPr>
    </w:lvl>
    <w:lvl w:ilvl="3" w:tplc="3D66DBD8" w:tentative="1">
      <w:start w:val="1"/>
      <w:numFmt w:val="decimal"/>
      <w:lvlText w:val="%4."/>
      <w:lvlJc w:val="left"/>
      <w:pPr>
        <w:ind w:left="2880" w:hanging="360"/>
      </w:pPr>
    </w:lvl>
    <w:lvl w:ilvl="4" w:tplc="A2146BF4" w:tentative="1">
      <w:start w:val="1"/>
      <w:numFmt w:val="lowerLetter"/>
      <w:lvlText w:val="%5."/>
      <w:lvlJc w:val="left"/>
      <w:pPr>
        <w:ind w:left="3600" w:hanging="360"/>
      </w:pPr>
    </w:lvl>
    <w:lvl w:ilvl="5" w:tplc="04BAD2FA" w:tentative="1">
      <w:start w:val="1"/>
      <w:numFmt w:val="lowerRoman"/>
      <w:lvlText w:val="%6."/>
      <w:lvlJc w:val="right"/>
      <w:pPr>
        <w:ind w:left="4320" w:hanging="180"/>
      </w:pPr>
    </w:lvl>
    <w:lvl w:ilvl="6" w:tplc="520AA9DA" w:tentative="1">
      <w:start w:val="1"/>
      <w:numFmt w:val="decimal"/>
      <w:lvlText w:val="%7."/>
      <w:lvlJc w:val="left"/>
      <w:pPr>
        <w:ind w:left="5040" w:hanging="360"/>
      </w:pPr>
    </w:lvl>
    <w:lvl w:ilvl="7" w:tplc="9A705102" w:tentative="1">
      <w:start w:val="1"/>
      <w:numFmt w:val="lowerLetter"/>
      <w:lvlText w:val="%8."/>
      <w:lvlJc w:val="left"/>
      <w:pPr>
        <w:ind w:left="5760" w:hanging="360"/>
      </w:pPr>
    </w:lvl>
    <w:lvl w:ilvl="8" w:tplc="3AEA8E12" w:tentative="1">
      <w:start w:val="1"/>
      <w:numFmt w:val="lowerRoman"/>
      <w:lvlText w:val="%9."/>
      <w:lvlJc w:val="right"/>
      <w:pPr>
        <w:ind w:left="6480" w:hanging="180"/>
      </w:pPr>
    </w:lvl>
  </w:abstractNum>
  <w:abstractNum w:abstractNumId="16" w15:restartNumberingAfterBreak="0">
    <w:nsid w:val="220A1FE8"/>
    <w:multiLevelType w:val="hybridMultilevel"/>
    <w:tmpl w:val="9CBA2114"/>
    <w:lvl w:ilvl="0" w:tplc="9F38C376">
      <w:start w:val="1"/>
      <w:numFmt w:val="decimal"/>
      <w:lvlText w:val="%1."/>
      <w:lvlJc w:val="left"/>
      <w:pPr>
        <w:ind w:left="440" w:hanging="440"/>
      </w:pPr>
      <w:rPr>
        <w:rFonts w:eastAsia="ＭＳ 明朝" w:hint="default"/>
      </w:rPr>
    </w:lvl>
    <w:lvl w:ilvl="1" w:tplc="37147710" w:tentative="1">
      <w:start w:val="1"/>
      <w:numFmt w:val="aiueoFullWidth"/>
      <w:lvlText w:val="(%2)"/>
      <w:lvlJc w:val="left"/>
      <w:pPr>
        <w:ind w:left="880" w:hanging="440"/>
      </w:pPr>
    </w:lvl>
    <w:lvl w:ilvl="2" w:tplc="2692F1BE" w:tentative="1">
      <w:start w:val="1"/>
      <w:numFmt w:val="decimalEnclosedCircle"/>
      <w:lvlText w:val="%3"/>
      <w:lvlJc w:val="left"/>
      <w:pPr>
        <w:ind w:left="1320" w:hanging="440"/>
      </w:pPr>
    </w:lvl>
    <w:lvl w:ilvl="3" w:tplc="8F0EA91E" w:tentative="1">
      <w:start w:val="1"/>
      <w:numFmt w:val="decimal"/>
      <w:lvlText w:val="%4."/>
      <w:lvlJc w:val="left"/>
      <w:pPr>
        <w:ind w:left="1760" w:hanging="440"/>
      </w:pPr>
    </w:lvl>
    <w:lvl w:ilvl="4" w:tplc="954E5BE0" w:tentative="1">
      <w:start w:val="1"/>
      <w:numFmt w:val="aiueoFullWidth"/>
      <w:lvlText w:val="(%5)"/>
      <w:lvlJc w:val="left"/>
      <w:pPr>
        <w:ind w:left="2200" w:hanging="440"/>
      </w:pPr>
    </w:lvl>
    <w:lvl w:ilvl="5" w:tplc="32DCA2FE" w:tentative="1">
      <w:start w:val="1"/>
      <w:numFmt w:val="decimalEnclosedCircle"/>
      <w:lvlText w:val="%6"/>
      <w:lvlJc w:val="left"/>
      <w:pPr>
        <w:ind w:left="2640" w:hanging="440"/>
      </w:pPr>
    </w:lvl>
    <w:lvl w:ilvl="6" w:tplc="52C23EF2" w:tentative="1">
      <w:start w:val="1"/>
      <w:numFmt w:val="decimal"/>
      <w:lvlText w:val="%7."/>
      <w:lvlJc w:val="left"/>
      <w:pPr>
        <w:ind w:left="3080" w:hanging="440"/>
      </w:pPr>
    </w:lvl>
    <w:lvl w:ilvl="7" w:tplc="50424742" w:tentative="1">
      <w:start w:val="1"/>
      <w:numFmt w:val="aiueoFullWidth"/>
      <w:lvlText w:val="(%8)"/>
      <w:lvlJc w:val="left"/>
      <w:pPr>
        <w:ind w:left="3520" w:hanging="440"/>
      </w:pPr>
    </w:lvl>
    <w:lvl w:ilvl="8" w:tplc="02804D48" w:tentative="1">
      <w:start w:val="1"/>
      <w:numFmt w:val="decimalEnclosedCircle"/>
      <w:lvlText w:val="%9"/>
      <w:lvlJc w:val="left"/>
      <w:pPr>
        <w:ind w:left="3960" w:hanging="440"/>
      </w:pPr>
    </w:lvl>
  </w:abstractNum>
  <w:abstractNum w:abstractNumId="17" w15:restartNumberingAfterBreak="0">
    <w:nsid w:val="28EE690D"/>
    <w:multiLevelType w:val="hybridMultilevel"/>
    <w:tmpl w:val="D9262F9E"/>
    <w:lvl w:ilvl="0" w:tplc="DC88DE88">
      <w:start w:val="1"/>
      <w:numFmt w:val="decimal"/>
      <w:lvlText w:val="%1."/>
      <w:lvlJc w:val="left"/>
      <w:pPr>
        <w:ind w:left="440" w:hanging="440"/>
      </w:pPr>
      <w:rPr>
        <w:rFonts w:eastAsia="ＭＳ 明朝" w:hint="default"/>
      </w:rPr>
    </w:lvl>
    <w:lvl w:ilvl="1" w:tplc="C6D21574" w:tentative="1">
      <w:start w:val="1"/>
      <w:numFmt w:val="aiueoFullWidth"/>
      <w:lvlText w:val="(%2)"/>
      <w:lvlJc w:val="left"/>
      <w:pPr>
        <w:ind w:left="880" w:hanging="440"/>
      </w:pPr>
    </w:lvl>
    <w:lvl w:ilvl="2" w:tplc="4FF4CC7A" w:tentative="1">
      <w:start w:val="1"/>
      <w:numFmt w:val="decimalEnclosedCircle"/>
      <w:lvlText w:val="%3"/>
      <w:lvlJc w:val="left"/>
      <w:pPr>
        <w:ind w:left="1320" w:hanging="440"/>
      </w:pPr>
    </w:lvl>
    <w:lvl w:ilvl="3" w:tplc="E018A248" w:tentative="1">
      <w:start w:val="1"/>
      <w:numFmt w:val="decimal"/>
      <w:lvlText w:val="%4."/>
      <w:lvlJc w:val="left"/>
      <w:pPr>
        <w:ind w:left="1760" w:hanging="440"/>
      </w:pPr>
    </w:lvl>
    <w:lvl w:ilvl="4" w:tplc="243A4526" w:tentative="1">
      <w:start w:val="1"/>
      <w:numFmt w:val="aiueoFullWidth"/>
      <w:lvlText w:val="(%5)"/>
      <w:lvlJc w:val="left"/>
      <w:pPr>
        <w:ind w:left="2200" w:hanging="440"/>
      </w:pPr>
    </w:lvl>
    <w:lvl w:ilvl="5" w:tplc="56E285EA" w:tentative="1">
      <w:start w:val="1"/>
      <w:numFmt w:val="decimalEnclosedCircle"/>
      <w:lvlText w:val="%6"/>
      <w:lvlJc w:val="left"/>
      <w:pPr>
        <w:ind w:left="2640" w:hanging="440"/>
      </w:pPr>
    </w:lvl>
    <w:lvl w:ilvl="6" w:tplc="F44E0168" w:tentative="1">
      <w:start w:val="1"/>
      <w:numFmt w:val="decimal"/>
      <w:lvlText w:val="%7."/>
      <w:lvlJc w:val="left"/>
      <w:pPr>
        <w:ind w:left="3080" w:hanging="440"/>
      </w:pPr>
    </w:lvl>
    <w:lvl w:ilvl="7" w:tplc="72FA4618" w:tentative="1">
      <w:start w:val="1"/>
      <w:numFmt w:val="aiueoFullWidth"/>
      <w:lvlText w:val="(%8)"/>
      <w:lvlJc w:val="left"/>
      <w:pPr>
        <w:ind w:left="3520" w:hanging="440"/>
      </w:pPr>
    </w:lvl>
    <w:lvl w:ilvl="8" w:tplc="99CEDA5A" w:tentative="1">
      <w:start w:val="1"/>
      <w:numFmt w:val="decimalEnclosedCircle"/>
      <w:lvlText w:val="%9"/>
      <w:lvlJc w:val="left"/>
      <w:pPr>
        <w:ind w:left="3960" w:hanging="440"/>
      </w:pPr>
    </w:lvl>
  </w:abstractNum>
  <w:abstractNum w:abstractNumId="18" w15:restartNumberingAfterBreak="0">
    <w:nsid w:val="344C140B"/>
    <w:multiLevelType w:val="multilevel"/>
    <w:tmpl w:val="367CBC1C"/>
    <w:lvl w:ilvl="0">
      <w:start w:val="1"/>
      <w:numFmt w:val="decimal"/>
      <w:lvlText w:val="%1."/>
      <w:lvlJc w:val="left"/>
      <w:pPr>
        <w:tabs>
          <w:tab w:val="left"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E344B4"/>
    <w:multiLevelType w:val="hybridMultilevel"/>
    <w:tmpl w:val="EB1AEA76"/>
    <w:lvl w:ilvl="0" w:tplc="0A20D382">
      <w:start w:val="1"/>
      <w:numFmt w:val="decimal"/>
      <w:lvlText w:val="%1."/>
      <w:lvlJc w:val="left"/>
      <w:pPr>
        <w:ind w:left="720" w:hanging="360"/>
      </w:pPr>
      <w:rPr>
        <w:rFonts w:eastAsia="ＭＳ 明朝" w:hint="default"/>
      </w:rPr>
    </w:lvl>
    <w:lvl w:ilvl="1" w:tplc="AB06B35A" w:tentative="1">
      <w:start w:val="1"/>
      <w:numFmt w:val="aiueoFullWidth"/>
      <w:lvlText w:val="(%2)"/>
      <w:lvlJc w:val="left"/>
      <w:pPr>
        <w:ind w:left="880" w:hanging="440"/>
      </w:pPr>
    </w:lvl>
    <w:lvl w:ilvl="2" w:tplc="FD06542E" w:tentative="1">
      <w:start w:val="1"/>
      <w:numFmt w:val="decimalEnclosedCircle"/>
      <w:lvlText w:val="%3"/>
      <w:lvlJc w:val="left"/>
      <w:pPr>
        <w:ind w:left="1320" w:hanging="440"/>
      </w:pPr>
    </w:lvl>
    <w:lvl w:ilvl="3" w:tplc="ED4E7418" w:tentative="1">
      <w:start w:val="1"/>
      <w:numFmt w:val="decimal"/>
      <w:lvlText w:val="%4."/>
      <w:lvlJc w:val="left"/>
      <w:pPr>
        <w:ind w:left="1760" w:hanging="440"/>
      </w:pPr>
    </w:lvl>
    <w:lvl w:ilvl="4" w:tplc="38E8A6BE" w:tentative="1">
      <w:start w:val="1"/>
      <w:numFmt w:val="aiueoFullWidth"/>
      <w:lvlText w:val="(%5)"/>
      <w:lvlJc w:val="left"/>
      <w:pPr>
        <w:ind w:left="2200" w:hanging="440"/>
      </w:pPr>
    </w:lvl>
    <w:lvl w:ilvl="5" w:tplc="61B4C6D8" w:tentative="1">
      <w:start w:val="1"/>
      <w:numFmt w:val="decimalEnclosedCircle"/>
      <w:lvlText w:val="%6"/>
      <w:lvlJc w:val="left"/>
      <w:pPr>
        <w:ind w:left="2640" w:hanging="440"/>
      </w:pPr>
    </w:lvl>
    <w:lvl w:ilvl="6" w:tplc="EB68771C" w:tentative="1">
      <w:start w:val="1"/>
      <w:numFmt w:val="decimal"/>
      <w:lvlText w:val="%7."/>
      <w:lvlJc w:val="left"/>
      <w:pPr>
        <w:ind w:left="3080" w:hanging="440"/>
      </w:pPr>
    </w:lvl>
    <w:lvl w:ilvl="7" w:tplc="DE1A2B50" w:tentative="1">
      <w:start w:val="1"/>
      <w:numFmt w:val="aiueoFullWidth"/>
      <w:lvlText w:val="(%8)"/>
      <w:lvlJc w:val="left"/>
      <w:pPr>
        <w:ind w:left="3520" w:hanging="440"/>
      </w:pPr>
    </w:lvl>
    <w:lvl w:ilvl="8" w:tplc="1E062934" w:tentative="1">
      <w:start w:val="1"/>
      <w:numFmt w:val="decimalEnclosedCircle"/>
      <w:lvlText w:val="%9"/>
      <w:lvlJc w:val="left"/>
      <w:pPr>
        <w:ind w:left="3960" w:hanging="440"/>
      </w:pPr>
    </w:lvl>
  </w:abstractNum>
  <w:abstractNum w:abstractNumId="20" w15:restartNumberingAfterBreak="0">
    <w:nsid w:val="392B5B4B"/>
    <w:multiLevelType w:val="hybridMultilevel"/>
    <w:tmpl w:val="58BA657A"/>
    <w:lvl w:ilvl="0" w:tplc="32426CCE">
      <w:start w:val="1"/>
      <w:numFmt w:val="decimal"/>
      <w:lvlText w:val="%1."/>
      <w:lvlJc w:val="left"/>
      <w:pPr>
        <w:ind w:left="360" w:hanging="360"/>
      </w:pPr>
      <w:rPr>
        <w:rFonts w:hint="default"/>
        <w:b/>
      </w:rPr>
    </w:lvl>
    <w:lvl w:ilvl="1" w:tplc="A5C61D20" w:tentative="1">
      <w:start w:val="1"/>
      <w:numFmt w:val="aiueoFullWidth"/>
      <w:lvlText w:val="(%2)"/>
      <w:lvlJc w:val="left"/>
      <w:pPr>
        <w:ind w:left="880" w:hanging="440"/>
      </w:pPr>
    </w:lvl>
    <w:lvl w:ilvl="2" w:tplc="A69079FE" w:tentative="1">
      <w:start w:val="1"/>
      <w:numFmt w:val="decimalEnclosedCircle"/>
      <w:lvlText w:val="%3"/>
      <w:lvlJc w:val="left"/>
      <w:pPr>
        <w:ind w:left="1320" w:hanging="440"/>
      </w:pPr>
    </w:lvl>
    <w:lvl w:ilvl="3" w:tplc="AA561980" w:tentative="1">
      <w:start w:val="1"/>
      <w:numFmt w:val="decimal"/>
      <w:lvlText w:val="%4."/>
      <w:lvlJc w:val="left"/>
      <w:pPr>
        <w:ind w:left="1760" w:hanging="440"/>
      </w:pPr>
    </w:lvl>
    <w:lvl w:ilvl="4" w:tplc="9886D14A" w:tentative="1">
      <w:start w:val="1"/>
      <w:numFmt w:val="aiueoFullWidth"/>
      <w:lvlText w:val="(%5)"/>
      <w:lvlJc w:val="left"/>
      <w:pPr>
        <w:ind w:left="2200" w:hanging="440"/>
      </w:pPr>
    </w:lvl>
    <w:lvl w:ilvl="5" w:tplc="B5481C56" w:tentative="1">
      <w:start w:val="1"/>
      <w:numFmt w:val="decimalEnclosedCircle"/>
      <w:lvlText w:val="%6"/>
      <w:lvlJc w:val="left"/>
      <w:pPr>
        <w:ind w:left="2640" w:hanging="440"/>
      </w:pPr>
    </w:lvl>
    <w:lvl w:ilvl="6" w:tplc="8AD6B82E" w:tentative="1">
      <w:start w:val="1"/>
      <w:numFmt w:val="decimal"/>
      <w:lvlText w:val="%7."/>
      <w:lvlJc w:val="left"/>
      <w:pPr>
        <w:ind w:left="3080" w:hanging="440"/>
      </w:pPr>
    </w:lvl>
    <w:lvl w:ilvl="7" w:tplc="35BA9DD2" w:tentative="1">
      <w:start w:val="1"/>
      <w:numFmt w:val="aiueoFullWidth"/>
      <w:lvlText w:val="(%8)"/>
      <w:lvlJc w:val="left"/>
      <w:pPr>
        <w:ind w:left="3520" w:hanging="440"/>
      </w:pPr>
    </w:lvl>
    <w:lvl w:ilvl="8" w:tplc="1FE876B6" w:tentative="1">
      <w:start w:val="1"/>
      <w:numFmt w:val="decimalEnclosedCircle"/>
      <w:lvlText w:val="%9"/>
      <w:lvlJc w:val="left"/>
      <w:pPr>
        <w:ind w:left="3960" w:hanging="440"/>
      </w:pPr>
    </w:lvl>
  </w:abstractNum>
  <w:abstractNum w:abstractNumId="21" w15:restartNumberingAfterBreak="0">
    <w:nsid w:val="3930310C"/>
    <w:multiLevelType w:val="hybridMultilevel"/>
    <w:tmpl w:val="C10EC340"/>
    <w:lvl w:ilvl="0" w:tplc="7A348B8E">
      <w:start w:val="18"/>
      <w:numFmt w:val="decimal"/>
      <w:lvlText w:val="%1."/>
      <w:lvlJc w:val="left"/>
      <w:pPr>
        <w:ind w:left="440" w:hanging="440"/>
      </w:pPr>
      <w:rPr>
        <w:rFonts w:eastAsia="ＭＳ 明朝" w:hint="default"/>
      </w:rPr>
    </w:lvl>
    <w:lvl w:ilvl="1" w:tplc="50065EB0" w:tentative="1">
      <w:start w:val="1"/>
      <w:numFmt w:val="aiueoFullWidth"/>
      <w:lvlText w:val="(%2)"/>
      <w:lvlJc w:val="left"/>
      <w:pPr>
        <w:ind w:left="880" w:hanging="440"/>
      </w:pPr>
    </w:lvl>
    <w:lvl w:ilvl="2" w:tplc="E53839E4" w:tentative="1">
      <w:start w:val="1"/>
      <w:numFmt w:val="decimalEnclosedCircle"/>
      <w:lvlText w:val="%3"/>
      <w:lvlJc w:val="left"/>
      <w:pPr>
        <w:ind w:left="1320" w:hanging="440"/>
      </w:pPr>
    </w:lvl>
    <w:lvl w:ilvl="3" w:tplc="35268062" w:tentative="1">
      <w:start w:val="1"/>
      <w:numFmt w:val="decimal"/>
      <w:lvlText w:val="%4."/>
      <w:lvlJc w:val="left"/>
      <w:pPr>
        <w:ind w:left="1760" w:hanging="440"/>
      </w:pPr>
    </w:lvl>
    <w:lvl w:ilvl="4" w:tplc="B79C58CA" w:tentative="1">
      <w:start w:val="1"/>
      <w:numFmt w:val="aiueoFullWidth"/>
      <w:lvlText w:val="(%5)"/>
      <w:lvlJc w:val="left"/>
      <w:pPr>
        <w:ind w:left="2200" w:hanging="440"/>
      </w:pPr>
    </w:lvl>
    <w:lvl w:ilvl="5" w:tplc="BADAECE0" w:tentative="1">
      <w:start w:val="1"/>
      <w:numFmt w:val="decimalEnclosedCircle"/>
      <w:lvlText w:val="%6"/>
      <w:lvlJc w:val="left"/>
      <w:pPr>
        <w:ind w:left="2640" w:hanging="440"/>
      </w:pPr>
    </w:lvl>
    <w:lvl w:ilvl="6" w:tplc="160C4D4A" w:tentative="1">
      <w:start w:val="1"/>
      <w:numFmt w:val="decimal"/>
      <w:lvlText w:val="%7."/>
      <w:lvlJc w:val="left"/>
      <w:pPr>
        <w:ind w:left="3080" w:hanging="440"/>
      </w:pPr>
    </w:lvl>
    <w:lvl w:ilvl="7" w:tplc="A4DAD850" w:tentative="1">
      <w:start w:val="1"/>
      <w:numFmt w:val="aiueoFullWidth"/>
      <w:lvlText w:val="(%8)"/>
      <w:lvlJc w:val="left"/>
      <w:pPr>
        <w:ind w:left="3520" w:hanging="440"/>
      </w:pPr>
    </w:lvl>
    <w:lvl w:ilvl="8" w:tplc="1E2E3B2E" w:tentative="1">
      <w:start w:val="1"/>
      <w:numFmt w:val="decimalEnclosedCircle"/>
      <w:lvlText w:val="%9"/>
      <w:lvlJc w:val="left"/>
      <w:pPr>
        <w:ind w:left="3960" w:hanging="440"/>
      </w:pPr>
    </w:lvl>
  </w:abstractNum>
  <w:abstractNum w:abstractNumId="22" w15:restartNumberingAfterBreak="0">
    <w:nsid w:val="3E6D13EE"/>
    <w:multiLevelType w:val="hybridMultilevel"/>
    <w:tmpl w:val="79786D64"/>
    <w:lvl w:ilvl="0" w:tplc="DD0E0FC2">
      <w:start w:val="1"/>
      <w:numFmt w:val="decimal"/>
      <w:lvlText w:val="%1."/>
      <w:lvlJc w:val="left"/>
      <w:pPr>
        <w:ind w:left="440" w:hanging="440"/>
      </w:pPr>
      <w:rPr>
        <w:rFonts w:eastAsia="ＭＳ 明朝" w:hint="default"/>
      </w:rPr>
    </w:lvl>
    <w:lvl w:ilvl="1" w:tplc="E83E3222" w:tentative="1">
      <w:start w:val="1"/>
      <w:numFmt w:val="aiueoFullWidth"/>
      <w:lvlText w:val="(%2)"/>
      <w:lvlJc w:val="left"/>
      <w:pPr>
        <w:ind w:left="880" w:hanging="440"/>
      </w:pPr>
    </w:lvl>
    <w:lvl w:ilvl="2" w:tplc="B0009332" w:tentative="1">
      <w:start w:val="1"/>
      <w:numFmt w:val="decimalEnclosedCircle"/>
      <w:lvlText w:val="%3"/>
      <w:lvlJc w:val="left"/>
      <w:pPr>
        <w:ind w:left="1320" w:hanging="440"/>
      </w:pPr>
    </w:lvl>
    <w:lvl w:ilvl="3" w:tplc="5B180470" w:tentative="1">
      <w:start w:val="1"/>
      <w:numFmt w:val="decimal"/>
      <w:lvlText w:val="%4."/>
      <w:lvlJc w:val="left"/>
      <w:pPr>
        <w:ind w:left="1760" w:hanging="440"/>
      </w:pPr>
    </w:lvl>
    <w:lvl w:ilvl="4" w:tplc="A1C45274" w:tentative="1">
      <w:start w:val="1"/>
      <w:numFmt w:val="aiueoFullWidth"/>
      <w:lvlText w:val="(%5)"/>
      <w:lvlJc w:val="left"/>
      <w:pPr>
        <w:ind w:left="2200" w:hanging="440"/>
      </w:pPr>
    </w:lvl>
    <w:lvl w:ilvl="5" w:tplc="9C8AD2E0" w:tentative="1">
      <w:start w:val="1"/>
      <w:numFmt w:val="decimalEnclosedCircle"/>
      <w:lvlText w:val="%6"/>
      <w:lvlJc w:val="left"/>
      <w:pPr>
        <w:ind w:left="2640" w:hanging="440"/>
      </w:pPr>
    </w:lvl>
    <w:lvl w:ilvl="6" w:tplc="66C2796E" w:tentative="1">
      <w:start w:val="1"/>
      <w:numFmt w:val="decimal"/>
      <w:lvlText w:val="%7."/>
      <w:lvlJc w:val="left"/>
      <w:pPr>
        <w:ind w:left="3080" w:hanging="440"/>
      </w:pPr>
    </w:lvl>
    <w:lvl w:ilvl="7" w:tplc="F2ECF03A" w:tentative="1">
      <w:start w:val="1"/>
      <w:numFmt w:val="aiueoFullWidth"/>
      <w:lvlText w:val="(%8)"/>
      <w:lvlJc w:val="left"/>
      <w:pPr>
        <w:ind w:left="3520" w:hanging="440"/>
      </w:pPr>
    </w:lvl>
    <w:lvl w:ilvl="8" w:tplc="8A3EEF6C" w:tentative="1">
      <w:start w:val="1"/>
      <w:numFmt w:val="decimalEnclosedCircle"/>
      <w:lvlText w:val="%9"/>
      <w:lvlJc w:val="left"/>
      <w:pPr>
        <w:ind w:left="3960" w:hanging="440"/>
      </w:pPr>
    </w:lvl>
  </w:abstractNum>
  <w:abstractNum w:abstractNumId="23" w15:restartNumberingAfterBreak="0">
    <w:nsid w:val="4D84094F"/>
    <w:multiLevelType w:val="hybridMultilevel"/>
    <w:tmpl w:val="B5EA65C4"/>
    <w:lvl w:ilvl="0" w:tplc="E5DCD9A8">
      <w:start w:val="1"/>
      <w:numFmt w:val="decimal"/>
      <w:lvlText w:val="%1."/>
      <w:lvlJc w:val="left"/>
      <w:pPr>
        <w:ind w:left="720" w:hanging="360"/>
      </w:pPr>
      <w:rPr>
        <w:rFonts w:eastAsia="Times New Roman" w:hint="default"/>
      </w:rPr>
    </w:lvl>
    <w:lvl w:ilvl="1" w:tplc="85A0C7E8" w:tentative="1">
      <w:start w:val="1"/>
      <w:numFmt w:val="lowerLetter"/>
      <w:lvlText w:val="%2."/>
      <w:lvlJc w:val="left"/>
      <w:pPr>
        <w:ind w:left="1440" w:hanging="360"/>
      </w:pPr>
    </w:lvl>
    <w:lvl w:ilvl="2" w:tplc="AEE88952" w:tentative="1">
      <w:start w:val="1"/>
      <w:numFmt w:val="lowerRoman"/>
      <w:lvlText w:val="%3."/>
      <w:lvlJc w:val="right"/>
      <w:pPr>
        <w:ind w:left="2160" w:hanging="180"/>
      </w:pPr>
    </w:lvl>
    <w:lvl w:ilvl="3" w:tplc="A25A0226" w:tentative="1">
      <w:start w:val="1"/>
      <w:numFmt w:val="decimal"/>
      <w:lvlText w:val="%4."/>
      <w:lvlJc w:val="left"/>
      <w:pPr>
        <w:ind w:left="2880" w:hanging="360"/>
      </w:pPr>
    </w:lvl>
    <w:lvl w:ilvl="4" w:tplc="B64E75D8" w:tentative="1">
      <w:start w:val="1"/>
      <w:numFmt w:val="lowerLetter"/>
      <w:lvlText w:val="%5."/>
      <w:lvlJc w:val="left"/>
      <w:pPr>
        <w:ind w:left="3600" w:hanging="360"/>
      </w:pPr>
    </w:lvl>
    <w:lvl w:ilvl="5" w:tplc="4498C878" w:tentative="1">
      <w:start w:val="1"/>
      <w:numFmt w:val="lowerRoman"/>
      <w:lvlText w:val="%6."/>
      <w:lvlJc w:val="right"/>
      <w:pPr>
        <w:ind w:left="4320" w:hanging="180"/>
      </w:pPr>
    </w:lvl>
    <w:lvl w:ilvl="6" w:tplc="2C426348" w:tentative="1">
      <w:start w:val="1"/>
      <w:numFmt w:val="decimal"/>
      <w:lvlText w:val="%7."/>
      <w:lvlJc w:val="left"/>
      <w:pPr>
        <w:ind w:left="5040" w:hanging="360"/>
      </w:pPr>
    </w:lvl>
    <w:lvl w:ilvl="7" w:tplc="48648A86" w:tentative="1">
      <w:start w:val="1"/>
      <w:numFmt w:val="lowerLetter"/>
      <w:lvlText w:val="%8."/>
      <w:lvlJc w:val="left"/>
      <w:pPr>
        <w:ind w:left="5760" w:hanging="360"/>
      </w:pPr>
    </w:lvl>
    <w:lvl w:ilvl="8" w:tplc="D2021848" w:tentative="1">
      <w:start w:val="1"/>
      <w:numFmt w:val="lowerRoman"/>
      <w:lvlText w:val="%9."/>
      <w:lvlJc w:val="right"/>
      <w:pPr>
        <w:ind w:left="6480" w:hanging="180"/>
      </w:pPr>
    </w:lvl>
  </w:abstractNum>
  <w:abstractNum w:abstractNumId="24" w15:restartNumberingAfterBreak="0">
    <w:nsid w:val="4FA23241"/>
    <w:multiLevelType w:val="multilevel"/>
    <w:tmpl w:val="37C04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A3710F"/>
    <w:multiLevelType w:val="hybridMultilevel"/>
    <w:tmpl w:val="1F4CED80"/>
    <w:lvl w:ilvl="0" w:tplc="60F039BC">
      <w:start w:val="1"/>
      <w:numFmt w:val="decimal"/>
      <w:lvlText w:val="%1."/>
      <w:lvlJc w:val="left"/>
      <w:pPr>
        <w:ind w:left="720" w:hanging="360"/>
      </w:pPr>
      <w:rPr>
        <w:rFonts w:eastAsia="Times New Roman" w:hint="default"/>
      </w:rPr>
    </w:lvl>
    <w:lvl w:ilvl="1" w:tplc="4D5C5578" w:tentative="1">
      <w:start w:val="1"/>
      <w:numFmt w:val="lowerLetter"/>
      <w:lvlText w:val="%2."/>
      <w:lvlJc w:val="left"/>
      <w:pPr>
        <w:ind w:left="1440" w:hanging="360"/>
      </w:pPr>
    </w:lvl>
    <w:lvl w:ilvl="2" w:tplc="4830DBBA" w:tentative="1">
      <w:start w:val="1"/>
      <w:numFmt w:val="lowerRoman"/>
      <w:lvlText w:val="%3."/>
      <w:lvlJc w:val="right"/>
      <w:pPr>
        <w:ind w:left="2160" w:hanging="180"/>
      </w:pPr>
    </w:lvl>
    <w:lvl w:ilvl="3" w:tplc="0ED8E954" w:tentative="1">
      <w:start w:val="1"/>
      <w:numFmt w:val="decimal"/>
      <w:lvlText w:val="%4."/>
      <w:lvlJc w:val="left"/>
      <w:pPr>
        <w:ind w:left="2880" w:hanging="360"/>
      </w:pPr>
    </w:lvl>
    <w:lvl w:ilvl="4" w:tplc="C230250C" w:tentative="1">
      <w:start w:val="1"/>
      <w:numFmt w:val="lowerLetter"/>
      <w:lvlText w:val="%5."/>
      <w:lvlJc w:val="left"/>
      <w:pPr>
        <w:ind w:left="3600" w:hanging="360"/>
      </w:pPr>
    </w:lvl>
    <w:lvl w:ilvl="5" w:tplc="9C20F0A8" w:tentative="1">
      <w:start w:val="1"/>
      <w:numFmt w:val="lowerRoman"/>
      <w:lvlText w:val="%6."/>
      <w:lvlJc w:val="right"/>
      <w:pPr>
        <w:ind w:left="4320" w:hanging="180"/>
      </w:pPr>
    </w:lvl>
    <w:lvl w:ilvl="6" w:tplc="00925472" w:tentative="1">
      <w:start w:val="1"/>
      <w:numFmt w:val="decimal"/>
      <w:lvlText w:val="%7."/>
      <w:lvlJc w:val="left"/>
      <w:pPr>
        <w:ind w:left="5040" w:hanging="360"/>
      </w:pPr>
    </w:lvl>
    <w:lvl w:ilvl="7" w:tplc="EB9E9688" w:tentative="1">
      <w:start w:val="1"/>
      <w:numFmt w:val="lowerLetter"/>
      <w:lvlText w:val="%8."/>
      <w:lvlJc w:val="left"/>
      <w:pPr>
        <w:ind w:left="5760" w:hanging="360"/>
      </w:pPr>
    </w:lvl>
    <w:lvl w:ilvl="8" w:tplc="621C4246" w:tentative="1">
      <w:start w:val="1"/>
      <w:numFmt w:val="lowerRoman"/>
      <w:lvlText w:val="%9."/>
      <w:lvlJc w:val="right"/>
      <w:pPr>
        <w:ind w:left="6480" w:hanging="180"/>
      </w:pPr>
    </w:lvl>
  </w:abstractNum>
  <w:abstractNum w:abstractNumId="26" w15:restartNumberingAfterBreak="0">
    <w:nsid w:val="50EB7EF5"/>
    <w:multiLevelType w:val="hybridMultilevel"/>
    <w:tmpl w:val="59FED914"/>
    <w:lvl w:ilvl="0" w:tplc="7A941034">
      <w:start w:val="8"/>
      <w:numFmt w:val="decimal"/>
      <w:lvlText w:val="%1."/>
      <w:lvlJc w:val="left"/>
      <w:pPr>
        <w:ind w:left="866" w:hanging="440"/>
      </w:pPr>
      <w:rPr>
        <w:rFonts w:eastAsia="ＭＳ 明朝" w:hint="default"/>
        <w:sz w:val="21"/>
        <w:szCs w:val="21"/>
      </w:rPr>
    </w:lvl>
    <w:lvl w:ilvl="1" w:tplc="533EFF20" w:tentative="1">
      <w:start w:val="1"/>
      <w:numFmt w:val="aiueoFullWidth"/>
      <w:lvlText w:val="(%2)"/>
      <w:lvlJc w:val="left"/>
      <w:pPr>
        <w:ind w:left="880" w:hanging="440"/>
      </w:pPr>
    </w:lvl>
    <w:lvl w:ilvl="2" w:tplc="FB5A3960" w:tentative="1">
      <w:start w:val="1"/>
      <w:numFmt w:val="decimalEnclosedCircle"/>
      <w:lvlText w:val="%3"/>
      <w:lvlJc w:val="left"/>
      <w:pPr>
        <w:ind w:left="1320" w:hanging="440"/>
      </w:pPr>
    </w:lvl>
    <w:lvl w:ilvl="3" w:tplc="78B4ED6C" w:tentative="1">
      <w:start w:val="1"/>
      <w:numFmt w:val="decimal"/>
      <w:lvlText w:val="%4."/>
      <w:lvlJc w:val="left"/>
      <w:pPr>
        <w:ind w:left="1760" w:hanging="440"/>
      </w:pPr>
    </w:lvl>
    <w:lvl w:ilvl="4" w:tplc="CE3448D4" w:tentative="1">
      <w:start w:val="1"/>
      <w:numFmt w:val="aiueoFullWidth"/>
      <w:lvlText w:val="(%5)"/>
      <w:lvlJc w:val="left"/>
      <w:pPr>
        <w:ind w:left="2200" w:hanging="440"/>
      </w:pPr>
    </w:lvl>
    <w:lvl w:ilvl="5" w:tplc="58FC387A" w:tentative="1">
      <w:start w:val="1"/>
      <w:numFmt w:val="decimalEnclosedCircle"/>
      <w:lvlText w:val="%6"/>
      <w:lvlJc w:val="left"/>
      <w:pPr>
        <w:ind w:left="2640" w:hanging="440"/>
      </w:pPr>
    </w:lvl>
    <w:lvl w:ilvl="6" w:tplc="1BFC0F92" w:tentative="1">
      <w:start w:val="1"/>
      <w:numFmt w:val="decimal"/>
      <w:lvlText w:val="%7."/>
      <w:lvlJc w:val="left"/>
      <w:pPr>
        <w:ind w:left="3080" w:hanging="440"/>
      </w:pPr>
    </w:lvl>
    <w:lvl w:ilvl="7" w:tplc="941EDCF2" w:tentative="1">
      <w:start w:val="1"/>
      <w:numFmt w:val="aiueoFullWidth"/>
      <w:lvlText w:val="(%8)"/>
      <w:lvlJc w:val="left"/>
      <w:pPr>
        <w:ind w:left="3520" w:hanging="440"/>
      </w:pPr>
    </w:lvl>
    <w:lvl w:ilvl="8" w:tplc="D0E8147C" w:tentative="1">
      <w:start w:val="1"/>
      <w:numFmt w:val="decimalEnclosedCircle"/>
      <w:lvlText w:val="%9"/>
      <w:lvlJc w:val="left"/>
      <w:pPr>
        <w:ind w:left="3960" w:hanging="440"/>
      </w:pPr>
    </w:lvl>
  </w:abstractNum>
  <w:abstractNum w:abstractNumId="27" w15:restartNumberingAfterBreak="0">
    <w:nsid w:val="517960B8"/>
    <w:multiLevelType w:val="hybridMultilevel"/>
    <w:tmpl w:val="79D0A9B0"/>
    <w:lvl w:ilvl="0" w:tplc="EC1816A8">
      <w:start w:val="15"/>
      <w:numFmt w:val="decimal"/>
      <w:lvlText w:val="%1."/>
      <w:lvlJc w:val="left"/>
      <w:pPr>
        <w:ind w:left="440" w:hanging="440"/>
      </w:pPr>
      <w:rPr>
        <w:rFonts w:eastAsia="ＭＳ 明朝" w:hint="default"/>
      </w:rPr>
    </w:lvl>
    <w:lvl w:ilvl="1" w:tplc="77EC092A" w:tentative="1">
      <w:start w:val="1"/>
      <w:numFmt w:val="aiueoFullWidth"/>
      <w:lvlText w:val="(%2)"/>
      <w:lvlJc w:val="left"/>
      <w:pPr>
        <w:ind w:left="880" w:hanging="440"/>
      </w:pPr>
    </w:lvl>
    <w:lvl w:ilvl="2" w:tplc="DF16DD5A" w:tentative="1">
      <w:start w:val="1"/>
      <w:numFmt w:val="decimalEnclosedCircle"/>
      <w:lvlText w:val="%3"/>
      <w:lvlJc w:val="left"/>
      <w:pPr>
        <w:ind w:left="1320" w:hanging="440"/>
      </w:pPr>
    </w:lvl>
    <w:lvl w:ilvl="3" w:tplc="6388CE9E" w:tentative="1">
      <w:start w:val="1"/>
      <w:numFmt w:val="decimal"/>
      <w:lvlText w:val="%4."/>
      <w:lvlJc w:val="left"/>
      <w:pPr>
        <w:ind w:left="1760" w:hanging="440"/>
      </w:pPr>
    </w:lvl>
    <w:lvl w:ilvl="4" w:tplc="254C17C8" w:tentative="1">
      <w:start w:val="1"/>
      <w:numFmt w:val="aiueoFullWidth"/>
      <w:lvlText w:val="(%5)"/>
      <w:lvlJc w:val="left"/>
      <w:pPr>
        <w:ind w:left="2200" w:hanging="440"/>
      </w:pPr>
    </w:lvl>
    <w:lvl w:ilvl="5" w:tplc="9610664E" w:tentative="1">
      <w:start w:val="1"/>
      <w:numFmt w:val="decimalEnclosedCircle"/>
      <w:lvlText w:val="%6"/>
      <w:lvlJc w:val="left"/>
      <w:pPr>
        <w:ind w:left="2640" w:hanging="440"/>
      </w:pPr>
    </w:lvl>
    <w:lvl w:ilvl="6" w:tplc="5A3875F2" w:tentative="1">
      <w:start w:val="1"/>
      <w:numFmt w:val="decimal"/>
      <w:lvlText w:val="%7."/>
      <w:lvlJc w:val="left"/>
      <w:pPr>
        <w:ind w:left="3080" w:hanging="440"/>
      </w:pPr>
    </w:lvl>
    <w:lvl w:ilvl="7" w:tplc="4A96E5E0" w:tentative="1">
      <w:start w:val="1"/>
      <w:numFmt w:val="aiueoFullWidth"/>
      <w:lvlText w:val="(%8)"/>
      <w:lvlJc w:val="left"/>
      <w:pPr>
        <w:ind w:left="3520" w:hanging="440"/>
      </w:pPr>
    </w:lvl>
    <w:lvl w:ilvl="8" w:tplc="868E6990" w:tentative="1">
      <w:start w:val="1"/>
      <w:numFmt w:val="decimalEnclosedCircle"/>
      <w:lvlText w:val="%9"/>
      <w:lvlJc w:val="left"/>
      <w:pPr>
        <w:ind w:left="3960" w:hanging="440"/>
      </w:pPr>
    </w:lvl>
  </w:abstractNum>
  <w:abstractNum w:abstractNumId="28" w15:restartNumberingAfterBreak="0">
    <w:nsid w:val="51D52025"/>
    <w:multiLevelType w:val="hybridMultilevel"/>
    <w:tmpl w:val="AEA0D0AC"/>
    <w:lvl w:ilvl="0" w:tplc="584278CA">
      <w:start w:val="1"/>
      <w:numFmt w:val="decimal"/>
      <w:lvlText w:val="%1."/>
      <w:lvlJc w:val="left"/>
      <w:pPr>
        <w:ind w:left="440" w:hanging="440"/>
      </w:pPr>
      <w:rPr>
        <w:rFonts w:eastAsia="ＭＳ 明朝" w:hint="default"/>
      </w:rPr>
    </w:lvl>
    <w:lvl w:ilvl="1" w:tplc="8350FED8" w:tentative="1">
      <w:start w:val="1"/>
      <w:numFmt w:val="aiueoFullWidth"/>
      <w:lvlText w:val="(%2)"/>
      <w:lvlJc w:val="left"/>
      <w:pPr>
        <w:ind w:left="880" w:hanging="440"/>
      </w:pPr>
    </w:lvl>
    <w:lvl w:ilvl="2" w:tplc="466AC402" w:tentative="1">
      <w:start w:val="1"/>
      <w:numFmt w:val="decimalEnclosedCircle"/>
      <w:lvlText w:val="%3"/>
      <w:lvlJc w:val="left"/>
      <w:pPr>
        <w:ind w:left="1320" w:hanging="440"/>
      </w:pPr>
    </w:lvl>
    <w:lvl w:ilvl="3" w:tplc="14427DD4" w:tentative="1">
      <w:start w:val="1"/>
      <w:numFmt w:val="decimal"/>
      <w:lvlText w:val="%4."/>
      <w:lvlJc w:val="left"/>
      <w:pPr>
        <w:ind w:left="1760" w:hanging="440"/>
      </w:pPr>
    </w:lvl>
    <w:lvl w:ilvl="4" w:tplc="A4FCD730" w:tentative="1">
      <w:start w:val="1"/>
      <w:numFmt w:val="aiueoFullWidth"/>
      <w:lvlText w:val="(%5)"/>
      <w:lvlJc w:val="left"/>
      <w:pPr>
        <w:ind w:left="2200" w:hanging="440"/>
      </w:pPr>
    </w:lvl>
    <w:lvl w:ilvl="5" w:tplc="C72694C0" w:tentative="1">
      <w:start w:val="1"/>
      <w:numFmt w:val="decimalEnclosedCircle"/>
      <w:lvlText w:val="%6"/>
      <w:lvlJc w:val="left"/>
      <w:pPr>
        <w:ind w:left="2640" w:hanging="440"/>
      </w:pPr>
    </w:lvl>
    <w:lvl w:ilvl="6" w:tplc="2726336A" w:tentative="1">
      <w:start w:val="1"/>
      <w:numFmt w:val="decimal"/>
      <w:lvlText w:val="%7."/>
      <w:lvlJc w:val="left"/>
      <w:pPr>
        <w:ind w:left="3080" w:hanging="440"/>
      </w:pPr>
    </w:lvl>
    <w:lvl w:ilvl="7" w:tplc="E460DC28" w:tentative="1">
      <w:start w:val="1"/>
      <w:numFmt w:val="aiueoFullWidth"/>
      <w:lvlText w:val="(%8)"/>
      <w:lvlJc w:val="left"/>
      <w:pPr>
        <w:ind w:left="3520" w:hanging="440"/>
      </w:pPr>
    </w:lvl>
    <w:lvl w:ilvl="8" w:tplc="A8E01534" w:tentative="1">
      <w:start w:val="1"/>
      <w:numFmt w:val="decimalEnclosedCircle"/>
      <w:lvlText w:val="%9"/>
      <w:lvlJc w:val="left"/>
      <w:pPr>
        <w:ind w:left="3960" w:hanging="440"/>
      </w:pPr>
    </w:lvl>
  </w:abstractNum>
  <w:abstractNum w:abstractNumId="29" w15:restartNumberingAfterBreak="0">
    <w:nsid w:val="5D25121C"/>
    <w:multiLevelType w:val="hybridMultilevel"/>
    <w:tmpl w:val="E354B8CE"/>
    <w:lvl w:ilvl="0" w:tplc="C2EA3ADC">
      <w:start w:val="11"/>
      <w:numFmt w:val="decimal"/>
      <w:lvlText w:val="%1."/>
      <w:lvlJc w:val="left"/>
      <w:pPr>
        <w:ind w:left="360" w:hanging="360"/>
      </w:pPr>
      <w:rPr>
        <w:rFonts w:hint="default"/>
        <w:b/>
      </w:rPr>
    </w:lvl>
    <w:lvl w:ilvl="1" w:tplc="64E4E1FC" w:tentative="1">
      <w:start w:val="1"/>
      <w:numFmt w:val="aiueoFullWidth"/>
      <w:lvlText w:val="(%2)"/>
      <w:lvlJc w:val="left"/>
      <w:pPr>
        <w:ind w:left="880" w:hanging="440"/>
      </w:pPr>
    </w:lvl>
    <w:lvl w:ilvl="2" w:tplc="038C7388" w:tentative="1">
      <w:start w:val="1"/>
      <w:numFmt w:val="decimalEnclosedCircle"/>
      <w:lvlText w:val="%3"/>
      <w:lvlJc w:val="left"/>
      <w:pPr>
        <w:ind w:left="1320" w:hanging="440"/>
      </w:pPr>
    </w:lvl>
    <w:lvl w:ilvl="3" w:tplc="9AD456FC" w:tentative="1">
      <w:start w:val="1"/>
      <w:numFmt w:val="decimal"/>
      <w:lvlText w:val="%4."/>
      <w:lvlJc w:val="left"/>
      <w:pPr>
        <w:ind w:left="1760" w:hanging="440"/>
      </w:pPr>
    </w:lvl>
    <w:lvl w:ilvl="4" w:tplc="60CAAFDA" w:tentative="1">
      <w:start w:val="1"/>
      <w:numFmt w:val="aiueoFullWidth"/>
      <w:lvlText w:val="(%5)"/>
      <w:lvlJc w:val="left"/>
      <w:pPr>
        <w:ind w:left="2200" w:hanging="440"/>
      </w:pPr>
    </w:lvl>
    <w:lvl w:ilvl="5" w:tplc="CA7CB55A" w:tentative="1">
      <w:start w:val="1"/>
      <w:numFmt w:val="decimalEnclosedCircle"/>
      <w:lvlText w:val="%6"/>
      <w:lvlJc w:val="left"/>
      <w:pPr>
        <w:ind w:left="2640" w:hanging="440"/>
      </w:pPr>
    </w:lvl>
    <w:lvl w:ilvl="6" w:tplc="EFF41B96" w:tentative="1">
      <w:start w:val="1"/>
      <w:numFmt w:val="decimal"/>
      <w:lvlText w:val="%7."/>
      <w:lvlJc w:val="left"/>
      <w:pPr>
        <w:ind w:left="3080" w:hanging="440"/>
      </w:pPr>
    </w:lvl>
    <w:lvl w:ilvl="7" w:tplc="8CF880E2" w:tentative="1">
      <w:start w:val="1"/>
      <w:numFmt w:val="aiueoFullWidth"/>
      <w:lvlText w:val="(%8)"/>
      <w:lvlJc w:val="left"/>
      <w:pPr>
        <w:ind w:left="3520" w:hanging="440"/>
      </w:pPr>
    </w:lvl>
    <w:lvl w:ilvl="8" w:tplc="C71C313A" w:tentative="1">
      <w:start w:val="1"/>
      <w:numFmt w:val="decimalEnclosedCircle"/>
      <w:lvlText w:val="%9"/>
      <w:lvlJc w:val="left"/>
      <w:pPr>
        <w:ind w:left="3960" w:hanging="440"/>
      </w:pPr>
    </w:lvl>
  </w:abstractNum>
  <w:abstractNum w:abstractNumId="30" w15:restartNumberingAfterBreak="0">
    <w:nsid w:val="64C11979"/>
    <w:multiLevelType w:val="hybridMultilevel"/>
    <w:tmpl w:val="37D43E9A"/>
    <w:lvl w:ilvl="0" w:tplc="A656A07C">
      <w:start w:val="1"/>
      <w:numFmt w:val="decimal"/>
      <w:lvlText w:val="%1."/>
      <w:lvlJc w:val="left"/>
      <w:pPr>
        <w:ind w:left="336" w:hanging="360"/>
      </w:pPr>
      <w:rPr>
        <w:rFonts w:hint="default"/>
      </w:rPr>
    </w:lvl>
    <w:lvl w:ilvl="1" w:tplc="04090017" w:tentative="1">
      <w:start w:val="1"/>
      <w:numFmt w:val="aiueoFullWidth"/>
      <w:lvlText w:val="(%2)"/>
      <w:lvlJc w:val="left"/>
      <w:pPr>
        <w:ind w:left="856" w:hanging="440"/>
      </w:pPr>
    </w:lvl>
    <w:lvl w:ilvl="2" w:tplc="04090011" w:tentative="1">
      <w:start w:val="1"/>
      <w:numFmt w:val="decimalEnclosedCircle"/>
      <w:lvlText w:val="%3"/>
      <w:lvlJc w:val="left"/>
      <w:pPr>
        <w:ind w:left="1296" w:hanging="440"/>
      </w:pPr>
    </w:lvl>
    <w:lvl w:ilvl="3" w:tplc="0409000F" w:tentative="1">
      <w:start w:val="1"/>
      <w:numFmt w:val="decimal"/>
      <w:lvlText w:val="%4."/>
      <w:lvlJc w:val="left"/>
      <w:pPr>
        <w:ind w:left="1736" w:hanging="440"/>
      </w:pPr>
    </w:lvl>
    <w:lvl w:ilvl="4" w:tplc="04090017" w:tentative="1">
      <w:start w:val="1"/>
      <w:numFmt w:val="aiueoFullWidth"/>
      <w:lvlText w:val="(%5)"/>
      <w:lvlJc w:val="left"/>
      <w:pPr>
        <w:ind w:left="2176" w:hanging="440"/>
      </w:pPr>
    </w:lvl>
    <w:lvl w:ilvl="5" w:tplc="04090011" w:tentative="1">
      <w:start w:val="1"/>
      <w:numFmt w:val="decimalEnclosedCircle"/>
      <w:lvlText w:val="%6"/>
      <w:lvlJc w:val="left"/>
      <w:pPr>
        <w:ind w:left="2616" w:hanging="440"/>
      </w:pPr>
    </w:lvl>
    <w:lvl w:ilvl="6" w:tplc="0409000F" w:tentative="1">
      <w:start w:val="1"/>
      <w:numFmt w:val="decimal"/>
      <w:lvlText w:val="%7."/>
      <w:lvlJc w:val="left"/>
      <w:pPr>
        <w:ind w:left="3056" w:hanging="440"/>
      </w:pPr>
    </w:lvl>
    <w:lvl w:ilvl="7" w:tplc="04090017" w:tentative="1">
      <w:start w:val="1"/>
      <w:numFmt w:val="aiueoFullWidth"/>
      <w:lvlText w:val="(%8)"/>
      <w:lvlJc w:val="left"/>
      <w:pPr>
        <w:ind w:left="3496" w:hanging="440"/>
      </w:pPr>
    </w:lvl>
    <w:lvl w:ilvl="8" w:tplc="04090011" w:tentative="1">
      <w:start w:val="1"/>
      <w:numFmt w:val="decimalEnclosedCircle"/>
      <w:lvlText w:val="%9"/>
      <w:lvlJc w:val="left"/>
      <w:pPr>
        <w:ind w:left="3936" w:hanging="440"/>
      </w:pPr>
    </w:lvl>
  </w:abstractNum>
  <w:abstractNum w:abstractNumId="31" w15:restartNumberingAfterBreak="0">
    <w:nsid w:val="6A4A6106"/>
    <w:multiLevelType w:val="hybridMultilevel"/>
    <w:tmpl w:val="79786D64"/>
    <w:lvl w:ilvl="0" w:tplc="D4EAA208">
      <w:start w:val="1"/>
      <w:numFmt w:val="decimal"/>
      <w:lvlText w:val="%1."/>
      <w:lvlJc w:val="left"/>
      <w:pPr>
        <w:ind w:left="440" w:hanging="440"/>
      </w:pPr>
      <w:rPr>
        <w:rFonts w:eastAsia="ＭＳ 明朝" w:hint="default"/>
      </w:rPr>
    </w:lvl>
    <w:lvl w:ilvl="1" w:tplc="9A74CB34" w:tentative="1">
      <w:start w:val="1"/>
      <w:numFmt w:val="aiueoFullWidth"/>
      <w:lvlText w:val="(%2)"/>
      <w:lvlJc w:val="left"/>
      <w:pPr>
        <w:ind w:left="880" w:hanging="440"/>
      </w:pPr>
    </w:lvl>
    <w:lvl w:ilvl="2" w:tplc="001EF998" w:tentative="1">
      <w:start w:val="1"/>
      <w:numFmt w:val="decimalEnclosedCircle"/>
      <w:lvlText w:val="%3"/>
      <w:lvlJc w:val="left"/>
      <w:pPr>
        <w:ind w:left="1320" w:hanging="440"/>
      </w:pPr>
    </w:lvl>
    <w:lvl w:ilvl="3" w:tplc="ED1286F0" w:tentative="1">
      <w:start w:val="1"/>
      <w:numFmt w:val="decimal"/>
      <w:lvlText w:val="%4."/>
      <w:lvlJc w:val="left"/>
      <w:pPr>
        <w:ind w:left="1760" w:hanging="440"/>
      </w:pPr>
    </w:lvl>
    <w:lvl w:ilvl="4" w:tplc="2E18C398" w:tentative="1">
      <w:start w:val="1"/>
      <w:numFmt w:val="aiueoFullWidth"/>
      <w:lvlText w:val="(%5)"/>
      <w:lvlJc w:val="left"/>
      <w:pPr>
        <w:ind w:left="2200" w:hanging="440"/>
      </w:pPr>
    </w:lvl>
    <w:lvl w:ilvl="5" w:tplc="178CCD68" w:tentative="1">
      <w:start w:val="1"/>
      <w:numFmt w:val="decimalEnclosedCircle"/>
      <w:lvlText w:val="%6"/>
      <w:lvlJc w:val="left"/>
      <w:pPr>
        <w:ind w:left="2640" w:hanging="440"/>
      </w:pPr>
    </w:lvl>
    <w:lvl w:ilvl="6" w:tplc="A1023992" w:tentative="1">
      <w:start w:val="1"/>
      <w:numFmt w:val="decimal"/>
      <w:lvlText w:val="%7."/>
      <w:lvlJc w:val="left"/>
      <w:pPr>
        <w:ind w:left="3080" w:hanging="440"/>
      </w:pPr>
    </w:lvl>
    <w:lvl w:ilvl="7" w:tplc="E910C79A" w:tentative="1">
      <w:start w:val="1"/>
      <w:numFmt w:val="aiueoFullWidth"/>
      <w:lvlText w:val="(%8)"/>
      <w:lvlJc w:val="left"/>
      <w:pPr>
        <w:ind w:left="3520" w:hanging="440"/>
      </w:pPr>
    </w:lvl>
    <w:lvl w:ilvl="8" w:tplc="17546C7E" w:tentative="1">
      <w:start w:val="1"/>
      <w:numFmt w:val="decimalEnclosedCircle"/>
      <w:lvlText w:val="%9"/>
      <w:lvlJc w:val="left"/>
      <w:pPr>
        <w:ind w:left="3960" w:hanging="440"/>
      </w:pPr>
    </w:lvl>
  </w:abstractNum>
  <w:abstractNum w:abstractNumId="32" w15:restartNumberingAfterBreak="0">
    <w:nsid w:val="71727398"/>
    <w:multiLevelType w:val="hybridMultilevel"/>
    <w:tmpl w:val="D7FC6A86"/>
    <w:lvl w:ilvl="0" w:tplc="2C0E9B18">
      <w:start w:val="1"/>
      <w:numFmt w:val="decimal"/>
      <w:lvlText w:val="%1."/>
      <w:lvlJc w:val="left"/>
      <w:pPr>
        <w:ind w:left="720" w:hanging="360"/>
      </w:pPr>
      <w:rPr>
        <w:rFonts w:eastAsia="ＭＳ 明朝" w:hint="default"/>
      </w:rPr>
    </w:lvl>
    <w:lvl w:ilvl="1" w:tplc="4E0A2C30" w:tentative="1">
      <w:start w:val="1"/>
      <w:numFmt w:val="aiueoFullWidth"/>
      <w:lvlText w:val="(%2)"/>
      <w:lvlJc w:val="left"/>
      <w:pPr>
        <w:ind w:left="880" w:hanging="440"/>
      </w:pPr>
    </w:lvl>
    <w:lvl w:ilvl="2" w:tplc="8CF057B0" w:tentative="1">
      <w:start w:val="1"/>
      <w:numFmt w:val="decimalEnclosedCircle"/>
      <w:lvlText w:val="%3"/>
      <w:lvlJc w:val="left"/>
      <w:pPr>
        <w:ind w:left="1320" w:hanging="440"/>
      </w:pPr>
    </w:lvl>
    <w:lvl w:ilvl="3" w:tplc="8196F24E" w:tentative="1">
      <w:start w:val="1"/>
      <w:numFmt w:val="decimal"/>
      <w:lvlText w:val="%4."/>
      <w:lvlJc w:val="left"/>
      <w:pPr>
        <w:ind w:left="1760" w:hanging="440"/>
      </w:pPr>
    </w:lvl>
    <w:lvl w:ilvl="4" w:tplc="36E4556C" w:tentative="1">
      <w:start w:val="1"/>
      <w:numFmt w:val="aiueoFullWidth"/>
      <w:lvlText w:val="(%5)"/>
      <w:lvlJc w:val="left"/>
      <w:pPr>
        <w:ind w:left="2200" w:hanging="440"/>
      </w:pPr>
    </w:lvl>
    <w:lvl w:ilvl="5" w:tplc="7D2C8E2A" w:tentative="1">
      <w:start w:val="1"/>
      <w:numFmt w:val="decimalEnclosedCircle"/>
      <w:lvlText w:val="%6"/>
      <w:lvlJc w:val="left"/>
      <w:pPr>
        <w:ind w:left="2640" w:hanging="440"/>
      </w:pPr>
    </w:lvl>
    <w:lvl w:ilvl="6" w:tplc="52444B30" w:tentative="1">
      <w:start w:val="1"/>
      <w:numFmt w:val="decimal"/>
      <w:lvlText w:val="%7."/>
      <w:lvlJc w:val="left"/>
      <w:pPr>
        <w:ind w:left="3080" w:hanging="440"/>
      </w:pPr>
    </w:lvl>
    <w:lvl w:ilvl="7" w:tplc="D79ADDB6" w:tentative="1">
      <w:start w:val="1"/>
      <w:numFmt w:val="aiueoFullWidth"/>
      <w:lvlText w:val="(%8)"/>
      <w:lvlJc w:val="left"/>
      <w:pPr>
        <w:ind w:left="3520" w:hanging="440"/>
      </w:pPr>
    </w:lvl>
    <w:lvl w:ilvl="8" w:tplc="13B097E8" w:tentative="1">
      <w:start w:val="1"/>
      <w:numFmt w:val="decimalEnclosedCircle"/>
      <w:lvlText w:val="%9"/>
      <w:lvlJc w:val="left"/>
      <w:pPr>
        <w:ind w:left="3960" w:hanging="440"/>
      </w:pPr>
    </w:lvl>
  </w:abstractNum>
  <w:abstractNum w:abstractNumId="33" w15:restartNumberingAfterBreak="0">
    <w:nsid w:val="71F768FB"/>
    <w:multiLevelType w:val="hybridMultilevel"/>
    <w:tmpl w:val="65DCFEC0"/>
    <w:lvl w:ilvl="0" w:tplc="57A60D78">
      <w:start w:val="1"/>
      <w:numFmt w:val="decimal"/>
      <w:lvlText w:val="%1."/>
      <w:lvlJc w:val="left"/>
      <w:pPr>
        <w:ind w:left="866" w:hanging="440"/>
      </w:pPr>
      <w:rPr>
        <w:rFonts w:eastAsia="ＭＳ 明朝" w:hint="default"/>
        <w:sz w:val="21"/>
        <w:szCs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74E537DF"/>
    <w:multiLevelType w:val="multilevel"/>
    <w:tmpl w:val="5D249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04016A"/>
    <w:multiLevelType w:val="hybridMultilevel"/>
    <w:tmpl w:val="B5EA65C4"/>
    <w:lvl w:ilvl="0" w:tplc="403488B6">
      <w:start w:val="1"/>
      <w:numFmt w:val="decimal"/>
      <w:lvlText w:val="%1."/>
      <w:lvlJc w:val="left"/>
      <w:pPr>
        <w:ind w:left="720" w:hanging="360"/>
      </w:pPr>
      <w:rPr>
        <w:rFonts w:eastAsia="Times New Roman" w:hint="default"/>
      </w:rPr>
    </w:lvl>
    <w:lvl w:ilvl="1" w:tplc="27FA0DBE" w:tentative="1">
      <w:start w:val="1"/>
      <w:numFmt w:val="lowerLetter"/>
      <w:lvlText w:val="%2."/>
      <w:lvlJc w:val="left"/>
      <w:pPr>
        <w:ind w:left="1440" w:hanging="360"/>
      </w:pPr>
    </w:lvl>
    <w:lvl w:ilvl="2" w:tplc="9F562838" w:tentative="1">
      <w:start w:val="1"/>
      <w:numFmt w:val="lowerRoman"/>
      <w:lvlText w:val="%3."/>
      <w:lvlJc w:val="right"/>
      <w:pPr>
        <w:ind w:left="2160" w:hanging="180"/>
      </w:pPr>
    </w:lvl>
    <w:lvl w:ilvl="3" w:tplc="692E853E" w:tentative="1">
      <w:start w:val="1"/>
      <w:numFmt w:val="decimal"/>
      <w:lvlText w:val="%4."/>
      <w:lvlJc w:val="left"/>
      <w:pPr>
        <w:ind w:left="2880" w:hanging="360"/>
      </w:pPr>
    </w:lvl>
    <w:lvl w:ilvl="4" w:tplc="329E5B06" w:tentative="1">
      <w:start w:val="1"/>
      <w:numFmt w:val="lowerLetter"/>
      <w:lvlText w:val="%5."/>
      <w:lvlJc w:val="left"/>
      <w:pPr>
        <w:ind w:left="3600" w:hanging="360"/>
      </w:pPr>
    </w:lvl>
    <w:lvl w:ilvl="5" w:tplc="65BE8630" w:tentative="1">
      <w:start w:val="1"/>
      <w:numFmt w:val="lowerRoman"/>
      <w:lvlText w:val="%6."/>
      <w:lvlJc w:val="right"/>
      <w:pPr>
        <w:ind w:left="4320" w:hanging="180"/>
      </w:pPr>
    </w:lvl>
    <w:lvl w:ilvl="6" w:tplc="62EA2040" w:tentative="1">
      <w:start w:val="1"/>
      <w:numFmt w:val="decimal"/>
      <w:lvlText w:val="%7."/>
      <w:lvlJc w:val="left"/>
      <w:pPr>
        <w:ind w:left="5040" w:hanging="360"/>
      </w:pPr>
    </w:lvl>
    <w:lvl w:ilvl="7" w:tplc="984C16F4" w:tentative="1">
      <w:start w:val="1"/>
      <w:numFmt w:val="lowerLetter"/>
      <w:lvlText w:val="%8."/>
      <w:lvlJc w:val="left"/>
      <w:pPr>
        <w:ind w:left="5760" w:hanging="360"/>
      </w:pPr>
    </w:lvl>
    <w:lvl w:ilvl="8" w:tplc="F55EC20A" w:tentative="1">
      <w:start w:val="1"/>
      <w:numFmt w:val="lowerRoman"/>
      <w:lvlText w:val="%9."/>
      <w:lvlJc w:val="right"/>
      <w:pPr>
        <w:ind w:left="6480" w:hanging="180"/>
      </w:pPr>
    </w:lvl>
  </w:abstractNum>
  <w:num w:numId="1" w16cid:durableId="1559239625">
    <w:abstractNumId w:val="34"/>
  </w:num>
  <w:num w:numId="2" w16cid:durableId="1167482667">
    <w:abstractNumId w:val="24"/>
  </w:num>
  <w:num w:numId="3" w16cid:durableId="1124809811">
    <w:abstractNumId w:val="11"/>
  </w:num>
  <w:num w:numId="4" w16cid:durableId="690378194">
    <w:abstractNumId w:val="9"/>
  </w:num>
  <w:num w:numId="5" w16cid:durableId="937521741">
    <w:abstractNumId w:val="7"/>
  </w:num>
  <w:num w:numId="6" w16cid:durableId="608702086">
    <w:abstractNumId w:val="6"/>
  </w:num>
  <w:num w:numId="7" w16cid:durableId="533269851">
    <w:abstractNumId w:val="5"/>
  </w:num>
  <w:num w:numId="8" w16cid:durableId="119232531">
    <w:abstractNumId w:val="4"/>
  </w:num>
  <w:num w:numId="9" w16cid:durableId="1052967974">
    <w:abstractNumId w:val="8"/>
  </w:num>
  <w:num w:numId="10" w16cid:durableId="1902251650">
    <w:abstractNumId w:val="3"/>
  </w:num>
  <w:num w:numId="11" w16cid:durableId="1180464480">
    <w:abstractNumId w:val="2"/>
  </w:num>
  <w:num w:numId="12" w16cid:durableId="500120446">
    <w:abstractNumId w:val="1"/>
  </w:num>
  <w:num w:numId="13" w16cid:durableId="1977025953">
    <w:abstractNumId w:val="0"/>
  </w:num>
  <w:num w:numId="14" w16cid:durableId="1679383065">
    <w:abstractNumId w:val="25"/>
  </w:num>
  <w:num w:numId="15" w16cid:durableId="452746449">
    <w:abstractNumId w:val="14"/>
  </w:num>
  <w:num w:numId="16" w16cid:durableId="293102694">
    <w:abstractNumId w:val="20"/>
  </w:num>
  <w:num w:numId="17" w16cid:durableId="1765104486">
    <w:abstractNumId w:val="35"/>
  </w:num>
  <w:num w:numId="18" w16cid:durableId="971981433">
    <w:abstractNumId w:val="23"/>
  </w:num>
  <w:num w:numId="19" w16cid:durableId="152765437">
    <w:abstractNumId w:val="15"/>
  </w:num>
  <w:num w:numId="20" w16cid:durableId="447160264">
    <w:abstractNumId w:val="32"/>
  </w:num>
  <w:num w:numId="21" w16cid:durableId="375393848">
    <w:abstractNumId w:val="19"/>
  </w:num>
  <w:num w:numId="22" w16cid:durableId="442237619">
    <w:abstractNumId w:val="22"/>
  </w:num>
  <w:num w:numId="23" w16cid:durableId="337659665">
    <w:abstractNumId w:val="13"/>
  </w:num>
  <w:num w:numId="24" w16cid:durableId="1318652528">
    <w:abstractNumId w:val="17"/>
  </w:num>
  <w:num w:numId="25" w16cid:durableId="726025999">
    <w:abstractNumId w:val="29"/>
  </w:num>
  <w:num w:numId="26" w16cid:durableId="1378973522">
    <w:abstractNumId w:val="28"/>
  </w:num>
  <w:num w:numId="27" w16cid:durableId="644357814">
    <w:abstractNumId w:val="27"/>
  </w:num>
  <w:num w:numId="28" w16cid:durableId="587033444">
    <w:abstractNumId w:val="21"/>
  </w:num>
  <w:num w:numId="29" w16cid:durableId="976446689">
    <w:abstractNumId w:val="12"/>
  </w:num>
  <w:num w:numId="30" w16cid:durableId="1905988297">
    <w:abstractNumId w:val="31"/>
  </w:num>
  <w:num w:numId="31" w16cid:durableId="311759793">
    <w:abstractNumId w:val="16"/>
  </w:num>
  <w:num w:numId="32" w16cid:durableId="1104108785">
    <w:abstractNumId w:val="26"/>
  </w:num>
  <w:num w:numId="33" w16cid:durableId="138544343">
    <w:abstractNumId w:val="18"/>
  </w:num>
  <w:num w:numId="34" w16cid:durableId="625158255">
    <w:abstractNumId w:val="30"/>
  </w:num>
  <w:num w:numId="35" w16cid:durableId="2047832184">
    <w:abstractNumId w:val="33"/>
  </w:num>
  <w:num w:numId="36" w16cid:durableId="5429810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proofState w:grammar="clean"/>
  <w:defaultTabStop w:val="840"/>
  <w:drawingGridHorizontalSpacing w:val="105"/>
  <w:drawingGridVerticalSpacing w:val="144"/>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57F"/>
    <w:rsid w:val="000028FD"/>
    <w:rsid w:val="00002F2F"/>
    <w:rsid w:val="0000419F"/>
    <w:rsid w:val="0000450E"/>
    <w:rsid w:val="00004BBA"/>
    <w:rsid w:val="00005562"/>
    <w:rsid w:val="00006BAC"/>
    <w:rsid w:val="00006BC3"/>
    <w:rsid w:val="00007D89"/>
    <w:rsid w:val="000107A2"/>
    <w:rsid w:val="00012D1B"/>
    <w:rsid w:val="00013F39"/>
    <w:rsid w:val="00014177"/>
    <w:rsid w:val="00015144"/>
    <w:rsid w:val="000154D9"/>
    <w:rsid w:val="0001619B"/>
    <w:rsid w:val="0001665B"/>
    <w:rsid w:val="00016937"/>
    <w:rsid w:val="00017195"/>
    <w:rsid w:val="00017F44"/>
    <w:rsid w:val="000208B5"/>
    <w:rsid w:val="000209FA"/>
    <w:rsid w:val="00021796"/>
    <w:rsid w:val="00021E68"/>
    <w:rsid w:val="00021EB9"/>
    <w:rsid w:val="0002244B"/>
    <w:rsid w:val="000227C8"/>
    <w:rsid w:val="000236F2"/>
    <w:rsid w:val="00023E89"/>
    <w:rsid w:val="0002437D"/>
    <w:rsid w:val="00025108"/>
    <w:rsid w:val="00025388"/>
    <w:rsid w:val="00026B6A"/>
    <w:rsid w:val="00027626"/>
    <w:rsid w:val="000303AA"/>
    <w:rsid w:val="00030E69"/>
    <w:rsid w:val="00031659"/>
    <w:rsid w:val="000321EF"/>
    <w:rsid w:val="00032F97"/>
    <w:rsid w:val="00033129"/>
    <w:rsid w:val="00033CC4"/>
    <w:rsid w:val="00033CD4"/>
    <w:rsid w:val="000350C6"/>
    <w:rsid w:val="000351F5"/>
    <w:rsid w:val="00035A3D"/>
    <w:rsid w:val="00035B28"/>
    <w:rsid w:val="00035CCF"/>
    <w:rsid w:val="00036138"/>
    <w:rsid w:val="000362B7"/>
    <w:rsid w:val="000362DC"/>
    <w:rsid w:val="0003727F"/>
    <w:rsid w:val="00037DC7"/>
    <w:rsid w:val="0004075F"/>
    <w:rsid w:val="000411B9"/>
    <w:rsid w:val="000425CF"/>
    <w:rsid w:val="00043080"/>
    <w:rsid w:val="00045986"/>
    <w:rsid w:val="00045BC9"/>
    <w:rsid w:val="00045C5A"/>
    <w:rsid w:val="00045F9D"/>
    <w:rsid w:val="0004601E"/>
    <w:rsid w:val="00046049"/>
    <w:rsid w:val="00046436"/>
    <w:rsid w:val="00047E54"/>
    <w:rsid w:val="000502D9"/>
    <w:rsid w:val="0005055D"/>
    <w:rsid w:val="000514DF"/>
    <w:rsid w:val="00051D71"/>
    <w:rsid w:val="00053B7D"/>
    <w:rsid w:val="00053BEB"/>
    <w:rsid w:val="00054025"/>
    <w:rsid w:val="00054958"/>
    <w:rsid w:val="00054A1D"/>
    <w:rsid w:val="000552BA"/>
    <w:rsid w:val="00055664"/>
    <w:rsid w:val="00055B6C"/>
    <w:rsid w:val="000576BA"/>
    <w:rsid w:val="00057B13"/>
    <w:rsid w:val="00060038"/>
    <w:rsid w:val="0006183A"/>
    <w:rsid w:val="00061B71"/>
    <w:rsid w:val="000622E1"/>
    <w:rsid w:val="00062705"/>
    <w:rsid w:val="0006309A"/>
    <w:rsid w:val="000636B5"/>
    <w:rsid w:val="00063D47"/>
    <w:rsid w:val="00066B14"/>
    <w:rsid w:val="00067139"/>
    <w:rsid w:val="00067665"/>
    <w:rsid w:val="000677D6"/>
    <w:rsid w:val="000708B5"/>
    <w:rsid w:val="00070A61"/>
    <w:rsid w:val="00070FFF"/>
    <w:rsid w:val="00071E2A"/>
    <w:rsid w:val="0007331D"/>
    <w:rsid w:val="00073CD9"/>
    <w:rsid w:val="000741B4"/>
    <w:rsid w:val="0007434E"/>
    <w:rsid w:val="000749FE"/>
    <w:rsid w:val="000750DE"/>
    <w:rsid w:val="000764FB"/>
    <w:rsid w:val="00077A4B"/>
    <w:rsid w:val="000807EE"/>
    <w:rsid w:val="000814B9"/>
    <w:rsid w:val="000820D8"/>
    <w:rsid w:val="00082932"/>
    <w:rsid w:val="00082A5C"/>
    <w:rsid w:val="00083353"/>
    <w:rsid w:val="000865E8"/>
    <w:rsid w:val="000872B3"/>
    <w:rsid w:val="00087462"/>
    <w:rsid w:val="00087BB2"/>
    <w:rsid w:val="00087FBF"/>
    <w:rsid w:val="000901F6"/>
    <w:rsid w:val="00090B21"/>
    <w:rsid w:val="00090F9C"/>
    <w:rsid w:val="00092575"/>
    <w:rsid w:val="000928E3"/>
    <w:rsid w:val="0009479D"/>
    <w:rsid w:val="00094ECF"/>
    <w:rsid w:val="0009697B"/>
    <w:rsid w:val="00096C35"/>
    <w:rsid w:val="000973D8"/>
    <w:rsid w:val="00097696"/>
    <w:rsid w:val="000A07DB"/>
    <w:rsid w:val="000A388C"/>
    <w:rsid w:val="000A3E45"/>
    <w:rsid w:val="000A3EA3"/>
    <w:rsid w:val="000A51B9"/>
    <w:rsid w:val="000A5591"/>
    <w:rsid w:val="000A5B9E"/>
    <w:rsid w:val="000A714F"/>
    <w:rsid w:val="000A72A7"/>
    <w:rsid w:val="000A7FDB"/>
    <w:rsid w:val="000B0214"/>
    <w:rsid w:val="000B2F7E"/>
    <w:rsid w:val="000B30DC"/>
    <w:rsid w:val="000B34DF"/>
    <w:rsid w:val="000B35F0"/>
    <w:rsid w:val="000B3835"/>
    <w:rsid w:val="000B4FB9"/>
    <w:rsid w:val="000B7D05"/>
    <w:rsid w:val="000C0171"/>
    <w:rsid w:val="000C02C7"/>
    <w:rsid w:val="000C0C87"/>
    <w:rsid w:val="000C1999"/>
    <w:rsid w:val="000C3E6E"/>
    <w:rsid w:val="000C3FA3"/>
    <w:rsid w:val="000C4F9B"/>
    <w:rsid w:val="000C5376"/>
    <w:rsid w:val="000C5887"/>
    <w:rsid w:val="000C5D66"/>
    <w:rsid w:val="000C6B4B"/>
    <w:rsid w:val="000D0040"/>
    <w:rsid w:val="000D1347"/>
    <w:rsid w:val="000D2331"/>
    <w:rsid w:val="000D29EA"/>
    <w:rsid w:val="000D3B70"/>
    <w:rsid w:val="000D4600"/>
    <w:rsid w:val="000D4A96"/>
    <w:rsid w:val="000D4D30"/>
    <w:rsid w:val="000D4E8C"/>
    <w:rsid w:val="000D54D9"/>
    <w:rsid w:val="000D5CB8"/>
    <w:rsid w:val="000D63F7"/>
    <w:rsid w:val="000D654D"/>
    <w:rsid w:val="000D702E"/>
    <w:rsid w:val="000D7090"/>
    <w:rsid w:val="000D741F"/>
    <w:rsid w:val="000D78DA"/>
    <w:rsid w:val="000D7F3D"/>
    <w:rsid w:val="000E0857"/>
    <w:rsid w:val="000E1015"/>
    <w:rsid w:val="000E13C0"/>
    <w:rsid w:val="000E2EB6"/>
    <w:rsid w:val="000E4892"/>
    <w:rsid w:val="000E4B3C"/>
    <w:rsid w:val="000E4FE9"/>
    <w:rsid w:val="000E556A"/>
    <w:rsid w:val="000E574D"/>
    <w:rsid w:val="000E71E1"/>
    <w:rsid w:val="000F115C"/>
    <w:rsid w:val="000F1370"/>
    <w:rsid w:val="000F1B7B"/>
    <w:rsid w:val="000F232C"/>
    <w:rsid w:val="000F486C"/>
    <w:rsid w:val="000F4B5B"/>
    <w:rsid w:val="000F5821"/>
    <w:rsid w:val="000F71E2"/>
    <w:rsid w:val="000F7AC3"/>
    <w:rsid w:val="00102426"/>
    <w:rsid w:val="0010271E"/>
    <w:rsid w:val="00102875"/>
    <w:rsid w:val="0010292B"/>
    <w:rsid w:val="00102C19"/>
    <w:rsid w:val="001035C9"/>
    <w:rsid w:val="00103857"/>
    <w:rsid w:val="00103BE7"/>
    <w:rsid w:val="00104686"/>
    <w:rsid w:val="00104863"/>
    <w:rsid w:val="00104980"/>
    <w:rsid w:val="001063A9"/>
    <w:rsid w:val="00106702"/>
    <w:rsid w:val="00106EA3"/>
    <w:rsid w:val="0010737C"/>
    <w:rsid w:val="0011019C"/>
    <w:rsid w:val="00110C02"/>
    <w:rsid w:val="00113BAD"/>
    <w:rsid w:val="00113E22"/>
    <w:rsid w:val="00115682"/>
    <w:rsid w:val="001158B0"/>
    <w:rsid w:val="00117470"/>
    <w:rsid w:val="00117EF9"/>
    <w:rsid w:val="001204B7"/>
    <w:rsid w:val="00120C9A"/>
    <w:rsid w:val="001212CF"/>
    <w:rsid w:val="001227C0"/>
    <w:rsid w:val="001237A2"/>
    <w:rsid w:val="001246F2"/>
    <w:rsid w:val="001251B3"/>
    <w:rsid w:val="001276BA"/>
    <w:rsid w:val="0013084F"/>
    <w:rsid w:val="00132787"/>
    <w:rsid w:val="001329EE"/>
    <w:rsid w:val="00133943"/>
    <w:rsid w:val="00133C76"/>
    <w:rsid w:val="001358B0"/>
    <w:rsid w:val="00136632"/>
    <w:rsid w:val="00136B59"/>
    <w:rsid w:val="00137219"/>
    <w:rsid w:val="001400F5"/>
    <w:rsid w:val="00140186"/>
    <w:rsid w:val="00140D67"/>
    <w:rsid w:val="001413A4"/>
    <w:rsid w:val="001414F8"/>
    <w:rsid w:val="0014275E"/>
    <w:rsid w:val="00143343"/>
    <w:rsid w:val="0014348B"/>
    <w:rsid w:val="00144A93"/>
    <w:rsid w:val="001450CC"/>
    <w:rsid w:val="00146231"/>
    <w:rsid w:val="001501CC"/>
    <w:rsid w:val="00150942"/>
    <w:rsid w:val="00150CC5"/>
    <w:rsid w:val="00151120"/>
    <w:rsid w:val="001518D0"/>
    <w:rsid w:val="0015258B"/>
    <w:rsid w:val="00152E44"/>
    <w:rsid w:val="00152FFB"/>
    <w:rsid w:val="001537C6"/>
    <w:rsid w:val="00156B7E"/>
    <w:rsid w:val="00156B95"/>
    <w:rsid w:val="001602BC"/>
    <w:rsid w:val="00160FEF"/>
    <w:rsid w:val="00161CE1"/>
    <w:rsid w:val="0016442B"/>
    <w:rsid w:val="00164E31"/>
    <w:rsid w:val="00165990"/>
    <w:rsid w:val="00165EC5"/>
    <w:rsid w:val="001667B2"/>
    <w:rsid w:val="00166C15"/>
    <w:rsid w:val="001671ED"/>
    <w:rsid w:val="0017057E"/>
    <w:rsid w:val="00171652"/>
    <w:rsid w:val="001720F4"/>
    <w:rsid w:val="0017254E"/>
    <w:rsid w:val="001730C7"/>
    <w:rsid w:val="00173B54"/>
    <w:rsid w:val="00173F9A"/>
    <w:rsid w:val="00174BB3"/>
    <w:rsid w:val="0017598E"/>
    <w:rsid w:val="00175A6E"/>
    <w:rsid w:val="001760FB"/>
    <w:rsid w:val="00180400"/>
    <w:rsid w:val="00180560"/>
    <w:rsid w:val="0018069E"/>
    <w:rsid w:val="00180CF9"/>
    <w:rsid w:val="001813E2"/>
    <w:rsid w:val="00181A28"/>
    <w:rsid w:val="00181FFA"/>
    <w:rsid w:val="00183433"/>
    <w:rsid w:val="00184753"/>
    <w:rsid w:val="001857EB"/>
    <w:rsid w:val="00185820"/>
    <w:rsid w:val="00186D46"/>
    <w:rsid w:val="00187493"/>
    <w:rsid w:val="001876F7"/>
    <w:rsid w:val="00187CA6"/>
    <w:rsid w:val="00187EEB"/>
    <w:rsid w:val="00190261"/>
    <w:rsid w:val="001910AF"/>
    <w:rsid w:val="00191404"/>
    <w:rsid w:val="00191DF3"/>
    <w:rsid w:val="00192072"/>
    <w:rsid w:val="001937BB"/>
    <w:rsid w:val="00193B76"/>
    <w:rsid w:val="00195695"/>
    <w:rsid w:val="00195EE1"/>
    <w:rsid w:val="0019637C"/>
    <w:rsid w:val="001963F6"/>
    <w:rsid w:val="001A1D3C"/>
    <w:rsid w:val="001A27EF"/>
    <w:rsid w:val="001A2F9F"/>
    <w:rsid w:val="001A3B61"/>
    <w:rsid w:val="001A51D7"/>
    <w:rsid w:val="001A562E"/>
    <w:rsid w:val="001A6B0D"/>
    <w:rsid w:val="001A7523"/>
    <w:rsid w:val="001A7B94"/>
    <w:rsid w:val="001A7BD5"/>
    <w:rsid w:val="001B0297"/>
    <w:rsid w:val="001B062F"/>
    <w:rsid w:val="001B0CE4"/>
    <w:rsid w:val="001B41F4"/>
    <w:rsid w:val="001B4DF5"/>
    <w:rsid w:val="001B60BF"/>
    <w:rsid w:val="001B60E1"/>
    <w:rsid w:val="001B6DFA"/>
    <w:rsid w:val="001C013E"/>
    <w:rsid w:val="001C0AD5"/>
    <w:rsid w:val="001C1F26"/>
    <w:rsid w:val="001C2DEE"/>
    <w:rsid w:val="001C4A51"/>
    <w:rsid w:val="001C62AF"/>
    <w:rsid w:val="001C69C8"/>
    <w:rsid w:val="001C7A77"/>
    <w:rsid w:val="001D15C4"/>
    <w:rsid w:val="001D1DD9"/>
    <w:rsid w:val="001D2573"/>
    <w:rsid w:val="001D266D"/>
    <w:rsid w:val="001D422A"/>
    <w:rsid w:val="001D5008"/>
    <w:rsid w:val="001D68AA"/>
    <w:rsid w:val="001D77A9"/>
    <w:rsid w:val="001E0082"/>
    <w:rsid w:val="001E06EE"/>
    <w:rsid w:val="001E0C50"/>
    <w:rsid w:val="001E1D03"/>
    <w:rsid w:val="001E2E76"/>
    <w:rsid w:val="001E30DB"/>
    <w:rsid w:val="001E31E9"/>
    <w:rsid w:val="001E32EA"/>
    <w:rsid w:val="001E3899"/>
    <w:rsid w:val="001E3B9B"/>
    <w:rsid w:val="001E6389"/>
    <w:rsid w:val="001E7E96"/>
    <w:rsid w:val="001F0B8B"/>
    <w:rsid w:val="001F1068"/>
    <w:rsid w:val="001F13CF"/>
    <w:rsid w:val="001F1785"/>
    <w:rsid w:val="001F41A0"/>
    <w:rsid w:val="001F4BF6"/>
    <w:rsid w:val="001F530E"/>
    <w:rsid w:val="001F654E"/>
    <w:rsid w:val="001F78F5"/>
    <w:rsid w:val="00200EB5"/>
    <w:rsid w:val="00200F1F"/>
    <w:rsid w:val="00201474"/>
    <w:rsid w:val="002019B0"/>
    <w:rsid w:val="0020225F"/>
    <w:rsid w:val="0020285E"/>
    <w:rsid w:val="00202E6B"/>
    <w:rsid w:val="002037C5"/>
    <w:rsid w:val="00204379"/>
    <w:rsid w:val="00204552"/>
    <w:rsid w:val="00206943"/>
    <w:rsid w:val="0020765B"/>
    <w:rsid w:val="00210288"/>
    <w:rsid w:val="002106FD"/>
    <w:rsid w:val="0021105F"/>
    <w:rsid w:val="00212B01"/>
    <w:rsid w:val="0021332F"/>
    <w:rsid w:val="0022008D"/>
    <w:rsid w:val="00224900"/>
    <w:rsid w:val="00224956"/>
    <w:rsid w:val="00224A07"/>
    <w:rsid w:val="002250E6"/>
    <w:rsid w:val="0022582D"/>
    <w:rsid w:val="002258D2"/>
    <w:rsid w:val="00226168"/>
    <w:rsid w:val="00226530"/>
    <w:rsid w:val="002266BE"/>
    <w:rsid w:val="00227546"/>
    <w:rsid w:val="002302BE"/>
    <w:rsid w:val="00230BCE"/>
    <w:rsid w:val="00230C8E"/>
    <w:rsid w:val="00230E5C"/>
    <w:rsid w:val="00231516"/>
    <w:rsid w:val="00231517"/>
    <w:rsid w:val="00231CF4"/>
    <w:rsid w:val="00233519"/>
    <w:rsid w:val="00233B57"/>
    <w:rsid w:val="00235F38"/>
    <w:rsid w:val="00236C10"/>
    <w:rsid w:val="002403DE"/>
    <w:rsid w:val="002409B0"/>
    <w:rsid w:val="002420D1"/>
    <w:rsid w:val="00242903"/>
    <w:rsid w:val="00243082"/>
    <w:rsid w:val="00244D22"/>
    <w:rsid w:val="00245F8A"/>
    <w:rsid w:val="00246088"/>
    <w:rsid w:val="00246552"/>
    <w:rsid w:val="0024740D"/>
    <w:rsid w:val="0025166C"/>
    <w:rsid w:val="002521EA"/>
    <w:rsid w:val="00252F24"/>
    <w:rsid w:val="002536AF"/>
    <w:rsid w:val="0025521B"/>
    <w:rsid w:val="0025574B"/>
    <w:rsid w:val="002562EF"/>
    <w:rsid w:val="00256EE3"/>
    <w:rsid w:val="00256F9D"/>
    <w:rsid w:val="00257B44"/>
    <w:rsid w:val="00257C45"/>
    <w:rsid w:val="0026003F"/>
    <w:rsid w:val="00260C5A"/>
    <w:rsid w:val="002614C5"/>
    <w:rsid w:val="002615CE"/>
    <w:rsid w:val="00261DFF"/>
    <w:rsid w:val="002624A0"/>
    <w:rsid w:val="002627EC"/>
    <w:rsid w:val="00263EB6"/>
    <w:rsid w:val="00264B68"/>
    <w:rsid w:val="00265635"/>
    <w:rsid w:val="00265734"/>
    <w:rsid w:val="00266884"/>
    <w:rsid w:val="00267470"/>
    <w:rsid w:val="00267532"/>
    <w:rsid w:val="00270430"/>
    <w:rsid w:val="00270781"/>
    <w:rsid w:val="002719AA"/>
    <w:rsid w:val="00271E20"/>
    <w:rsid w:val="00271ED1"/>
    <w:rsid w:val="0027369C"/>
    <w:rsid w:val="00273E9B"/>
    <w:rsid w:val="00274763"/>
    <w:rsid w:val="00274E29"/>
    <w:rsid w:val="00275676"/>
    <w:rsid w:val="00275698"/>
    <w:rsid w:val="00275E8C"/>
    <w:rsid w:val="00276F3F"/>
    <w:rsid w:val="00277B30"/>
    <w:rsid w:val="00277FBA"/>
    <w:rsid w:val="00283214"/>
    <w:rsid w:val="002834A6"/>
    <w:rsid w:val="00285089"/>
    <w:rsid w:val="002857DE"/>
    <w:rsid w:val="00285BEA"/>
    <w:rsid w:val="00286EAD"/>
    <w:rsid w:val="00287716"/>
    <w:rsid w:val="002878B9"/>
    <w:rsid w:val="00287CC1"/>
    <w:rsid w:val="00287D72"/>
    <w:rsid w:val="00287ED6"/>
    <w:rsid w:val="00291A25"/>
    <w:rsid w:val="002920C7"/>
    <w:rsid w:val="0029367E"/>
    <w:rsid w:val="00293837"/>
    <w:rsid w:val="002946B1"/>
    <w:rsid w:val="00294859"/>
    <w:rsid w:val="0029548F"/>
    <w:rsid w:val="00295A41"/>
    <w:rsid w:val="00296A5C"/>
    <w:rsid w:val="00296CD4"/>
    <w:rsid w:val="00296D15"/>
    <w:rsid w:val="00297576"/>
    <w:rsid w:val="002A2F83"/>
    <w:rsid w:val="002A3202"/>
    <w:rsid w:val="002A323A"/>
    <w:rsid w:val="002A355D"/>
    <w:rsid w:val="002A3C22"/>
    <w:rsid w:val="002A3F2B"/>
    <w:rsid w:val="002A41E9"/>
    <w:rsid w:val="002A48A5"/>
    <w:rsid w:val="002A5209"/>
    <w:rsid w:val="002A5219"/>
    <w:rsid w:val="002A6D3F"/>
    <w:rsid w:val="002A732B"/>
    <w:rsid w:val="002A73F4"/>
    <w:rsid w:val="002A7DEB"/>
    <w:rsid w:val="002B10B1"/>
    <w:rsid w:val="002B147F"/>
    <w:rsid w:val="002B1B5D"/>
    <w:rsid w:val="002B1D44"/>
    <w:rsid w:val="002B2032"/>
    <w:rsid w:val="002B291A"/>
    <w:rsid w:val="002B29D7"/>
    <w:rsid w:val="002B31D1"/>
    <w:rsid w:val="002B3224"/>
    <w:rsid w:val="002B4ABB"/>
    <w:rsid w:val="002B4B18"/>
    <w:rsid w:val="002B66B2"/>
    <w:rsid w:val="002B68EE"/>
    <w:rsid w:val="002B72EB"/>
    <w:rsid w:val="002B7380"/>
    <w:rsid w:val="002B7E5F"/>
    <w:rsid w:val="002C017B"/>
    <w:rsid w:val="002C0B23"/>
    <w:rsid w:val="002C20C2"/>
    <w:rsid w:val="002C3D5F"/>
    <w:rsid w:val="002C40AD"/>
    <w:rsid w:val="002C47C2"/>
    <w:rsid w:val="002C4A8A"/>
    <w:rsid w:val="002C58D0"/>
    <w:rsid w:val="002C620D"/>
    <w:rsid w:val="002C7315"/>
    <w:rsid w:val="002C790F"/>
    <w:rsid w:val="002D057F"/>
    <w:rsid w:val="002D0DD3"/>
    <w:rsid w:val="002D1E9F"/>
    <w:rsid w:val="002D3900"/>
    <w:rsid w:val="002D4444"/>
    <w:rsid w:val="002D4F55"/>
    <w:rsid w:val="002D77C3"/>
    <w:rsid w:val="002E01BC"/>
    <w:rsid w:val="002E0B77"/>
    <w:rsid w:val="002E2413"/>
    <w:rsid w:val="002E2481"/>
    <w:rsid w:val="002E3E7A"/>
    <w:rsid w:val="002E5BB9"/>
    <w:rsid w:val="002E7623"/>
    <w:rsid w:val="002E7A50"/>
    <w:rsid w:val="002F0221"/>
    <w:rsid w:val="002F0271"/>
    <w:rsid w:val="002F02B9"/>
    <w:rsid w:val="002F053D"/>
    <w:rsid w:val="002F1471"/>
    <w:rsid w:val="002F1FE6"/>
    <w:rsid w:val="002F21EB"/>
    <w:rsid w:val="002F3A18"/>
    <w:rsid w:val="002F492D"/>
    <w:rsid w:val="002F4C00"/>
    <w:rsid w:val="002F5FA5"/>
    <w:rsid w:val="002F62B5"/>
    <w:rsid w:val="002F72AF"/>
    <w:rsid w:val="002F7C81"/>
    <w:rsid w:val="003003CC"/>
    <w:rsid w:val="003009D4"/>
    <w:rsid w:val="00300FAC"/>
    <w:rsid w:val="0030155E"/>
    <w:rsid w:val="00302596"/>
    <w:rsid w:val="00303B1E"/>
    <w:rsid w:val="00303FDE"/>
    <w:rsid w:val="0030527C"/>
    <w:rsid w:val="0030543B"/>
    <w:rsid w:val="00305695"/>
    <w:rsid w:val="00305796"/>
    <w:rsid w:val="00306589"/>
    <w:rsid w:val="003071B1"/>
    <w:rsid w:val="003076BD"/>
    <w:rsid w:val="00310981"/>
    <w:rsid w:val="00310C4C"/>
    <w:rsid w:val="00311101"/>
    <w:rsid w:val="00311B24"/>
    <w:rsid w:val="00312201"/>
    <w:rsid w:val="00312B52"/>
    <w:rsid w:val="00312C90"/>
    <w:rsid w:val="00312DC2"/>
    <w:rsid w:val="00313846"/>
    <w:rsid w:val="003143D7"/>
    <w:rsid w:val="00314BF5"/>
    <w:rsid w:val="00314DD9"/>
    <w:rsid w:val="00315FF7"/>
    <w:rsid w:val="00316223"/>
    <w:rsid w:val="00316E99"/>
    <w:rsid w:val="00320EA2"/>
    <w:rsid w:val="00321148"/>
    <w:rsid w:val="00322B4C"/>
    <w:rsid w:val="003238A4"/>
    <w:rsid w:val="00324D82"/>
    <w:rsid w:val="00325ED9"/>
    <w:rsid w:val="00326311"/>
    <w:rsid w:val="003264B5"/>
    <w:rsid w:val="00327FED"/>
    <w:rsid w:val="003306D5"/>
    <w:rsid w:val="0033074D"/>
    <w:rsid w:val="003309E0"/>
    <w:rsid w:val="00330C6F"/>
    <w:rsid w:val="00330E4F"/>
    <w:rsid w:val="003319B1"/>
    <w:rsid w:val="00331A9F"/>
    <w:rsid w:val="00331E34"/>
    <w:rsid w:val="00332923"/>
    <w:rsid w:val="00332ACC"/>
    <w:rsid w:val="0033319F"/>
    <w:rsid w:val="003353CB"/>
    <w:rsid w:val="00336ED3"/>
    <w:rsid w:val="0033778E"/>
    <w:rsid w:val="00337DBF"/>
    <w:rsid w:val="00337F8C"/>
    <w:rsid w:val="00341803"/>
    <w:rsid w:val="003426CF"/>
    <w:rsid w:val="0034281D"/>
    <w:rsid w:val="00343D93"/>
    <w:rsid w:val="0034462C"/>
    <w:rsid w:val="00345526"/>
    <w:rsid w:val="003457D6"/>
    <w:rsid w:val="00346296"/>
    <w:rsid w:val="00346CEC"/>
    <w:rsid w:val="0034719E"/>
    <w:rsid w:val="00347A49"/>
    <w:rsid w:val="00347D39"/>
    <w:rsid w:val="003501D2"/>
    <w:rsid w:val="003505C8"/>
    <w:rsid w:val="0035164D"/>
    <w:rsid w:val="00351C23"/>
    <w:rsid w:val="00352039"/>
    <w:rsid w:val="0035213A"/>
    <w:rsid w:val="00352203"/>
    <w:rsid w:val="0035243A"/>
    <w:rsid w:val="00352931"/>
    <w:rsid w:val="00352CBB"/>
    <w:rsid w:val="0035403C"/>
    <w:rsid w:val="0035501F"/>
    <w:rsid w:val="0035596B"/>
    <w:rsid w:val="0035662A"/>
    <w:rsid w:val="0036070B"/>
    <w:rsid w:val="003607EF"/>
    <w:rsid w:val="00361A9D"/>
    <w:rsid w:val="00361AB1"/>
    <w:rsid w:val="003623E9"/>
    <w:rsid w:val="00362F0D"/>
    <w:rsid w:val="00363AC0"/>
    <w:rsid w:val="00363F27"/>
    <w:rsid w:val="00364879"/>
    <w:rsid w:val="003649F3"/>
    <w:rsid w:val="00364D9F"/>
    <w:rsid w:val="003652EE"/>
    <w:rsid w:val="00365395"/>
    <w:rsid w:val="00366432"/>
    <w:rsid w:val="003666F7"/>
    <w:rsid w:val="0036681D"/>
    <w:rsid w:val="003673A8"/>
    <w:rsid w:val="00367E73"/>
    <w:rsid w:val="0037028F"/>
    <w:rsid w:val="003702FE"/>
    <w:rsid w:val="00371F9E"/>
    <w:rsid w:val="003726DC"/>
    <w:rsid w:val="00373C0B"/>
    <w:rsid w:val="00374341"/>
    <w:rsid w:val="00374FD0"/>
    <w:rsid w:val="00376203"/>
    <w:rsid w:val="003769C1"/>
    <w:rsid w:val="00377565"/>
    <w:rsid w:val="00377D7C"/>
    <w:rsid w:val="00380D3E"/>
    <w:rsid w:val="00380F70"/>
    <w:rsid w:val="003822F2"/>
    <w:rsid w:val="003823DC"/>
    <w:rsid w:val="003824F3"/>
    <w:rsid w:val="00382C27"/>
    <w:rsid w:val="00383144"/>
    <w:rsid w:val="003838F4"/>
    <w:rsid w:val="003845E8"/>
    <w:rsid w:val="003848DC"/>
    <w:rsid w:val="00384CD2"/>
    <w:rsid w:val="003854B6"/>
    <w:rsid w:val="00385679"/>
    <w:rsid w:val="0038676E"/>
    <w:rsid w:val="003878FB"/>
    <w:rsid w:val="003905ED"/>
    <w:rsid w:val="00390851"/>
    <w:rsid w:val="00390BF2"/>
    <w:rsid w:val="00392B42"/>
    <w:rsid w:val="00392E69"/>
    <w:rsid w:val="00393202"/>
    <w:rsid w:val="003936D1"/>
    <w:rsid w:val="00393E4F"/>
    <w:rsid w:val="00394071"/>
    <w:rsid w:val="003943A0"/>
    <w:rsid w:val="003946EB"/>
    <w:rsid w:val="00394BF6"/>
    <w:rsid w:val="00394CE1"/>
    <w:rsid w:val="0039698F"/>
    <w:rsid w:val="003A2BD3"/>
    <w:rsid w:val="003A3DDF"/>
    <w:rsid w:val="003A4133"/>
    <w:rsid w:val="003A4565"/>
    <w:rsid w:val="003A5A4B"/>
    <w:rsid w:val="003A5B80"/>
    <w:rsid w:val="003A6987"/>
    <w:rsid w:val="003A751E"/>
    <w:rsid w:val="003B08F8"/>
    <w:rsid w:val="003B0B44"/>
    <w:rsid w:val="003B0C59"/>
    <w:rsid w:val="003B0FB9"/>
    <w:rsid w:val="003B1DB6"/>
    <w:rsid w:val="003B25FD"/>
    <w:rsid w:val="003B2607"/>
    <w:rsid w:val="003B3E5C"/>
    <w:rsid w:val="003B3F11"/>
    <w:rsid w:val="003B477F"/>
    <w:rsid w:val="003B4D8B"/>
    <w:rsid w:val="003B5FAE"/>
    <w:rsid w:val="003B6848"/>
    <w:rsid w:val="003B6ECA"/>
    <w:rsid w:val="003B7172"/>
    <w:rsid w:val="003B743E"/>
    <w:rsid w:val="003B75E6"/>
    <w:rsid w:val="003B7B57"/>
    <w:rsid w:val="003C0848"/>
    <w:rsid w:val="003C1878"/>
    <w:rsid w:val="003C21A3"/>
    <w:rsid w:val="003C2A4B"/>
    <w:rsid w:val="003C2BB5"/>
    <w:rsid w:val="003C3332"/>
    <w:rsid w:val="003C3598"/>
    <w:rsid w:val="003C3619"/>
    <w:rsid w:val="003C39DD"/>
    <w:rsid w:val="003C466E"/>
    <w:rsid w:val="003C4EBB"/>
    <w:rsid w:val="003C4F0C"/>
    <w:rsid w:val="003C59AB"/>
    <w:rsid w:val="003C5A33"/>
    <w:rsid w:val="003C65A1"/>
    <w:rsid w:val="003C6A23"/>
    <w:rsid w:val="003C6D3F"/>
    <w:rsid w:val="003C70D4"/>
    <w:rsid w:val="003C7235"/>
    <w:rsid w:val="003C771F"/>
    <w:rsid w:val="003C7B46"/>
    <w:rsid w:val="003C7BDD"/>
    <w:rsid w:val="003D10AF"/>
    <w:rsid w:val="003D157A"/>
    <w:rsid w:val="003D3BF1"/>
    <w:rsid w:val="003D3C05"/>
    <w:rsid w:val="003D4508"/>
    <w:rsid w:val="003D512E"/>
    <w:rsid w:val="003D53B3"/>
    <w:rsid w:val="003D6747"/>
    <w:rsid w:val="003D691F"/>
    <w:rsid w:val="003D69F4"/>
    <w:rsid w:val="003D7BF8"/>
    <w:rsid w:val="003D7D1C"/>
    <w:rsid w:val="003E0957"/>
    <w:rsid w:val="003E0AA5"/>
    <w:rsid w:val="003E1706"/>
    <w:rsid w:val="003E206D"/>
    <w:rsid w:val="003E2AC1"/>
    <w:rsid w:val="003E3B90"/>
    <w:rsid w:val="003E44B3"/>
    <w:rsid w:val="003E4512"/>
    <w:rsid w:val="003E4E58"/>
    <w:rsid w:val="003E62DD"/>
    <w:rsid w:val="003E6D51"/>
    <w:rsid w:val="003E7115"/>
    <w:rsid w:val="003E736B"/>
    <w:rsid w:val="003E7A09"/>
    <w:rsid w:val="003E7CDE"/>
    <w:rsid w:val="003F082A"/>
    <w:rsid w:val="003F1E6E"/>
    <w:rsid w:val="003F3704"/>
    <w:rsid w:val="003F3BC2"/>
    <w:rsid w:val="003F3F1B"/>
    <w:rsid w:val="003F5319"/>
    <w:rsid w:val="003F5E13"/>
    <w:rsid w:val="004005F4"/>
    <w:rsid w:val="00401B3A"/>
    <w:rsid w:val="00402BB6"/>
    <w:rsid w:val="00403136"/>
    <w:rsid w:val="0040324D"/>
    <w:rsid w:val="0040370B"/>
    <w:rsid w:val="004052CC"/>
    <w:rsid w:val="00406948"/>
    <w:rsid w:val="004072B8"/>
    <w:rsid w:val="00407B7D"/>
    <w:rsid w:val="00411767"/>
    <w:rsid w:val="00412744"/>
    <w:rsid w:val="00413245"/>
    <w:rsid w:val="004136C3"/>
    <w:rsid w:val="00415DB0"/>
    <w:rsid w:val="00415FB3"/>
    <w:rsid w:val="00416386"/>
    <w:rsid w:val="004171B1"/>
    <w:rsid w:val="004174E9"/>
    <w:rsid w:val="00417A62"/>
    <w:rsid w:val="0042041A"/>
    <w:rsid w:val="004204B2"/>
    <w:rsid w:val="00421490"/>
    <w:rsid w:val="0042256A"/>
    <w:rsid w:val="00423E0D"/>
    <w:rsid w:val="00424334"/>
    <w:rsid w:val="00424EEF"/>
    <w:rsid w:val="0042575E"/>
    <w:rsid w:val="00425775"/>
    <w:rsid w:val="00426D08"/>
    <w:rsid w:val="00426DB3"/>
    <w:rsid w:val="0042760A"/>
    <w:rsid w:val="00427906"/>
    <w:rsid w:val="004301B3"/>
    <w:rsid w:val="004313AF"/>
    <w:rsid w:val="00431CD0"/>
    <w:rsid w:val="0043225D"/>
    <w:rsid w:val="004366D0"/>
    <w:rsid w:val="00436BAF"/>
    <w:rsid w:val="00437048"/>
    <w:rsid w:val="004372B4"/>
    <w:rsid w:val="00437615"/>
    <w:rsid w:val="004419AF"/>
    <w:rsid w:val="00442F52"/>
    <w:rsid w:val="00444540"/>
    <w:rsid w:val="0044490B"/>
    <w:rsid w:val="00444B08"/>
    <w:rsid w:val="00444E0F"/>
    <w:rsid w:val="004451C7"/>
    <w:rsid w:val="004462BC"/>
    <w:rsid w:val="00447BFA"/>
    <w:rsid w:val="00452B11"/>
    <w:rsid w:val="00452B7A"/>
    <w:rsid w:val="00452D93"/>
    <w:rsid w:val="00452F99"/>
    <w:rsid w:val="00453C93"/>
    <w:rsid w:val="004547BE"/>
    <w:rsid w:val="00454A46"/>
    <w:rsid w:val="004556B2"/>
    <w:rsid w:val="00455750"/>
    <w:rsid w:val="00460026"/>
    <w:rsid w:val="00462559"/>
    <w:rsid w:val="004634CA"/>
    <w:rsid w:val="00463693"/>
    <w:rsid w:val="00463E92"/>
    <w:rsid w:val="00464C55"/>
    <w:rsid w:val="0046514E"/>
    <w:rsid w:val="0046681C"/>
    <w:rsid w:val="00466C09"/>
    <w:rsid w:val="00466E61"/>
    <w:rsid w:val="00467AB6"/>
    <w:rsid w:val="00467DBA"/>
    <w:rsid w:val="00467DF6"/>
    <w:rsid w:val="004701DA"/>
    <w:rsid w:val="00470AD8"/>
    <w:rsid w:val="00470F55"/>
    <w:rsid w:val="00471305"/>
    <w:rsid w:val="00471460"/>
    <w:rsid w:val="004717DE"/>
    <w:rsid w:val="00474108"/>
    <w:rsid w:val="0047588C"/>
    <w:rsid w:val="00475902"/>
    <w:rsid w:val="00476844"/>
    <w:rsid w:val="00476A38"/>
    <w:rsid w:val="00476E18"/>
    <w:rsid w:val="004778A9"/>
    <w:rsid w:val="00477D72"/>
    <w:rsid w:val="00477FAB"/>
    <w:rsid w:val="00480C09"/>
    <w:rsid w:val="00482025"/>
    <w:rsid w:val="00483DF4"/>
    <w:rsid w:val="00486161"/>
    <w:rsid w:val="00486ED4"/>
    <w:rsid w:val="0048732C"/>
    <w:rsid w:val="004877A4"/>
    <w:rsid w:val="00487FE6"/>
    <w:rsid w:val="00490516"/>
    <w:rsid w:val="00490DD0"/>
    <w:rsid w:val="0049122B"/>
    <w:rsid w:val="004919F8"/>
    <w:rsid w:val="00492962"/>
    <w:rsid w:val="00494080"/>
    <w:rsid w:val="004942A7"/>
    <w:rsid w:val="0049435B"/>
    <w:rsid w:val="00494EEC"/>
    <w:rsid w:val="00497682"/>
    <w:rsid w:val="004A0AAF"/>
    <w:rsid w:val="004A0E54"/>
    <w:rsid w:val="004A1ECA"/>
    <w:rsid w:val="004A203E"/>
    <w:rsid w:val="004A2210"/>
    <w:rsid w:val="004A4161"/>
    <w:rsid w:val="004A60CA"/>
    <w:rsid w:val="004A6E48"/>
    <w:rsid w:val="004A7226"/>
    <w:rsid w:val="004B000B"/>
    <w:rsid w:val="004B0089"/>
    <w:rsid w:val="004B0818"/>
    <w:rsid w:val="004B1E0A"/>
    <w:rsid w:val="004B2EB2"/>
    <w:rsid w:val="004B310E"/>
    <w:rsid w:val="004B45DC"/>
    <w:rsid w:val="004B50E7"/>
    <w:rsid w:val="004B6421"/>
    <w:rsid w:val="004C01BF"/>
    <w:rsid w:val="004C1994"/>
    <w:rsid w:val="004C283C"/>
    <w:rsid w:val="004C2F54"/>
    <w:rsid w:val="004C31F8"/>
    <w:rsid w:val="004C3270"/>
    <w:rsid w:val="004C3A47"/>
    <w:rsid w:val="004C4757"/>
    <w:rsid w:val="004C4DBC"/>
    <w:rsid w:val="004C54F0"/>
    <w:rsid w:val="004C5C47"/>
    <w:rsid w:val="004C5EBE"/>
    <w:rsid w:val="004C6D63"/>
    <w:rsid w:val="004C75CD"/>
    <w:rsid w:val="004C7A9D"/>
    <w:rsid w:val="004D0BF3"/>
    <w:rsid w:val="004D0CCA"/>
    <w:rsid w:val="004D0F69"/>
    <w:rsid w:val="004D13EF"/>
    <w:rsid w:val="004D16E1"/>
    <w:rsid w:val="004D1B60"/>
    <w:rsid w:val="004D2089"/>
    <w:rsid w:val="004D3DA5"/>
    <w:rsid w:val="004D6E25"/>
    <w:rsid w:val="004D703C"/>
    <w:rsid w:val="004E0C99"/>
    <w:rsid w:val="004E0FBA"/>
    <w:rsid w:val="004E1510"/>
    <w:rsid w:val="004E356F"/>
    <w:rsid w:val="004E3A5C"/>
    <w:rsid w:val="004E4FF5"/>
    <w:rsid w:val="004E50E2"/>
    <w:rsid w:val="004E6280"/>
    <w:rsid w:val="004E6574"/>
    <w:rsid w:val="004E7D23"/>
    <w:rsid w:val="004E7E15"/>
    <w:rsid w:val="004F114C"/>
    <w:rsid w:val="004F138F"/>
    <w:rsid w:val="004F21F9"/>
    <w:rsid w:val="004F29FC"/>
    <w:rsid w:val="004F2C64"/>
    <w:rsid w:val="004F2D66"/>
    <w:rsid w:val="004F564F"/>
    <w:rsid w:val="004F5B2B"/>
    <w:rsid w:val="004F5C1E"/>
    <w:rsid w:val="004F5D14"/>
    <w:rsid w:val="004F6285"/>
    <w:rsid w:val="004F6452"/>
    <w:rsid w:val="004F6961"/>
    <w:rsid w:val="004F6B3B"/>
    <w:rsid w:val="004F6E7C"/>
    <w:rsid w:val="004F746F"/>
    <w:rsid w:val="004F7B49"/>
    <w:rsid w:val="00500C64"/>
    <w:rsid w:val="00503C8B"/>
    <w:rsid w:val="0050428A"/>
    <w:rsid w:val="00504301"/>
    <w:rsid w:val="005045FA"/>
    <w:rsid w:val="005046B1"/>
    <w:rsid w:val="00504B58"/>
    <w:rsid w:val="00505C30"/>
    <w:rsid w:val="00506E67"/>
    <w:rsid w:val="00507FF7"/>
    <w:rsid w:val="00510129"/>
    <w:rsid w:val="005110B1"/>
    <w:rsid w:val="00511AF9"/>
    <w:rsid w:val="005137D0"/>
    <w:rsid w:val="00513C7F"/>
    <w:rsid w:val="00515079"/>
    <w:rsid w:val="00515715"/>
    <w:rsid w:val="00515C53"/>
    <w:rsid w:val="00516DBF"/>
    <w:rsid w:val="00516FA9"/>
    <w:rsid w:val="00517049"/>
    <w:rsid w:val="0051745E"/>
    <w:rsid w:val="005174DF"/>
    <w:rsid w:val="00517715"/>
    <w:rsid w:val="0051792F"/>
    <w:rsid w:val="00517C1F"/>
    <w:rsid w:val="005201F7"/>
    <w:rsid w:val="00520947"/>
    <w:rsid w:val="005211BE"/>
    <w:rsid w:val="00521EF8"/>
    <w:rsid w:val="00522294"/>
    <w:rsid w:val="005222DD"/>
    <w:rsid w:val="0052276C"/>
    <w:rsid w:val="005229C4"/>
    <w:rsid w:val="00522CDC"/>
    <w:rsid w:val="00523C27"/>
    <w:rsid w:val="00524059"/>
    <w:rsid w:val="00524C57"/>
    <w:rsid w:val="005252A9"/>
    <w:rsid w:val="005257AE"/>
    <w:rsid w:val="0052620A"/>
    <w:rsid w:val="005263F6"/>
    <w:rsid w:val="005266A5"/>
    <w:rsid w:val="00527670"/>
    <w:rsid w:val="0052793A"/>
    <w:rsid w:val="00527FD1"/>
    <w:rsid w:val="00531093"/>
    <w:rsid w:val="005313DA"/>
    <w:rsid w:val="0053175A"/>
    <w:rsid w:val="00531FEB"/>
    <w:rsid w:val="00532B39"/>
    <w:rsid w:val="00532C59"/>
    <w:rsid w:val="00532E45"/>
    <w:rsid w:val="005342FD"/>
    <w:rsid w:val="005357B1"/>
    <w:rsid w:val="00535C9C"/>
    <w:rsid w:val="00536502"/>
    <w:rsid w:val="00536831"/>
    <w:rsid w:val="00536B83"/>
    <w:rsid w:val="0053710D"/>
    <w:rsid w:val="005400CE"/>
    <w:rsid w:val="00540E06"/>
    <w:rsid w:val="00540FEE"/>
    <w:rsid w:val="0054145C"/>
    <w:rsid w:val="005428F9"/>
    <w:rsid w:val="00542910"/>
    <w:rsid w:val="00545C40"/>
    <w:rsid w:val="00545D87"/>
    <w:rsid w:val="00546647"/>
    <w:rsid w:val="00547002"/>
    <w:rsid w:val="00547937"/>
    <w:rsid w:val="00551255"/>
    <w:rsid w:val="00551283"/>
    <w:rsid w:val="00551788"/>
    <w:rsid w:val="005524CB"/>
    <w:rsid w:val="00555447"/>
    <w:rsid w:val="0055780A"/>
    <w:rsid w:val="00557B4D"/>
    <w:rsid w:val="00560604"/>
    <w:rsid w:val="005610C0"/>
    <w:rsid w:val="00561752"/>
    <w:rsid w:val="00561C60"/>
    <w:rsid w:val="00562CFF"/>
    <w:rsid w:val="00564048"/>
    <w:rsid w:val="0056425F"/>
    <w:rsid w:val="005656EF"/>
    <w:rsid w:val="00565B05"/>
    <w:rsid w:val="00565DB5"/>
    <w:rsid w:val="00570118"/>
    <w:rsid w:val="00571269"/>
    <w:rsid w:val="00572C49"/>
    <w:rsid w:val="005731B9"/>
    <w:rsid w:val="005737F2"/>
    <w:rsid w:val="00573C40"/>
    <w:rsid w:val="00574B2A"/>
    <w:rsid w:val="00576559"/>
    <w:rsid w:val="00577B61"/>
    <w:rsid w:val="00580137"/>
    <w:rsid w:val="00580203"/>
    <w:rsid w:val="005802F9"/>
    <w:rsid w:val="0058150F"/>
    <w:rsid w:val="00583120"/>
    <w:rsid w:val="00583F62"/>
    <w:rsid w:val="00586565"/>
    <w:rsid w:val="00586699"/>
    <w:rsid w:val="00586997"/>
    <w:rsid w:val="00590DF4"/>
    <w:rsid w:val="00590E5B"/>
    <w:rsid w:val="00590FB9"/>
    <w:rsid w:val="005919D7"/>
    <w:rsid w:val="00591B9B"/>
    <w:rsid w:val="005932BA"/>
    <w:rsid w:val="00594500"/>
    <w:rsid w:val="0059547F"/>
    <w:rsid w:val="00595578"/>
    <w:rsid w:val="00596A3E"/>
    <w:rsid w:val="00597795"/>
    <w:rsid w:val="00597C81"/>
    <w:rsid w:val="005A043B"/>
    <w:rsid w:val="005A044D"/>
    <w:rsid w:val="005A0496"/>
    <w:rsid w:val="005A160D"/>
    <w:rsid w:val="005A3D6D"/>
    <w:rsid w:val="005A3D8A"/>
    <w:rsid w:val="005A497C"/>
    <w:rsid w:val="005A593C"/>
    <w:rsid w:val="005A63C3"/>
    <w:rsid w:val="005A67CC"/>
    <w:rsid w:val="005B1D82"/>
    <w:rsid w:val="005B248E"/>
    <w:rsid w:val="005B2C28"/>
    <w:rsid w:val="005B35BD"/>
    <w:rsid w:val="005B3E0F"/>
    <w:rsid w:val="005B3F16"/>
    <w:rsid w:val="005B4771"/>
    <w:rsid w:val="005B5657"/>
    <w:rsid w:val="005B659C"/>
    <w:rsid w:val="005B733E"/>
    <w:rsid w:val="005B7694"/>
    <w:rsid w:val="005B7789"/>
    <w:rsid w:val="005B7AA2"/>
    <w:rsid w:val="005C03E7"/>
    <w:rsid w:val="005C216B"/>
    <w:rsid w:val="005C2F8A"/>
    <w:rsid w:val="005C386B"/>
    <w:rsid w:val="005C4CDE"/>
    <w:rsid w:val="005C51DB"/>
    <w:rsid w:val="005C566E"/>
    <w:rsid w:val="005C5878"/>
    <w:rsid w:val="005C6A04"/>
    <w:rsid w:val="005C7079"/>
    <w:rsid w:val="005C7366"/>
    <w:rsid w:val="005C7A1B"/>
    <w:rsid w:val="005D05FD"/>
    <w:rsid w:val="005D1540"/>
    <w:rsid w:val="005D429D"/>
    <w:rsid w:val="005D53F4"/>
    <w:rsid w:val="005E0D63"/>
    <w:rsid w:val="005E17CA"/>
    <w:rsid w:val="005E21AD"/>
    <w:rsid w:val="005E2804"/>
    <w:rsid w:val="005E2BD4"/>
    <w:rsid w:val="005E34A3"/>
    <w:rsid w:val="005E3981"/>
    <w:rsid w:val="005F011D"/>
    <w:rsid w:val="005F1A01"/>
    <w:rsid w:val="005F1B01"/>
    <w:rsid w:val="005F1C7D"/>
    <w:rsid w:val="005F1F23"/>
    <w:rsid w:val="005F3057"/>
    <w:rsid w:val="005F36F9"/>
    <w:rsid w:val="005F3A63"/>
    <w:rsid w:val="005F3A95"/>
    <w:rsid w:val="005F3E82"/>
    <w:rsid w:val="005F43D9"/>
    <w:rsid w:val="005F5E27"/>
    <w:rsid w:val="005F680C"/>
    <w:rsid w:val="005F7351"/>
    <w:rsid w:val="005F7772"/>
    <w:rsid w:val="005F7E9C"/>
    <w:rsid w:val="006002E2"/>
    <w:rsid w:val="0060079E"/>
    <w:rsid w:val="00601505"/>
    <w:rsid w:val="006016A2"/>
    <w:rsid w:val="00602B8F"/>
    <w:rsid w:val="00603B08"/>
    <w:rsid w:val="00605790"/>
    <w:rsid w:val="00605BB8"/>
    <w:rsid w:val="006066DB"/>
    <w:rsid w:val="006070EE"/>
    <w:rsid w:val="00610728"/>
    <w:rsid w:val="006121AA"/>
    <w:rsid w:val="00612F9C"/>
    <w:rsid w:val="00615151"/>
    <w:rsid w:val="00615DDC"/>
    <w:rsid w:val="00616815"/>
    <w:rsid w:val="00620704"/>
    <w:rsid w:val="00620AE9"/>
    <w:rsid w:val="00620E7A"/>
    <w:rsid w:val="00620FE6"/>
    <w:rsid w:val="0062138A"/>
    <w:rsid w:val="006217A2"/>
    <w:rsid w:val="00621942"/>
    <w:rsid w:val="00622153"/>
    <w:rsid w:val="00622A15"/>
    <w:rsid w:val="006234F0"/>
    <w:rsid w:val="00623EE2"/>
    <w:rsid w:val="00624770"/>
    <w:rsid w:val="006253C7"/>
    <w:rsid w:val="0062593C"/>
    <w:rsid w:val="00625A6B"/>
    <w:rsid w:val="0062604F"/>
    <w:rsid w:val="006277C1"/>
    <w:rsid w:val="00630283"/>
    <w:rsid w:val="00630B76"/>
    <w:rsid w:val="00631167"/>
    <w:rsid w:val="00633B7E"/>
    <w:rsid w:val="006355C2"/>
    <w:rsid w:val="00635F1D"/>
    <w:rsid w:val="00636E9B"/>
    <w:rsid w:val="006378ED"/>
    <w:rsid w:val="00641396"/>
    <w:rsid w:val="00641B14"/>
    <w:rsid w:val="00644E11"/>
    <w:rsid w:val="00650483"/>
    <w:rsid w:val="00650928"/>
    <w:rsid w:val="006514DC"/>
    <w:rsid w:val="00652A84"/>
    <w:rsid w:val="00652FF6"/>
    <w:rsid w:val="00654248"/>
    <w:rsid w:val="00654270"/>
    <w:rsid w:val="00655279"/>
    <w:rsid w:val="00655715"/>
    <w:rsid w:val="00655B1F"/>
    <w:rsid w:val="00655C30"/>
    <w:rsid w:val="006569D7"/>
    <w:rsid w:val="006609D7"/>
    <w:rsid w:val="00661EB8"/>
    <w:rsid w:val="00662938"/>
    <w:rsid w:val="00663F7D"/>
    <w:rsid w:val="006640A2"/>
    <w:rsid w:val="0066411E"/>
    <w:rsid w:val="0066420F"/>
    <w:rsid w:val="00664F2C"/>
    <w:rsid w:val="00664F81"/>
    <w:rsid w:val="006677CB"/>
    <w:rsid w:val="0066788A"/>
    <w:rsid w:val="00670AA5"/>
    <w:rsid w:val="00670D74"/>
    <w:rsid w:val="006711CB"/>
    <w:rsid w:val="00671E19"/>
    <w:rsid w:val="006723D6"/>
    <w:rsid w:val="006726B1"/>
    <w:rsid w:val="0067308A"/>
    <w:rsid w:val="00673F69"/>
    <w:rsid w:val="00675791"/>
    <w:rsid w:val="00675C92"/>
    <w:rsid w:val="0068022C"/>
    <w:rsid w:val="00680E87"/>
    <w:rsid w:val="006813CB"/>
    <w:rsid w:val="006820D3"/>
    <w:rsid w:val="0068225B"/>
    <w:rsid w:val="006825D8"/>
    <w:rsid w:val="00682F6B"/>
    <w:rsid w:val="00684435"/>
    <w:rsid w:val="00684642"/>
    <w:rsid w:val="006855C6"/>
    <w:rsid w:val="00685995"/>
    <w:rsid w:val="006865F2"/>
    <w:rsid w:val="0069019F"/>
    <w:rsid w:val="006911B6"/>
    <w:rsid w:val="0069188B"/>
    <w:rsid w:val="0069289E"/>
    <w:rsid w:val="00692B36"/>
    <w:rsid w:val="00692F3F"/>
    <w:rsid w:val="006938FD"/>
    <w:rsid w:val="0069629F"/>
    <w:rsid w:val="00696449"/>
    <w:rsid w:val="006966C1"/>
    <w:rsid w:val="00696F04"/>
    <w:rsid w:val="006A08E0"/>
    <w:rsid w:val="006A13D1"/>
    <w:rsid w:val="006A15E1"/>
    <w:rsid w:val="006A228F"/>
    <w:rsid w:val="006A234E"/>
    <w:rsid w:val="006A23B8"/>
    <w:rsid w:val="006A286D"/>
    <w:rsid w:val="006A3BF2"/>
    <w:rsid w:val="006A4167"/>
    <w:rsid w:val="006A5307"/>
    <w:rsid w:val="006A5CDC"/>
    <w:rsid w:val="006A7333"/>
    <w:rsid w:val="006A7646"/>
    <w:rsid w:val="006A7EB8"/>
    <w:rsid w:val="006B00CE"/>
    <w:rsid w:val="006B085F"/>
    <w:rsid w:val="006B10DD"/>
    <w:rsid w:val="006B1211"/>
    <w:rsid w:val="006B1428"/>
    <w:rsid w:val="006B1D1D"/>
    <w:rsid w:val="006B1F21"/>
    <w:rsid w:val="006B252E"/>
    <w:rsid w:val="006B4F23"/>
    <w:rsid w:val="006B53AC"/>
    <w:rsid w:val="006B63E1"/>
    <w:rsid w:val="006B662A"/>
    <w:rsid w:val="006B6BC1"/>
    <w:rsid w:val="006B6CEF"/>
    <w:rsid w:val="006B7282"/>
    <w:rsid w:val="006C1265"/>
    <w:rsid w:val="006C1413"/>
    <w:rsid w:val="006C1E2F"/>
    <w:rsid w:val="006C2326"/>
    <w:rsid w:val="006C375B"/>
    <w:rsid w:val="006C376F"/>
    <w:rsid w:val="006C40A3"/>
    <w:rsid w:val="006C48C8"/>
    <w:rsid w:val="006C5286"/>
    <w:rsid w:val="006C5421"/>
    <w:rsid w:val="006C580D"/>
    <w:rsid w:val="006C6009"/>
    <w:rsid w:val="006C6741"/>
    <w:rsid w:val="006D02F2"/>
    <w:rsid w:val="006D0595"/>
    <w:rsid w:val="006D05A6"/>
    <w:rsid w:val="006D087C"/>
    <w:rsid w:val="006D0EDA"/>
    <w:rsid w:val="006D4806"/>
    <w:rsid w:val="006D66F8"/>
    <w:rsid w:val="006E0D8D"/>
    <w:rsid w:val="006E0E76"/>
    <w:rsid w:val="006E1252"/>
    <w:rsid w:val="006E44AE"/>
    <w:rsid w:val="006E589E"/>
    <w:rsid w:val="006E6D8B"/>
    <w:rsid w:val="006E6FB0"/>
    <w:rsid w:val="006E72DA"/>
    <w:rsid w:val="006E7A4F"/>
    <w:rsid w:val="006E7CD7"/>
    <w:rsid w:val="006E7DB4"/>
    <w:rsid w:val="006F0537"/>
    <w:rsid w:val="006F0EB7"/>
    <w:rsid w:val="006F1651"/>
    <w:rsid w:val="006F1957"/>
    <w:rsid w:val="006F20F2"/>
    <w:rsid w:val="006F21D2"/>
    <w:rsid w:val="006F2520"/>
    <w:rsid w:val="006F328D"/>
    <w:rsid w:val="006F4218"/>
    <w:rsid w:val="006F42E2"/>
    <w:rsid w:val="006F5191"/>
    <w:rsid w:val="006F6338"/>
    <w:rsid w:val="006F700F"/>
    <w:rsid w:val="006F7B86"/>
    <w:rsid w:val="006F7BDB"/>
    <w:rsid w:val="007001E9"/>
    <w:rsid w:val="00702886"/>
    <w:rsid w:val="00703079"/>
    <w:rsid w:val="00705542"/>
    <w:rsid w:val="00705C6F"/>
    <w:rsid w:val="00706CA6"/>
    <w:rsid w:val="00706DE1"/>
    <w:rsid w:val="00707592"/>
    <w:rsid w:val="007078A1"/>
    <w:rsid w:val="00707CF6"/>
    <w:rsid w:val="0071022B"/>
    <w:rsid w:val="0071100A"/>
    <w:rsid w:val="00711383"/>
    <w:rsid w:val="00712B8E"/>
    <w:rsid w:val="0071336B"/>
    <w:rsid w:val="00714CD8"/>
    <w:rsid w:val="00717C76"/>
    <w:rsid w:val="00720D64"/>
    <w:rsid w:val="007224EB"/>
    <w:rsid w:val="007229C4"/>
    <w:rsid w:val="007240EE"/>
    <w:rsid w:val="007241D5"/>
    <w:rsid w:val="007242F2"/>
    <w:rsid w:val="00724B65"/>
    <w:rsid w:val="00724C6E"/>
    <w:rsid w:val="00725467"/>
    <w:rsid w:val="00726267"/>
    <w:rsid w:val="007279E5"/>
    <w:rsid w:val="00727CA4"/>
    <w:rsid w:val="00727DEC"/>
    <w:rsid w:val="007306C7"/>
    <w:rsid w:val="00730EEA"/>
    <w:rsid w:val="00731843"/>
    <w:rsid w:val="00731F3D"/>
    <w:rsid w:val="00732108"/>
    <w:rsid w:val="007322B9"/>
    <w:rsid w:val="007325D3"/>
    <w:rsid w:val="007325FA"/>
    <w:rsid w:val="00732ACD"/>
    <w:rsid w:val="007331E6"/>
    <w:rsid w:val="0073342A"/>
    <w:rsid w:val="00733D9F"/>
    <w:rsid w:val="00734125"/>
    <w:rsid w:val="00734353"/>
    <w:rsid w:val="00734B2B"/>
    <w:rsid w:val="00735E06"/>
    <w:rsid w:val="007365C7"/>
    <w:rsid w:val="0073704A"/>
    <w:rsid w:val="00737A9D"/>
    <w:rsid w:val="007402B0"/>
    <w:rsid w:val="0074085A"/>
    <w:rsid w:val="00740CDF"/>
    <w:rsid w:val="00740E2D"/>
    <w:rsid w:val="00741C11"/>
    <w:rsid w:val="00742F8E"/>
    <w:rsid w:val="00744771"/>
    <w:rsid w:val="00744F5A"/>
    <w:rsid w:val="00744FB5"/>
    <w:rsid w:val="007456F6"/>
    <w:rsid w:val="007457AD"/>
    <w:rsid w:val="0074585A"/>
    <w:rsid w:val="00746E7B"/>
    <w:rsid w:val="00747444"/>
    <w:rsid w:val="007476AA"/>
    <w:rsid w:val="00750F3A"/>
    <w:rsid w:val="0075167D"/>
    <w:rsid w:val="00751DD4"/>
    <w:rsid w:val="0075378D"/>
    <w:rsid w:val="00754F63"/>
    <w:rsid w:val="007554A3"/>
    <w:rsid w:val="00755550"/>
    <w:rsid w:val="007558E6"/>
    <w:rsid w:val="00755D5D"/>
    <w:rsid w:val="00757886"/>
    <w:rsid w:val="00757ABA"/>
    <w:rsid w:val="007611A5"/>
    <w:rsid w:val="0076136A"/>
    <w:rsid w:val="0076199F"/>
    <w:rsid w:val="00761FFC"/>
    <w:rsid w:val="00762803"/>
    <w:rsid w:val="007637DD"/>
    <w:rsid w:val="00763C97"/>
    <w:rsid w:val="00763D95"/>
    <w:rsid w:val="0076736D"/>
    <w:rsid w:val="00767C09"/>
    <w:rsid w:val="00771689"/>
    <w:rsid w:val="00771D66"/>
    <w:rsid w:val="00771E83"/>
    <w:rsid w:val="00772288"/>
    <w:rsid w:val="007732A8"/>
    <w:rsid w:val="007736FE"/>
    <w:rsid w:val="00773BAA"/>
    <w:rsid w:val="00776C67"/>
    <w:rsid w:val="007770F3"/>
    <w:rsid w:val="0077782C"/>
    <w:rsid w:val="00780BEC"/>
    <w:rsid w:val="00780CC2"/>
    <w:rsid w:val="00782194"/>
    <w:rsid w:val="00783275"/>
    <w:rsid w:val="00784437"/>
    <w:rsid w:val="00787914"/>
    <w:rsid w:val="007906B2"/>
    <w:rsid w:val="00790912"/>
    <w:rsid w:val="00791984"/>
    <w:rsid w:val="00792344"/>
    <w:rsid w:val="007923B1"/>
    <w:rsid w:val="007928BB"/>
    <w:rsid w:val="00793472"/>
    <w:rsid w:val="0079348D"/>
    <w:rsid w:val="00793908"/>
    <w:rsid w:val="007945C5"/>
    <w:rsid w:val="007948E8"/>
    <w:rsid w:val="00794FA8"/>
    <w:rsid w:val="0079515F"/>
    <w:rsid w:val="0079583C"/>
    <w:rsid w:val="00795D83"/>
    <w:rsid w:val="007964F0"/>
    <w:rsid w:val="007965C0"/>
    <w:rsid w:val="00796C34"/>
    <w:rsid w:val="00796D47"/>
    <w:rsid w:val="007A0B71"/>
    <w:rsid w:val="007A0C0E"/>
    <w:rsid w:val="007A105B"/>
    <w:rsid w:val="007A1106"/>
    <w:rsid w:val="007A11A0"/>
    <w:rsid w:val="007A246F"/>
    <w:rsid w:val="007A4EFE"/>
    <w:rsid w:val="007A6110"/>
    <w:rsid w:val="007A7010"/>
    <w:rsid w:val="007A7263"/>
    <w:rsid w:val="007A7C37"/>
    <w:rsid w:val="007B031D"/>
    <w:rsid w:val="007B13EA"/>
    <w:rsid w:val="007B14E6"/>
    <w:rsid w:val="007B2367"/>
    <w:rsid w:val="007B2F0A"/>
    <w:rsid w:val="007B3458"/>
    <w:rsid w:val="007B60EB"/>
    <w:rsid w:val="007B6F20"/>
    <w:rsid w:val="007B7FE1"/>
    <w:rsid w:val="007C004F"/>
    <w:rsid w:val="007C0FC3"/>
    <w:rsid w:val="007C160D"/>
    <w:rsid w:val="007C1659"/>
    <w:rsid w:val="007C1A0B"/>
    <w:rsid w:val="007C3727"/>
    <w:rsid w:val="007C3948"/>
    <w:rsid w:val="007C4183"/>
    <w:rsid w:val="007C6D8B"/>
    <w:rsid w:val="007C7157"/>
    <w:rsid w:val="007C7DBE"/>
    <w:rsid w:val="007C7EF6"/>
    <w:rsid w:val="007D079B"/>
    <w:rsid w:val="007D09DE"/>
    <w:rsid w:val="007D0D81"/>
    <w:rsid w:val="007D175F"/>
    <w:rsid w:val="007D215F"/>
    <w:rsid w:val="007D3ECC"/>
    <w:rsid w:val="007D63D1"/>
    <w:rsid w:val="007D738C"/>
    <w:rsid w:val="007D78B1"/>
    <w:rsid w:val="007D7A94"/>
    <w:rsid w:val="007E16E5"/>
    <w:rsid w:val="007E2212"/>
    <w:rsid w:val="007E2492"/>
    <w:rsid w:val="007E24FF"/>
    <w:rsid w:val="007E290E"/>
    <w:rsid w:val="007E31E8"/>
    <w:rsid w:val="007E3474"/>
    <w:rsid w:val="007E34CC"/>
    <w:rsid w:val="007E4EE1"/>
    <w:rsid w:val="007E66CC"/>
    <w:rsid w:val="007E6A84"/>
    <w:rsid w:val="007E785D"/>
    <w:rsid w:val="007E7D3F"/>
    <w:rsid w:val="007E7FFE"/>
    <w:rsid w:val="007F17C0"/>
    <w:rsid w:val="007F19DB"/>
    <w:rsid w:val="007F1F23"/>
    <w:rsid w:val="007F2E3C"/>
    <w:rsid w:val="007F4373"/>
    <w:rsid w:val="007F4717"/>
    <w:rsid w:val="007F4A60"/>
    <w:rsid w:val="007F4FD2"/>
    <w:rsid w:val="007F52E4"/>
    <w:rsid w:val="007F5702"/>
    <w:rsid w:val="007F6952"/>
    <w:rsid w:val="007F7752"/>
    <w:rsid w:val="007F7E16"/>
    <w:rsid w:val="008007D1"/>
    <w:rsid w:val="00800892"/>
    <w:rsid w:val="00800C34"/>
    <w:rsid w:val="00800E1E"/>
    <w:rsid w:val="00801442"/>
    <w:rsid w:val="008017A5"/>
    <w:rsid w:val="008018E4"/>
    <w:rsid w:val="00802097"/>
    <w:rsid w:val="00802B86"/>
    <w:rsid w:val="008030EE"/>
    <w:rsid w:val="0080313E"/>
    <w:rsid w:val="0080558A"/>
    <w:rsid w:val="00805E71"/>
    <w:rsid w:val="00805EDE"/>
    <w:rsid w:val="00805F8B"/>
    <w:rsid w:val="00805FA3"/>
    <w:rsid w:val="0080651B"/>
    <w:rsid w:val="00806669"/>
    <w:rsid w:val="00807003"/>
    <w:rsid w:val="00810911"/>
    <w:rsid w:val="00811CEB"/>
    <w:rsid w:val="00811E1F"/>
    <w:rsid w:val="00812547"/>
    <w:rsid w:val="00813662"/>
    <w:rsid w:val="0081451F"/>
    <w:rsid w:val="0081477F"/>
    <w:rsid w:val="008154CC"/>
    <w:rsid w:val="00816734"/>
    <w:rsid w:val="008168DE"/>
    <w:rsid w:val="00817345"/>
    <w:rsid w:val="00817CEC"/>
    <w:rsid w:val="00820E0B"/>
    <w:rsid w:val="00822099"/>
    <w:rsid w:val="008221AC"/>
    <w:rsid w:val="00822206"/>
    <w:rsid w:val="00823081"/>
    <w:rsid w:val="00823C66"/>
    <w:rsid w:val="00824754"/>
    <w:rsid w:val="0082488E"/>
    <w:rsid w:val="00824CD7"/>
    <w:rsid w:val="00825966"/>
    <w:rsid w:val="008260BB"/>
    <w:rsid w:val="008266BF"/>
    <w:rsid w:val="00830090"/>
    <w:rsid w:val="008315FB"/>
    <w:rsid w:val="00832542"/>
    <w:rsid w:val="00833220"/>
    <w:rsid w:val="00833C3D"/>
    <w:rsid w:val="0083417D"/>
    <w:rsid w:val="00834373"/>
    <w:rsid w:val="00834616"/>
    <w:rsid w:val="00834D41"/>
    <w:rsid w:val="0083746B"/>
    <w:rsid w:val="00837779"/>
    <w:rsid w:val="008379FB"/>
    <w:rsid w:val="0084035E"/>
    <w:rsid w:val="00840940"/>
    <w:rsid w:val="00840FA7"/>
    <w:rsid w:val="00842BC3"/>
    <w:rsid w:val="00843BF5"/>
    <w:rsid w:val="00843F59"/>
    <w:rsid w:val="00845997"/>
    <w:rsid w:val="00845F52"/>
    <w:rsid w:val="00846377"/>
    <w:rsid w:val="00847377"/>
    <w:rsid w:val="008514DC"/>
    <w:rsid w:val="0085278F"/>
    <w:rsid w:val="00852B97"/>
    <w:rsid w:val="00854D07"/>
    <w:rsid w:val="0085551D"/>
    <w:rsid w:val="00855639"/>
    <w:rsid w:val="008609BA"/>
    <w:rsid w:val="00861724"/>
    <w:rsid w:val="00861B06"/>
    <w:rsid w:val="00862744"/>
    <w:rsid w:val="00863361"/>
    <w:rsid w:val="008661DE"/>
    <w:rsid w:val="00866F29"/>
    <w:rsid w:val="00867286"/>
    <w:rsid w:val="008678F0"/>
    <w:rsid w:val="0086798C"/>
    <w:rsid w:val="008716A6"/>
    <w:rsid w:val="008716B1"/>
    <w:rsid w:val="008718B5"/>
    <w:rsid w:val="00871C96"/>
    <w:rsid w:val="00871DD2"/>
    <w:rsid w:val="00872C7B"/>
    <w:rsid w:val="008735F8"/>
    <w:rsid w:val="00873F2F"/>
    <w:rsid w:val="00874A7C"/>
    <w:rsid w:val="00874E11"/>
    <w:rsid w:val="00874E34"/>
    <w:rsid w:val="008762F8"/>
    <w:rsid w:val="00876E7E"/>
    <w:rsid w:val="0087740A"/>
    <w:rsid w:val="008774AA"/>
    <w:rsid w:val="00880C49"/>
    <w:rsid w:val="00880DA2"/>
    <w:rsid w:val="00881543"/>
    <w:rsid w:val="00881E57"/>
    <w:rsid w:val="00883B9C"/>
    <w:rsid w:val="00883E6F"/>
    <w:rsid w:val="00884A8B"/>
    <w:rsid w:val="00885737"/>
    <w:rsid w:val="00885EB2"/>
    <w:rsid w:val="00891A4B"/>
    <w:rsid w:val="00891C98"/>
    <w:rsid w:val="008927E3"/>
    <w:rsid w:val="00892AE5"/>
    <w:rsid w:val="008940BD"/>
    <w:rsid w:val="00894383"/>
    <w:rsid w:val="00896178"/>
    <w:rsid w:val="008962B0"/>
    <w:rsid w:val="00896324"/>
    <w:rsid w:val="00896A12"/>
    <w:rsid w:val="00896B42"/>
    <w:rsid w:val="00896B95"/>
    <w:rsid w:val="00896F73"/>
    <w:rsid w:val="00897171"/>
    <w:rsid w:val="0089755A"/>
    <w:rsid w:val="008A00C8"/>
    <w:rsid w:val="008A0BD2"/>
    <w:rsid w:val="008A17CE"/>
    <w:rsid w:val="008A4743"/>
    <w:rsid w:val="008A5373"/>
    <w:rsid w:val="008A6D56"/>
    <w:rsid w:val="008A7669"/>
    <w:rsid w:val="008A7881"/>
    <w:rsid w:val="008A78A6"/>
    <w:rsid w:val="008B012C"/>
    <w:rsid w:val="008B0521"/>
    <w:rsid w:val="008B06B1"/>
    <w:rsid w:val="008B07A2"/>
    <w:rsid w:val="008B1748"/>
    <w:rsid w:val="008B1DA8"/>
    <w:rsid w:val="008B1DB8"/>
    <w:rsid w:val="008B1E3B"/>
    <w:rsid w:val="008B31AB"/>
    <w:rsid w:val="008B337E"/>
    <w:rsid w:val="008B4CE7"/>
    <w:rsid w:val="008B5696"/>
    <w:rsid w:val="008B6A2F"/>
    <w:rsid w:val="008B724A"/>
    <w:rsid w:val="008B73E0"/>
    <w:rsid w:val="008B7DE6"/>
    <w:rsid w:val="008C02BE"/>
    <w:rsid w:val="008C11CB"/>
    <w:rsid w:val="008C11F3"/>
    <w:rsid w:val="008C1B6D"/>
    <w:rsid w:val="008C2245"/>
    <w:rsid w:val="008C4174"/>
    <w:rsid w:val="008C474D"/>
    <w:rsid w:val="008C5E5D"/>
    <w:rsid w:val="008C623A"/>
    <w:rsid w:val="008C661C"/>
    <w:rsid w:val="008C71B8"/>
    <w:rsid w:val="008C7CFE"/>
    <w:rsid w:val="008C7FE2"/>
    <w:rsid w:val="008D09C9"/>
    <w:rsid w:val="008D1D7A"/>
    <w:rsid w:val="008D1FB0"/>
    <w:rsid w:val="008D299C"/>
    <w:rsid w:val="008D2D20"/>
    <w:rsid w:val="008D4934"/>
    <w:rsid w:val="008D4C41"/>
    <w:rsid w:val="008D4E22"/>
    <w:rsid w:val="008D61ED"/>
    <w:rsid w:val="008D68A7"/>
    <w:rsid w:val="008D6DDD"/>
    <w:rsid w:val="008E0299"/>
    <w:rsid w:val="008E13E1"/>
    <w:rsid w:val="008E1921"/>
    <w:rsid w:val="008E25AE"/>
    <w:rsid w:val="008E3C27"/>
    <w:rsid w:val="008E4252"/>
    <w:rsid w:val="008E4BFB"/>
    <w:rsid w:val="008E4C44"/>
    <w:rsid w:val="008E4D4F"/>
    <w:rsid w:val="008E535F"/>
    <w:rsid w:val="008E5F04"/>
    <w:rsid w:val="008E698D"/>
    <w:rsid w:val="008E7616"/>
    <w:rsid w:val="008F169A"/>
    <w:rsid w:val="008F17AA"/>
    <w:rsid w:val="008F1D7A"/>
    <w:rsid w:val="008F41F4"/>
    <w:rsid w:val="008F66CE"/>
    <w:rsid w:val="008F73B1"/>
    <w:rsid w:val="008F7F79"/>
    <w:rsid w:val="009008FB"/>
    <w:rsid w:val="0090145C"/>
    <w:rsid w:val="00901FD8"/>
    <w:rsid w:val="009022FB"/>
    <w:rsid w:val="0090288B"/>
    <w:rsid w:val="0090468C"/>
    <w:rsid w:val="009055C8"/>
    <w:rsid w:val="00905941"/>
    <w:rsid w:val="00907A30"/>
    <w:rsid w:val="0091144E"/>
    <w:rsid w:val="009114B8"/>
    <w:rsid w:val="009114CF"/>
    <w:rsid w:val="009134F9"/>
    <w:rsid w:val="0091507C"/>
    <w:rsid w:val="0091547C"/>
    <w:rsid w:val="009167E1"/>
    <w:rsid w:val="00916CE4"/>
    <w:rsid w:val="00917AFD"/>
    <w:rsid w:val="00920167"/>
    <w:rsid w:val="00920D9E"/>
    <w:rsid w:val="009212FF"/>
    <w:rsid w:val="00921A04"/>
    <w:rsid w:val="009232B0"/>
    <w:rsid w:val="009243E8"/>
    <w:rsid w:val="009244B8"/>
    <w:rsid w:val="009256A2"/>
    <w:rsid w:val="0092576A"/>
    <w:rsid w:val="00925D7B"/>
    <w:rsid w:val="00925DDA"/>
    <w:rsid w:val="0092669A"/>
    <w:rsid w:val="0092787C"/>
    <w:rsid w:val="009278D7"/>
    <w:rsid w:val="00930C1C"/>
    <w:rsid w:val="00930CAC"/>
    <w:rsid w:val="00931BA1"/>
    <w:rsid w:val="009322A4"/>
    <w:rsid w:val="00936A8D"/>
    <w:rsid w:val="00936FC5"/>
    <w:rsid w:val="00937EFC"/>
    <w:rsid w:val="00941A40"/>
    <w:rsid w:val="00941C57"/>
    <w:rsid w:val="00941E0B"/>
    <w:rsid w:val="009432B4"/>
    <w:rsid w:val="009438A1"/>
    <w:rsid w:val="00943DAC"/>
    <w:rsid w:val="00945172"/>
    <w:rsid w:val="00946545"/>
    <w:rsid w:val="009467AB"/>
    <w:rsid w:val="0094738E"/>
    <w:rsid w:val="00947D2A"/>
    <w:rsid w:val="00950156"/>
    <w:rsid w:val="00950342"/>
    <w:rsid w:val="00950EAC"/>
    <w:rsid w:val="009512A1"/>
    <w:rsid w:val="009529D7"/>
    <w:rsid w:val="00953A5D"/>
    <w:rsid w:val="00954E41"/>
    <w:rsid w:val="0095514F"/>
    <w:rsid w:val="00955866"/>
    <w:rsid w:val="009568D7"/>
    <w:rsid w:val="009570B7"/>
    <w:rsid w:val="0095743B"/>
    <w:rsid w:val="0096057A"/>
    <w:rsid w:val="00960690"/>
    <w:rsid w:val="00960BF2"/>
    <w:rsid w:val="00961071"/>
    <w:rsid w:val="0096122B"/>
    <w:rsid w:val="009613E0"/>
    <w:rsid w:val="0096147C"/>
    <w:rsid w:val="00961EEE"/>
    <w:rsid w:val="009630D6"/>
    <w:rsid w:val="009632C9"/>
    <w:rsid w:val="00963F6D"/>
    <w:rsid w:val="00964729"/>
    <w:rsid w:val="00966C68"/>
    <w:rsid w:val="00966ED1"/>
    <w:rsid w:val="0096710F"/>
    <w:rsid w:val="00967895"/>
    <w:rsid w:val="00967B17"/>
    <w:rsid w:val="009711FE"/>
    <w:rsid w:val="009713E3"/>
    <w:rsid w:val="0097229B"/>
    <w:rsid w:val="0097244C"/>
    <w:rsid w:val="009734C0"/>
    <w:rsid w:val="00973973"/>
    <w:rsid w:val="009743AF"/>
    <w:rsid w:val="0097451E"/>
    <w:rsid w:val="00974628"/>
    <w:rsid w:val="00974C38"/>
    <w:rsid w:val="0097551B"/>
    <w:rsid w:val="00977616"/>
    <w:rsid w:val="00977A3E"/>
    <w:rsid w:val="00977BA2"/>
    <w:rsid w:val="0098046F"/>
    <w:rsid w:val="00980C16"/>
    <w:rsid w:val="00981C11"/>
    <w:rsid w:val="00982591"/>
    <w:rsid w:val="00982A94"/>
    <w:rsid w:val="00983F6F"/>
    <w:rsid w:val="00984889"/>
    <w:rsid w:val="00984DF3"/>
    <w:rsid w:val="009859AB"/>
    <w:rsid w:val="00987127"/>
    <w:rsid w:val="00987323"/>
    <w:rsid w:val="00987A01"/>
    <w:rsid w:val="009900D0"/>
    <w:rsid w:val="009906F2"/>
    <w:rsid w:val="009914B5"/>
    <w:rsid w:val="0099152F"/>
    <w:rsid w:val="0099162B"/>
    <w:rsid w:val="009939D7"/>
    <w:rsid w:val="00994FF2"/>
    <w:rsid w:val="00995866"/>
    <w:rsid w:val="00996983"/>
    <w:rsid w:val="009977F7"/>
    <w:rsid w:val="0099787B"/>
    <w:rsid w:val="009A014D"/>
    <w:rsid w:val="009A1BE0"/>
    <w:rsid w:val="009A1F8E"/>
    <w:rsid w:val="009A2C59"/>
    <w:rsid w:val="009A384D"/>
    <w:rsid w:val="009A3A0B"/>
    <w:rsid w:val="009A3E3D"/>
    <w:rsid w:val="009A497D"/>
    <w:rsid w:val="009A5483"/>
    <w:rsid w:val="009A553B"/>
    <w:rsid w:val="009A6580"/>
    <w:rsid w:val="009A693D"/>
    <w:rsid w:val="009A7AB0"/>
    <w:rsid w:val="009B0A72"/>
    <w:rsid w:val="009B106D"/>
    <w:rsid w:val="009B2486"/>
    <w:rsid w:val="009B3739"/>
    <w:rsid w:val="009B392E"/>
    <w:rsid w:val="009B4AC8"/>
    <w:rsid w:val="009B513D"/>
    <w:rsid w:val="009B5BFD"/>
    <w:rsid w:val="009B6755"/>
    <w:rsid w:val="009B6FC6"/>
    <w:rsid w:val="009B7F0D"/>
    <w:rsid w:val="009C07D6"/>
    <w:rsid w:val="009C1EB7"/>
    <w:rsid w:val="009C2A06"/>
    <w:rsid w:val="009C45D8"/>
    <w:rsid w:val="009C4794"/>
    <w:rsid w:val="009C4E59"/>
    <w:rsid w:val="009C4ED0"/>
    <w:rsid w:val="009C55DA"/>
    <w:rsid w:val="009C57F8"/>
    <w:rsid w:val="009C6381"/>
    <w:rsid w:val="009C6BE1"/>
    <w:rsid w:val="009C7A95"/>
    <w:rsid w:val="009D10B3"/>
    <w:rsid w:val="009D169D"/>
    <w:rsid w:val="009D1F31"/>
    <w:rsid w:val="009D1F9F"/>
    <w:rsid w:val="009D2123"/>
    <w:rsid w:val="009D2132"/>
    <w:rsid w:val="009D275B"/>
    <w:rsid w:val="009D4033"/>
    <w:rsid w:val="009D5B37"/>
    <w:rsid w:val="009D5CBA"/>
    <w:rsid w:val="009D5F0C"/>
    <w:rsid w:val="009D67C2"/>
    <w:rsid w:val="009D735F"/>
    <w:rsid w:val="009E098A"/>
    <w:rsid w:val="009E1398"/>
    <w:rsid w:val="009E15F3"/>
    <w:rsid w:val="009E1C7C"/>
    <w:rsid w:val="009E2288"/>
    <w:rsid w:val="009E452B"/>
    <w:rsid w:val="009E46B1"/>
    <w:rsid w:val="009E4900"/>
    <w:rsid w:val="009E4ADB"/>
    <w:rsid w:val="009E5982"/>
    <w:rsid w:val="009E6F90"/>
    <w:rsid w:val="009F37B5"/>
    <w:rsid w:val="009F449F"/>
    <w:rsid w:val="009F46A8"/>
    <w:rsid w:val="009F5434"/>
    <w:rsid w:val="009F5BD0"/>
    <w:rsid w:val="009F69F4"/>
    <w:rsid w:val="009F6A21"/>
    <w:rsid w:val="009F758B"/>
    <w:rsid w:val="009F76D7"/>
    <w:rsid w:val="009F7711"/>
    <w:rsid w:val="00A00796"/>
    <w:rsid w:val="00A01483"/>
    <w:rsid w:val="00A01B62"/>
    <w:rsid w:val="00A01F64"/>
    <w:rsid w:val="00A03607"/>
    <w:rsid w:val="00A04AB4"/>
    <w:rsid w:val="00A0550E"/>
    <w:rsid w:val="00A0703A"/>
    <w:rsid w:val="00A1034F"/>
    <w:rsid w:val="00A10485"/>
    <w:rsid w:val="00A107C8"/>
    <w:rsid w:val="00A108AF"/>
    <w:rsid w:val="00A1101C"/>
    <w:rsid w:val="00A11A16"/>
    <w:rsid w:val="00A12571"/>
    <w:rsid w:val="00A12D46"/>
    <w:rsid w:val="00A13070"/>
    <w:rsid w:val="00A13826"/>
    <w:rsid w:val="00A14C97"/>
    <w:rsid w:val="00A169CF"/>
    <w:rsid w:val="00A21406"/>
    <w:rsid w:val="00A2146D"/>
    <w:rsid w:val="00A22B19"/>
    <w:rsid w:val="00A24064"/>
    <w:rsid w:val="00A24AF7"/>
    <w:rsid w:val="00A24D4E"/>
    <w:rsid w:val="00A25345"/>
    <w:rsid w:val="00A25FBD"/>
    <w:rsid w:val="00A25FE2"/>
    <w:rsid w:val="00A26332"/>
    <w:rsid w:val="00A26B61"/>
    <w:rsid w:val="00A26E2E"/>
    <w:rsid w:val="00A27731"/>
    <w:rsid w:val="00A27E15"/>
    <w:rsid w:val="00A30AB5"/>
    <w:rsid w:val="00A30E7D"/>
    <w:rsid w:val="00A31B70"/>
    <w:rsid w:val="00A3487C"/>
    <w:rsid w:val="00A34BEA"/>
    <w:rsid w:val="00A35000"/>
    <w:rsid w:val="00A353CE"/>
    <w:rsid w:val="00A364EF"/>
    <w:rsid w:val="00A36D4D"/>
    <w:rsid w:val="00A37E94"/>
    <w:rsid w:val="00A402A1"/>
    <w:rsid w:val="00A40957"/>
    <w:rsid w:val="00A40B8D"/>
    <w:rsid w:val="00A40C3C"/>
    <w:rsid w:val="00A40F66"/>
    <w:rsid w:val="00A42D1E"/>
    <w:rsid w:val="00A42E85"/>
    <w:rsid w:val="00A43183"/>
    <w:rsid w:val="00A43BB0"/>
    <w:rsid w:val="00A446C1"/>
    <w:rsid w:val="00A452DD"/>
    <w:rsid w:val="00A45E8F"/>
    <w:rsid w:val="00A4603B"/>
    <w:rsid w:val="00A5017E"/>
    <w:rsid w:val="00A50830"/>
    <w:rsid w:val="00A51087"/>
    <w:rsid w:val="00A51893"/>
    <w:rsid w:val="00A518B4"/>
    <w:rsid w:val="00A53257"/>
    <w:rsid w:val="00A5330E"/>
    <w:rsid w:val="00A5382B"/>
    <w:rsid w:val="00A54AFF"/>
    <w:rsid w:val="00A54E2C"/>
    <w:rsid w:val="00A579C1"/>
    <w:rsid w:val="00A60085"/>
    <w:rsid w:val="00A6052C"/>
    <w:rsid w:val="00A6125A"/>
    <w:rsid w:val="00A6161F"/>
    <w:rsid w:val="00A63993"/>
    <w:rsid w:val="00A648FC"/>
    <w:rsid w:val="00A64D0C"/>
    <w:rsid w:val="00A64EBE"/>
    <w:rsid w:val="00A6717A"/>
    <w:rsid w:val="00A70BD4"/>
    <w:rsid w:val="00A71844"/>
    <w:rsid w:val="00A72853"/>
    <w:rsid w:val="00A72DE5"/>
    <w:rsid w:val="00A7385A"/>
    <w:rsid w:val="00A73FD8"/>
    <w:rsid w:val="00A74A94"/>
    <w:rsid w:val="00A7502F"/>
    <w:rsid w:val="00A750E4"/>
    <w:rsid w:val="00A7665C"/>
    <w:rsid w:val="00A767B2"/>
    <w:rsid w:val="00A76877"/>
    <w:rsid w:val="00A76996"/>
    <w:rsid w:val="00A770A0"/>
    <w:rsid w:val="00A77BF6"/>
    <w:rsid w:val="00A80C9C"/>
    <w:rsid w:val="00A81109"/>
    <w:rsid w:val="00A81DEA"/>
    <w:rsid w:val="00A81DF1"/>
    <w:rsid w:val="00A81F26"/>
    <w:rsid w:val="00A82DC3"/>
    <w:rsid w:val="00A83426"/>
    <w:rsid w:val="00A83F8D"/>
    <w:rsid w:val="00A8408A"/>
    <w:rsid w:val="00A84641"/>
    <w:rsid w:val="00A84F4E"/>
    <w:rsid w:val="00A854AF"/>
    <w:rsid w:val="00A85F0F"/>
    <w:rsid w:val="00A86E05"/>
    <w:rsid w:val="00A877C8"/>
    <w:rsid w:val="00A91F7D"/>
    <w:rsid w:val="00A931CB"/>
    <w:rsid w:val="00A9324D"/>
    <w:rsid w:val="00A93ED4"/>
    <w:rsid w:val="00A94006"/>
    <w:rsid w:val="00A94780"/>
    <w:rsid w:val="00A9509B"/>
    <w:rsid w:val="00A954A5"/>
    <w:rsid w:val="00A957E8"/>
    <w:rsid w:val="00A95B87"/>
    <w:rsid w:val="00A9665A"/>
    <w:rsid w:val="00A96D90"/>
    <w:rsid w:val="00A97251"/>
    <w:rsid w:val="00A97391"/>
    <w:rsid w:val="00A97CCD"/>
    <w:rsid w:val="00AA0156"/>
    <w:rsid w:val="00AA0F3C"/>
    <w:rsid w:val="00AA1B16"/>
    <w:rsid w:val="00AA2135"/>
    <w:rsid w:val="00AA27EA"/>
    <w:rsid w:val="00AA2CE1"/>
    <w:rsid w:val="00AA3590"/>
    <w:rsid w:val="00AA53D3"/>
    <w:rsid w:val="00AA611D"/>
    <w:rsid w:val="00AA6269"/>
    <w:rsid w:val="00AA6728"/>
    <w:rsid w:val="00AA6798"/>
    <w:rsid w:val="00AA6871"/>
    <w:rsid w:val="00AA7419"/>
    <w:rsid w:val="00AB0D31"/>
    <w:rsid w:val="00AB0DB5"/>
    <w:rsid w:val="00AB2AD9"/>
    <w:rsid w:val="00AB32CA"/>
    <w:rsid w:val="00AB32EB"/>
    <w:rsid w:val="00AB4A5D"/>
    <w:rsid w:val="00AB5280"/>
    <w:rsid w:val="00AB53AC"/>
    <w:rsid w:val="00AB54A3"/>
    <w:rsid w:val="00AB5FDE"/>
    <w:rsid w:val="00AB6343"/>
    <w:rsid w:val="00AB7493"/>
    <w:rsid w:val="00AC011B"/>
    <w:rsid w:val="00AC03B2"/>
    <w:rsid w:val="00AC0CBC"/>
    <w:rsid w:val="00AC1922"/>
    <w:rsid w:val="00AC19E8"/>
    <w:rsid w:val="00AC3897"/>
    <w:rsid w:val="00AC398E"/>
    <w:rsid w:val="00AC62CE"/>
    <w:rsid w:val="00AC7426"/>
    <w:rsid w:val="00AD20D3"/>
    <w:rsid w:val="00AD20F2"/>
    <w:rsid w:val="00AD223F"/>
    <w:rsid w:val="00AD288A"/>
    <w:rsid w:val="00AD3008"/>
    <w:rsid w:val="00AD3393"/>
    <w:rsid w:val="00AD3AD0"/>
    <w:rsid w:val="00AD455E"/>
    <w:rsid w:val="00AD4AC9"/>
    <w:rsid w:val="00AD4BF9"/>
    <w:rsid w:val="00AD51E1"/>
    <w:rsid w:val="00AD58EE"/>
    <w:rsid w:val="00AD60CE"/>
    <w:rsid w:val="00AD62A7"/>
    <w:rsid w:val="00AD669B"/>
    <w:rsid w:val="00AD7BFE"/>
    <w:rsid w:val="00AE17CC"/>
    <w:rsid w:val="00AE1957"/>
    <w:rsid w:val="00AE1A4C"/>
    <w:rsid w:val="00AE1FC4"/>
    <w:rsid w:val="00AE239E"/>
    <w:rsid w:val="00AE2EF2"/>
    <w:rsid w:val="00AE3144"/>
    <w:rsid w:val="00AE3390"/>
    <w:rsid w:val="00AE3552"/>
    <w:rsid w:val="00AE4369"/>
    <w:rsid w:val="00AE43D9"/>
    <w:rsid w:val="00AE4C84"/>
    <w:rsid w:val="00AE67A1"/>
    <w:rsid w:val="00AE6D08"/>
    <w:rsid w:val="00AE7506"/>
    <w:rsid w:val="00AE7677"/>
    <w:rsid w:val="00AF002A"/>
    <w:rsid w:val="00AF01CB"/>
    <w:rsid w:val="00AF0992"/>
    <w:rsid w:val="00AF0EE9"/>
    <w:rsid w:val="00AF1E42"/>
    <w:rsid w:val="00AF24F6"/>
    <w:rsid w:val="00AF457F"/>
    <w:rsid w:val="00AF4705"/>
    <w:rsid w:val="00AF4861"/>
    <w:rsid w:val="00AF49E5"/>
    <w:rsid w:val="00AF579C"/>
    <w:rsid w:val="00AF5AFD"/>
    <w:rsid w:val="00AF5D06"/>
    <w:rsid w:val="00AF6193"/>
    <w:rsid w:val="00AF64B8"/>
    <w:rsid w:val="00AF70FE"/>
    <w:rsid w:val="00B00373"/>
    <w:rsid w:val="00B00A27"/>
    <w:rsid w:val="00B0157A"/>
    <w:rsid w:val="00B01EDA"/>
    <w:rsid w:val="00B02270"/>
    <w:rsid w:val="00B03DDE"/>
    <w:rsid w:val="00B04BA4"/>
    <w:rsid w:val="00B04DCB"/>
    <w:rsid w:val="00B04E3F"/>
    <w:rsid w:val="00B0532F"/>
    <w:rsid w:val="00B07140"/>
    <w:rsid w:val="00B07511"/>
    <w:rsid w:val="00B10CC9"/>
    <w:rsid w:val="00B11873"/>
    <w:rsid w:val="00B1261B"/>
    <w:rsid w:val="00B128FD"/>
    <w:rsid w:val="00B13601"/>
    <w:rsid w:val="00B146F0"/>
    <w:rsid w:val="00B147A5"/>
    <w:rsid w:val="00B160E9"/>
    <w:rsid w:val="00B16843"/>
    <w:rsid w:val="00B17857"/>
    <w:rsid w:val="00B2065B"/>
    <w:rsid w:val="00B206C4"/>
    <w:rsid w:val="00B2270F"/>
    <w:rsid w:val="00B2278B"/>
    <w:rsid w:val="00B2286A"/>
    <w:rsid w:val="00B2323D"/>
    <w:rsid w:val="00B2378D"/>
    <w:rsid w:val="00B23BB2"/>
    <w:rsid w:val="00B23F37"/>
    <w:rsid w:val="00B25D9D"/>
    <w:rsid w:val="00B25ED7"/>
    <w:rsid w:val="00B25F17"/>
    <w:rsid w:val="00B267F0"/>
    <w:rsid w:val="00B26986"/>
    <w:rsid w:val="00B269C0"/>
    <w:rsid w:val="00B306FD"/>
    <w:rsid w:val="00B30CBF"/>
    <w:rsid w:val="00B316B0"/>
    <w:rsid w:val="00B31892"/>
    <w:rsid w:val="00B31BFD"/>
    <w:rsid w:val="00B32090"/>
    <w:rsid w:val="00B32115"/>
    <w:rsid w:val="00B36087"/>
    <w:rsid w:val="00B408CB"/>
    <w:rsid w:val="00B40B5F"/>
    <w:rsid w:val="00B413E5"/>
    <w:rsid w:val="00B414B4"/>
    <w:rsid w:val="00B41841"/>
    <w:rsid w:val="00B43220"/>
    <w:rsid w:val="00B4445D"/>
    <w:rsid w:val="00B44811"/>
    <w:rsid w:val="00B44989"/>
    <w:rsid w:val="00B45A3D"/>
    <w:rsid w:val="00B46962"/>
    <w:rsid w:val="00B47257"/>
    <w:rsid w:val="00B4793B"/>
    <w:rsid w:val="00B50092"/>
    <w:rsid w:val="00B50550"/>
    <w:rsid w:val="00B50849"/>
    <w:rsid w:val="00B50B22"/>
    <w:rsid w:val="00B51640"/>
    <w:rsid w:val="00B5266C"/>
    <w:rsid w:val="00B52AB6"/>
    <w:rsid w:val="00B52CDD"/>
    <w:rsid w:val="00B541BA"/>
    <w:rsid w:val="00B557F4"/>
    <w:rsid w:val="00B60BD0"/>
    <w:rsid w:val="00B625B9"/>
    <w:rsid w:val="00B626A4"/>
    <w:rsid w:val="00B64B3C"/>
    <w:rsid w:val="00B6536D"/>
    <w:rsid w:val="00B653C5"/>
    <w:rsid w:val="00B655C7"/>
    <w:rsid w:val="00B67CA3"/>
    <w:rsid w:val="00B7040B"/>
    <w:rsid w:val="00B7075C"/>
    <w:rsid w:val="00B715BB"/>
    <w:rsid w:val="00B742D8"/>
    <w:rsid w:val="00B74354"/>
    <w:rsid w:val="00B74A26"/>
    <w:rsid w:val="00B7578F"/>
    <w:rsid w:val="00B76A47"/>
    <w:rsid w:val="00B7707B"/>
    <w:rsid w:val="00B77D81"/>
    <w:rsid w:val="00B80256"/>
    <w:rsid w:val="00B87CDB"/>
    <w:rsid w:val="00B903CD"/>
    <w:rsid w:val="00B90FB1"/>
    <w:rsid w:val="00B93B8B"/>
    <w:rsid w:val="00B93C6F"/>
    <w:rsid w:val="00B93E2D"/>
    <w:rsid w:val="00B95860"/>
    <w:rsid w:val="00B95F61"/>
    <w:rsid w:val="00B96C2B"/>
    <w:rsid w:val="00B978D5"/>
    <w:rsid w:val="00B97D16"/>
    <w:rsid w:val="00BA0747"/>
    <w:rsid w:val="00BA0AC1"/>
    <w:rsid w:val="00BA0AE4"/>
    <w:rsid w:val="00BA24E3"/>
    <w:rsid w:val="00BA2A4B"/>
    <w:rsid w:val="00BA42E9"/>
    <w:rsid w:val="00BA578C"/>
    <w:rsid w:val="00BA70F5"/>
    <w:rsid w:val="00BA794A"/>
    <w:rsid w:val="00BB0998"/>
    <w:rsid w:val="00BB1425"/>
    <w:rsid w:val="00BB20F1"/>
    <w:rsid w:val="00BB2474"/>
    <w:rsid w:val="00BB2BC5"/>
    <w:rsid w:val="00BB4687"/>
    <w:rsid w:val="00BB4FA9"/>
    <w:rsid w:val="00BB5815"/>
    <w:rsid w:val="00BB5A4F"/>
    <w:rsid w:val="00BB5B85"/>
    <w:rsid w:val="00BB7827"/>
    <w:rsid w:val="00BB7A13"/>
    <w:rsid w:val="00BB7C7C"/>
    <w:rsid w:val="00BB7ECC"/>
    <w:rsid w:val="00BB7F0A"/>
    <w:rsid w:val="00BC0080"/>
    <w:rsid w:val="00BC243F"/>
    <w:rsid w:val="00BC25D7"/>
    <w:rsid w:val="00BC2874"/>
    <w:rsid w:val="00BC30C4"/>
    <w:rsid w:val="00BC531C"/>
    <w:rsid w:val="00BC6DC8"/>
    <w:rsid w:val="00BD00FC"/>
    <w:rsid w:val="00BD03D8"/>
    <w:rsid w:val="00BD06C5"/>
    <w:rsid w:val="00BD0CCF"/>
    <w:rsid w:val="00BD122C"/>
    <w:rsid w:val="00BD380A"/>
    <w:rsid w:val="00BD466D"/>
    <w:rsid w:val="00BD58BF"/>
    <w:rsid w:val="00BD5AC0"/>
    <w:rsid w:val="00BD5DF8"/>
    <w:rsid w:val="00BD5ED5"/>
    <w:rsid w:val="00BD5EEC"/>
    <w:rsid w:val="00BD6168"/>
    <w:rsid w:val="00BD70F4"/>
    <w:rsid w:val="00BD79E8"/>
    <w:rsid w:val="00BD7DF7"/>
    <w:rsid w:val="00BD7E9A"/>
    <w:rsid w:val="00BE0360"/>
    <w:rsid w:val="00BE069D"/>
    <w:rsid w:val="00BE09DF"/>
    <w:rsid w:val="00BE11BE"/>
    <w:rsid w:val="00BE1267"/>
    <w:rsid w:val="00BE1804"/>
    <w:rsid w:val="00BE212C"/>
    <w:rsid w:val="00BE2369"/>
    <w:rsid w:val="00BE3975"/>
    <w:rsid w:val="00BE4FBE"/>
    <w:rsid w:val="00BE5CA6"/>
    <w:rsid w:val="00BE6099"/>
    <w:rsid w:val="00BE7D0C"/>
    <w:rsid w:val="00BF0B99"/>
    <w:rsid w:val="00BF10BA"/>
    <w:rsid w:val="00BF28C0"/>
    <w:rsid w:val="00BF33A3"/>
    <w:rsid w:val="00BF4166"/>
    <w:rsid w:val="00BF42A8"/>
    <w:rsid w:val="00BF45A2"/>
    <w:rsid w:val="00BF533F"/>
    <w:rsid w:val="00BF5A5F"/>
    <w:rsid w:val="00BF5E2A"/>
    <w:rsid w:val="00BF60F0"/>
    <w:rsid w:val="00BF69C9"/>
    <w:rsid w:val="00BF7A25"/>
    <w:rsid w:val="00C01790"/>
    <w:rsid w:val="00C01AF7"/>
    <w:rsid w:val="00C02012"/>
    <w:rsid w:val="00C021ED"/>
    <w:rsid w:val="00C02556"/>
    <w:rsid w:val="00C040F0"/>
    <w:rsid w:val="00C041A0"/>
    <w:rsid w:val="00C04C99"/>
    <w:rsid w:val="00C05DE1"/>
    <w:rsid w:val="00C06AB1"/>
    <w:rsid w:val="00C070A6"/>
    <w:rsid w:val="00C07150"/>
    <w:rsid w:val="00C07E24"/>
    <w:rsid w:val="00C1006B"/>
    <w:rsid w:val="00C100EA"/>
    <w:rsid w:val="00C11B53"/>
    <w:rsid w:val="00C11B59"/>
    <w:rsid w:val="00C11FBD"/>
    <w:rsid w:val="00C13C4E"/>
    <w:rsid w:val="00C15A67"/>
    <w:rsid w:val="00C17079"/>
    <w:rsid w:val="00C17AF0"/>
    <w:rsid w:val="00C20014"/>
    <w:rsid w:val="00C20AE2"/>
    <w:rsid w:val="00C22A0F"/>
    <w:rsid w:val="00C238EA"/>
    <w:rsid w:val="00C23D7F"/>
    <w:rsid w:val="00C2447F"/>
    <w:rsid w:val="00C2559E"/>
    <w:rsid w:val="00C25BDE"/>
    <w:rsid w:val="00C2604A"/>
    <w:rsid w:val="00C2628C"/>
    <w:rsid w:val="00C302AC"/>
    <w:rsid w:val="00C30916"/>
    <w:rsid w:val="00C30D61"/>
    <w:rsid w:val="00C312BC"/>
    <w:rsid w:val="00C3219F"/>
    <w:rsid w:val="00C32925"/>
    <w:rsid w:val="00C33B3E"/>
    <w:rsid w:val="00C33E8A"/>
    <w:rsid w:val="00C34D46"/>
    <w:rsid w:val="00C34E1E"/>
    <w:rsid w:val="00C354BB"/>
    <w:rsid w:val="00C35DBD"/>
    <w:rsid w:val="00C36397"/>
    <w:rsid w:val="00C36945"/>
    <w:rsid w:val="00C375DB"/>
    <w:rsid w:val="00C40578"/>
    <w:rsid w:val="00C41084"/>
    <w:rsid w:val="00C41915"/>
    <w:rsid w:val="00C41DEE"/>
    <w:rsid w:val="00C43735"/>
    <w:rsid w:val="00C442A6"/>
    <w:rsid w:val="00C45B74"/>
    <w:rsid w:val="00C51E35"/>
    <w:rsid w:val="00C53E33"/>
    <w:rsid w:val="00C54B41"/>
    <w:rsid w:val="00C54FCC"/>
    <w:rsid w:val="00C552D6"/>
    <w:rsid w:val="00C55C53"/>
    <w:rsid w:val="00C617A3"/>
    <w:rsid w:val="00C621A5"/>
    <w:rsid w:val="00C628B4"/>
    <w:rsid w:val="00C63793"/>
    <w:rsid w:val="00C63918"/>
    <w:rsid w:val="00C64064"/>
    <w:rsid w:val="00C645A2"/>
    <w:rsid w:val="00C64B2E"/>
    <w:rsid w:val="00C65C05"/>
    <w:rsid w:val="00C667F5"/>
    <w:rsid w:val="00C6723F"/>
    <w:rsid w:val="00C70883"/>
    <w:rsid w:val="00C71032"/>
    <w:rsid w:val="00C722AF"/>
    <w:rsid w:val="00C72A88"/>
    <w:rsid w:val="00C75CCE"/>
    <w:rsid w:val="00C75F13"/>
    <w:rsid w:val="00C76275"/>
    <w:rsid w:val="00C77228"/>
    <w:rsid w:val="00C77E34"/>
    <w:rsid w:val="00C80D54"/>
    <w:rsid w:val="00C83A26"/>
    <w:rsid w:val="00C85BEB"/>
    <w:rsid w:val="00C861C1"/>
    <w:rsid w:val="00C86500"/>
    <w:rsid w:val="00C87581"/>
    <w:rsid w:val="00C90BB0"/>
    <w:rsid w:val="00C90DC2"/>
    <w:rsid w:val="00C90EDE"/>
    <w:rsid w:val="00C93813"/>
    <w:rsid w:val="00C938DC"/>
    <w:rsid w:val="00C954B8"/>
    <w:rsid w:val="00C96779"/>
    <w:rsid w:val="00C977E3"/>
    <w:rsid w:val="00CA0132"/>
    <w:rsid w:val="00CA1BA1"/>
    <w:rsid w:val="00CA1C4A"/>
    <w:rsid w:val="00CA218D"/>
    <w:rsid w:val="00CA499F"/>
    <w:rsid w:val="00CA57EE"/>
    <w:rsid w:val="00CA60F1"/>
    <w:rsid w:val="00CA63B7"/>
    <w:rsid w:val="00CA703A"/>
    <w:rsid w:val="00CA7C33"/>
    <w:rsid w:val="00CB12D1"/>
    <w:rsid w:val="00CB183B"/>
    <w:rsid w:val="00CB1A08"/>
    <w:rsid w:val="00CB20D6"/>
    <w:rsid w:val="00CB2125"/>
    <w:rsid w:val="00CB255C"/>
    <w:rsid w:val="00CB5293"/>
    <w:rsid w:val="00CB52FA"/>
    <w:rsid w:val="00CB6EFF"/>
    <w:rsid w:val="00CB71D0"/>
    <w:rsid w:val="00CB7A04"/>
    <w:rsid w:val="00CB7C1C"/>
    <w:rsid w:val="00CC22DC"/>
    <w:rsid w:val="00CC2945"/>
    <w:rsid w:val="00CC4D32"/>
    <w:rsid w:val="00CC5CC6"/>
    <w:rsid w:val="00CC708D"/>
    <w:rsid w:val="00CD073B"/>
    <w:rsid w:val="00CD0E1A"/>
    <w:rsid w:val="00CD136C"/>
    <w:rsid w:val="00CD217D"/>
    <w:rsid w:val="00CD2BCD"/>
    <w:rsid w:val="00CD309B"/>
    <w:rsid w:val="00CD3869"/>
    <w:rsid w:val="00CD3989"/>
    <w:rsid w:val="00CD435C"/>
    <w:rsid w:val="00CD4F8A"/>
    <w:rsid w:val="00CD57E1"/>
    <w:rsid w:val="00CD5D4D"/>
    <w:rsid w:val="00CD5D7B"/>
    <w:rsid w:val="00CD60C5"/>
    <w:rsid w:val="00CD6676"/>
    <w:rsid w:val="00CD7127"/>
    <w:rsid w:val="00CD7C99"/>
    <w:rsid w:val="00CD7F8B"/>
    <w:rsid w:val="00CE02D3"/>
    <w:rsid w:val="00CE0835"/>
    <w:rsid w:val="00CE0A27"/>
    <w:rsid w:val="00CE0A74"/>
    <w:rsid w:val="00CE173C"/>
    <w:rsid w:val="00CE234D"/>
    <w:rsid w:val="00CE265B"/>
    <w:rsid w:val="00CE26B4"/>
    <w:rsid w:val="00CE3094"/>
    <w:rsid w:val="00CE3F83"/>
    <w:rsid w:val="00CE41DF"/>
    <w:rsid w:val="00CE54BB"/>
    <w:rsid w:val="00CE554F"/>
    <w:rsid w:val="00CE60A2"/>
    <w:rsid w:val="00CE60A3"/>
    <w:rsid w:val="00CE6161"/>
    <w:rsid w:val="00CE7656"/>
    <w:rsid w:val="00CE794C"/>
    <w:rsid w:val="00CF0357"/>
    <w:rsid w:val="00CF0404"/>
    <w:rsid w:val="00CF1635"/>
    <w:rsid w:val="00CF28EA"/>
    <w:rsid w:val="00CF35F0"/>
    <w:rsid w:val="00CF5C47"/>
    <w:rsid w:val="00D005E0"/>
    <w:rsid w:val="00D02AFB"/>
    <w:rsid w:val="00D0444D"/>
    <w:rsid w:val="00D04A17"/>
    <w:rsid w:val="00D04BE6"/>
    <w:rsid w:val="00D055BB"/>
    <w:rsid w:val="00D075B5"/>
    <w:rsid w:val="00D10174"/>
    <w:rsid w:val="00D1115A"/>
    <w:rsid w:val="00D11C69"/>
    <w:rsid w:val="00D120F5"/>
    <w:rsid w:val="00D149EE"/>
    <w:rsid w:val="00D1773E"/>
    <w:rsid w:val="00D17E57"/>
    <w:rsid w:val="00D2073F"/>
    <w:rsid w:val="00D20BE9"/>
    <w:rsid w:val="00D20C30"/>
    <w:rsid w:val="00D2151D"/>
    <w:rsid w:val="00D218E9"/>
    <w:rsid w:val="00D22239"/>
    <w:rsid w:val="00D23C31"/>
    <w:rsid w:val="00D25CDF"/>
    <w:rsid w:val="00D27B43"/>
    <w:rsid w:val="00D30231"/>
    <w:rsid w:val="00D31B68"/>
    <w:rsid w:val="00D31C6B"/>
    <w:rsid w:val="00D330B9"/>
    <w:rsid w:val="00D330DC"/>
    <w:rsid w:val="00D33F09"/>
    <w:rsid w:val="00D34296"/>
    <w:rsid w:val="00D36EEA"/>
    <w:rsid w:val="00D41F5E"/>
    <w:rsid w:val="00D434DE"/>
    <w:rsid w:val="00D45803"/>
    <w:rsid w:val="00D45A05"/>
    <w:rsid w:val="00D45A76"/>
    <w:rsid w:val="00D46484"/>
    <w:rsid w:val="00D46907"/>
    <w:rsid w:val="00D471DD"/>
    <w:rsid w:val="00D47620"/>
    <w:rsid w:val="00D50E70"/>
    <w:rsid w:val="00D51CA2"/>
    <w:rsid w:val="00D546DE"/>
    <w:rsid w:val="00D54C15"/>
    <w:rsid w:val="00D56014"/>
    <w:rsid w:val="00D57EBB"/>
    <w:rsid w:val="00D60249"/>
    <w:rsid w:val="00D60DDD"/>
    <w:rsid w:val="00D618B5"/>
    <w:rsid w:val="00D624E7"/>
    <w:rsid w:val="00D6269C"/>
    <w:rsid w:val="00D62941"/>
    <w:rsid w:val="00D62ECB"/>
    <w:rsid w:val="00D63B5A"/>
    <w:rsid w:val="00D6421A"/>
    <w:rsid w:val="00D6436F"/>
    <w:rsid w:val="00D659BB"/>
    <w:rsid w:val="00D7016E"/>
    <w:rsid w:val="00D706DE"/>
    <w:rsid w:val="00D7275E"/>
    <w:rsid w:val="00D732FC"/>
    <w:rsid w:val="00D743BB"/>
    <w:rsid w:val="00D74CE6"/>
    <w:rsid w:val="00D74F7D"/>
    <w:rsid w:val="00D75265"/>
    <w:rsid w:val="00D753AC"/>
    <w:rsid w:val="00D75FD6"/>
    <w:rsid w:val="00D7672B"/>
    <w:rsid w:val="00D770A2"/>
    <w:rsid w:val="00D77831"/>
    <w:rsid w:val="00D800E5"/>
    <w:rsid w:val="00D819FF"/>
    <w:rsid w:val="00D81FF5"/>
    <w:rsid w:val="00D83414"/>
    <w:rsid w:val="00D8591B"/>
    <w:rsid w:val="00D85956"/>
    <w:rsid w:val="00D85989"/>
    <w:rsid w:val="00D865A8"/>
    <w:rsid w:val="00D872F0"/>
    <w:rsid w:val="00D874B0"/>
    <w:rsid w:val="00D91B03"/>
    <w:rsid w:val="00D91C3C"/>
    <w:rsid w:val="00D926A6"/>
    <w:rsid w:val="00D92B75"/>
    <w:rsid w:val="00D9334F"/>
    <w:rsid w:val="00D94C78"/>
    <w:rsid w:val="00D95CDD"/>
    <w:rsid w:val="00D95F33"/>
    <w:rsid w:val="00D96A8C"/>
    <w:rsid w:val="00D96FCD"/>
    <w:rsid w:val="00D97382"/>
    <w:rsid w:val="00DA041F"/>
    <w:rsid w:val="00DA15E7"/>
    <w:rsid w:val="00DA17F0"/>
    <w:rsid w:val="00DA1AD2"/>
    <w:rsid w:val="00DA27F5"/>
    <w:rsid w:val="00DA2ED2"/>
    <w:rsid w:val="00DA3328"/>
    <w:rsid w:val="00DA3779"/>
    <w:rsid w:val="00DA3BA5"/>
    <w:rsid w:val="00DA40E5"/>
    <w:rsid w:val="00DA5511"/>
    <w:rsid w:val="00DA5E09"/>
    <w:rsid w:val="00DA6459"/>
    <w:rsid w:val="00DA6570"/>
    <w:rsid w:val="00DA6906"/>
    <w:rsid w:val="00DA6BA9"/>
    <w:rsid w:val="00DA7263"/>
    <w:rsid w:val="00DB001F"/>
    <w:rsid w:val="00DB064A"/>
    <w:rsid w:val="00DB1528"/>
    <w:rsid w:val="00DB163C"/>
    <w:rsid w:val="00DB16F2"/>
    <w:rsid w:val="00DB1CB5"/>
    <w:rsid w:val="00DB20C1"/>
    <w:rsid w:val="00DB338C"/>
    <w:rsid w:val="00DB37D3"/>
    <w:rsid w:val="00DB37D6"/>
    <w:rsid w:val="00DB3D91"/>
    <w:rsid w:val="00DB404E"/>
    <w:rsid w:val="00DB43DE"/>
    <w:rsid w:val="00DB486C"/>
    <w:rsid w:val="00DB49A8"/>
    <w:rsid w:val="00DB69D2"/>
    <w:rsid w:val="00DB7D21"/>
    <w:rsid w:val="00DC0129"/>
    <w:rsid w:val="00DC039D"/>
    <w:rsid w:val="00DC0539"/>
    <w:rsid w:val="00DC05B4"/>
    <w:rsid w:val="00DC0E89"/>
    <w:rsid w:val="00DC12CB"/>
    <w:rsid w:val="00DC1F34"/>
    <w:rsid w:val="00DC1FF4"/>
    <w:rsid w:val="00DC26E5"/>
    <w:rsid w:val="00DC2749"/>
    <w:rsid w:val="00DC30C9"/>
    <w:rsid w:val="00DC43CF"/>
    <w:rsid w:val="00DC44E6"/>
    <w:rsid w:val="00DC4806"/>
    <w:rsid w:val="00DC5F03"/>
    <w:rsid w:val="00DC696E"/>
    <w:rsid w:val="00DC6982"/>
    <w:rsid w:val="00DC765B"/>
    <w:rsid w:val="00DD0016"/>
    <w:rsid w:val="00DD293A"/>
    <w:rsid w:val="00DD5E2E"/>
    <w:rsid w:val="00DD631D"/>
    <w:rsid w:val="00DD6F3A"/>
    <w:rsid w:val="00DD7F5E"/>
    <w:rsid w:val="00DE0A9F"/>
    <w:rsid w:val="00DE0BE2"/>
    <w:rsid w:val="00DE36F6"/>
    <w:rsid w:val="00DE391D"/>
    <w:rsid w:val="00DE488D"/>
    <w:rsid w:val="00DE5629"/>
    <w:rsid w:val="00DE792A"/>
    <w:rsid w:val="00DF07AB"/>
    <w:rsid w:val="00DF0B8A"/>
    <w:rsid w:val="00DF31FB"/>
    <w:rsid w:val="00DF4907"/>
    <w:rsid w:val="00DF552C"/>
    <w:rsid w:val="00DF57B8"/>
    <w:rsid w:val="00DF5D6A"/>
    <w:rsid w:val="00DF60C7"/>
    <w:rsid w:val="00DF6E8B"/>
    <w:rsid w:val="00DF6FB0"/>
    <w:rsid w:val="00DF7361"/>
    <w:rsid w:val="00DF7543"/>
    <w:rsid w:val="00E0071E"/>
    <w:rsid w:val="00E03C92"/>
    <w:rsid w:val="00E03D68"/>
    <w:rsid w:val="00E05965"/>
    <w:rsid w:val="00E065A5"/>
    <w:rsid w:val="00E067C8"/>
    <w:rsid w:val="00E0688D"/>
    <w:rsid w:val="00E06A6D"/>
    <w:rsid w:val="00E06B13"/>
    <w:rsid w:val="00E07393"/>
    <w:rsid w:val="00E10544"/>
    <w:rsid w:val="00E10EAF"/>
    <w:rsid w:val="00E112E8"/>
    <w:rsid w:val="00E1137E"/>
    <w:rsid w:val="00E1221D"/>
    <w:rsid w:val="00E12811"/>
    <w:rsid w:val="00E12F10"/>
    <w:rsid w:val="00E14E71"/>
    <w:rsid w:val="00E16436"/>
    <w:rsid w:val="00E1651F"/>
    <w:rsid w:val="00E166AD"/>
    <w:rsid w:val="00E16ACF"/>
    <w:rsid w:val="00E17CA9"/>
    <w:rsid w:val="00E17CD5"/>
    <w:rsid w:val="00E20312"/>
    <w:rsid w:val="00E21275"/>
    <w:rsid w:val="00E21792"/>
    <w:rsid w:val="00E21EA3"/>
    <w:rsid w:val="00E22E32"/>
    <w:rsid w:val="00E23307"/>
    <w:rsid w:val="00E23C2C"/>
    <w:rsid w:val="00E254F8"/>
    <w:rsid w:val="00E266E8"/>
    <w:rsid w:val="00E26AF5"/>
    <w:rsid w:val="00E300EC"/>
    <w:rsid w:val="00E3085D"/>
    <w:rsid w:val="00E30A1A"/>
    <w:rsid w:val="00E324F4"/>
    <w:rsid w:val="00E34181"/>
    <w:rsid w:val="00E35309"/>
    <w:rsid w:val="00E35D75"/>
    <w:rsid w:val="00E36242"/>
    <w:rsid w:val="00E37E6F"/>
    <w:rsid w:val="00E41325"/>
    <w:rsid w:val="00E43246"/>
    <w:rsid w:val="00E434A4"/>
    <w:rsid w:val="00E43E90"/>
    <w:rsid w:val="00E4433F"/>
    <w:rsid w:val="00E45133"/>
    <w:rsid w:val="00E465FE"/>
    <w:rsid w:val="00E46AB8"/>
    <w:rsid w:val="00E471A3"/>
    <w:rsid w:val="00E4787C"/>
    <w:rsid w:val="00E47EE7"/>
    <w:rsid w:val="00E52028"/>
    <w:rsid w:val="00E52351"/>
    <w:rsid w:val="00E52685"/>
    <w:rsid w:val="00E53B9C"/>
    <w:rsid w:val="00E5424C"/>
    <w:rsid w:val="00E54311"/>
    <w:rsid w:val="00E55D9B"/>
    <w:rsid w:val="00E603E4"/>
    <w:rsid w:val="00E60CBC"/>
    <w:rsid w:val="00E61A32"/>
    <w:rsid w:val="00E61C22"/>
    <w:rsid w:val="00E61EC6"/>
    <w:rsid w:val="00E633C8"/>
    <w:rsid w:val="00E637A2"/>
    <w:rsid w:val="00E63D0B"/>
    <w:rsid w:val="00E65778"/>
    <w:rsid w:val="00E65A08"/>
    <w:rsid w:val="00E663B0"/>
    <w:rsid w:val="00E66497"/>
    <w:rsid w:val="00E66967"/>
    <w:rsid w:val="00E67162"/>
    <w:rsid w:val="00E71C0F"/>
    <w:rsid w:val="00E72B0B"/>
    <w:rsid w:val="00E73CF5"/>
    <w:rsid w:val="00E73F50"/>
    <w:rsid w:val="00E74EF8"/>
    <w:rsid w:val="00E76491"/>
    <w:rsid w:val="00E76997"/>
    <w:rsid w:val="00E772C9"/>
    <w:rsid w:val="00E77585"/>
    <w:rsid w:val="00E802CA"/>
    <w:rsid w:val="00E81B56"/>
    <w:rsid w:val="00E81BE5"/>
    <w:rsid w:val="00E825DC"/>
    <w:rsid w:val="00E8323B"/>
    <w:rsid w:val="00E83BF9"/>
    <w:rsid w:val="00E8406F"/>
    <w:rsid w:val="00E84A2A"/>
    <w:rsid w:val="00E868B0"/>
    <w:rsid w:val="00E87379"/>
    <w:rsid w:val="00E873CF"/>
    <w:rsid w:val="00E91F36"/>
    <w:rsid w:val="00E9272B"/>
    <w:rsid w:val="00E92843"/>
    <w:rsid w:val="00E93029"/>
    <w:rsid w:val="00E937CA"/>
    <w:rsid w:val="00E93EF5"/>
    <w:rsid w:val="00E940F1"/>
    <w:rsid w:val="00E94F1C"/>
    <w:rsid w:val="00E9562C"/>
    <w:rsid w:val="00E965A6"/>
    <w:rsid w:val="00E969ED"/>
    <w:rsid w:val="00E9791D"/>
    <w:rsid w:val="00E97F92"/>
    <w:rsid w:val="00EA08AB"/>
    <w:rsid w:val="00EA18EB"/>
    <w:rsid w:val="00EA1BDD"/>
    <w:rsid w:val="00EA1E28"/>
    <w:rsid w:val="00EA26BB"/>
    <w:rsid w:val="00EA2EA4"/>
    <w:rsid w:val="00EA3150"/>
    <w:rsid w:val="00EA4551"/>
    <w:rsid w:val="00EA4C57"/>
    <w:rsid w:val="00EA5B38"/>
    <w:rsid w:val="00EA6DD6"/>
    <w:rsid w:val="00EA7028"/>
    <w:rsid w:val="00EA79D3"/>
    <w:rsid w:val="00EA7CB6"/>
    <w:rsid w:val="00EB0017"/>
    <w:rsid w:val="00EB0C6D"/>
    <w:rsid w:val="00EB1270"/>
    <w:rsid w:val="00EB30C1"/>
    <w:rsid w:val="00EB3403"/>
    <w:rsid w:val="00EB4119"/>
    <w:rsid w:val="00EB425C"/>
    <w:rsid w:val="00EB4439"/>
    <w:rsid w:val="00EB49C7"/>
    <w:rsid w:val="00EB5475"/>
    <w:rsid w:val="00EB577A"/>
    <w:rsid w:val="00EB57FD"/>
    <w:rsid w:val="00EB67B1"/>
    <w:rsid w:val="00EB6ECF"/>
    <w:rsid w:val="00EB7B82"/>
    <w:rsid w:val="00EC02DC"/>
    <w:rsid w:val="00EC19DC"/>
    <w:rsid w:val="00EC254E"/>
    <w:rsid w:val="00EC3F89"/>
    <w:rsid w:val="00EC4056"/>
    <w:rsid w:val="00EC4BC7"/>
    <w:rsid w:val="00EC76F6"/>
    <w:rsid w:val="00EC79C0"/>
    <w:rsid w:val="00EC7AE3"/>
    <w:rsid w:val="00EC7FE2"/>
    <w:rsid w:val="00ED037F"/>
    <w:rsid w:val="00ED1B08"/>
    <w:rsid w:val="00ED2454"/>
    <w:rsid w:val="00ED250F"/>
    <w:rsid w:val="00ED2D89"/>
    <w:rsid w:val="00ED366E"/>
    <w:rsid w:val="00ED3B94"/>
    <w:rsid w:val="00ED69AE"/>
    <w:rsid w:val="00ED6D02"/>
    <w:rsid w:val="00ED777F"/>
    <w:rsid w:val="00EE0357"/>
    <w:rsid w:val="00EE47EF"/>
    <w:rsid w:val="00EE486E"/>
    <w:rsid w:val="00EE5258"/>
    <w:rsid w:val="00EE595E"/>
    <w:rsid w:val="00EE5C09"/>
    <w:rsid w:val="00EE5C3A"/>
    <w:rsid w:val="00EE6226"/>
    <w:rsid w:val="00EE6C64"/>
    <w:rsid w:val="00EF0209"/>
    <w:rsid w:val="00EF13D8"/>
    <w:rsid w:val="00EF31E5"/>
    <w:rsid w:val="00EF3278"/>
    <w:rsid w:val="00EF3E23"/>
    <w:rsid w:val="00EF4A31"/>
    <w:rsid w:val="00EF4FF0"/>
    <w:rsid w:val="00EF5534"/>
    <w:rsid w:val="00EF5A1A"/>
    <w:rsid w:val="00EF62E9"/>
    <w:rsid w:val="00EF6362"/>
    <w:rsid w:val="00EF7395"/>
    <w:rsid w:val="00EF7523"/>
    <w:rsid w:val="00F00266"/>
    <w:rsid w:val="00F02AA8"/>
    <w:rsid w:val="00F032DF"/>
    <w:rsid w:val="00F03431"/>
    <w:rsid w:val="00F04202"/>
    <w:rsid w:val="00F05D27"/>
    <w:rsid w:val="00F064D4"/>
    <w:rsid w:val="00F06D82"/>
    <w:rsid w:val="00F074C1"/>
    <w:rsid w:val="00F103DD"/>
    <w:rsid w:val="00F1103E"/>
    <w:rsid w:val="00F11ACD"/>
    <w:rsid w:val="00F12800"/>
    <w:rsid w:val="00F12F20"/>
    <w:rsid w:val="00F13B24"/>
    <w:rsid w:val="00F14310"/>
    <w:rsid w:val="00F144D5"/>
    <w:rsid w:val="00F14DE0"/>
    <w:rsid w:val="00F153E0"/>
    <w:rsid w:val="00F16422"/>
    <w:rsid w:val="00F1684E"/>
    <w:rsid w:val="00F169AC"/>
    <w:rsid w:val="00F16EAC"/>
    <w:rsid w:val="00F170FF"/>
    <w:rsid w:val="00F17A09"/>
    <w:rsid w:val="00F20C5E"/>
    <w:rsid w:val="00F20CB9"/>
    <w:rsid w:val="00F21191"/>
    <w:rsid w:val="00F21202"/>
    <w:rsid w:val="00F21EE7"/>
    <w:rsid w:val="00F225AF"/>
    <w:rsid w:val="00F22A2A"/>
    <w:rsid w:val="00F2331D"/>
    <w:rsid w:val="00F24B17"/>
    <w:rsid w:val="00F269D7"/>
    <w:rsid w:val="00F270AE"/>
    <w:rsid w:val="00F27798"/>
    <w:rsid w:val="00F30A9D"/>
    <w:rsid w:val="00F317CB"/>
    <w:rsid w:val="00F31EEA"/>
    <w:rsid w:val="00F33CD9"/>
    <w:rsid w:val="00F34011"/>
    <w:rsid w:val="00F3433A"/>
    <w:rsid w:val="00F34E11"/>
    <w:rsid w:val="00F35238"/>
    <w:rsid w:val="00F35312"/>
    <w:rsid w:val="00F36858"/>
    <w:rsid w:val="00F36963"/>
    <w:rsid w:val="00F373EF"/>
    <w:rsid w:val="00F37AF1"/>
    <w:rsid w:val="00F40253"/>
    <w:rsid w:val="00F41BCE"/>
    <w:rsid w:val="00F41DD3"/>
    <w:rsid w:val="00F42A07"/>
    <w:rsid w:val="00F42F03"/>
    <w:rsid w:val="00F42F64"/>
    <w:rsid w:val="00F43493"/>
    <w:rsid w:val="00F4498C"/>
    <w:rsid w:val="00F45E90"/>
    <w:rsid w:val="00F4710F"/>
    <w:rsid w:val="00F529FF"/>
    <w:rsid w:val="00F53059"/>
    <w:rsid w:val="00F5347B"/>
    <w:rsid w:val="00F53838"/>
    <w:rsid w:val="00F53CB0"/>
    <w:rsid w:val="00F5496C"/>
    <w:rsid w:val="00F55DD8"/>
    <w:rsid w:val="00F57497"/>
    <w:rsid w:val="00F57732"/>
    <w:rsid w:val="00F60462"/>
    <w:rsid w:val="00F60DAE"/>
    <w:rsid w:val="00F60FE8"/>
    <w:rsid w:val="00F61A5E"/>
    <w:rsid w:val="00F6314D"/>
    <w:rsid w:val="00F6331D"/>
    <w:rsid w:val="00F634EE"/>
    <w:rsid w:val="00F63D92"/>
    <w:rsid w:val="00F651BB"/>
    <w:rsid w:val="00F6592F"/>
    <w:rsid w:val="00F65EF9"/>
    <w:rsid w:val="00F66109"/>
    <w:rsid w:val="00F6659E"/>
    <w:rsid w:val="00F666F9"/>
    <w:rsid w:val="00F707F5"/>
    <w:rsid w:val="00F7109C"/>
    <w:rsid w:val="00F7145D"/>
    <w:rsid w:val="00F72172"/>
    <w:rsid w:val="00F732E4"/>
    <w:rsid w:val="00F807E5"/>
    <w:rsid w:val="00F80C5E"/>
    <w:rsid w:val="00F80DE1"/>
    <w:rsid w:val="00F82522"/>
    <w:rsid w:val="00F82891"/>
    <w:rsid w:val="00F82D34"/>
    <w:rsid w:val="00F8304F"/>
    <w:rsid w:val="00F85C85"/>
    <w:rsid w:val="00F85F2D"/>
    <w:rsid w:val="00F867AD"/>
    <w:rsid w:val="00F86B69"/>
    <w:rsid w:val="00F875CF"/>
    <w:rsid w:val="00F87DC6"/>
    <w:rsid w:val="00F92880"/>
    <w:rsid w:val="00F93B65"/>
    <w:rsid w:val="00F94D32"/>
    <w:rsid w:val="00F9520F"/>
    <w:rsid w:val="00F963B7"/>
    <w:rsid w:val="00F9660B"/>
    <w:rsid w:val="00F96A9B"/>
    <w:rsid w:val="00F96D2E"/>
    <w:rsid w:val="00F97BAD"/>
    <w:rsid w:val="00F97C68"/>
    <w:rsid w:val="00F97C8D"/>
    <w:rsid w:val="00FA0791"/>
    <w:rsid w:val="00FA0A3C"/>
    <w:rsid w:val="00FA4BD7"/>
    <w:rsid w:val="00FA568B"/>
    <w:rsid w:val="00FA572B"/>
    <w:rsid w:val="00FA76A8"/>
    <w:rsid w:val="00FA7ED2"/>
    <w:rsid w:val="00FB22F7"/>
    <w:rsid w:val="00FB2399"/>
    <w:rsid w:val="00FB324E"/>
    <w:rsid w:val="00FB32E0"/>
    <w:rsid w:val="00FB49F1"/>
    <w:rsid w:val="00FB4A56"/>
    <w:rsid w:val="00FB4D8A"/>
    <w:rsid w:val="00FB5776"/>
    <w:rsid w:val="00FB5AC8"/>
    <w:rsid w:val="00FB633D"/>
    <w:rsid w:val="00FB7401"/>
    <w:rsid w:val="00FB740D"/>
    <w:rsid w:val="00FB7504"/>
    <w:rsid w:val="00FC1A96"/>
    <w:rsid w:val="00FC1D5A"/>
    <w:rsid w:val="00FC2352"/>
    <w:rsid w:val="00FC4699"/>
    <w:rsid w:val="00FC509B"/>
    <w:rsid w:val="00FC57D6"/>
    <w:rsid w:val="00FC5D82"/>
    <w:rsid w:val="00FC6F2A"/>
    <w:rsid w:val="00FC7382"/>
    <w:rsid w:val="00FC7715"/>
    <w:rsid w:val="00FC7B02"/>
    <w:rsid w:val="00FC7B6E"/>
    <w:rsid w:val="00FC7D35"/>
    <w:rsid w:val="00FD1166"/>
    <w:rsid w:val="00FD1445"/>
    <w:rsid w:val="00FD1EE4"/>
    <w:rsid w:val="00FD1F0A"/>
    <w:rsid w:val="00FD34D2"/>
    <w:rsid w:val="00FD34DD"/>
    <w:rsid w:val="00FD3697"/>
    <w:rsid w:val="00FD46D3"/>
    <w:rsid w:val="00FD488B"/>
    <w:rsid w:val="00FD5283"/>
    <w:rsid w:val="00FD585C"/>
    <w:rsid w:val="00FD5C47"/>
    <w:rsid w:val="00FD68FF"/>
    <w:rsid w:val="00FD6D92"/>
    <w:rsid w:val="00FD72FA"/>
    <w:rsid w:val="00FE10FF"/>
    <w:rsid w:val="00FE1B76"/>
    <w:rsid w:val="00FE202A"/>
    <w:rsid w:val="00FE2AB9"/>
    <w:rsid w:val="00FE2CC5"/>
    <w:rsid w:val="00FE3D6F"/>
    <w:rsid w:val="00FE454B"/>
    <w:rsid w:val="00FE465B"/>
    <w:rsid w:val="00FE49E8"/>
    <w:rsid w:val="00FE601A"/>
    <w:rsid w:val="00FE689B"/>
    <w:rsid w:val="00FF0CC8"/>
    <w:rsid w:val="00FF1690"/>
    <w:rsid w:val="00FF19C7"/>
    <w:rsid w:val="00FF1BF9"/>
    <w:rsid w:val="00FF1D9A"/>
    <w:rsid w:val="00FF306E"/>
    <w:rsid w:val="00FF48BB"/>
    <w:rsid w:val="00FF4CD3"/>
    <w:rsid w:val="00FF4CD6"/>
    <w:rsid w:val="00FF4E2A"/>
    <w:rsid w:val="00FF5DF8"/>
    <w:rsid w:val="00FF74B5"/>
    <w:rsid w:val="00FF787A"/>
    <w:rsid w:val="00FF793D"/>
  </w:rsids>
  <m:mathPr>
    <m:mathFont m:val="Cambria Math"/>
    <m:brkBin m:val="before"/>
    <m:brkBinSub m:val="--"/>
    <m:smallFrac m:val="0"/>
    <m:dispDef/>
    <m:lMargin m:val="0"/>
    <m:rMargin m:val="0"/>
    <m:defJc m:val="centerGroup"/>
    <m:wrapIndent m:val="1440"/>
    <m:intLim m:val="subSup"/>
    <m:naryLim m:val="undOvr"/>
  </m:mathPr>
  <w:themeFontLang w:val="en-IN"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AA93DE"/>
  <w15:docId w15:val="{13B9C634-D0EF-4EBD-A952-DC1BE7D66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annotation reference" w:qFormat="1"/>
    <w:lsdException w:name="Title" w:uiPriority="10" w:qFormat="1"/>
    <w:lsdException w:name="Default Paragraph Font" w:semiHidden="1" w:uiPriority="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7BB2"/>
    <w:pPr>
      <w:widowControl w:val="0"/>
      <w:jc w:val="both"/>
    </w:pPr>
  </w:style>
  <w:style w:type="paragraph" w:styleId="1">
    <w:name w:val="heading 1"/>
    <w:basedOn w:val="a"/>
    <w:next w:val="a"/>
    <w:link w:val="10"/>
    <w:uiPriority w:val="9"/>
    <w:qFormat/>
    <w:rsid w:val="001C62AF"/>
    <w:pPr>
      <w:keepNext/>
      <w:widowControl/>
      <w:spacing w:before="240" w:after="60" w:line="259" w:lineRule="auto"/>
      <w:jc w:val="left"/>
      <w:outlineLvl w:val="0"/>
    </w:pPr>
    <w:rPr>
      <w:rFonts w:ascii="Calibri Light" w:eastAsia="Times New Roman" w:hAnsi="Calibri Light" w:cs="Times New Roman"/>
      <w:b/>
      <w:bCs/>
      <w:kern w:val="32"/>
      <w:sz w:val="32"/>
      <w:szCs w:val="32"/>
      <w:lang w:eastAsia="en-US"/>
    </w:rPr>
  </w:style>
  <w:style w:type="paragraph" w:styleId="2">
    <w:name w:val="heading 2"/>
    <w:basedOn w:val="a"/>
    <w:next w:val="a"/>
    <w:link w:val="20"/>
    <w:uiPriority w:val="9"/>
    <w:semiHidden/>
    <w:unhideWhenUsed/>
    <w:qFormat/>
    <w:rsid w:val="00771E8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OC11">
    <w:name w:val="TOC 11"/>
    <w:basedOn w:val="a"/>
    <w:pPr>
      <w:spacing w:line="305" w:lineRule="auto"/>
    </w:pPr>
    <w:rPr>
      <w:rFonts w:ascii="Calibri" w:eastAsia="Calibri" w:hAnsi="Calibri" w:cs="Calibri"/>
      <w:sz w:val="26"/>
    </w:rPr>
  </w:style>
  <w:style w:type="paragraph" w:customStyle="1" w:styleId="TOC21">
    <w:name w:val="TOC 21"/>
    <w:basedOn w:val="a"/>
    <w:pPr>
      <w:spacing w:line="330" w:lineRule="auto"/>
    </w:pPr>
    <w:rPr>
      <w:rFonts w:ascii="Calibri" w:eastAsia="Calibri" w:hAnsi="Calibri" w:cs="Calibri"/>
      <w:sz w:val="24"/>
    </w:rPr>
  </w:style>
  <w:style w:type="paragraph" w:customStyle="1" w:styleId="TOC31">
    <w:name w:val="TOC 31"/>
    <w:basedOn w:val="a"/>
    <w:pPr>
      <w:spacing w:line="360" w:lineRule="auto"/>
    </w:pPr>
    <w:rPr>
      <w:rFonts w:ascii="Calibri" w:eastAsia="Calibri" w:hAnsi="Calibri" w:cs="Calibri"/>
      <w:sz w:val="22"/>
    </w:rPr>
  </w:style>
  <w:style w:type="paragraph" w:customStyle="1" w:styleId="TOC41">
    <w:name w:val="TOC 41"/>
    <w:basedOn w:val="a"/>
    <w:pPr>
      <w:spacing w:line="330" w:lineRule="exact"/>
    </w:pPr>
    <w:rPr>
      <w:rFonts w:ascii="Calibri" w:eastAsia="Calibri" w:hAnsi="Calibri" w:cs="Calibri"/>
    </w:rPr>
  </w:style>
  <w:style w:type="paragraph" w:customStyle="1" w:styleId="TOC51">
    <w:name w:val="TOC 51"/>
    <w:basedOn w:val="a"/>
    <w:pPr>
      <w:spacing w:line="330" w:lineRule="exact"/>
    </w:pPr>
    <w:rPr>
      <w:rFonts w:ascii="Calibri" w:eastAsia="Calibri" w:hAnsi="Calibri" w:cs="Calibri"/>
    </w:rPr>
  </w:style>
  <w:style w:type="paragraph" w:customStyle="1" w:styleId="TOC61">
    <w:name w:val="TOC 61"/>
    <w:basedOn w:val="a"/>
    <w:pPr>
      <w:spacing w:line="330" w:lineRule="exact"/>
    </w:pPr>
    <w:rPr>
      <w:rFonts w:ascii="Calibri" w:eastAsia="Calibri" w:hAnsi="Calibri" w:cs="Calibri"/>
    </w:rPr>
  </w:style>
  <w:style w:type="paragraph" w:customStyle="1" w:styleId="TOC71">
    <w:name w:val="TOC 71"/>
    <w:basedOn w:val="a"/>
    <w:pPr>
      <w:spacing w:line="330" w:lineRule="exact"/>
    </w:pPr>
    <w:rPr>
      <w:rFonts w:ascii="Calibri" w:eastAsia="Calibri" w:hAnsi="Calibri" w:cs="Calibri"/>
    </w:rPr>
  </w:style>
  <w:style w:type="paragraph" w:customStyle="1" w:styleId="TOC81">
    <w:name w:val="TOC 81"/>
    <w:basedOn w:val="a"/>
    <w:pPr>
      <w:spacing w:line="330" w:lineRule="exact"/>
    </w:pPr>
    <w:rPr>
      <w:rFonts w:ascii="Calibri" w:eastAsia="Calibri" w:hAnsi="Calibri" w:cs="Calibri"/>
    </w:rPr>
  </w:style>
  <w:style w:type="paragraph" w:customStyle="1" w:styleId="TOC91">
    <w:name w:val="TOC 91"/>
    <w:basedOn w:val="a"/>
    <w:pPr>
      <w:spacing w:line="330" w:lineRule="exact"/>
    </w:pPr>
    <w:rPr>
      <w:rFonts w:ascii="Calibri" w:eastAsia="Calibri" w:hAnsi="Calibri" w:cs="Calibri"/>
    </w:rPr>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customStyle="1" w:styleId="CommentReference1">
    <w:name w:val="Comment Reference1"/>
    <w:basedOn w:val="a0"/>
    <w:rPr>
      <w:sz w:val="16"/>
    </w:rPr>
  </w:style>
  <w:style w:type="character" w:customStyle="1" w:styleId="EndnoteReference1">
    <w:name w:val="Endnote Reference1"/>
    <w:basedOn w:val="a0"/>
    <w:rPr>
      <w:vertAlign w:val="superscript"/>
    </w:rPr>
  </w:style>
  <w:style w:type="character" w:customStyle="1" w:styleId="FootnoteReference1">
    <w:name w:val="Footnote Reference1"/>
    <w:basedOn w:val="a0"/>
    <w:rPr>
      <w:vertAlign w:val="superscript"/>
    </w:rPr>
  </w:style>
  <w:style w:type="paragraph" w:styleId="a4">
    <w:name w:val="List Paragraph"/>
    <w:basedOn w:val="a"/>
    <w:pPr>
      <w:ind w:left="840"/>
    </w:p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paragraph" w:styleId="Web">
    <w:name w:val="Normal (Web)"/>
    <w:basedOn w:val="a"/>
    <w:uiPriority w:val="99"/>
    <w:qFormat/>
    <w:pPr>
      <w:widowControl/>
      <w:spacing w:before="100" w:beforeAutospacing="1" w:after="100" w:afterAutospacing="1"/>
      <w:jc w:val="left"/>
    </w:pPr>
    <w:rPr>
      <w:rFonts w:ascii="ＭＳ Ｐゴシック" w:eastAsia="ＭＳ Ｐゴシック" w:hAnsi="ＭＳ Ｐゴシック" w:cs="ＭＳ Ｐゴシック"/>
      <w:sz w:val="24"/>
    </w:rPr>
  </w:style>
  <w:style w:type="paragraph" w:customStyle="1" w:styleId="TableList">
    <w:name w:val="Table List"/>
    <w:basedOn w:val="a"/>
    <w:pPr>
      <w:ind w:left="300" w:hanging="300"/>
      <w:jc w:val="left"/>
    </w:pPr>
    <w:rPr>
      <w:rFonts w:ascii="Calibri" w:eastAsia="Calibri" w:hAnsi="Calibri" w:cs="Calibri"/>
      <w:sz w:val="20"/>
    </w:rPr>
  </w:style>
  <w:style w:type="character" w:customStyle="1" w:styleId="GivenName">
    <w:name w:val="Given Name"/>
    <w:basedOn w:val="a0"/>
    <w:rPr>
      <w:shd w:val="clear" w:color="auto" w:fill="D0FCE2"/>
    </w:rPr>
  </w:style>
  <w:style w:type="character" w:customStyle="1" w:styleId="FamilyName">
    <w:name w:val="Family Name"/>
    <w:basedOn w:val="a0"/>
    <w:rPr>
      <w:shd w:val="clear" w:color="auto" w:fill="88F4BE"/>
    </w:rPr>
  </w:style>
  <w:style w:type="paragraph" w:customStyle="1" w:styleId="List8">
    <w:name w:val="List 8"/>
    <w:basedOn w:val="a"/>
    <w:pPr>
      <w:spacing w:line="360" w:lineRule="auto"/>
      <w:ind w:left="1980" w:hanging="400"/>
    </w:pPr>
    <w:rPr>
      <w:rFonts w:ascii="Calibri" w:eastAsia="Calibri" w:hAnsi="Calibri" w:cs="Calibri"/>
      <w:sz w:val="22"/>
    </w:rPr>
  </w:style>
  <w:style w:type="character" w:customStyle="1" w:styleId="Cross-reference">
    <w:name w:val="Cross-reference"/>
    <w:basedOn w:val="a0"/>
    <w:rPr>
      <w:shd w:val="clear" w:color="auto" w:fill="FFE3C9"/>
    </w:rPr>
  </w:style>
  <w:style w:type="character" w:customStyle="1" w:styleId="Postcode">
    <w:name w:val="Postcode"/>
    <w:basedOn w:val="a0"/>
    <w:rPr>
      <w:shd w:val="clear" w:color="auto" w:fill="BEBEBE"/>
    </w:rPr>
  </w:style>
  <w:style w:type="paragraph" w:customStyle="1" w:styleId="Authors">
    <w:name w:val="Authors"/>
    <w:basedOn w:val="a"/>
    <w:pPr>
      <w:spacing w:before="360" w:after="120" w:line="283" w:lineRule="auto"/>
      <w:jc w:val="left"/>
    </w:pPr>
    <w:rPr>
      <w:rFonts w:ascii="Calibri" w:eastAsia="Calibri" w:hAnsi="Calibri" w:cs="Calibri"/>
      <w:sz w:val="28"/>
    </w:rPr>
  </w:style>
  <w:style w:type="character" w:customStyle="1" w:styleId="GrantID">
    <w:name w:val="Grant ID"/>
    <w:basedOn w:val="a0"/>
    <w:rPr>
      <w:shd w:val="clear" w:color="auto" w:fill="DDA5FF"/>
    </w:rPr>
  </w:style>
  <w:style w:type="paragraph" w:customStyle="1" w:styleId="Annotation">
    <w:name w:val="Annotation"/>
    <w:basedOn w:val="a"/>
    <w:pPr>
      <w:spacing w:after="160" w:line="360" w:lineRule="auto"/>
      <w:ind w:left="400"/>
      <w:jc w:val="left"/>
    </w:pPr>
    <w:rPr>
      <w:rFonts w:ascii="Calibri" w:eastAsia="Calibri" w:hAnsi="Calibri" w:cs="Calibri"/>
      <w:sz w:val="22"/>
    </w:rPr>
  </w:style>
  <w:style w:type="paragraph" w:customStyle="1" w:styleId="Note">
    <w:name w:val="Note"/>
    <w:basedOn w:val="a"/>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a"/>
    <w:pPr>
      <w:shd w:val="clear" w:color="auto" w:fill="E9F9FF"/>
    </w:pPr>
    <w:rPr>
      <w:rFonts w:ascii="Calibri" w:eastAsia="Calibri" w:hAnsi="Calibri" w:cs="Calibri"/>
      <w:sz w:val="18"/>
      <w:shd w:val="clear" w:color="auto" w:fill="E9F9FF"/>
    </w:rPr>
  </w:style>
  <w:style w:type="paragraph" w:customStyle="1" w:styleId="FootnoteText1">
    <w:name w:val="Footnote Text1"/>
    <w:basedOn w:val="a"/>
    <w:rPr>
      <w:rFonts w:ascii="Calibri" w:eastAsia="Calibri" w:hAnsi="Calibri" w:cs="Calibri"/>
    </w:rPr>
  </w:style>
  <w:style w:type="paragraph" w:customStyle="1" w:styleId="Formula">
    <w:name w:val="Formula"/>
    <w:basedOn w:val="a"/>
    <w:pPr>
      <w:shd w:val="clear" w:color="auto" w:fill="FFF5ED"/>
      <w:spacing w:before="120" w:after="120" w:line="360" w:lineRule="auto"/>
      <w:jc w:val="left"/>
    </w:pPr>
    <w:rPr>
      <w:rFonts w:ascii="Calibri" w:eastAsia="Calibri" w:hAnsi="Calibri" w:cs="Calibri"/>
      <w:sz w:val="22"/>
      <w:shd w:val="clear" w:color="auto" w:fill="FFF5ED"/>
    </w:rPr>
  </w:style>
  <w:style w:type="paragraph" w:customStyle="1" w:styleId="Abstract">
    <w:name w:val="Abstract"/>
    <w:basedOn w:val="a"/>
    <w:pPr>
      <w:spacing w:after="160" w:line="360" w:lineRule="auto"/>
      <w:ind w:left="1440" w:right="1440"/>
    </w:pPr>
    <w:rPr>
      <w:rFonts w:ascii="Calibri" w:eastAsia="Calibri" w:hAnsi="Calibri" w:cs="Calibri"/>
      <w:sz w:val="22"/>
    </w:rPr>
  </w:style>
  <w:style w:type="paragraph" w:customStyle="1" w:styleId="Reference">
    <w:name w:val="Reference"/>
    <w:basedOn w:val="a"/>
    <w:pPr>
      <w:spacing w:after="320" w:line="360" w:lineRule="auto"/>
      <w:ind w:left="400" w:hanging="400"/>
    </w:pPr>
    <w:rPr>
      <w:rFonts w:ascii="Calibri" w:eastAsia="Calibri" w:hAnsi="Calibri" w:cs="Calibri"/>
      <w:sz w:val="22"/>
    </w:rPr>
  </w:style>
  <w:style w:type="character" w:customStyle="1" w:styleId="Label">
    <w:name w:val="Label"/>
    <w:basedOn w:val="a0"/>
    <w:rPr>
      <w:shd w:val="clear" w:color="auto" w:fill="FFC391"/>
      <w:vertAlign w:val="baseline"/>
    </w:rPr>
  </w:style>
  <w:style w:type="paragraph" w:customStyle="1" w:styleId="Keywords">
    <w:name w:val="Keywords"/>
    <w:basedOn w:val="a"/>
    <w:pPr>
      <w:spacing w:line="396" w:lineRule="auto"/>
      <w:ind w:left="1000"/>
      <w:jc w:val="left"/>
    </w:pPr>
    <w:rPr>
      <w:rFonts w:ascii="Calibri" w:eastAsia="Calibri" w:hAnsi="Calibri" w:cs="Calibri"/>
      <w:sz w:val="20"/>
    </w:rPr>
  </w:style>
  <w:style w:type="character" w:customStyle="1" w:styleId="Organization">
    <w:name w:val="Organization"/>
    <w:basedOn w:val="a0"/>
    <w:rPr>
      <w:shd w:val="clear" w:color="auto" w:fill="D1FFB5"/>
    </w:rPr>
  </w:style>
  <w:style w:type="paragraph" w:styleId="21">
    <w:name w:val="List 2"/>
    <w:basedOn w:val="a"/>
    <w:pPr>
      <w:spacing w:line="360" w:lineRule="auto"/>
      <w:ind w:left="800" w:hanging="400"/>
    </w:pPr>
    <w:rPr>
      <w:rFonts w:ascii="Calibri" w:eastAsia="Calibri" w:hAnsi="Calibri" w:cs="Calibri"/>
      <w:sz w:val="22"/>
    </w:rPr>
  </w:style>
  <w:style w:type="character" w:customStyle="1" w:styleId="GlossaryTerm">
    <w:name w:val="Glossary Term"/>
    <w:basedOn w:val="a0"/>
    <w:rPr>
      <w:shd w:val="clear" w:color="auto" w:fill="FFCFD7"/>
    </w:rPr>
  </w:style>
  <w:style w:type="paragraph" w:customStyle="1" w:styleId="EndnoteText1">
    <w:name w:val="Endnote Text1"/>
    <w:basedOn w:val="a"/>
    <w:rPr>
      <w:rFonts w:ascii="Calibri" w:eastAsia="Calibri" w:hAnsi="Calibri" w:cs="Calibri"/>
    </w:rPr>
  </w:style>
  <w:style w:type="paragraph" w:styleId="a7">
    <w:name w:val="Block Text"/>
    <w:basedOn w:val="a"/>
    <w:pPr>
      <w:spacing w:after="160" w:line="360" w:lineRule="auto"/>
      <w:ind w:left="1200"/>
    </w:pPr>
    <w:rPr>
      <w:rFonts w:ascii="Calibri" w:eastAsia="Calibri" w:hAnsi="Calibri" w:cs="Calibri"/>
      <w:sz w:val="22"/>
    </w:rPr>
  </w:style>
  <w:style w:type="character" w:customStyle="1" w:styleId="ArticleTitle">
    <w:name w:val="Article Title"/>
    <w:basedOn w:val="a0"/>
    <w:qFormat/>
    <w:rPr>
      <w:shd w:val="clear" w:color="auto" w:fill="E9F9FF"/>
    </w:rPr>
  </w:style>
  <w:style w:type="character" w:customStyle="1" w:styleId="City">
    <w:name w:val="City"/>
    <w:basedOn w:val="a0"/>
    <w:rPr>
      <w:shd w:val="clear" w:color="auto" w:fill="D7D7D7"/>
    </w:rPr>
  </w:style>
  <w:style w:type="character" w:styleId="a8">
    <w:name w:val="Hyperlink"/>
    <w:basedOn w:val="a0"/>
    <w:rPr>
      <w:color w:val="0563C1"/>
    </w:rPr>
  </w:style>
  <w:style w:type="character" w:customStyle="1" w:styleId="Region">
    <w:name w:val="Region"/>
    <w:basedOn w:val="a0"/>
    <w:rPr>
      <w:shd w:val="clear" w:color="auto" w:fill="D8E9EE"/>
    </w:rPr>
  </w:style>
  <w:style w:type="paragraph" w:customStyle="1" w:styleId="Correspondence">
    <w:name w:val="Correspondence"/>
    <w:basedOn w:val="a"/>
    <w:pPr>
      <w:shd w:val="clear" w:color="auto" w:fill="F3F7F9"/>
      <w:spacing w:before="240" w:after="120" w:line="396" w:lineRule="auto"/>
      <w:ind w:left="400" w:hanging="400"/>
      <w:jc w:val="left"/>
    </w:pPr>
    <w:rPr>
      <w:rFonts w:ascii="Calibri" w:eastAsia="Calibri" w:hAnsi="Calibri" w:cs="Calibri"/>
      <w:sz w:val="20"/>
      <w:shd w:val="clear" w:color="auto" w:fill="F3F7F9"/>
    </w:rPr>
  </w:style>
  <w:style w:type="character" w:customStyle="1" w:styleId="DatabaseLink">
    <w:name w:val="Database Link"/>
    <w:basedOn w:val="a0"/>
    <w:rPr>
      <w:shd w:val="clear" w:color="auto" w:fill="AFBEFF"/>
    </w:rPr>
  </w:style>
  <w:style w:type="paragraph" w:styleId="4">
    <w:name w:val="List 4"/>
    <w:basedOn w:val="a"/>
    <w:pPr>
      <w:spacing w:line="360" w:lineRule="auto"/>
      <w:ind w:left="1600" w:hanging="400"/>
    </w:pPr>
    <w:rPr>
      <w:rFonts w:ascii="Calibri" w:eastAsia="Calibri" w:hAnsi="Calibri" w:cs="Calibri"/>
      <w:sz w:val="22"/>
    </w:rPr>
  </w:style>
  <w:style w:type="paragraph" w:customStyle="1" w:styleId="AbstractSubheading">
    <w:name w:val="Abstract Subheading"/>
    <w:basedOn w:val="a"/>
    <w:pPr>
      <w:numPr>
        <w:ilvl w:val="8"/>
      </w:numPr>
      <w:ind w:left="1440"/>
      <w:outlineLvl w:val="8"/>
    </w:pPr>
    <w:rPr>
      <w:sz w:val="22"/>
    </w:rPr>
  </w:style>
  <w:style w:type="paragraph" w:customStyle="1" w:styleId="QuotationSource">
    <w:name w:val="Quotation Source"/>
    <w:basedOn w:val="a"/>
    <w:pPr>
      <w:spacing w:after="170" w:line="360" w:lineRule="auto"/>
      <w:ind w:left="1200"/>
      <w:jc w:val="right"/>
    </w:pPr>
    <w:rPr>
      <w:rFonts w:ascii="Calibri" w:eastAsia="Calibri" w:hAnsi="Calibri" w:cs="Calibri"/>
      <w:sz w:val="22"/>
    </w:rPr>
  </w:style>
  <w:style w:type="paragraph" w:customStyle="1" w:styleId="Glossary">
    <w:name w:val="Glossary"/>
    <w:basedOn w:val="a"/>
    <w:pPr>
      <w:shd w:val="clear" w:color="auto" w:fill="FFEDF0"/>
      <w:spacing w:before="120" w:after="120" w:line="432" w:lineRule="auto"/>
    </w:pPr>
    <w:rPr>
      <w:rFonts w:ascii="Calibri" w:eastAsia="Calibri" w:hAnsi="Calibri" w:cs="Calibri"/>
      <w:sz w:val="20"/>
      <w:shd w:val="clear" w:color="auto" w:fill="FFEDF0"/>
    </w:rPr>
  </w:style>
  <w:style w:type="paragraph" w:customStyle="1" w:styleId="List7">
    <w:name w:val="List 7"/>
    <w:basedOn w:val="a"/>
    <w:pPr>
      <w:spacing w:line="360" w:lineRule="auto"/>
      <w:ind w:left="1920" w:hanging="400"/>
    </w:pPr>
    <w:rPr>
      <w:rFonts w:ascii="Calibri" w:eastAsia="Calibri" w:hAnsi="Calibri" w:cs="Calibri"/>
      <w:sz w:val="22"/>
    </w:rPr>
  </w:style>
  <w:style w:type="character" w:customStyle="1" w:styleId="Country">
    <w:name w:val="Country"/>
    <w:basedOn w:val="a0"/>
    <w:rPr>
      <w:shd w:val="clear" w:color="auto" w:fill="97C5D1"/>
    </w:rPr>
  </w:style>
  <w:style w:type="paragraph" w:customStyle="1" w:styleId="Acknowledgements">
    <w:name w:val="Acknowledgements"/>
    <w:basedOn w:val="a"/>
    <w:pPr>
      <w:shd w:val="clear" w:color="auto" w:fill="F9EDFF"/>
      <w:spacing w:after="160" w:line="396" w:lineRule="auto"/>
    </w:pPr>
    <w:rPr>
      <w:rFonts w:ascii="Calibri" w:eastAsia="Calibri" w:hAnsi="Calibri" w:cs="Calibri"/>
      <w:sz w:val="20"/>
      <w:shd w:val="clear" w:color="auto" w:fill="F9EDFF"/>
    </w:rPr>
  </w:style>
  <w:style w:type="character" w:customStyle="1" w:styleId="PageNumbers">
    <w:name w:val="Page Numbers"/>
    <w:basedOn w:val="a0"/>
    <w:rPr>
      <w:shd w:val="clear" w:color="auto" w:fill="FFEDF0"/>
    </w:rPr>
  </w:style>
  <w:style w:type="paragraph" w:styleId="a9">
    <w:name w:val="Normal Indent"/>
    <w:basedOn w:val="a"/>
    <w:qFormat/>
    <w:pPr>
      <w:ind w:firstLine="480"/>
    </w:pPr>
    <w:rPr>
      <w:sz w:val="22"/>
    </w:rPr>
  </w:style>
  <w:style w:type="paragraph" w:customStyle="1" w:styleId="Affiliation">
    <w:name w:val="Affiliation"/>
    <w:basedOn w:val="a"/>
    <w:pPr>
      <w:shd w:val="clear" w:color="auto" w:fill="F4FFED"/>
      <w:spacing w:before="240" w:after="120" w:line="396" w:lineRule="auto"/>
      <w:ind w:left="400" w:hanging="400"/>
      <w:jc w:val="left"/>
    </w:pPr>
    <w:rPr>
      <w:rFonts w:ascii="Calibri" w:eastAsia="Calibri" w:hAnsi="Calibri" w:cs="Calibri"/>
      <w:sz w:val="20"/>
      <w:shd w:val="clear" w:color="auto" w:fill="F4FFED"/>
    </w:rPr>
  </w:style>
  <w:style w:type="character" w:customStyle="1" w:styleId="VolumeNumber">
    <w:name w:val="Volume Number"/>
    <w:basedOn w:val="a0"/>
    <w:rPr>
      <w:shd w:val="clear" w:color="auto" w:fill="EDF0FF"/>
    </w:rPr>
  </w:style>
  <w:style w:type="character" w:customStyle="1" w:styleId="GeneSequence">
    <w:name w:val="Gene Sequence"/>
    <w:basedOn w:val="a0"/>
    <w:rPr>
      <w:shd w:val="clear" w:color="auto" w:fill="FFCDF2"/>
    </w:rPr>
  </w:style>
  <w:style w:type="paragraph" w:styleId="aa">
    <w:name w:val="Balloon Text"/>
    <w:basedOn w:val="a"/>
    <w:rsid w:val="00C07150"/>
    <w:rPr>
      <w:rFonts w:ascii="Calibri" w:eastAsia="Calibri" w:hAnsi="Calibri" w:cs="Calibri"/>
      <w:color w:val="000000"/>
      <w:sz w:val="20"/>
    </w:rPr>
  </w:style>
  <w:style w:type="character" w:customStyle="1" w:styleId="IssueNumber">
    <w:name w:val="Issue Number"/>
    <w:basedOn w:val="a0"/>
    <w:rPr>
      <w:shd w:val="clear" w:color="auto" w:fill="CDD5FF"/>
    </w:rPr>
  </w:style>
  <w:style w:type="paragraph" w:styleId="ab">
    <w:name w:val="List"/>
    <w:basedOn w:val="a"/>
    <w:pPr>
      <w:spacing w:line="360" w:lineRule="auto"/>
      <w:ind w:left="400" w:hanging="400"/>
    </w:pPr>
    <w:rPr>
      <w:rFonts w:ascii="Calibri" w:eastAsia="Calibri" w:hAnsi="Calibri" w:cs="Calibri"/>
      <w:sz w:val="22"/>
    </w:rPr>
  </w:style>
  <w:style w:type="character" w:customStyle="1" w:styleId="Edition">
    <w:name w:val="Edition"/>
    <w:basedOn w:val="a0"/>
    <w:rPr>
      <w:shd w:val="clear" w:color="auto" w:fill="FFF6A4"/>
    </w:rPr>
  </w:style>
  <w:style w:type="paragraph" w:customStyle="1" w:styleId="Biography">
    <w:name w:val="Biography"/>
    <w:basedOn w:val="a"/>
    <w:pPr>
      <w:shd w:val="clear" w:color="auto" w:fill="EEFEF4"/>
      <w:spacing w:after="160" w:line="396" w:lineRule="auto"/>
    </w:pPr>
    <w:rPr>
      <w:rFonts w:ascii="Calibri" w:eastAsia="Calibri" w:hAnsi="Calibri" w:cs="Calibri"/>
      <w:sz w:val="20"/>
      <w:shd w:val="clear" w:color="auto" w:fill="EEFEF4"/>
    </w:rPr>
  </w:style>
  <w:style w:type="paragraph" w:styleId="3">
    <w:name w:val="List 3"/>
    <w:basedOn w:val="a"/>
    <w:pPr>
      <w:spacing w:line="360" w:lineRule="auto"/>
      <w:ind w:left="1200" w:hanging="400"/>
    </w:pPr>
    <w:rPr>
      <w:rFonts w:ascii="Calibri" w:eastAsia="Calibri" w:hAnsi="Calibri" w:cs="Calibri"/>
      <w:sz w:val="22"/>
    </w:rPr>
  </w:style>
  <w:style w:type="character" w:customStyle="1" w:styleId="Conference">
    <w:name w:val="Conference"/>
    <w:basedOn w:val="a0"/>
    <w:rPr>
      <w:shd w:val="clear" w:color="auto" w:fill="FFAFBC"/>
    </w:rPr>
  </w:style>
  <w:style w:type="paragraph" w:customStyle="1" w:styleId="Surtitle">
    <w:name w:val="Surtitle"/>
    <w:basedOn w:val="a"/>
    <w:qFormat/>
    <w:pPr>
      <w:spacing w:after="160" w:line="208" w:lineRule="auto"/>
      <w:jc w:val="left"/>
    </w:pPr>
    <w:rPr>
      <w:rFonts w:ascii="Calibri" w:eastAsia="Calibri" w:hAnsi="Calibri" w:cs="Calibri"/>
      <w:sz w:val="38"/>
    </w:rPr>
  </w:style>
  <w:style w:type="paragraph" w:customStyle="1" w:styleId="TableHeadSpan">
    <w:name w:val="Table Head Span"/>
    <w:basedOn w:val="a"/>
    <w:pPr>
      <w:shd w:val="clear" w:color="auto" w:fill="FFEDFA"/>
      <w:jc w:val="left"/>
    </w:pPr>
    <w:rPr>
      <w:rFonts w:ascii="Calibri" w:eastAsia="Calibri" w:hAnsi="Calibri" w:cs="Calibri"/>
      <w:shd w:val="clear" w:color="auto" w:fill="FFEDFA"/>
    </w:rPr>
  </w:style>
  <w:style w:type="character" w:customStyle="1" w:styleId="Miscellaneous">
    <w:name w:val="Miscellaneous"/>
    <w:basedOn w:val="a0"/>
    <w:rPr>
      <w:shd w:val="clear" w:color="auto" w:fill="F0F0F0"/>
    </w:rPr>
  </w:style>
  <w:style w:type="paragraph" w:customStyle="1" w:styleId="List6">
    <w:name w:val="List 6"/>
    <w:basedOn w:val="a"/>
    <w:pPr>
      <w:spacing w:line="360" w:lineRule="auto"/>
      <w:ind w:left="1860" w:hanging="400"/>
    </w:pPr>
    <w:rPr>
      <w:rFonts w:ascii="Calibri" w:eastAsia="Calibri" w:hAnsi="Calibri" w:cs="Calibri"/>
      <w:sz w:val="22"/>
    </w:rPr>
  </w:style>
  <w:style w:type="character" w:customStyle="1" w:styleId="Heading">
    <w:name w:val="Heading:"/>
    <w:basedOn w:val="a0"/>
    <w:rPr>
      <w:color w:val="5B89C1"/>
    </w:rPr>
  </w:style>
  <w:style w:type="character" w:customStyle="1" w:styleId="Source">
    <w:name w:val="Source"/>
    <w:basedOn w:val="a0"/>
    <w:rPr>
      <w:shd w:val="clear" w:color="auto" w:fill="C1EDFF"/>
    </w:rPr>
  </w:style>
  <w:style w:type="paragraph" w:styleId="ac">
    <w:name w:val="Subtitle"/>
    <w:basedOn w:val="a"/>
    <w:qFormat/>
    <w:pPr>
      <w:spacing w:after="160" w:line="208" w:lineRule="auto"/>
      <w:jc w:val="left"/>
    </w:pPr>
    <w:rPr>
      <w:rFonts w:ascii="Calibri" w:eastAsia="Calibri" w:hAnsi="Calibri" w:cs="Calibri"/>
      <w:sz w:val="38"/>
    </w:rPr>
  </w:style>
  <w:style w:type="character" w:customStyle="1" w:styleId="NameScientific">
    <w:name w:val="Name Scientific"/>
    <w:basedOn w:val="a0"/>
    <w:rPr>
      <w:shd w:val="clear" w:color="auto" w:fill="91E0FF"/>
    </w:rPr>
  </w:style>
  <w:style w:type="paragraph" w:customStyle="1" w:styleId="Statement">
    <w:name w:val="Statement"/>
    <w:basedOn w:val="a"/>
    <w:pPr>
      <w:ind w:left="900"/>
    </w:pPr>
    <w:rPr>
      <w:rFonts w:ascii="Calibri" w:eastAsia="Calibri" w:hAnsi="Calibri" w:cs="Calibri"/>
      <w:sz w:val="22"/>
    </w:rPr>
  </w:style>
  <w:style w:type="paragraph" w:customStyle="1" w:styleId="TableHead">
    <w:name w:val="Table Head"/>
    <w:basedOn w:val="a"/>
    <w:pPr>
      <w:shd w:val="clear" w:color="auto" w:fill="FFEDFA"/>
      <w:jc w:val="left"/>
    </w:pPr>
    <w:rPr>
      <w:rFonts w:ascii="Calibri" w:eastAsia="Calibri" w:hAnsi="Calibri" w:cs="Calibri"/>
      <w:sz w:val="20"/>
      <w:shd w:val="clear" w:color="auto" w:fill="FFEDFA"/>
    </w:rPr>
  </w:style>
  <w:style w:type="paragraph" w:customStyle="1" w:styleId="Quotation">
    <w:name w:val="Quotation"/>
    <w:basedOn w:val="a"/>
    <w:pPr>
      <w:spacing w:after="160" w:line="360" w:lineRule="auto"/>
      <w:ind w:left="1200" w:right="1200"/>
    </w:pPr>
    <w:rPr>
      <w:rFonts w:ascii="Calibri" w:eastAsia="Calibri" w:hAnsi="Calibri" w:cs="Calibri"/>
      <w:sz w:val="22"/>
    </w:rPr>
  </w:style>
  <w:style w:type="paragraph" w:customStyle="1" w:styleId="TableNote">
    <w:name w:val="Table Note"/>
    <w:basedOn w:val="a"/>
    <w:rPr>
      <w:rFonts w:ascii="Calibri" w:eastAsia="Calibri" w:hAnsi="Calibri" w:cs="Calibri"/>
      <w:sz w:val="18"/>
    </w:rPr>
  </w:style>
  <w:style w:type="character" w:customStyle="1" w:styleId="Year">
    <w:name w:val="Year"/>
    <w:basedOn w:val="a0"/>
    <w:rPr>
      <w:shd w:val="clear" w:color="auto" w:fill="FFF9C9"/>
    </w:rPr>
  </w:style>
  <w:style w:type="paragraph" w:customStyle="1" w:styleId="TableBody">
    <w:name w:val="Table Body"/>
    <w:basedOn w:val="a"/>
    <w:pPr>
      <w:spacing w:after="160" w:line="396" w:lineRule="auto"/>
      <w:jc w:val="left"/>
    </w:pPr>
    <w:rPr>
      <w:rFonts w:ascii="Calibri" w:eastAsia="Calibri" w:hAnsi="Calibri" w:cs="Calibri"/>
      <w:sz w:val="20"/>
    </w:rPr>
  </w:style>
  <w:style w:type="character" w:customStyle="1" w:styleId="Location">
    <w:name w:val="Location"/>
    <w:basedOn w:val="a0"/>
    <w:rPr>
      <w:shd w:val="clear" w:color="auto" w:fill="F9EDFF"/>
    </w:rPr>
  </w:style>
  <w:style w:type="paragraph" w:customStyle="1" w:styleId="ChapterNumber">
    <w:name w:val="Chapter Number"/>
    <w:basedOn w:val="a"/>
    <w:rPr>
      <w:rFonts w:ascii="Calibri" w:eastAsia="Calibri" w:hAnsi="Calibri" w:cs="Calibri"/>
    </w:rPr>
  </w:style>
  <w:style w:type="paragraph" w:styleId="5">
    <w:name w:val="List 5"/>
    <w:basedOn w:val="a"/>
    <w:pPr>
      <w:spacing w:line="360" w:lineRule="auto"/>
      <w:ind w:left="1800" w:hanging="400"/>
    </w:pPr>
    <w:rPr>
      <w:rFonts w:ascii="Calibri" w:eastAsia="Calibri" w:hAnsi="Calibri" w:cs="Calibri"/>
      <w:sz w:val="22"/>
    </w:rPr>
  </w:style>
  <w:style w:type="paragraph" w:customStyle="1" w:styleId="CommentText1">
    <w:name w:val="Comment Text1"/>
    <w:basedOn w:val="a"/>
    <w:pPr>
      <w:jc w:val="left"/>
    </w:pPr>
    <w:rPr>
      <w:rFonts w:ascii="Calibri" w:eastAsia="Calibri" w:hAnsi="Calibri" w:cs="Calibri"/>
      <w:sz w:val="20"/>
    </w:rPr>
  </w:style>
  <w:style w:type="character" w:customStyle="1" w:styleId="Publisher">
    <w:name w:val="Publisher"/>
    <w:basedOn w:val="a0"/>
    <w:rPr>
      <w:shd w:val="clear" w:color="auto" w:fill="F2DDFF"/>
    </w:rPr>
  </w:style>
  <w:style w:type="paragraph" w:customStyle="1" w:styleId="Caption1">
    <w:name w:val="Caption1"/>
    <w:basedOn w:val="a"/>
    <w:pPr>
      <w:shd w:val="clear" w:color="auto" w:fill="FFF5ED"/>
      <w:spacing w:before="240" w:line="349" w:lineRule="auto"/>
    </w:pPr>
    <w:rPr>
      <w:rFonts w:ascii="Calibri" w:eastAsia="Calibri" w:hAnsi="Calibri" w:cs="Calibri"/>
      <w:sz w:val="22"/>
      <w:shd w:val="clear" w:color="auto" w:fill="FFF5ED"/>
    </w:rPr>
  </w:style>
  <w:style w:type="paragraph" w:customStyle="1" w:styleId="List1">
    <w:name w:val="List 1"/>
    <w:basedOn w:val="a"/>
    <w:pPr>
      <w:ind w:left="1200" w:hanging="600"/>
    </w:pPr>
    <w:rPr>
      <w:rFonts w:ascii="Times New Roman" w:eastAsia="Times New Roman" w:hAnsi="Times New Roman" w:cs="Times New Roman"/>
      <w:sz w:val="22"/>
    </w:rPr>
  </w:style>
  <w:style w:type="paragraph" w:customStyle="1" w:styleId="List9">
    <w:name w:val="List 9"/>
    <w:basedOn w:val="a"/>
    <w:pPr>
      <w:ind w:left="1200" w:hanging="600"/>
    </w:pPr>
    <w:rPr>
      <w:rFonts w:ascii="Times New Roman" w:eastAsia="Times New Roman" w:hAnsi="Times New Roman" w:cs="Times New Roman"/>
      <w:sz w:val="22"/>
    </w:rPr>
  </w:style>
  <w:style w:type="paragraph" w:styleId="ad">
    <w:name w:val="annotation text"/>
    <w:basedOn w:val="a"/>
    <w:link w:val="ae"/>
    <w:uiPriority w:val="99"/>
    <w:rsid w:val="00C07150"/>
    <w:pPr>
      <w:snapToGrid w:val="0"/>
    </w:pPr>
    <w:rPr>
      <w:rFonts w:ascii="Times New Roman" w:hAnsi="Times New Roman"/>
      <w:sz w:val="20"/>
      <w:szCs w:val="20"/>
    </w:rPr>
  </w:style>
  <w:style w:type="character" w:customStyle="1" w:styleId="ae">
    <w:name w:val="コメント文字列 (文字)"/>
    <w:basedOn w:val="a0"/>
    <w:link w:val="ad"/>
    <w:uiPriority w:val="99"/>
    <w:rsid w:val="00C07150"/>
    <w:rPr>
      <w:rFonts w:ascii="Times New Roman" w:hAnsi="Times New Roman"/>
      <w:sz w:val="20"/>
      <w:szCs w:val="20"/>
    </w:rPr>
  </w:style>
  <w:style w:type="character" w:styleId="af">
    <w:name w:val="annotation reference"/>
    <w:basedOn w:val="a0"/>
    <w:uiPriority w:val="99"/>
    <w:qFormat/>
    <w:rPr>
      <w:sz w:val="16"/>
      <w:szCs w:val="16"/>
    </w:rPr>
  </w:style>
  <w:style w:type="paragraph" w:styleId="af0">
    <w:name w:val="Revision"/>
    <w:hidden/>
    <w:uiPriority w:val="99"/>
    <w:semiHidden/>
    <w:rsid w:val="00896A12"/>
  </w:style>
  <w:style w:type="paragraph" w:styleId="af1">
    <w:name w:val="annotation subject"/>
    <w:basedOn w:val="ad"/>
    <w:next w:val="ad"/>
    <w:link w:val="af2"/>
    <w:uiPriority w:val="99"/>
    <w:rsid w:val="00950EAC"/>
    <w:rPr>
      <w:b/>
      <w:bCs/>
    </w:rPr>
  </w:style>
  <w:style w:type="character" w:customStyle="1" w:styleId="af2">
    <w:name w:val="コメント内容 (文字)"/>
    <w:basedOn w:val="ae"/>
    <w:link w:val="af1"/>
    <w:uiPriority w:val="99"/>
    <w:rsid w:val="00950EAC"/>
    <w:rPr>
      <w:rFonts w:ascii="Times New Roman" w:hAnsi="Times New Roman"/>
      <w:b/>
      <w:bCs/>
      <w:sz w:val="20"/>
      <w:szCs w:val="20"/>
    </w:rPr>
  </w:style>
  <w:style w:type="character" w:customStyle="1" w:styleId="UnresolvedMention1">
    <w:name w:val="Unresolved Mention1"/>
    <w:basedOn w:val="a0"/>
    <w:uiPriority w:val="99"/>
    <w:rsid w:val="00950EAC"/>
    <w:rPr>
      <w:color w:val="605E5C"/>
      <w:shd w:val="clear" w:color="auto" w:fill="E1DFDD"/>
    </w:rPr>
  </w:style>
  <w:style w:type="character" w:customStyle="1" w:styleId="10">
    <w:name w:val="見出し 1 (文字)"/>
    <w:basedOn w:val="a0"/>
    <w:link w:val="1"/>
    <w:uiPriority w:val="9"/>
    <w:rsid w:val="001C62AF"/>
    <w:rPr>
      <w:rFonts w:ascii="Calibri Light" w:eastAsia="Times New Roman" w:hAnsi="Calibri Light" w:cs="Times New Roman"/>
      <w:b/>
      <w:bCs/>
      <w:kern w:val="32"/>
      <w:sz w:val="32"/>
      <w:szCs w:val="32"/>
      <w:lang w:eastAsia="en-US"/>
    </w:rPr>
  </w:style>
  <w:style w:type="character" w:styleId="af3">
    <w:name w:val="line number"/>
    <w:basedOn w:val="a0"/>
    <w:uiPriority w:val="99"/>
    <w:unhideWhenUsed/>
    <w:rsid w:val="001C62AF"/>
  </w:style>
  <w:style w:type="character" w:customStyle="1" w:styleId="20">
    <w:name w:val="見出し 2 (文字)"/>
    <w:basedOn w:val="a0"/>
    <w:link w:val="2"/>
    <w:uiPriority w:val="9"/>
    <w:semiHidden/>
    <w:rsid w:val="00771E83"/>
    <w:rPr>
      <w:rFonts w:asciiTheme="majorHAnsi" w:eastAsiaTheme="majorEastAsia" w:hAnsiTheme="majorHAnsi" w:cstheme="majorBidi"/>
      <w:color w:val="2F5496" w:themeColor="accent1" w:themeShade="BF"/>
      <w:sz w:val="26"/>
      <w:szCs w:val="26"/>
    </w:rPr>
  </w:style>
  <w:style w:type="character" w:customStyle="1" w:styleId="cf01">
    <w:name w:val="cf01"/>
    <w:basedOn w:val="a0"/>
    <w:rsid w:val="00D10174"/>
    <w:rPr>
      <w:rFonts w:ascii="Meiryo UI" w:eastAsia="Meiryo UI" w:hAnsi="Meiryo UI" w:hint="eastAsia"/>
      <w:b/>
      <w:bCs/>
      <w:sz w:val="18"/>
      <w:szCs w:val="18"/>
    </w:rPr>
  </w:style>
  <w:style w:type="character" w:styleId="af4">
    <w:name w:val="FollowedHyperlink"/>
    <w:basedOn w:val="a0"/>
    <w:uiPriority w:val="99"/>
    <w:rsid w:val="00DB20C1"/>
    <w:rPr>
      <w:color w:val="954F72" w:themeColor="followedHyperlink"/>
      <w:u w:val="single"/>
    </w:rPr>
  </w:style>
  <w:style w:type="character" w:styleId="af5">
    <w:name w:val="Unresolved Mention"/>
    <w:basedOn w:val="a0"/>
    <w:uiPriority w:val="99"/>
    <w:semiHidden/>
    <w:unhideWhenUsed/>
    <w:rsid w:val="0002244B"/>
    <w:rPr>
      <w:color w:val="605E5C"/>
      <w:shd w:val="clear" w:color="auto" w:fill="E1DFDD"/>
    </w:rPr>
  </w:style>
  <w:style w:type="table" w:customStyle="1" w:styleId="11">
    <w:name w:val="表 (格子)1"/>
    <w:basedOn w:val="a1"/>
    <w:next w:val="a3"/>
    <w:uiPriority w:val="39"/>
    <w:rsid w:val="00F35238"/>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 (格子)2"/>
    <w:basedOn w:val="a1"/>
    <w:next w:val="a3"/>
    <w:uiPriority w:val="39"/>
    <w:rsid w:val="009C55DA"/>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 (格子)21"/>
    <w:basedOn w:val="a1"/>
    <w:next w:val="a3"/>
    <w:uiPriority w:val="39"/>
    <w:rsid w:val="00B022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 (格子)22"/>
    <w:basedOn w:val="a1"/>
    <w:next w:val="a3"/>
    <w:uiPriority w:val="39"/>
    <w:rsid w:val="00B022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 (格子)221"/>
    <w:basedOn w:val="a1"/>
    <w:next w:val="a3"/>
    <w:uiPriority w:val="39"/>
    <w:rsid w:val="002D1E9F"/>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表 (格子)5"/>
    <w:basedOn w:val="a1"/>
    <w:next w:val="a3"/>
    <w:uiPriority w:val="39"/>
    <w:rsid w:val="007C7DBE"/>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0"/>
    <w:uiPriority w:val="99"/>
    <w:semiHidden/>
    <w:rsid w:val="00187493"/>
    <w:rPr>
      <w:color w:val="666666"/>
    </w:rPr>
  </w:style>
  <w:style w:type="table" w:customStyle="1" w:styleId="40">
    <w:name w:val="表 (格子)4"/>
    <w:basedOn w:val="a1"/>
    <w:rsid w:val="00164E31"/>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表 (格子)51"/>
    <w:basedOn w:val="a1"/>
    <w:next w:val="a3"/>
    <w:uiPriority w:val="39"/>
    <w:rsid w:val="00FB5776"/>
    <w:rPr>
      <w:rFonts w:ascii="游明朝" w:hAnsi="游明朝" w:cs="Arial"/>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134462">
      <w:bodyDiv w:val="1"/>
      <w:marLeft w:val="0"/>
      <w:marRight w:val="0"/>
      <w:marTop w:val="0"/>
      <w:marBottom w:val="0"/>
      <w:divBdr>
        <w:top w:val="none" w:sz="0" w:space="0" w:color="auto"/>
        <w:left w:val="none" w:sz="0" w:space="0" w:color="auto"/>
        <w:bottom w:val="none" w:sz="0" w:space="0" w:color="auto"/>
        <w:right w:val="none" w:sz="0" w:space="0" w:color="auto"/>
      </w:divBdr>
    </w:div>
    <w:div w:id="311256595">
      <w:bodyDiv w:val="1"/>
      <w:marLeft w:val="0"/>
      <w:marRight w:val="0"/>
      <w:marTop w:val="0"/>
      <w:marBottom w:val="0"/>
      <w:divBdr>
        <w:top w:val="none" w:sz="0" w:space="0" w:color="auto"/>
        <w:left w:val="none" w:sz="0" w:space="0" w:color="auto"/>
        <w:bottom w:val="none" w:sz="0" w:space="0" w:color="auto"/>
        <w:right w:val="none" w:sz="0" w:space="0" w:color="auto"/>
      </w:divBdr>
    </w:div>
    <w:div w:id="447048487">
      <w:bodyDiv w:val="1"/>
      <w:marLeft w:val="0"/>
      <w:marRight w:val="0"/>
      <w:marTop w:val="0"/>
      <w:marBottom w:val="0"/>
      <w:divBdr>
        <w:top w:val="none" w:sz="0" w:space="0" w:color="auto"/>
        <w:left w:val="none" w:sz="0" w:space="0" w:color="auto"/>
        <w:bottom w:val="none" w:sz="0" w:space="0" w:color="auto"/>
        <w:right w:val="none" w:sz="0" w:space="0" w:color="auto"/>
      </w:divBdr>
    </w:div>
    <w:div w:id="485706848">
      <w:bodyDiv w:val="1"/>
      <w:marLeft w:val="0"/>
      <w:marRight w:val="0"/>
      <w:marTop w:val="0"/>
      <w:marBottom w:val="0"/>
      <w:divBdr>
        <w:top w:val="none" w:sz="0" w:space="0" w:color="auto"/>
        <w:left w:val="none" w:sz="0" w:space="0" w:color="auto"/>
        <w:bottom w:val="none" w:sz="0" w:space="0" w:color="auto"/>
        <w:right w:val="none" w:sz="0" w:space="0" w:color="auto"/>
      </w:divBdr>
    </w:div>
    <w:div w:id="496658078">
      <w:bodyDiv w:val="1"/>
      <w:marLeft w:val="0"/>
      <w:marRight w:val="0"/>
      <w:marTop w:val="0"/>
      <w:marBottom w:val="0"/>
      <w:divBdr>
        <w:top w:val="none" w:sz="0" w:space="0" w:color="auto"/>
        <w:left w:val="none" w:sz="0" w:space="0" w:color="auto"/>
        <w:bottom w:val="none" w:sz="0" w:space="0" w:color="auto"/>
        <w:right w:val="none" w:sz="0" w:space="0" w:color="auto"/>
      </w:divBdr>
    </w:div>
    <w:div w:id="707803329">
      <w:bodyDiv w:val="1"/>
      <w:marLeft w:val="0"/>
      <w:marRight w:val="0"/>
      <w:marTop w:val="0"/>
      <w:marBottom w:val="0"/>
      <w:divBdr>
        <w:top w:val="none" w:sz="0" w:space="0" w:color="auto"/>
        <w:left w:val="none" w:sz="0" w:space="0" w:color="auto"/>
        <w:bottom w:val="none" w:sz="0" w:space="0" w:color="auto"/>
        <w:right w:val="none" w:sz="0" w:space="0" w:color="auto"/>
      </w:divBdr>
    </w:div>
    <w:div w:id="719286164">
      <w:bodyDiv w:val="1"/>
      <w:marLeft w:val="0"/>
      <w:marRight w:val="0"/>
      <w:marTop w:val="0"/>
      <w:marBottom w:val="0"/>
      <w:divBdr>
        <w:top w:val="none" w:sz="0" w:space="0" w:color="auto"/>
        <w:left w:val="none" w:sz="0" w:space="0" w:color="auto"/>
        <w:bottom w:val="none" w:sz="0" w:space="0" w:color="auto"/>
        <w:right w:val="none" w:sz="0" w:space="0" w:color="auto"/>
      </w:divBdr>
    </w:div>
    <w:div w:id="1009869655">
      <w:bodyDiv w:val="1"/>
      <w:marLeft w:val="0"/>
      <w:marRight w:val="0"/>
      <w:marTop w:val="0"/>
      <w:marBottom w:val="0"/>
      <w:divBdr>
        <w:top w:val="none" w:sz="0" w:space="0" w:color="auto"/>
        <w:left w:val="none" w:sz="0" w:space="0" w:color="auto"/>
        <w:bottom w:val="none" w:sz="0" w:space="0" w:color="auto"/>
        <w:right w:val="none" w:sz="0" w:space="0" w:color="auto"/>
      </w:divBdr>
    </w:div>
    <w:div w:id="1332102764">
      <w:bodyDiv w:val="1"/>
      <w:marLeft w:val="0"/>
      <w:marRight w:val="0"/>
      <w:marTop w:val="0"/>
      <w:marBottom w:val="0"/>
      <w:divBdr>
        <w:top w:val="none" w:sz="0" w:space="0" w:color="auto"/>
        <w:left w:val="none" w:sz="0" w:space="0" w:color="auto"/>
        <w:bottom w:val="none" w:sz="0" w:space="0" w:color="auto"/>
        <w:right w:val="none" w:sz="0" w:space="0" w:color="auto"/>
      </w:divBdr>
    </w:div>
    <w:div w:id="1404258117">
      <w:bodyDiv w:val="1"/>
      <w:marLeft w:val="0"/>
      <w:marRight w:val="0"/>
      <w:marTop w:val="0"/>
      <w:marBottom w:val="0"/>
      <w:divBdr>
        <w:top w:val="none" w:sz="0" w:space="0" w:color="auto"/>
        <w:left w:val="none" w:sz="0" w:space="0" w:color="auto"/>
        <w:bottom w:val="none" w:sz="0" w:space="0" w:color="auto"/>
        <w:right w:val="none" w:sz="0" w:space="0" w:color="auto"/>
      </w:divBdr>
    </w:div>
    <w:div w:id="1566448123">
      <w:bodyDiv w:val="1"/>
      <w:marLeft w:val="0"/>
      <w:marRight w:val="0"/>
      <w:marTop w:val="0"/>
      <w:marBottom w:val="0"/>
      <w:divBdr>
        <w:top w:val="none" w:sz="0" w:space="0" w:color="auto"/>
        <w:left w:val="none" w:sz="0" w:space="0" w:color="auto"/>
        <w:bottom w:val="none" w:sz="0" w:space="0" w:color="auto"/>
        <w:right w:val="none" w:sz="0" w:space="0" w:color="auto"/>
      </w:divBdr>
    </w:div>
    <w:div w:id="1592470092">
      <w:bodyDiv w:val="1"/>
      <w:marLeft w:val="0"/>
      <w:marRight w:val="0"/>
      <w:marTop w:val="0"/>
      <w:marBottom w:val="0"/>
      <w:divBdr>
        <w:top w:val="none" w:sz="0" w:space="0" w:color="auto"/>
        <w:left w:val="none" w:sz="0" w:space="0" w:color="auto"/>
        <w:bottom w:val="none" w:sz="0" w:space="0" w:color="auto"/>
        <w:right w:val="none" w:sz="0" w:space="0" w:color="auto"/>
      </w:divBdr>
    </w:div>
    <w:div w:id="1663000953">
      <w:bodyDiv w:val="1"/>
      <w:marLeft w:val="0"/>
      <w:marRight w:val="0"/>
      <w:marTop w:val="0"/>
      <w:marBottom w:val="0"/>
      <w:divBdr>
        <w:top w:val="none" w:sz="0" w:space="0" w:color="auto"/>
        <w:left w:val="none" w:sz="0" w:space="0" w:color="auto"/>
        <w:bottom w:val="none" w:sz="0" w:space="0" w:color="auto"/>
        <w:right w:val="none" w:sz="0" w:space="0" w:color="auto"/>
      </w:divBdr>
    </w:div>
    <w:div w:id="1672173190">
      <w:bodyDiv w:val="1"/>
      <w:marLeft w:val="0"/>
      <w:marRight w:val="0"/>
      <w:marTop w:val="0"/>
      <w:marBottom w:val="0"/>
      <w:divBdr>
        <w:top w:val="none" w:sz="0" w:space="0" w:color="auto"/>
        <w:left w:val="none" w:sz="0" w:space="0" w:color="auto"/>
        <w:bottom w:val="none" w:sz="0" w:space="0" w:color="auto"/>
        <w:right w:val="none" w:sz="0" w:space="0" w:color="auto"/>
      </w:divBdr>
    </w:div>
    <w:div w:id="1713075662">
      <w:bodyDiv w:val="1"/>
      <w:marLeft w:val="0"/>
      <w:marRight w:val="0"/>
      <w:marTop w:val="0"/>
      <w:marBottom w:val="0"/>
      <w:divBdr>
        <w:top w:val="none" w:sz="0" w:space="0" w:color="auto"/>
        <w:left w:val="none" w:sz="0" w:space="0" w:color="auto"/>
        <w:bottom w:val="none" w:sz="0" w:space="0" w:color="auto"/>
        <w:right w:val="none" w:sz="0" w:space="0" w:color="auto"/>
      </w:divBdr>
    </w:div>
    <w:div w:id="1770078373">
      <w:bodyDiv w:val="1"/>
      <w:marLeft w:val="0"/>
      <w:marRight w:val="0"/>
      <w:marTop w:val="0"/>
      <w:marBottom w:val="0"/>
      <w:divBdr>
        <w:top w:val="none" w:sz="0" w:space="0" w:color="auto"/>
        <w:left w:val="none" w:sz="0" w:space="0" w:color="auto"/>
        <w:bottom w:val="none" w:sz="0" w:space="0" w:color="auto"/>
        <w:right w:val="none" w:sz="0" w:space="0" w:color="auto"/>
      </w:divBdr>
    </w:div>
    <w:div w:id="1856188088">
      <w:bodyDiv w:val="1"/>
      <w:marLeft w:val="0"/>
      <w:marRight w:val="0"/>
      <w:marTop w:val="0"/>
      <w:marBottom w:val="0"/>
      <w:divBdr>
        <w:top w:val="none" w:sz="0" w:space="0" w:color="auto"/>
        <w:left w:val="none" w:sz="0" w:space="0" w:color="auto"/>
        <w:bottom w:val="none" w:sz="0" w:space="0" w:color="auto"/>
        <w:right w:val="none" w:sz="0" w:space="0" w:color="auto"/>
      </w:divBdr>
    </w:div>
    <w:div w:id="21302767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emf"/><Relationship Id="rId26" Type="http://schemas.openxmlformats.org/officeDocument/2006/relationships/image" Target="media/image19.jpeg"/><Relationship Id="rId39" Type="http://schemas.openxmlformats.org/officeDocument/2006/relationships/hyperlink" Target="https://www.kk-mitsuboshi.co.jp/product/calc/" TargetMode="Externa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hyperlink" Target="https://www.iea.org/reports/world-energy-outlook-2023/executive-summary" TargetMode="External"/><Relationship Id="rId47" Type="http://schemas.openxmlformats.org/officeDocument/2006/relationships/hyperlink" Target="https://www.fluidat.com/default.asp" TargetMode="External"/><Relationship Id="rId50" Type="http://schemas.openxmlformats.org/officeDocument/2006/relationships/hyperlink" Target="https://ieei.or.jp/2019/11/expl191107/" TargetMode="External"/><Relationship Id="rId55" Type="http://schemas.openxmlformats.org/officeDocument/2006/relationships/hyperlink" Target="https://www.technologyreview.com/2021/09/27/1036284/methane-removal-slow-global-warming/" TargetMode="External"/><Relationship Id="rId63" Type="http://schemas.openxmlformats.org/officeDocument/2006/relationships/theme" Target="theme/theme1.xml"/><Relationship Id="rId7" Type="http://schemas.openxmlformats.org/officeDocument/2006/relationships/hyperlink" Target="https://www.cck.dendai.ac.jp/s/xpnox67e8rdapquinx94mgzh44sub4ew/JSER-H_Kobayashi-.pdf"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hyperlink" Target="https://ourworldindata.org/grapher/global-primary-energy" TargetMode="External"/><Relationship Id="rId45" Type="http://schemas.openxmlformats.org/officeDocument/2006/relationships/hyperlink" Target="https://doi.org/10.24778/jjser.43.6_274" TargetMode="External"/><Relationship Id="rId53" Type="http://schemas.openxmlformats.org/officeDocument/2006/relationships/hyperlink" Target="https://www.ihi.co.jp/en/sustainable/environmental/climatechange/ammonia_energy/" TargetMode="External"/><Relationship Id="rId58" Type="http://schemas.openxmlformats.org/officeDocument/2006/relationships/hyperlink" Target="https://www.env.go.jp/content/900492244.pdf" TargetMode="External"/><Relationship Id="rId5" Type="http://schemas.openxmlformats.org/officeDocument/2006/relationships/footnotes" Target="footnotes.xml"/><Relationship Id="rId61" Type="http://schemas.openxmlformats.org/officeDocument/2006/relationships/hyperlink" Target="https://doi.org/10.1016/j.solener.2018.02.005" TargetMode="Externa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hyperlink" Target="https://doi.org/10.1016/j.apenergy.2019.114135" TargetMode="External"/><Relationship Id="rId48" Type="http://schemas.openxmlformats.org/officeDocument/2006/relationships/hyperlink" Target="https://doi.org/10.1038/s41598-020-75481-z" TargetMode="External"/><Relationship Id="rId56" Type="http://schemas.openxmlformats.org/officeDocument/2006/relationships/hyperlink" Target="https://www.epa.gov/ghgemissions/nitrous-oxide-emissions" TargetMode="External"/><Relationship Id="rId8" Type="http://schemas.openxmlformats.org/officeDocument/2006/relationships/image" Target="media/image1.jpeg"/><Relationship Id="rId51" Type="http://schemas.openxmlformats.org/officeDocument/2006/relationships/hyperlink" Target="https://www.iea.org/reports/the-future-of-hydrogen"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footer" Target="footer1.xml"/><Relationship Id="rId46" Type="http://schemas.openxmlformats.org/officeDocument/2006/relationships/hyperlink" Target="https://webdesk.jsa.or.jp/preview/pre_jis_g_03455_000_000_2020_e_ed10_ch.pdf" TargetMode="External"/><Relationship Id="rId59" Type="http://schemas.openxmlformats.org/officeDocument/2006/relationships/hyperlink" Target="https://mynasadata.larc.nasa.gov/basic-page/earths-energy-budget" TargetMode="External"/><Relationship Id="rId20" Type="http://schemas.openxmlformats.org/officeDocument/2006/relationships/image" Target="media/image13.jpeg"/><Relationship Id="rId41" Type="http://schemas.openxmlformats.org/officeDocument/2006/relationships/hyperlink" Target="https://www.iea.org/reports/world-energy-outlook-2024/executive-summary" TargetMode="External"/><Relationship Id="rId54" Type="http://schemas.openxmlformats.org/officeDocument/2006/relationships/hyperlink" Target="https://doi.org/10.3133/mcs2024"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hyperlink" Target="https://www.ncbi.nlm.nih.gov/pubmed/33184311" TargetMode="External"/><Relationship Id="rId57" Type="http://schemas.openxmlformats.org/officeDocument/2006/relationships/hyperlink" Target="https://www2.lowtem.hokudai.ac.jp/wwwod/kaihyo/kikou.htm" TargetMode="External"/><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hyperlink" Target="https://doi.org/10.1038/s41586-020-2464-9" TargetMode="External"/><Relationship Id="rId52" Type="http://schemas.openxmlformats.org/officeDocument/2006/relationships/hyperlink" Target="https://doi.org/10.1002/aenm.202301286" TargetMode="External"/><Relationship Id="rId60" Type="http://schemas.openxmlformats.org/officeDocument/2006/relationships/hyperlink" Target="https://doi.org/10.1016/j.energy.2023.129304"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6440</Words>
  <Characters>36713</Characters>
  <Application>Microsoft Office Word</Application>
  <DocSecurity>0</DocSecurity>
  <Lines>305</Lines>
  <Paragraphs>86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Alvia Aslam</dc:creator>
  <cp:lastModifiedBy>Hiroshi Kobayashi</cp:lastModifiedBy>
  <cp:revision>2</cp:revision>
  <dcterms:created xsi:type="dcterms:W3CDTF">2025-12-19T23:55:00Z</dcterms:created>
  <dcterms:modified xsi:type="dcterms:W3CDTF">2025-12-19T23:55:00Z</dcterms:modified>
</cp:coreProperties>
</file>