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tblpY="1"/>
        <w:tblOverlap w:val="never"/>
        <w:tblW w:w="0" w:type="auto"/>
        <w:tblLook w:val="04A0" w:firstRow="1" w:lastRow="0" w:firstColumn="1" w:lastColumn="0" w:noHBand="0" w:noVBand="1"/>
      </w:tblPr>
      <w:tblGrid>
        <w:gridCol w:w="1842"/>
        <w:gridCol w:w="1323"/>
        <w:gridCol w:w="932"/>
        <w:gridCol w:w="800"/>
        <w:gridCol w:w="1607"/>
        <w:gridCol w:w="2107"/>
        <w:gridCol w:w="1845"/>
      </w:tblGrid>
      <w:tr w:rsidR="003D19AD" w:rsidRPr="00595203" w14:paraId="082563A5" w14:textId="77777777" w:rsidTr="006345BE">
        <w:trPr>
          <w:trHeight w:val="300"/>
        </w:trPr>
        <w:tc>
          <w:tcPr>
            <w:tcW w:w="1980" w:type="dxa"/>
            <w:noWrap/>
            <w:hideMark/>
          </w:tcPr>
          <w:p w14:paraId="138505A4" w14:textId="77777777" w:rsidR="003D19AD" w:rsidRPr="007B0DC7" w:rsidRDefault="003D19AD" w:rsidP="006345BE">
            <w:pPr>
              <w:rPr>
                <w:lang w:val="en-GB"/>
              </w:rPr>
            </w:pPr>
            <w:r w:rsidRPr="007B0DC7">
              <w:rPr>
                <w:lang w:val="en-GB"/>
              </w:rPr>
              <w:t>Study</w:t>
            </w:r>
          </w:p>
        </w:tc>
        <w:tc>
          <w:tcPr>
            <w:tcW w:w="1417" w:type="dxa"/>
            <w:noWrap/>
            <w:hideMark/>
          </w:tcPr>
          <w:p w14:paraId="71361D39" w14:textId="77777777" w:rsidR="003D19AD" w:rsidRPr="007B0DC7" w:rsidRDefault="003D19AD" w:rsidP="006345BE">
            <w:pPr>
              <w:rPr>
                <w:lang w:val="en-GB"/>
              </w:rPr>
            </w:pPr>
            <w:r w:rsidRPr="007B0DC7">
              <w:rPr>
                <w:lang w:val="en-GB"/>
              </w:rPr>
              <w:t>Nationality</w:t>
            </w:r>
          </w:p>
        </w:tc>
        <w:tc>
          <w:tcPr>
            <w:tcW w:w="993" w:type="dxa"/>
            <w:noWrap/>
            <w:hideMark/>
          </w:tcPr>
          <w:p w14:paraId="440BF9D6" w14:textId="77777777" w:rsidR="003D19AD" w:rsidRPr="007B0DC7" w:rsidRDefault="003D19AD" w:rsidP="006345BE">
            <w:pPr>
              <w:rPr>
                <w:lang w:val="en-GB"/>
              </w:rPr>
            </w:pPr>
            <w:r w:rsidRPr="007B0DC7">
              <w:rPr>
                <w:lang w:val="en-GB"/>
              </w:rPr>
              <w:t>Sample size</w:t>
            </w:r>
          </w:p>
        </w:tc>
        <w:tc>
          <w:tcPr>
            <w:tcW w:w="850" w:type="dxa"/>
            <w:noWrap/>
            <w:hideMark/>
          </w:tcPr>
          <w:p w14:paraId="1A7C5066" w14:textId="77777777" w:rsidR="003D19AD" w:rsidRPr="007B0DC7" w:rsidRDefault="003D19AD" w:rsidP="006345BE">
            <w:pPr>
              <w:rPr>
                <w:lang w:val="en-GB"/>
              </w:rPr>
            </w:pPr>
            <w:r w:rsidRPr="007B0DC7">
              <w:rPr>
                <w:lang w:val="en-GB"/>
              </w:rPr>
              <w:t>1-root (%)</w:t>
            </w:r>
          </w:p>
        </w:tc>
        <w:tc>
          <w:tcPr>
            <w:tcW w:w="1725" w:type="dxa"/>
            <w:noWrap/>
            <w:hideMark/>
          </w:tcPr>
          <w:p w14:paraId="2E2521BD" w14:textId="77777777" w:rsidR="003D19AD" w:rsidRPr="003D19AD" w:rsidRDefault="003D19AD" w:rsidP="006345BE">
            <w:pPr>
              <w:rPr>
                <w:lang w:val="en-GB"/>
              </w:rPr>
            </w:pPr>
            <w:r w:rsidRPr="003D19AD">
              <w:rPr>
                <w:lang w:val="en-GB"/>
              </w:rPr>
              <w:t>2-roots (%)</w:t>
            </w:r>
          </w:p>
        </w:tc>
        <w:tc>
          <w:tcPr>
            <w:tcW w:w="2268" w:type="dxa"/>
            <w:noWrap/>
            <w:hideMark/>
          </w:tcPr>
          <w:p w14:paraId="618C0A7A" w14:textId="77777777" w:rsidR="003D19AD" w:rsidRPr="007B0DC7" w:rsidRDefault="003D19AD" w:rsidP="006345BE">
            <w:pPr>
              <w:rPr>
                <w:lang w:val="en-GB"/>
              </w:rPr>
            </w:pPr>
            <w:r w:rsidRPr="007B0DC7">
              <w:rPr>
                <w:lang w:val="en-GB"/>
              </w:rPr>
              <w:t>3-roots (%)</w:t>
            </w:r>
          </w:p>
        </w:tc>
        <w:tc>
          <w:tcPr>
            <w:tcW w:w="1984" w:type="dxa"/>
            <w:noWrap/>
            <w:hideMark/>
          </w:tcPr>
          <w:p w14:paraId="547ADAB6" w14:textId="77777777" w:rsidR="003D19AD" w:rsidRPr="007B0DC7" w:rsidRDefault="003D19AD" w:rsidP="006345BE">
            <w:pPr>
              <w:rPr>
                <w:lang w:val="en-GB"/>
              </w:rPr>
            </w:pPr>
            <w:r w:rsidRPr="007B0DC7">
              <w:rPr>
                <w:lang w:val="en-GB"/>
              </w:rPr>
              <w:t>4-roots (%)</w:t>
            </w:r>
          </w:p>
        </w:tc>
      </w:tr>
      <w:tr w:rsidR="003D19AD" w:rsidRPr="00595203" w14:paraId="297DBFAB" w14:textId="77777777" w:rsidTr="006345BE">
        <w:trPr>
          <w:trHeight w:val="300"/>
        </w:trPr>
        <w:tc>
          <w:tcPr>
            <w:tcW w:w="1980" w:type="dxa"/>
            <w:noWrap/>
            <w:hideMark/>
          </w:tcPr>
          <w:p w14:paraId="1D6C5728" w14:textId="77777777" w:rsidR="003D19AD" w:rsidRPr="007B0DC7" w:rsidRDefault="003D19AD" w:rsidP="006345BE">
            <w:pPr>
              <w:rPr>
                <w:lang w:val="en-GB"/>
              </w:rPr>
            </w:pPr>
            <w:r w:rsidRPr="007B0DC7">
              <w:rPr>
                <w:lang w:val="en-GB"/>
              </w:rPr>
              <w:t>Sidow et al.</w:t>
            </w:r>
          </w:p>
        </w:tc>
        <w:tc>
          <w:tcPr>
            <w:tcW w:w="1417" w:type="dxa"/>
            <w:noWrap/>
            <w:hideMark/>
          </w:tcPr>
          <w:p w14:paraId="6058656F" w14:textId="77777777" w:rsidR="003D19AD" w:rsidRPr="007B0DC7" w:rsidRDefault="003D19AD" w:rsidP="006345BE">
            <w:pPr>
              <w:rPr>
                <w:lang w:val="en-GB"/>
              </w:rPr>
            </w:pPr>
            <w:r w:rsidRPr="007B0DC7">
              <w:rPr>
                <w:lang w:val="en-GB"/>
              </w:rPr>
              <w:t>American</w:t>
            </w:r>
          </w:p>
        </w:tc>
        <w:tc>
          <w:tcPr>
            <w:tcW w:w="993" w:type="dxa"/>
            <w:noWrap/>
            <w:hideMark/>
          </w:tcPr>
          <w:p w14:paraId="3A382D3D" w14:textId="77777777" w:rsidR="003D19AD" w:rsidRPr="007B0DC7" w:rsidRDefault="003D19AD" w:rsidP="006345BE">
            <w:pPr>
              <w:rPr>
                <w:lang w:val="en-GB"/>
              </w:rPr>
            </w:pPr>
            <w:r w:rsidRPr="007B0DC7">
              <w:rPr>
                <w:lang w:val="en-GB"/>
              </w:rPr>
              <w:t>150</w:t>
            </w:r>
          </w:p>
        </w:tc>
        <w:tc>
          <w:tcPr>
            <w:tcW w:w="850" w:type="dxa"/>
            <w:noWrap/>
            <w:hideMark/>
          </w:tcPr>
          <w:p w14:paraId="182C55CE" w14:textId="77777777" w:rsidR="003D19AD" w:rsidRPr="007B0DC7" w:rsidRDefault="003D19AD" w:rsidP="006345BE">
            <w:pPr>
              <w:rPr>
                <w:lang w:val="en-GB"/>
              </w:rPr>
            </w:pPr>
            <w:r w:rsidRPr="003D19AD">
              <w:rPr>
                <w:lang w:val="en-GB"/>
              </w:rPr>
              <w:t>17</w:t>
            </w:r>
          </w:p>
        </w:tc>
        <w:tc>
          <w:tcPr>
            <w:tcW w:w="1725" w:type="dxa"/>
            <w:noWrap/>
            <w:hideMark/>
          </w:tcPr>
          <w:p w14:paraId="77E46EBD" w14:textId="77777777" w:rsidR="003D19AD" w:rsidRPr="003D19AD" w:rsidRDefault="003D19AD" w:rsidP="006345BE">
            <w:pPr>
              <w:rPr>
                <w:lang w:val="en-GB"/>
              </w:rPr>
            </w:pPr>
            <w:r w:rsidRPr="003D19AD">
              <w:rPr>
                <w:lang w:val="en-GB"/>
              </w:rPr>
              <w:t>77</w:t>
            </w:r>
          </w:p>
        </w:tc>
        <w:tc>
          <w:tcPr>
            <w:tcW w:w="2268" w:type="dxa"/>
            <w:noWrap/>
            <w:hideMark/>
          </w:tcPr>
          <w:p w14:paraId="11793DA0" w14:textId="77777777" w:rsidR="003D19AD" w:rsidRPr="007B0DC7" w:rsidRDefault="003D19AD" w:rsidP="006345BE">
            <w:pPr>
              <w:rPr>
                <w:lang w:val="en-GB"/>
              </w:rPr>
            </w:pPr>
            <w:r w:rsidRPr="007B0DC7">
              <w:rPr>
                <w:lang w:val="en-GB"/>
              </w:rPr>
              <w:t>5</w:t>
            </w:r>
          </w:p>
        </w:tc>
        <w:tc>
          <w:tcPr>
            <w:tcW w:w="1984" w:type="dxa"/>
            <w:noWrap/>
            <w:hideMark/>
          </w:tcPr>
          <w:p w14:paraId="733DEB6E" w14:textId="77777777" w:rsidR="003D19AD" w:rsidRPr="007B0DC7" w:rsidRDefault="003D19AD" w:rsidP="006345BE">
            <w:pPr>
              <w:rPr>
                <w:lang w:val="en-GB"/>
              </w:rPr>
            </w:pPr>
            <w:r w:rsidRPr="007B0DC7">
              <w:rPr>
                <w:lang w:val="en-GB"/>
              </w:rPr>
              <w:t>1</w:t>
            </w:r>
          </w:p>
        </w:tc>
      </w:tr>
      <w:tr w:rsidR="003D19AD" w:rsidRPr="00595203" w14:paraId="11899A0A" w14:textId="77777777" w:rsidTr="006345BE">
        <w:trPr>
          <w:trHeight w:val="300"/>
        </w:trPr>
        <w:tc>
          <w:tcPr>
            <w:tcW w:w="1980" w:type="dxa"/>
            <w:noWrap/>
            <w:hideMark/>
          </w:tcPr>
          <w:p w14:paraId="582EBB64" w14:textId="77777777" w:rsidR="003D19AD" w:rsidRPr="007B0DC7" w:rsidRDefault="003D19AD" w:rsidP="006345BE">
            <w:pPr>
              <w:rPr>
                <w:lang w:val="en-GB"/>
              </w:rPr>
            </w:pPr>
            <w:r w:rsidRPr="007B0DC7">
              <w:rPr>
                <w:lang w:val="en-GB"/>
              </w:rPr>
              <w:t>Gulabivala et al.</w:t>
            </w:r>
          </w:p>
        </w:tc>
        <w:tc>
          <w:tcPr>
            <w:tcW w:w="1417" w:type="dxa"/>
            <w:noWrap/>
            <w:hideMark/>
          </w:tcPr>
          <w:p w14:paraId="13D7D4FB" w14:textId="77777777" w:rsidR="003D19AD" w:rsidRPr="007B0DC7" w:rsidRDefault="003D19AD" w:rsidP="006345BE">
            <w:pPr>
              <w:rPr>
                <w:lang w:val="en-GB"/>
              </w:rPr>
            </w:pPr>
            <w:r w:rsidRPr="007B0DC7">
              <w:rPr>
                <w:lang w:val="en-GB"/>
              </w:rPr>
              <w:t>Burmese</w:t>
            </w:r>
          </w:p>
        </w:tc>
        <w:tc>
          <w:tcPr>
            <w:tcW w:w="993" w:type="dxa"/>
            <w:noWrap/>
            <w:hideMark/>
          </w:tcPr>
          <w:p w14:paraId="5A125901" w14:textId="77777777" w:rsidR="003D19AD" w:rsidRPr="007B0DC7" w:rsidRDefault="003D19AD" w:rsidP="006345BE">
            <w:pPr>
              <w:rPr>
                <w:lang w:val="en-GB"/>
              </w:rPr>
            </w:pPr>
            <w:r w:rsidRPr="007B0DC7">
              <w:rPr>
                <w:lang w:val="en-GB"/>
              </w:rPr>
              <w:t>58</w:t>
            </w:r>
          </w:p>
        </w:tc>
        <w:tc>
          <w:tcPr>
            <w:tcW w:w="850" w:type="dxa"/>
            <w:noWrap/>
            <w:hideMark/>
          </w:tcPr>
          <w:p w14:paraId="0CED6192" w14:textId="77777777" w:rsidR="003D19AD" w:rsidRPr="007B0DC7" w:rsidRDefault="003D19AD" w:rsidP="006345BE">
            <w:pPr>
              <w:rPr>
                <w:lang w:val="en-GB"/>
              </w:rPr>
            </w:pPr>
            <w:r w:rsidRPr="007B0DC7">
              <w:rPr>
                <w:lang w:val="en-GB"/>
              </w:rPr>
              <w:t>-</w:t>
            </w:r>
          </w:p>
        </w:tc>
        <w:tc>
          <w:tcPr>
            <w:tcW w:w="1725" w:type="dxa"/>
            <w:noWrap/>
            <w:hideMark/>
          </w:tcPr>
          <w:p w14:paraId="09C4C83A" w14:textId="77777777" w:rsidR="003D19AD" w:rsidRPr="003D19AD" w:rsidRDefault="003D19AD" w:rsidP="006345BE">
            <w:pPr>
              <w:rPr>
                <w:lang w:val="en-GB"/>
              </w:rPr>
            </w:pPr>
            <w:r w:rsidRPr="003D19AD">
              <w:rPr>
                <w:lang w:val="en-GB"/>
              </w:rPr>
              <w:t>100</w:t>
            </w:r>
          </w:p>
        </w:tc>
        <w:tc>
          <w:tcPr>
            <w:tcW w:w="2268" w:type="dxa"/>
            <w:noWrap/>
            <w:hideMark/>
          </w:tcPr>
          <w:p w14:paraId="5D4216A9" w14:textId="77777777" w:rsidR="003D19AD" w:rsidRPr="007B0DC7" w:rsidRDefault="003D19AD" w:rsidP="006345BE">
            <w:pPr>
              <w:rPr>
                <w:lang w:val="en-GB"/>
              </w:rPr>
            </w:pPr>
            <w:r w:rsidRPr="007B0DC7">
              <w:rPr>
                <w:lang w:val="en-GB"/>
              </w:rPr>
              <w:t>-</w:t>
            </w:r>
          </w:p>
        </w:tc>
        <w:tc>
          <w:tcPr>
            <w:tcW w:w="1984" w:type="dxa"/>
            <w:noWrap/>
            <w:hideMark/>
          </w:tcPr>
          <w:p w14:paraId="4B6C3712" w14:textId="77777777" w:rsidR="003D19AD" w:rsidRPr="007B0DC7" w:rsidRDefault="003D19AD" w:rsidP="006345BE">
            <w:pPr>
              <w:rPr>
                <w:lang w:val="en-GB"/>
              </w:rPr>
            </w:pPr>
            <w:r w:rsidRPr="007B0DC7">
              <w:rPr>
                <w:lang w:val="en-GB"/>
              </w:rPr>
              <w:t>-</w:t>
            </w:r>
          </w:p>
        </w:tc>
      </w:tr>
      <w:tr w:rsidR="003D19AD" w:rsidRPr="00595203" w14:paraId="701DAE20" w14:textId="77777777" w:rsidTr="006345BE">
        <w:trPr>
          <w:trHeight w:val="300"/>
        </w:trPr>
        <w:tc>
          <w:tcPr>
            <w:tcW w:w="1980" w:type="dxa"/>
            <w:noWrap/>
            <w:hideMark/>
          </w:tcPr>
          <w:p w14:paraId="66E725B5" w14:textId="77777777" w:rsidR="003D19AD" w:rsidRPr="007B0DC7" w:rsidRDefault="003D19AD" w:rsidP="006345BE">
            <w:pPr>
              <w:rPr>
                <w:lang w:val="en-GB"/>
              </w:rPr>
            </w:pPr>
            <w:r w:rsidRPr="007B0DC7">
              <w:rPr>
                <w:lang w:val="en-GB"/>
              </w:rPr>
              <w:t>Gulabivala et al.</w:t>
            </w:r>
          </w:p>
        </w:tc>
        <w:tc>
          <w:tcPr>
            <w:tcW w:w="1417" w:type="dxa"/>
            <w:noWrap/>
            <w:hideMark/>
          </w:tcPr>
          <w:p w14:paraId="4C9E73CF" w14:textId="77777777" w:rsidR="003D19AD" w:rsidRPr="007B0DC7" w:rsidRDefault="003D19AD" w:rsidP="006345BE">
            <w:pPr>
              <w:rPr>
                <w:lang w:val="en-GB"/>
              </w:rPr>
            </w:pPr>
            <w:r w:rsidRPr="007B0DC7">
              <w:rPr>
                <w:lang w:val="en-GB"/>
              </w:rPr>
              <w:t>Thai</w:t>
            </w:r>
          </w:p>
        </w:tc>
        <w:tc>
          <w:tcPr>
            <w:tcW w:w="993" w:type="dxa"/>
            <w:noWrap/>
            <w:hideMark/>
          </w:tcPr>
          <w:p w14:paraId="75CDAAFB" w14:textId="77777777" w:rsidR="003D19AD" w:rsidRPr="007B0DC7" w:rsidRDefault="003D19AD" w:rsidP="006345BE">
            <w:pPr>
              <w:rPr>
                <w:lang w:val="en-GB"/>
              </w:rPr>
            </w:pPr>
            <w:r w:rsidRPr="007B0DC7">
              <w:rPr>
                <w:lang w:val="en-GB"/>
              </w:rPr>
              <w:t>173</w:t>
            </w:r>
          </w:p>
        </w:tc>
        <w:tc>
          <w:tcPr>
            <w:tcW w:w="850" w:type="dxa"/>
            <w:noWrap/>
            <w:hideMark/>
          </w:tcPr>
          <w:p w14:paraId="6E2556C4" w14:textId="77777777" w:rsidR="003D19AD" w:rsidRPr="007B0DC7" w:rsidRDefault="003D19AD" w:rsidP="006345BE">
            <w:pPr>
              <w:rPr>
                <w:lang w:val="en-GB"/>
              </w:rPr>
            </w:pPr>
            <w:r w:rsidRPr="003D19AD">
              <w:rPr>
                <w:lang w:val="en-GB"/>
              </w:rPr>
              <w:t>12</w:t>
            </w:r>
          </w:p>
        </w:tc>
        <w:tc>
          <w:tcPr>
            <w:tcW w:w="1725" w:type="dxa"/>
            <w:noWrap/>
            <w:hideMark/>
          </w:tcPr>
          <w:p w14:paraId="297E9983" w14:textId="77777777" w:rsidR="003D19AD" w:rsidRPr="003D19AD" w:rsidRDefault="003D19AD" w:rsidP="006345BE">
            <w:pPr>
              <w:rPr>
                <w:lang w:val="en-GB"/>
              </w:rPr>
            </w:pPr>
            <w:r w:rsidRPr="003D19AD">
              <w:rPr>
                <w:lang w:val="en-GB"/>
              </w:rPr>
              <w:t>86.8</w:t>
            </w:r>
          </w:p>
        </w:tc>
        <w:tc>
          <w:tcPr>
            <w:tcW w:w="2268" w:type="dxa"/>
            <w:noWrap/>
            <w:hideMark/>
          </w:tcPr>
          <w:p w14:paraId="78D3F740" w14:textId="77777777" w:rsidR="003D19AD" w:rsidRPr="007B0DC7" w:rsidRDefault="003D19AD" w:rsidP="006345BE">
            <w:pPr>
              <w:rPr>
                <w:lang w:val="en-GB"/>
              </w:rPr>
            </w:pPr>
            <w:r w:rsidRPr="007B0DC7">
              <w:rPr>
                <w:lang w:val="en-GB"/>
              </w:rPr>
              <w:t>1</w:t>
            </w:r>
          </w:p>
        </w:tc>
        <w:tc>
          <w:tcPr>
            <w:tcW w:w="1984" w:type="dxa"/>
            <w:noWrap/>
            <w:hideMark/>
          </w:tcPr>
          <w:p w14:paraId="76C14915" w14:textId="77777777" w:rsidR="003D19AD" w:rsidRPr="007B0DC7" w:rsidRDefault="003D19AD" w:rsidP="006345BE">
            <w:pPr>
              <w:rPr>
                <w:lang w:val="en-GB"/>
              </w:rPr>
            </w:pPr>
            <w:r w:rsidRPr="007B0DC7">
              <w:rPr>
                <w:lang w:val="en-GB"/>
              </w:rPr>
              <w:t>1</w:t>
            </w:r>
          </w:p>
        </w:tc>
      </w:tr>
      <w:tr w:rsidR="003D19AD" w:rsidRPr="00595203" w14:paraId="214C28C5" w14:textId="77777777" w:rsidTr="006345BE">
        <w:trPr>
          <w:trHeight w:val="300"/>
        </w:trPr>
        <w:tc>
          <w:tcPr>
            <w:tcW w:w="1980" w:type="dxa"/>
            <w:noWrap/>
            <w:hideMark/>
          </w:tcPr>
          <w:p w14:paraId="3DADF970" w14:textId="77777777" w:rsidR="003D19AD" w:rsidRPr="007B0DC7" w:rsidRDefault="003D19AD" w:rsidP="006345BE">
            <w:pPr>
              <w:rPr>
                <w:lang w:val="en-GB"/>
              </w:rPr>
            </w:pPr>
            <w:r w:rsidRPr="007B0DC7">
              <w:rPr>
                <w:lang w:val="en-GB"/>
              </w:rPr>
              <w:t>Sert et al.</w:t>
            </w:r>
          </w:p>
        </w:tc>
        <w:tc>
          <w:tcPr>
            <w:tcW w:w="1417" w:type="dxa"/>
            <w:noWrap/>
            <w:hideMark/>
          </w:tcPr>
          <w:p w14:paraId="5647023F" w14:textId="77777777" w:rsidR="003D19AD" w:rsidRPr="007B0DC7" w:rsidRDefault="003D19AD" w:rsidP="006345BE">
            <w:pPr>
              <w:rPr>
                <w:lang w:val="en-GB"/>
              </w:rPr>
            </w:pPr>
            <w:r w:rsidRPr="007B0DC7">
              <w:rPr>
                <w:lang w:val="en-GB"/>
              </w:rPr>
              <w:t>Turkish</w:t>
            </w:r>
          </w:p>
        </w:tc>
        <w:tc>
          <w:tcPr>
            <w:tcW w:w="993" w:type="dxa"/>
            <w:noWrap/>
            <w:hideMark/>
          </w:tcPr>
          <w:p w14:paraId="7D2E0C71" w14:textId="77777777" w:rsidR="003D19AD" w:rsidRPr="007B0DC7" w:rsidRDefault="003D19AD" w:rsidP="006345BE">
            <w:pPr>
              <w:rPr>
                <w:lang w:val="en-GB"/>
              </w:rPr>
            </w:pPr>
            <w:r w:rsidRPr="007B0DC7">
              <w:rPr>
                <w:lang w:val="en-GB"/>
              </w:rPr>
              <w:t>370</w:t>
            </w:r>
          </w:p>
        </w:tc>
        <w:tc>
          <w:tcPr>
            <w:tcW w:w="850" w:type="dxa"/>
            <w:noWrap/>
            <w:hideMark/>
          </w:tcPr>
          <w:p w14:paraId="6AA037EB" w14:textId="77777777" w:rsidR="003D19AD" w:rsidRPr="007B0DC7" w:rsidRDefault="003D19AD" w:rsidP="006345BE">
            <w:pPr>
              <w:rPr>
                <w:lang w:val="en-GB"/>
              </w:rPr>
            </w:pPr>
            <w:r w:rsidRPr="003D19AD">
              <w:rPr>
                <w:lang w:val="en-GB"/>
              </w:rPr>
              <w:t>24.8</w:t>
            </w:r>
          </w:p>
        </w:tc>
        <w:tc>
          <w:tcPr>
            <w:tcW w:w="1725" w:type="dxa"/>
            <w:noWrap/>
            <w:hideMark/>
          </w:tcPr>
          <w:p w14:paraId="1F8E2FBA" w14:textId="77777777" w:rsidR="003D19AD" w:rsidRPr="003D19AD" w:rsidRDefault="003D19AD" w:rsidP="006345BE">
            <w:pPr>
              <w:rPr>
                <w:lang w:val="en-GB"/>
              </w:rPr>
            </w:pPr>
            <w:r w:rsidRPr="003D19AD">
              <w:rPr>
                <w:lang w:val="en-GB"/>
              </w:rPr>
              <w:t>69.2</w:t>
            </w:r>
          </w:p>
        </w:tc>
        <w:tc>
          <w:tcPr>
            <w:tcW w:w="2268" w:type="dxa"/>
            <w:noWrap/>
            <w:hideMark/>
          </w:tcPr>
          <w:p w14:paraId="2CC9C7FD" w14:textId="77777777" w:rsidR="003D19AD" w:rsidRPr="007B0DC7" w:rsidRDefault="003D19AD" w:rsidP="006345BE">
            <w:pPr>
              <w:rPr>
                <w:lang w:val="en-GB"/>
              </w:rPr>
            </w:pPr>
            <w:r w:rsidRPr="007B0DC7">
              <w:rPr>
                <w:lang w:val="en-GB"/>
              </w:rPr>
              <w:t>5.4</w:t>
            </w:r>
          </w:p>
        </w:tc>
        <w:tc>
          <w:tcPr>
            <w:tcW w:w="1984" w:type="dxa"/>
            <w:noWrap/>
            <w:hideMark/>
          </w:tcPr>
          <w:p w14:paraId="540A1172" w14:textId="77777777" w:rsidR="003D19AD" w:rsidRPr="007B0DC7" w:rsidRDefault="003D19AD" w:rsidP="006345BE">
            <w:pPr>
              <w:rPr>
                <w:lang w:val="en-GB"/>
              </w:rPr>
            </w:pPr>
            <w:r w:rsidRPr="007B0DC7">
              <w:rPr>
                <w:lang w:val="en-GB"/>
              </w:rPr>
              <w:t>0.27</w:t>
            </w:r>
          </w:p>
        </w:tc>
      </w:tr>
      <w:tr w:rsidR="003D19AD" w:rsidRPr="00595203" w14:paraId="2692FC50" w14:textId="77777777" w:rsidTr="006345BE">
        <w:trPr>
          <w:trHeight w:val="300"/>
        </w:trPr>
        <w:tc>
          <w:tcPr>
            <w:tcW w:w="1980" w:type="dxa"/>
            <w:noWrap/>
            <w:hideMark/>
          </w:tcPr>
          <w:p w14:paraId="01C4C5B1" w14:textId="77777777" w:rsidR="003D19AD" w:rsidRPr="007B0DC7" w:rsidRDefault="003D19AD" w:rsidP="006345BE">
            <w:pPr>
              <w:rPr>
                <w:lang w:val="en-GB"/>
              </w:rPr>
            </w:pPr>
            <w:r w:rsidRPr="007B0DC7">
              <w:rPr>
                <w:lang w:val="en-GB"/>
              </w:rPr>
              <w:t>Kuzekanani et al.</w:t>
            </w:r>
          </w:p>
        </w:tc>
        <w:tc>
          <w:tcPr>
            <w:tcW w:w="1417" w:type="dxa"/>
            <w:noWrap/>
            <w:hideMark/>
          </w:tcPr>
          <w:p w14:paraId="74E0CCA6" w14:textId="77777777" w:rsidR="003D19AD" w:rsidRPr="007B0DC7" w:rsidRDefault="003D19AD" w:rsidP="006345BE">
            <w:pPr>
              <w:rPr>
                <w:lang w:val="en-GB"/>
              </w:rPr>
            </w:pPr>
            <w:r w:rsidRPr="007B0DC7">
              <w:rPr>
                <w:lang w:val="en-GB"/>
              </w:rPr>
              <w:t>Iranian</w:t>
            </w:r>
          </w:p>
        </w:tc>
        <w:tc>
          <w:tcPr>
            <w:tcW w:w="993" w:type="dxa"/>
            <w:noWrap/>
            <w:hideMark/>
          </w:tcPr>
          <w:p w14:paraId="6F17E2BB" w14:textId="77777777" w:rsidR="003D19AD" w:rsidRPr="007B0DC7" w:rsidRDefault="003D19AD" w:rsidP="006345BE">
            <w:pPr>
              <w:rPr>
                <w:lang w:val="en-GB"/>
              </w:rPr>
            </w:pPr>
            <w:r w:rsidRPr="007B0DC7">
              <w:rPr>
                <w:lang w:val="en-GB"/>
              </w:rPr>
              <w:t>150</w:t>
            </w:r>
          </w:p>
        </w:tc>
        <w:tc>
          <w:tcPr>
            <w:tcW w:w="850" w:type="dxa"/>
            <w:noWrap/>
            <w:hideMark/>
          </w:tcPr>
          <w:p w14:paraId="02621C65" w14:textId="77777777" w:rsidR="003D19AD" w:rsidRPr="007B0DC7" w:rsidRDefault="003D19AD" w:rsidP="006345BE">
            <w:pPr>
              <w:rPr>
                <w:lang w:val="en-GB"/>
              </w:rPr>
            </w:pPr>
            <w:r w:rsidRPr="003D19AD">
              <w:rPr>
                <w:lang w:val="en-GB"/>
              </w:rPr>
              <w:t>21</w:t>
            </w:r>
          </w:p>
        </w:tc>
        <w:tc>
          <w:tcPr>
            <w:tcW w:w="1725" w:type="dxa"/>
            <w:noWrap/>
            <w:hideMark/>
          </w:tcPr>
          <w:p w14:paraId="08E7F6EE" w14:textId="77777777" w:rsidR="003D19AD" w:rsidRPr="003D19AD" w:rsidRDefault="003D19AD" w:rsidP="006345BE">
            <w:pPr>
              <w:rPr>
                <w:lang w:val="en-GB"/>
              </w:rPr>
            </w:pPr>
            <w:r w:rsidRPr="003D19AD">
              <w:rPr>
                <w:lang w:val="en-GB"/>
              </w:rPr>
              <w:t>73</w:t>
            </w:r>
          </w:p>
        </w:tc>
        <w:tc>
          <w:tcPr>
            <w:tcW w:w="2268" w:type="dxa"/>
            <w:noWrap/>
            <w:hideMark/>
          </w:tcPr>
          <w:p w14:paraId="45F8D0B2" w14:textId="77777777" w:rsidR="003D19AD" w:rsidRPr="007B0DC7" w:rsidRDefault="003D19AD" w:rsidP="006345BE">
            <w:pPr>
              <w:rPr>
                <w:lang w:val="en-GB"/>
              </w:rPr>
            </w:pPr>
            <w:r w:rsidRPr="007B0DC7">
              <w:rPr>
                <w:lang w:val="en-GB"/>
              </w:rPr>
              <w:t>5.5</w:t>
            </w:r>
          </w:p>
        </w:tc>
        <w:tc>
          <w:tcPr>
            <w:tcW w:w="1984" w:type="dxa"/>
            <w:noWrap/>
            <w:hideMark/>
          </w:tcPr>
          <w:p w14:paraId="756B0B07" w14:textId="77777777" w:rsidR="003D19AD" w:rsidRPr="007B0DC7" w:rsidRDefault="003D19AD" w:rsidP="006345BE">
            <w:pPr>
              <w:rPr>
                <w:lang w:val="en-GB"/>
              </w:rPr>
            </w:pPr>
            <w:r w:rsidRPr="007B0DC7">
              <w:rPr>
                <w:lang w:val="en-GB"/>
              </w:rPr>
              <w:t>0.5</w:t>
            </w:r>
          </w:p>
        </w:tc>
      </w:tr>
      <w:tr w:rsidR="003D19AD" w:rsidRPr="00595203" w14:paraId="2FC4E97C" w14:textId="77777777" w:rsidTr="006345BE">
        <w:trPr>
          <w:trHeight w:val="300"/>
        </w:trPr>
        <w:tc>
          <w:tcPr>
            <w:tcW w:w="1980" w:type="dxa"/>
            <w:noWrap/>
            <w:hideMark/>
          </w:tcPr>
          <w:p w14:paraId="6FE64AC6" w14:textId="77777777" w:rsidR="003D19AD" w:rsidRPr="007B0DC7" w:rsidRDefault="003D19AD" w:rsidP="006345BE">
            <w:pPr>
              <w:rPr>
                <w:lang w:val="en-GB"/>
              </w:rPr>
            </w:pPr>
            <w:r w:rsidRPr="007B0DC7">
              <w:rPr>
                <w:lang w:val="en-GB"/>
              </w:rPr>
              <w:t>Ahmad et al.</w:t>
            </w:r>
          </w:p>
        </w:tc>
        <w:tc>
          <w:tcPr>
            <w:tcW w:w="1417" w:type="dxa"/>
            <w:noWrap/>
            <w:hideMark/>
          </w:tcPr>
          <w:p w14:paraId="70CF733B" w14:textId="77777777" w:rsidR="003D19AD" w:rsidRPr="007B0DC7" w:rsidRDefault="003D19AD" w:rsidP="006345BE">
            <w:pPr>
              <w:rPr>
                <w:lang w:val="en-GB"/>
              </w:rPr>
            </w:pPr>
            <w:r w:rsidRPr="007B0DC7">
              <w:rPr>
                <w:lang w:val="en-GB"/>
              </w:rPr>
              <w:t>Jordanian</w:t>
            </w:r>
          </w:p>
        </w:tc>
        <w:tc>
          <w:tcPr>
            <w:tcW w:w="993" w:type="dxa"/>
            <w:noWrap/>
            <w:hideMark/>
          </w:tcPr>
          <w:p w14:paraId="61848E73" w14:textId="77777777" w:rsidR="003D19AD" w:rsidRPr="007B0DC7" w:rsidRDefault="003D19AD" w:rsidP="006345BE">
            <w:pPr>
              <w:rPr>
                <w:lang w:val="en-GB"/>
              </w:rPr>
            </w:pPr>
            <w:r w:rsidRPr="007B0DC7">
              <w:rPr>
                <w:lang w:val="en-GB"/>
              </w:rPr>
              <w:t>70</w:t>
            </w:r>
          </w:p>
        </w:tc>
        <w:tc>
          <w:tcPr>
            <w:tcW w:w="850" w:type="dxa"/>
            <w:noWrap/>
            <w:hideMark/>
          </w:tcPr>
          <w:p w14:paraId="3559C0E6" w14:textId="77777777" w:rsidR="003D19AD" w:rsidRPr="007B0DC7" w:rsidRDefault="003D19AD" w:rsidP="006345BE">
            <w:pPr>
              <w:rPr>
                <w:lang w:val="en-GB"/>
              </w:rPr>
            </w:pPr>
            <w:r w:rsidRPr="003D19AD">
              <w:rPr>
                <w:lang w:val="en-GB"/>
              </w:rPr>
              <w:t>12.9</w:t>
            </w:r>
          </w:p>
        </w:tc>
        <w:tc>
          <w:tcPr>
            <w:tcW w:w="1725" w:type="dxa"/>
            <w:noWrap/>
            <w:hideMark/>
          </w:tcPr>
          <w:p w14:paraId="4F49F957" w14:textId="77777777" w:rsidR="003D19AD" w:rsidRPr="003D19AD" w:rsidRDefault="003D19AD" w:rsidP="006345BE">
            <w:pPr>
              <w:rPr>
                <w:lang w:val="en-GB"/>
              </w:rPr>
            </w:pPr>
            <w:r w:rsidRPr="003D19AD">
              <w:rPr>
                <w:lang w:val="en-GB"/>
              </w:rPr>
              <w:t>74.3</w:t>
            </w:r>
          </w:p>
        </w:tc>
        <w:tc>
          <w:tcPr>
            <w:tcW w:w="2268" w:type="dxa"/>
            <w:noWrap/>
            <w:hideMark/>
          </w:tcPr>
          <w:p w14:paraId="63EF6AE0" w14:textId="77777777" w:rsidR="003D19AD" w:rsidRPr="007B0DC7" w:rsidRDefault="003D19AD" w:rsidP="006345BE">
            <w:pPr>
              <w:rPr>
                <w:lang w:val="en-GB"/>
              </w:rPr>
            </w:pPr>
            <w:r w:rsidRPr="007B0DC7">
              <w:rPr>
                <w:lang w:val="en-GB"/>
              </w:rPr>
              <w:t>8.7</w:t>
            </w:r>
          </w:p>
        </w:tc>
        <w:tc>
          <w:tcPr>
            <w:tcW w:w="1984" w:type="dxa"/>
            <w:noWrap/>
            <w:hideMark/>
          </w:tcPr>
          <w:p w14:paraId="72E3FF45" w14:textId="77777777" w:rsidR="003D19AD" w:rsidRPr="007B0DC7" w:rsidRDefault="003D19AD" w:rsidP="006345BE">
            <w:pPr>
              <w:rPr>
                <w:lang w:val="en-GB"/>
              </w:rPr>
            </w:pPr>
            <w:r w:rsidRPr="007B0DC7">
              <w:rPr>
                <w:lang w:val="en-GB"/>
              </w:rPr>
              <w:t>4.3</w:t>
            </w:r>
          </w:p>
        </w:tc>
      </w:tr>
      <w:tr w:rsidR="003D19AD" w:rsidRPr="00595203" w14:paraId="71206611" w14:textId="77777777" w:rsidTr="006345BE">
        <w:trPr>
          <w:trHeight w:val="300"/>
        </w:trPr>
        <w:tc>
          <w:tcPr>
            <w:tcW w:w="1980" w:type="dxa"/>
            <w:noWrap/>
            <w:hideMark/>
          </w:tcPr>
          <w:p w14:paraId="303E17C9" w14:textId="77777777" w:rsidR="003D19AD" w:rsidRPr="007B0DC7" w:rsidRDefault="003D19AD" w:rsidP="006345BE">
            <w:pPr>
              <w:rPr>
                <w:lang w:val="en-GB"/>
              </w:rPr>
            </w:pPr>
            <w:r w:rsidRPr="007B0DC7">
              <w:rPr>
                <w:lang w:val="en-GB"/>
              </w:rPr>
              <w:t>Singh et al.</w:t>
            </w:r>
          </w:p>
        </w:tc>
        <w:tc>
          <w:tcPr>
            <w:tcW w:w="1417" w:type="dxa"/>
            <w:noWrap/>
            <w:hideMark/>
          </w:tcPr>
          <w:p w14:paraId="59233669" w14:textId="77777777" w:rsidR="003D19AD" w:rsidRPr="007B0DC7" w:rsidRDefault="003D19AD" w:rsidP="006345BE">
            <w:pPr>
              <w:rPr>
                <w:lang w:val="en-GB"/>
              </w:rPr>
            </w:pPr>
            <w:r w:rsidRPr="007B0DC7">
              <w:rPr>
                <w:lang w:val="en-GB"/>
              </w:rPr>
              <w:t>Indian</w:t>
            </w:r>
          </w:p>
        </w:tc>
        <w:tc>
          <w:tcPr>
            <w:tcW w:w="993" w:type="dxa"/>
            <w:noWrap/>
            <w:hideMark/>
          </w:tcPr>
          <w:p w14:paraId="36EB436B" w14:textId="77777777" w:rsidR="003D19AD" w:rsidRPr="007B0DC7" w:rsidRDefault="003D19AD" w:rsidP="006345BE">
            <w:pPr>
              <w:rPr>
                <w:lang w:val="en-GB"/>
              </w:rPr>
            </w:pPr>
            <w:r w:rsidRPr="007B0DC7">
              <w:rPr>
                <w:lang w:val="en-GB"/>
              </w:rPr>
              <w:t>100</w:t>
            </w:r>
          </w:p>
        </w:tc>
        <w:tc>
          <w:tcPr>
            <w:tcW w:w="850" w:type="dxa"/>
            <w:noWrap/>
            <w:hideMark/>
          </w:tcPr>
          <w:p w14:paraId="7A864193" w14:textId="77777777" w:rsidR="003D19AD" w:rsidRPr="007B0DC7" w:rsidRDefault="003D19AD" w:rsidP="006345BE">
            <w:pPr>
              <w:rPr>
                <w:lang w:val="en-GB"/>
              </w:rPr>
            </w:pPr>
            <w:r w:rsidRPr="007B0DC7">
              <w:rPr>
                <w:lang w:val="en-GB"/>
              </w:rPr>
              <w:t>15</w:t>
            </w:r>
          </w:p>
        </w:tc>
        <w:tc>
          <w:tcPr>
            <w:tcW w:w="1725" w:type="dxa"/>
            <w:noWrap/>
            <w:hideMark/>
          </w:tcPr>
          <w:p w14:paraId="0B8E9F37" w14:textId="77777777" w:rsidR="003D19AD" w:rsidRPr="003D19AD" w:rsidRDefault="003D19AD" w:rsidP="006345BE">
            <w:pPr>
              <w:rPr>
                <w:lang w:val="en-GB"/>
              </w:rPr>
            </w:pPr>
            <w:r w:rsidRPr="003D19AD">
              <w:rPr>
                <w:lang w:val="en-GB"/>
              </w:rPr>
              <w:t>63</w:t>
            </w:r>
          </w:p>
        </w:tc>
        <w:tc>
          <w:tcPr>
            <w:tcW w:w="2268" w:type="dxa"/>
            <w:noWrap/>
            <w:hideMark/>
          </w:tcPr>
          <w:p w14:paraId="797EA95D" w14:textId="77777777" w:rsidR="003D19AD" w:rsidRPr="007B0DC7" w:rsidRDefault="003D19AD" w:rsidP="006345BE">
            <w:pPr>
              <w:rPr>
                <w:lang w:val="en-GB"/>
              </w:rPr>
            </w:pPr>
            <w:r w:rsidRPr="003D19AD">
              <w:rPr>
                <w:lang w:val="en-GB"/>
              </w:rPr>
              <w:t>18</w:t>
            </w:r>
          </w:p>
        </w:tc>
        <w:tc>
          <w:tcPr>
            <w:tcW w:w="1984" w:type="dxa"/>
            <w:noWrap/>
            <w:hideMark/>
          </w:tcPr>
          <w:p w14:paraId="0B345152" w14:textId="77777777" w:rsidR="003D19AD" w:rsidRPr="007B0DC7" w:rsidRDefault="003D19AD" w:rsidP="006345BE">
            <w:pPr>
              <w:rPr>
                <w:lang w:val="en-GB"/>
              </w:rPr>
            </w:pPr>
            <w:r w:rsidRPr="007B0DC7">
              <w:rPr>
                <w:lang w:val="en-GB"/>
              </w:rPr>
              <w:t>4</w:t>
            </w:r>
          </w:p>
        </w:tc>
      </w:tr>
      <w:tr w:rsidR="003D19AD" w:rsidRPr="00595203" w14:paraId="2F747B1A" w14:textId="77777777" w:rsidTr="006345BE">
        <w:trPr>
          <w:trHeight w:val="300"/>
        </w:trPr>
        <w:tc>
          <w:tcPr>
            <w:tcW w:w="1980" w:type="dxa"/>
            <w:noWrap/>
            <w:hideMark/>
          </w:tcPr>
          <w:p w14:paraId="02F88B9F" w14:textId="77777777" w:rsidR="003D19AD" w:rsidRPr="00595203" w:rsidRDefault="003D19AD" w:rsidP="006345BE">
            <w:pPr>
              <w:rPr>
                <w:lang w:val="en-GB"/>
              </w:rPr>
            </w:pPr>
            <w:r w:rsidRPr="00595203">
              <w:fldChar w:fldCharType="begin"/>
            </w:r>
            <w:r w:rsidRPr="00595203">
              <w:rPr>
                <w:lang w:val="en-GB"/>
              </w:rPr>
              <w:instrText xml:space="preserve"> ADDIN ZOTERO_ITEM CSL_CITATION {"citationID":"yP5hVpD8","properties":{"formattedCitation":"(Al-Qudah et al. 2023)","plainCitation":"(Al-Qudah et al. 2023)","noteIndex":0},"citationItems":[{"id":1493,"uris":["http://zotero.org/groups/5764964/items/WVWUNCH8"],"itemData":{"id":1493,"type":"article-journal","container-title":"Scientific Reports","DOI":"10.1038/s41598-023-34134-7","issue":"1","note":"publisher: Nature Publishing Group UK London\nTLDR: The aim of this study was to investigate root and canal morphology of third molars and identified new canal configurations, not previously described in the literature nor included in Vertucci’s classifications, in both maxillary and mandibularThird molars.","page":"6901","source":"Google Scholar","title":"Root and canal morphology of third molar teeth","volume":"13","author":[{"family":"Al-Qudah","given":"Aladdin Ahmad"},{"family":"Bani Younis","given":"Hamzeh A. Barakat"},{"family":"Awawdeh","given":"Lama Adel"},{"family":"Daud","given":"Alaa"}],"issued":{"date-parts":[["2023"]]},"citation-key":"al-qudahRootCanalMorphology2023"}}],"schema":"https://github.com/citation-style-language/schema/raw/master/csl-citation.json"} </w:instrText>
            </w:r>
            <w:r w:rsidRPr="00595203">
              <w:fldChar w:fldCharType="separate"/>
            </w:r>
            <w:r w:rsidRPr="007B0DC7">
              <w:rPr>
                <w:rFonts w:ascii="Calibri" w:hAnsi="Calibri" w:cs="Calibri"/>
                <w:lang w:val="en-GB"/>
              </w:rPr>
              <w:t>(Al-Qudah et al. 2023)</w:t>
            </w:r>
            <w:r w:rsidRPr="00595203">
              <w:fldChar w:fldCharType="end"/>
            </w:r>
          </w:p>
        </w:tc>
        <w:tc>
          <w:tcPr>
            <w:tcW w:w="1417" w:type="dxa"/>
            <w:noWrap/>
            <w:hideMark/>
          </w:tcPr>
          <w:p w14:paraId="1411068A" w14:textId="77777777" w:rsidR="003D19AD" w:rsidRPr="007B0DC7" w:rsidRDefault="003D19AD" w:rsidP="006345BE">
            <w:pPr>
              <w:rPr>
                <w:lang w:val="en-GB"/>
              </w:rPr>
            </w:pPr>
            <w:r w:rsidRPr="007B0DC7">
              <w:rPr>
                <w:lang w:val="en-GB"/>
              </w:rPr>
              <w:t>Jordanian</w:t>
            </w:r>
          </w:p>
        </w:tc>
        <w:tc>
          <w:tcPr>
            <w:tcW w:w="993" w:type="dxa"/>
            <w:noWrap/>
            <w:hideMark/>
          </w:tcPr>
          <w:p w14:paraId="6C34A351" w14:textId="77777777" w:rsidR="003D19AD" w:rsidRPr="007B0DC7" w:rsidRDefault="003D19AD" w:rsidP="006345BE">
            <w:pPr>
              <w:rPr>
                <w:lang w:val="en-GB"/>
              </w:rPr>
            </w:pPr>
            <w:r w:rsidRPr="007B0DC7">
              <w:rPr>
                <w:lang w:val="en-GB"/>
              </w:rPr>
              <w:t>639</w:t>
            </w:r>
          </w:p>
        </w:tc>
        <w:tc>
          <w:tcPr>
            <w:tcW w:w="850" w:type="dxa"/>
            <w:noWrap/>
            <w:hideMark/>
          </w:tcPr>
          <w:p w14:paraId="3A6A3A56" w14:textId="77777777" w:rsidR="003D19AD" w:rsidRPr="007B0DC7" w:rsidRDefault="003D19AD" w:rsidP="006345BE">
            <w:pPr>
              <w:rPr>
                <w:lang w:val="en-GB"/>
              </w:rPr>
            </w:pPr>
            <w:r w:rsidRPr="007B0DC7">
              <w:rPr>
                <w:lang w:val="en-GB"/>
              </w:rPr>
              <w:t>2.5</w:t>
            </w:r>
          </w:p>
        </w:tc>
        <w:tc>
          <w:tcPr>
            <w:tcW w:w="1725" w:type="dxa"/>
            <w:noWrap/>
            <w:hideMark/>
          </w:tcPr>
          <w:p w14:paraId="184CBBE7" w14:textId="77777777" w:rsidR="003D19AD" w:rsidRPr="003D19AD" w:rsidRDefault="003D19AD" w:rsidP="006345BE">
            <w:pPr>
              <w:rPr>
                <w:lang w:val="en-GB"/>
              </w:rPr>
            </w:pPr>
            <w:r w:rsidRPr="003D19AD">
              <w:rPr>
                <w:lang w:val="en-GB"/>
              </w:rPr>
              <w:t>89.7</w:t>
            </w:r>
          </w:p>
        </w:tc>
        <w:tc>
          <w:tcPr>
            <w:tcW w:w="2268" w:type="dxa"/>
            <w:noWrap/>
            <w:hideMark/>
          </w:tcPr>
          <w:p w14:paraId="52D14B68" w14:textId="77777777" w:rsidR="003D19AD" w:rsidRPr="007B0DC7" w:rsidRDefault="003D19AD" w:rsidP="006345BE">
            <w:pPr>
              <w:rPr>
                <w:lang w:val="en-GB"/>
              </w:rPr>
            </w:pPr>
            <w:r w:rsidRPr="003D19AD">
              <w:rPr>
                <w:lang w:val="en-GB"/>
              </w:rPr>
              <w:t>7.3</w:t>
            </w:r>
          </w:p>
        </w:tc>
        <w:tc>
          <w:tcPr>
            <w:tcW w:w="1984" w:type="dxa"/>
            <w:noWrap/>
            <w:hideMark/>
          </w:tcPr>
          <w:p w14:paraId="4246C15A" w14:textId="77777777" w:rsidR="003D19AD" w:rsidRPr="007B0DC7" w:rsidRDefault="003D19AD" w:rsidP="006345BE">
            <w:pPr>
              <w:rPr>
                <w:lang w:val="en-GB"/>
              </w:rPr>
            </w:pPr>
            <w:r w:rsidRPr="007B0DC7">
              <w:rPr>
                <w:lang w:val="en-GB"/>
              </w:rPr>
              <w:t>0.47</w:t>
            </w:r>
          </w:p>
        </w:tc>
      </w:tr>
      <w:tr w:rsidR="003D19AD" w:rsidRPr="00595203" w14:paraId="6CAB8688" w14:textId="77777777" w:rsidTr="006345BE">
        <w:trPr>
          <w:trHeight w:val="300"/>
        </w:trPr>
        <w:tc>
          <w:tcPr>
            <w:tcW w:w="1980" w:type="dxa"/>
            <w:noWrap/>
          </w:tcPr>
          <w:p w14:paraId="22A37362" w14:textId="77777777" w:rsidR="003D19AD" w:rsidRPr="00595203" w:rsidRDefault="003D19AD" w:rsidP="006345BE">
            <w:pPr>
              <w:rPr>
                <w:lang w:val="en-GB"/>
              </w:rPr>
            </w:pPr>
            <w:r w:rsidRPr="00595203">
              <w:rPr>
                <w:lang w:val="en-GB"/>
              </w:rPr>
              <w:t>Olczyk et al.</w:t>
            </w:r>
          </w:p>
        </w:tc>
        <w:tc>
          <w:tcPr>
            <w:tcW w:w="1417" w:type="dxa"/>
            <w:noWrap/>
          </w:tcPr>
          <w:p w14:paraId="738E2F65" w14:textId="77777777" w:rsidR="003D19AD" w:rsidRPr="007B0DC7" w:rsidRDefault="003D19AD" w:rsidP="006345BE">
            <w:pPr>
              <w:rPr>
                <w:lang w:val="en-GB"/>
              </w:rPr>
            </w:pPr>
            <w:r w:rsidRPr="007B0DC7">
              <w:rPr>
                <w:lang w:val="en-GB"/>
              </w:rPr>
              <w:t>Polish</w:t>
            </w:r>
          </w:p>
        </w:tc>
        <w:tc>
          <w:tcPr>
            <w:tcW w:w="993" w:type="dxa"/>
            <w:noWrap/>
          </w:tcPr>
          <w:p w14:paraId="30BD29C2" w14:textId="77777777" w:rsidR="003D19AD" w:rsidRPr="007B0DC7" w:rsidRDefault="003D19AD" w:rsidP="006345BE">
            <w:pPr>
              <w:rPr>
                <w:lang w:val="en-GB"/>
              </w:rPr>
            </w:pPr>
            <w:r w:rsidRPr="007B0DC7">
              <w:rPr>
                <w:lang w:val="en-GB"/>
              </w:rPr>
              <w:t>261</w:t>
            </w:r>
          </w:p>
        </w:tc>
        <w:tc>
          <w:tcPr>
            <w:tcW w:w="850" w:type="dxa"/>
            <w:noWrap/>
          </w:tcPr>
          <w:p w14:paraId="63F7B8E3" w14:textId="77777777" w:rsidR="003D19AD" w:rsidRPr="007B0DC7" w:rsidRDefault="003D19AD" w:rsidP="006345BE">
            <w:pPr>
              <w:rPr>
                <w:lang w:val="en-GB"/>
              </w:rPr>
            </w:pPr>
            <w:r w:rsidRPr="007B0DC7">
              <w:rPr>
                <w:lang w:val="en-GB"/>
              </w:rPr>
              <w:t>8.43</w:t>
            </w:r>
          </w:p>
        </w:tc>
        <w:tc>
          <w:tcPr>
            <w:tcW w:w="1725" w:type="dxa"/>
            <w:noWrap/>
          </w:tcPr>
          <w:p w14:paraId="317CCC42" w14:textId="77777777" w:rsidR="003D19AD" w:rsidRPr="003D19AD" w:rsidRDefault="003D19AD" w:rsidP="006345BE">
            <w:pPr>
              <w:rPr>
                <w:lang w:val="en-GB"/>
              </w:rPr>
            </w:pPr>
            <w:r w:rsidRPr="003D19AD">
              <w:rPr>
                <w:lang w:val="en-GB"/>
              </w:rPr>
              <w:t>79.7</w:t>
            </w:r>
          </w:p>
        </w:tc>
        <w:tc>
          <w:tcPr>
            <w:tcW w:w="2268" w:type="dxa"/>
            <w:noWrap/>
          </w:tcPr>
          <w:p w14:paraId="1BB4DA1E" w14:textId="77777777" w:rsidR="003D19AD" w:rsidRPr="007B0DC7" w:rsidRDefault="003D19AD" w:rsidP="006345BE">
            <w:pPr>
              <w:rPr>
                <w:lang w:val="en-GB"/>
              </w:rPr>
            </w:pPr>
            <w:r w:rsidRPr="007B0DC7">
              <w:rPr>
                <w:lang w:val="en-GB"/>
              </w:rPr>
              <w:t xml:space="preserve"> </w:t>
            </w:r>
            <w:r w:rsidRPr="003D19AD">
              <w:rPr>
                <w:lang w:val="en-GB"/>
              </w:rPr>
              <w:t>11.9</w:t>
            </w:r>
          </w:p>
        </w:tc>
        <w:tc>
          <w:tcPr>
            <w:tcW w:w="1984" w:type="dxa"/>
            <w:noWrap/>
          </w:tcPr>
          <w:p w14:paraId="04207816" w14:textId="77777777" w:rsidR="003D19AD" w:rsidRPr="007B0DC7" w:rsidRDefault="003D19AD" w:rsidP="006345BE">
            <w:pPr>
              <w:rPr>
                <w:lang w:val="en-GB"/>
              </w:rPr>
            </w:pPr>
            <w:r w:rsidRPr="007B0DC7">
              <w:rPr>
                <w:lang w:val="en-GB"/>
              </w:rPr>
              <w:t>-</w:t>
            </w:r>
          </w:p>
        </w:tc>
      </w:tr>
    </w:tbl>
    <w:p w14:paraId="0B55057F" w14:textId="67BE7D70" w:rsidR="003D19AD" w:rsidRPr="007B0DC7" w:rsidRDefault="009C3442" w:rsidP="003D19AD">
      <w:r>
        <w:t>Supplement 2:</w:t>
      </w:r>
      <w:r w:rsidR="003D19AD" w:rsidRPr="007B0DC7">
        <w:t xml:space="preserve"> Prevalence of mandibular third molars with different root numbers in previous studies and the present one. Data adapted from Al-Qudah et al., 2023 licensed under Creative Commons Attribution 4.0 International License</w:t>
      </w:r>
    </w:p>
    <w:p w14:paraId="7CBBF739" w14:textId="77777777" w:rsidR="0077207A" w:rsidRPr="0075057F" w:rsidRDefault="0077207A" w:rsidP="00674D96"/>
    <w:sectPr w:rsidR="0077207A" w:rsidRPr="0075057F" w:rsidSect="00FA5B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62"/>
    <w:rsid w:val="00072362"/>
    <w:rsid w:val="00105E8C"/>
    <w:rsid w:val="0019716C"/>
    <w:rsid w:val="001A5986"/>
    <w:rsid w:val="00204A5B"/>
    <w:rsid w:val="0035362E"/>
    <w:rsid w:val="00357AB7"/>
    <w:rsid w:val="003D19AD"/>
    <w:rsid w:val="004F2413"/>
    <w:rsid w:val="005A7062"/>
    <w:rsid w:val="00674D96"/>
    <w:rsid w:val="0075057F"/>
    <w:rsid w:val="0077207A"/>
    <w:rsid w:val="007F1AA9"/>
    <w:rsid w:val="0095487E"/>
    <w:rsid w:val="009C3442"/>
    <w:rsid w:val="009C4878"/>
    <w:rsid w:val="00AD41D5"/>
    <w:rsid w:val="00AF4C53"/>
    <w:rsid w:val="00B34A03"/>
    <w:rsid w:val="00B56DDC"/>
    <w:rsid w:val="00B82966"/>
    <w:rsid w:val="00BE5A4E"/>
    <w:rsid w:val="00D92E09"/>
    <w:rsid w:val="00FA5AAA"/>
    <w:rsid w:val="00FA5B2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B213"/>
  <w15:chartTrackingRefBased/>
  <w15:docId w15:val="{01E0A8FC-4879-4EB5-995A-C6EE417B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9AD"/>
  </w:style>
  <w:style w:type="paragraph" w:styleId="Heading1">
    <w:name w:val="heading 1"/>
    <w:basedOn w:val="Normal"/>
    <w:next w:val="Normal"/>
    <w:link w:val="Heading1Char"/>
    <w:uiPriority w:val="9"/>
    <w:qFormat/>
    <w:rsid w:val="00AD41D5"/>
    <w:pPr>
      <w:keepNext/>
      <w:keepLines/>
      <w:pBdr>
        <w:bottom w:val="single" w:sz="8" w:space="1" w:color="2F5496" w:themeColor="accent1" w:themeShade="BF"/>
      </w:pBdr>
      <w:spacing w:before="240" w:after="0"/>
      <w:outlineLvl w:val="0"/>
    </w:pPr>
    <w:rPr>
      <w:rFonts w:asciiTheme="majorHAnsi" w:eastAsiaTheme="majorEastAsia" w:hAnsiTheme="majorHAnsi" w:cstheme="majorBidi"/>
      <w:color w:val="2F5496" w:themeColor="accent1" w:themeShade="BF"/>
      <w:sz w:val="36"/>
      <w:szCs w:val="32"/>
      <w:lang w:val="pl-PL"/>
    </w:rPr>
  </w:style>
  <w:style w:type="paragraph" w:styleId="Heading2">
    <w:name w:val="heading 2"/>
    <w:basedOn w:val="Normal"/>
    <w:next w:val="Normal"/>
    <w:link w:val="Heading2Char"/>
    <w:uiPriority w:val="9"/>
    <w:unhideWhenUsed/>
    <w:qFormat/>
    <w:rsid w:val="00AD41D5"/>
    <w:pPr>
      <w:keepNext/>
      <w:keepLines/>
      <w:pBdr>
        <w:bottom w:val="single" w:sz="2" w:space="1" w:color="2F5496" w:themeColor="accent1" w:themeShade="BF"/>
      </w:pBdr>
      <w:spacing w:before="40" w:after="0"/>
      <w:outlineLvl w:val="1"/>
    </w:pPr>
    <w:rPr>
      <w:rFonts w:asciiTheme="majorHAnsi" w:eastAsiaTheme="majorEastAsia" w:hAnsiTheme="majorHAnsi"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7720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74D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23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2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1D5"/>
    <w:rPr>
      <w:rFonts w:asciiTheme="majorHAnsi" w:eastAsiaTheme="majorEastAsia" w:hAnsiTheme="majorHAnsi" w:cstheme="majorBidi"/>
      <w:color w:val="2F5496" w:themeColor="accent1" w:themeShade="BF"/>
      <w:sz w:val="36"/>
      <w:szCs w:val="32"/>
      <w:lang w:val="pl-PL"/>
    </w:rPr>
  </w:style>
  <w:style w:type="character" w:customStyle="1" w:styleId="Heading2Char">
    <w:name w:val="Heading 2 Char"/>
    <w:basedOn w:val="DefaultParagraphFont"/>
    <w:link w:val="Heading2"/>
    <w:uiPriority w:val="9"/>
    <w:rsid w:val="00AD41D5"/>
    <w:rPr>
      <w:rFonts w:asciiTheme="majorHAnsi" w:eastAsiaTheme="majorEastAsia" w:hAnsiTheme="majorHAnsi" w:cstheme="majorBidi"/>
      <w:color w:val="2F5496" w:themeColor="accent1" w:themeShade="BF"/>
      <w:sz w:val="24"/>
      <w:szCs w:val="26"/>
    </w:rPr>
  </w:style>
  <w:style w:type="character" w:customStyle="1" w:styleId="Heading3Char">
    <w:name w:val="Heading 3 Char"/>
    <w:basedOn w:val="DefaultParagraphFont"/>
    <w:link w:val="Heading3"/>
    <w:uiPriority w:val="9"/>
    <w:rsid w:val="0077207A"/>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AD4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1D5"/>
    <w:rPr>
      <w:rFonts w:asciiTheme="majorHAnsi" w:eastAsiaTheme="majorEastAsia" w:hAnsiTheme="majorHAnsi" w:cstheme="majorBidi"/>
      <w:spacing w:val="-10"/>
      <w:kern w:val="28"/>
      <w:sz w:val="56"/>
      <w:szCs w:val="56"/>
    </w:rPr>
  </w:style>
  <w:style w:type="character" w:customStyle="1" w:styleId="Comment">
    <w:name w:val="Comment"/>
    <w:uiPriority w:val="1"/>
    <w:rsid w:val="00AD41D5"/>
    <w:rPr>
      <w:rFonts w:asciiTheme="minorHAnsi" w:hAnsiTheme="minorHAnsi"/>
      <w:i/>
      <w:color w:val="FF0000"/>
      <w:lang w:val="pl-PL"/>
    </w:rPr>
  </w:style>
  <w:style w:type="character" w:customStyle="1" w:styleId="Comment0">
    <w:name w:val="# Comment"/>
    <w:basedOn w:val="DefaultParagraphFont"/>
    <w:uiPriority w:val="1"/>
    <w:qFormat/>
    <w:rsid w:val="004F2413"/>
    <w:rPr>
      <w:b w:val="0"/>
      <w:i/>
      <w:color w:val="C00000"/>
      <w:lang w:val="pl-PL"/>
    </w:rPr>
  </w:style>
  <w:style w:type="character" w:customStyle="1" w:styleId="Heading4Char">
    <w:name w:val="Heading 4 Char"/>
    <w:basedOn w:val="DefaultParagraphFont"/>
    <w:link w:val="Heading4"/>
    <w:uiPriority w:val="9"/>
    <w:rsid w:val="00674D9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723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2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362"/>
    <w:rPr>
      <w:rFonts w:eastAsiaTheme="majorEastAsia" w:cstheme="majorBidi"/>
      <w:color w:val="272727" w:themeColor="text1" w:themeTint="D8"/>
    </w:rPr>
  </w:style>
  <w:style w:type="paragraph" w:styleId="Subtitle">
    <w:name w:val="Subtitle"/>
    <w:basedOn w:val="Normal"/>
    <w:next w:val="Normal"/>
    <w:link w:val="SubtitleChar"/>
    <w:uiPriority w:val="11"/>
    <w:qFormat/>
    <w:rsid w:val="00072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362"/>
    <w:pPr>
      <w:spacing w:before="160"/>
      <w:jc w:val="center"/>
    </w:pPr>
    <w:rPr>
      <w:i/>
      <w:iCs/>
      <w:color w:val="404040" w:themeColor="text1" w:themeTint="BF"/>
    </w:rPr>
  </w:style>
  <w:style w:type="character" w:customStyle="1" w:styleId="QuoteChar">
    <w:name w:val="Quote Char"/>
    <w:basedOn w:val="DefaultParagraphFont"/>
    <w:link w:val="Quote"/>
    <w:uiPriority w:val="29"/>
    <w:rsid w:val="00072362"/>
    <w:rPr>
      <w:i/>
      <w:iCs/>
      <w:color w:val="404040" w:themeColor="text1" w:themeTint="BF"/>
    </w:rPr>
  </w:style>
  <w:style w:type="paragraph" w:styleId="ListParagraph">
    <w:name w:val="List Paragraph"/>
    <w:basedOn w:val="Normal"/>
    <w:uiPriority w:val="34"/>
    <w:qFormat/>
    <w:rsid w:val="00072362"/>
    <w:pPr>
      <w:ind w:left="720"/>
      <w:contextualSpacing/>
    </w:pPr>
  </w:style>
  <w:style w:type="character" w:styleId="IntenseEmphasis">
    <w:name w:val="Intense Emphasis"/>
    <w:basedOn w:val="DefaultParagraphFont"/>
    <w:uiPriority w:val="21"/>
    <w:qFormat/>
    <w:rsid w:val="00072362"/>
    <w:rPr>
      <w:i/>
      <w:iCs/>
      <w:color w:val="2F5496" w:themeColor="accent1" w:themeShade="BF"/>
    </w:rPr>
  </w:style>
  <w:style w:type="paragraph" w:styleId="IntenseQuote">
    <w:name w:val="Intense Quote"/>
    <w:basedOn w:val="Normal"/>
    <w:next w:val="Normal"/>
    <w:link w:val="IntenseQuoteChar"/>
    <w:uiPriority w:val="30"/>
    <w:qFormat/>
    <w:rsid w:val="00072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2362"/>
    <w:rPr>
      <w:i/>
      <w:iCs/>
      <w:color w:val="2F5496" w:themeColor="accent1" w:themeShade="BF"/>
    </w:rPr>
  </w:style>
  <w:style w:type="character" w:styleId="IntenseReference">
    <w:name w:val="Intense Reference"/>
    <w:basedOn w:val="DefaultParagraphFont"/>
    <w:uiPriority w:val="32"/>
    <w:qFormat/>
    <w:rsid w:val="00072362"/>
    <w:rPr>
      <w:b/>
      <w:bCs/>
      <w:smallCaps/>
      <w:color w:val="2F5496" w:themeColor="accent1" w:themeShade="BF"/>
      <w:spacing w:val="5"/>
    </w:rPr>
  </w:style>
  <w:style w:type="table" w:styleId="TableGrid">
    <w:name w:val="Table Grid"/>
    <w:basedOn w:val="TableNormal"/>
    <w:uiPriority w:val="39"/>
    <w:rsid w:val="003D19AD"/>
    <w:pPr>
      <w:spacing w:after="0" w:line="240" w:lineRule="auto"/>
    </w:pPr>
    <w:rPr>
      <w:kern w:val="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2025-02-11T14:51:00Z</dcterms:created>
  <dcterms:modified xsi:type="dcterms:W3CDTF">2025-03-11T20:32:00Z</dcterms:modified>
</cp:coreProperties>
</file>